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FEB4330" w14:textId="430AA338" w:rsidR="005D4380" w:rsidRPr="000D583C" w:rsidRDefault="005D4380" w:rsidP="000D583C">
      <w:pPr>
        <w:pStyle w:val="Heading1"/>
        <w:rPr>
          <w:rStyle w:val="BookTitle"/>
          <w:b/>
          <w:bCs w:val="0"/>
          <w:i w:val="0"/>
          <w:iCs w:val="0"/>
          <w:sz w:val="48"/>
          <w:szCs w:val="48"/>
        </w:rPr>
      </w:pPr>
      <w:r w:rsidRPr="000D583C">
        <w:rPr>
          <w:rStyle w:val="BookTitle"/>
          <w:b/>
          <w:bCs w:val="0"/>
          <w:i w:val="0"/>
          <w:iCs w:val="0"/>
          <w:sz w:val="48"/>
          <w:szCs w:val="48"/>
        </w:rPr>
        <w:t xml:space="preserve">Melbourne Industrial and Commercial </w:t>
      </w:r>
      <w:r w:rsidR="00A70919">
        <w:rPr>
          <w:rStyle w:val="BookTitle"/>
          <w:b/>
          <w:bCs w:val="0"/>
          <w:i w:val="0"/>
          <w:iCs w:val="0"/>
          <w:sz w:val="48"/>
          <w:szCs w:val="48"/>
        </w:rPr>
        <w:br/>
      </w:r>
      <w:r w:rsidRPr="000D583C">
        <w:rPr>
          <w:rStyle w:val="BookTitle"/>
          <w:b/>
          <w:bCs w:val="0"/>
          <w:i w:val="0"/>
          <w:iCs w:val="0"/>
          <w:sz w:val="48"/>
          <w:szCs w:val="48"/>
        </w:rPr>
        <w:t>Land Use Plan</w:t>
      </w:r>
    </w:p>
    <w:p w14:paraId="45503092" w14:textId="362D0F35" w:rsidR="005D4380" w:rsidRPr="006C7B74" w:rsidRDefault="005D4380" w:rsidP="00196F12">
      <w:pPr>
        <w:pStyle w:val="Heading2-Contenttable"/>
      </w:pPr>
      <w:r w:rsidRPr="006C7B74">
        <w:t xml:space="preserve">Produced by the Department of </w:t>
      </w:r>
      <w:r w:rsidR="00692C63" w:rsidRPr="006C7B74">
        <w:t xml:space="preserve">Environment, </w:t>
      </w:r>
      <w:r w:rsidRPr="006C7B74">
        <w:t>Land, Water and Planning</w:t>
      </w:r>
    </w:p>
    <w:p w14:paraId="3FA962CB" w14:textId="73CEBAD4" w:rsidR="005D4380" w:rsidRPr="006C7B74" w:rsidRDefault="005D4380" w:rsidP="005D4380">
      <w:pPr>
        <w:pStyle w:val="BodyText"/>
      </w:pPr>
    </w:p>
    <w:p w14:paraId="0680C2F5" w14:textId="09B21022" w:rsidR="00F94F4E" w:rsidRPr="006C7B74" w:rsidRDefault="00F94F4E" w:rsidP="005D4380">
      <w:pPr>
        <w:spacing w:after="120"/>
        <w:jc w:val="both"/>
        <w:rPr>
          <w:rStyle w:val="Strong"/>
          <w:rFonts w:cstheme="minorHAnsi"/>
        </w:rPr>
      </w:pPr>
      <w:r w:rsidRPr="006C7B74">
        <w:rPr>
          <w:rStyle w:val="Strong"/>
          <w:rFonts w:cstheme="minorHAnsi"/>
        </w:rPr>
        <w:br w:type="page"/>
      </w:r>
    </w:p>
    <w:p w14:paraId="74E336AF" w14:textId="6BC375D4" w:rsidR="007244FA" w:rsidRPr="006C7B74" w:rsidRDefault="007244FA" w:rsidP="00196F12">
      <w:pPr>
        <w:pStyle w:val="Heading3"/>
        <w:rPr>
          <w:rStyle w:val="Strong"/>
          <w:rFonts w:cstheme="minorHAnsi"/>
        </w:rPr>
      </w:pPr>
      <w:r w:rsidRPr="006C7B74">
        <w:rPr>
          <w:rStyle w:val="Strong"/>
          <w:rFonts w:cstheme="minorHAnsi"/>
        </w:rPr>
        <w:lastRenderedPageBreak/>
        <w:t>Acronyms use</w:t>
      </w:r>
      <w:r w:rsidR="00ED4691" w:rsidRPr="006C7B74">
        <w:rPr>
          <w:rStyle w:val="Strong"/>
          <w:rFonts w:cstheme="minorHAnsi"/>
        </w:rPr>
        <w:t>d</w:t>
      </w:r>
      <w:r w:rsidRPr="006C7B74">
        <w:rPr>
          <w:rStyle w:val="Strong"/>
          <w:rFonts w:cstheme="minorHAnsi"/>
        </w:rPr>
        <w:t xml:space="preserve"> in this report</w:t>
      </w:r>
    </w:p>
    <w:p w14:paraId="4BB5C9D7" w14:textId="77777777" w:rsidR="007244FA" w:rsidRPr="006C7B74" w:rsidRDefault="007244FA" w:rsidP="007244FA">
      <w:pPr>
        <w:spacing w:after="120"/>
        <w:rPr>
          <w:rFonts w:cstheme="minorHAnsi"/>
          <w:color w:val="auto"/>
          <w:sz w:val="20"/>
          <w:szCs w:val="20"/>
        </w:rPr>
      </w:pPr>
    </w:p>
    <w:p w14:paraId="2F0DBC62" w14:textId="77777777" w:rsidR="005D4380" w:rsidRPr="006C7B74" w:rsidRDefault="005D4380" w:rsidP="005D4380">
      <w:pPr>
        <w:spacing w:after="120"/>
        <w:rPr>
          <w:rFonts w:asciiTheme="majorHAnsi" w:hAnsiTheme="majorHAnsi" w:cstheme="majorHAnsi"/>
          <w:b/>
          <w:color w:val="auto"/>
          <w:sz w:val="18"/>
          <w:szCs w:val="18"/>
        </w:rPr>
      </w:pPr>
      <w:r w:rsidRPr="006C7B74">
        <w:rPr>
          <w:rFonts w:asciiTheme="majorHAnsi" w:hAnsiTheme="majorHAnsi" w:cstheme="majorHAnsi"/>
          <w:b/>
          <w:color w:val="auto"/>
          <w:sz w:val="18"/>
          <w:szCs w:val="18"/>
        </w:rPr>
        <w:t xml:space="preserve">ABS </w:t>
      </w:r>
      <w:r w:rsidRPr="006C7B74">
        <w:rPr>
          <w:rFonts w:asciiTheme="majorHAnsi" w:hAnsiTheme="majorHAnsi" w:cstheme="majorHAnsi"/>
          <w:color w:val="auto"/>
          <w:sz w:val="18"/>
          <w:szCs w:val="18"/>
        </w:rPr>
        <w:t>Australian Bureau of Statistics</w:t>
      </w:r>
    </w:p>
    <w:p w14:paraId="3D00C2DC" w14:textId="77777777" w:rsidR="005D4380" w:rsidRPr="006C7B74" w:rsidRDefault="005D4380" w:rsidP="005D4380">
      <w:pPr>
        <w:spacing w:after="120"/>
        <w:rPr>
          <w:rFonts w:asciiTheme="majorHAnsi" w:hAnsiTheme="majorHAnsi" w:cstheme="majorHAnsi"/>
          <w:color w:val="auto"/>
          <w:sz w:val="18"/>
          <w:szCs w:val="18"/>
        </w:rPr>
      </w:pPr>
      <w:r w:rsidRPr="006C7B74">
        <w:rPr>
          <w:rFonts w:asciiTheme="majorHAnsi" w:hAnsiTheme="majorHAnsi" w:cstheme="majorHAnsi"/>
          <w:b/>
          <w:color w:val="auto"/>
          <w:sz w:val="18"/>
          <w:szCs w:val="18"/>
        </w:rPr>
        <w:t xml:space="preserve">BIFT </w:t>
      </w:r>
      <w:r w:rsidRPr="006C7B74">
        <w:rPr>
          <w:rFonts w:asciiTheme="majorHAnsi" w:hAnsiTheme="majorHAnsi" w:cstheme="majorHAnsi"/>
          <w:color w:val="auto"/>
          <w:sz w:val="18"/>
          <w:szCs w:val="18"/>
        </w:rPr>
        <w:t>Beveridge Interstate Freight Terminal</w:t>
      </w:r>
    </w:p>
    <w:p w14:paraId="614041CB" w14:textId="77777777" w:rsidR="005D4380" w:rsidRPr="006C7B74" w:rsidRDefault="005D4380" w:rsidP="005D4380">
      <w:pPr>
        <w:spacing w:after="120"/>
        <w:rPr>
          <w:rFonts w:asciiTheme="majorHAnsi" w:hAnsiTheme="majorHAnsi" w:cstheme="majorHAnsi"/>
          <w:b/>
          <w:color w:val="auto"/>
          <w:sz w:val="18"/>
          <w:szCs w:val="18"/>
        </w:rPr>
      </w:pPr>
      <w:r w:rsidRPr="006C7B74">
        <w:rPr>
          <w:rFonts w:asciiTheme="majorHAnsi" w:hAnsiTheme="majorHAnsi" w:cstheme="majorHAnsi"/>
          <w:b/>
          <w:color w:val="auto"/>
          <w:sz w:val="18"/>
          <w:szCs w:val="18"/>
        </w:rPr>
        <w:t xml:space="preserve">CBD </w:t>
      </w:r>
      <w:r w:rsidRPr="006C7B74">
        <w:rPr>
          <w:rFonts w:asciiTheme="majorHAnsi" w:hAnsiTheme="majorHAnsi" w:cstheme="majorHAnsi"/>
          <w:color w:val="auto"/>
          <w:sz w:val="18"/>
          <w:szCs w:val="18"/>
        </w:rPr>
        <w:t>Central Business District</w:t>
      </w:r>
    </w:p>
    <w:p w14:paraId="7928FAB5" w14:textId="77777777" w:rsidR="005D4380" w:rsidRPr="006C7B74" w:rsidRDefault="005D4380" w:rsidP="005D4380">
      <w:pPr>
        <w:spacing w:after="120"/>
        <w:rPr>
          <w:rFonts w:asciiTheme="majorHAnsi" w:hAnsiTheme="majorHAnsi" w:cstheme="majorHAnsi"/>
          <w:color w:val="auto"/>
          <w:sz w:val="18"/>
          <w:szCs w:val="18"/>
        </w:rPr>
      </w:pPr>
      <w:r w:rsidRPr="006C7B74">
        <w:rPr>
          <w:rFonts w:asciiTheme="majorHAnsi" w:hAnsiTheme="majorHAnsi" w:cstheme="majorHAnsi"/>
          <w:b/>
          <w:color w:val="auto"/>
          <w:sz w:val="18"/>
          <w:szCs w:val="18"/>
        </w:rPr>
        <w:t xml:space="preserve">GRP </w:t>
      </w:r>
      <w:r w:rsidRPr="006C7B74">
        <w:rPr>
          <w:rFonts w:asciiTheme="majorHAnsi" w:hAnsiTheme="majorHAnsi" w:cstheme="majorHAnsi"/>
          <w:color w:val="auto"/>
          <w:sz w:val="18"/>
          <w:szCs w:val="18"/>
        </w:rPr>
        <w:t>Gross Regional Product</w:t>
      </w:r>
    </w:p>
    <w:p w14:paraId="3426FC86" w14:textId="77777777" w:rsidR="005D4380" w:rsidRPr="006C7B74" w:rsidRDefault="005D4380" w:rsidP="005D4380">
      <w:pPr>
        <w:spacing w:after="120"/>
        <w:rPr>
          <w:rFonts w:asciiTheme="majorHAnsi" w:hAnsiTheme="majorHAnsi" w:cstheme="majorHAnsi"/>
          <w:color w:val="auto"/>
          <w:sz w:val="18"/>
          <w:szCs w:val="18"/>
        </w:rPr>
      </w:pPr>
      <w:r w:rsidRPr="006C7B74">
        <w:rPr>
          <w:rFonts w:asciiTheme="majorHAnsi" w:hAnsiTheme="majorHAnsi" w:cstheme="majorHAnsi"/>
          <w:b/>
          <w:color w:val="auto"/>
          <w:sz w:val="18"/>
          <w:szCs w:val="18"/>
        </w:rPr>
        <w:t xml:space="preserve">GSP </w:t>
      </w:r>
      <w:r w:rsidRPr="006C7B74">
        <w:rPr>
          <w:rFonts w:asciiTheme="majorHAnsi" w:hAnsiTheme="majorHAnsi" w:cstheme="majorHAnsi"/>
          <w:color w:val="auto"/>
          <w:sz w:val="18"/>
          <w:szCs w:val="18"/>
        </w:rPr>
        <w:t>Gross State Product</w:t>
      </w:r>
    </w:p>
    <w:p w14:paraId="56B26371" w14:textId="77777777" w:rsidR="005D4380" w:rsidRPr="006C7B74" w:rsidRDefault="005D4380" w:rsidP="005D4380">
      <w:pPr>
        <w:spacing w:after="120"/>
        <w:rPr>
          <w:rFonts w:asciiTheme="majorHAnsi" w:hAnsiTheme="majorHAnsi" w:cstheme="majorHAnsi"/>
          <w:color w:val="auto"/>
          <w:sz w:val="18"/>
          <w:szCs w:val="18"/>
        </w:rPr>
      </w:pPr>
      <w:r w:rsidRPr="006C7B74">
        <w:rPr>
          <w:rFonts w:asciiTheme="majorHAnsi" w:hAnsiTheme="majorHAnsi" w:cstheme="majorHAnsi"/>
          <w:b/>
          <w:color w:val="auto"/>
          <w:sz w:val="18"/>
          <w:szCs w:val="18"/>
        </w:rPr>
        <w:t xml:space="preserve">NEICs </w:t>
      </w:r>
      <w:r w:rsidRPr="006C7B74">
        <w:rPr>
          <w:rFonts w:asciiTheme="majorHAnsi" w:hAnsiTheme="majorHAnsi" w:cstheme="majorHAnsi"/>
          <w:color w:val="auto"/>
          <w:sz w:val="18"/>
          <w:szCs w:val="18"/>
        </w:rPr>
        <w:t>National Employment and Innovation Clusters</w:t>
      </w:r>
    </w:p>
    <w:p w14:paraId="149DB9D3" w14:textId="77777777" w:rsidR="005D4380" w:rsidRPr="006C7B74" w:rsidRDefault="005D4380" w:rsidP="005D4380">
      <w:pPr>
        <w:spacing w:after="120"/>
        <w:rPr>
          <w:rFonts w:asciiTheme="majorHAnsi" w:hAnsiTheme="majorHAnsi" w:cstheme="majorHAnsi"/>
          <w:b/>
          <w:color w:val="auto"/>
          <w:sz w:val="18"/>
          <w:szCs w:val="18"/>
        </w:rPr>
      </w:pPr>
      <w:r w:rsidRPr="006C7B74">
        <w:rPr>
          <w:rFonts w:asciiTheme="majorHAnsi" w:hAnsiTheme="majorHAnsi" w:cstheme="majorHAnsi"/>
          <w:b/>
          <w:color w:val="auto"/>
          <w:sz w:val="18"/>
          <w:szCs w:val="18"/>
        </w:rPr>
        <w:t xml:space="preserve">OMR </w:t>
      </w:r>
      <w:r w:rsidRPr="006C7B74">
        <w:rPr>
          <w:rFonts w:asciiTheme="majorHAnsi" w:hAnsiTheme="majorHAnsi" w:cstheme="majorHAnsi"/>
          <w:color w:val="auto"/>
          <w:sz w:val="18"/>
          <w:szCs w:val="18"/>
        </w:rPr>
        <w:t>Outer Metropolitan Ring / E6 Transport Corridor</w:t>
      </w:r>
    </w:p>
    <w:p w14:paraId="01EE89FB" w14:textId="77777777" w:rsidR="005D4380" w:rsidRPr="006C7B74" w:rsidRDefault="005D4380" w:rsidP="005D4380">
      <w:pPr>
        <w:spacing w:after="120"/>
        <w:rPr>
          <w:rFonts w:asciiTheme="majorHAnsi" w:hAnsiTheme="majorHAnsi" w:cstheme="majorHAnsi"/>
          <w:color w:val="auto"/>
          <w:sz w:val="18"/>
          <w:szCs w:val="18"/>
        </w:rPr>
      </w:pPr>
      <w:r w:rsidRPr="006C7B74">
        <w:rPr>
          <w:rFonts w:asciiTheme="majorHAnsi" w:hAnsiTheme="majorHAnsi" w:cstheme="majorHAnsi"/>
          <w:b/>
          <w:color w:val="auto"/>
          <w:sz w:val="18"/>
          <w:szCs w:val="18"/>
        </w:rPr>
        <w:t xml:space="preserve">PFN </w:t>
      </w:r>
      <w:r w:rsidRPr="006C7B74">
        <w:rPr>
          <w:rFonts w:asciiTheme="majorHAnsi" w:hAnsiTheme="majorHAnsi" w:cstheme="majorHAnsi"/>
          <w:color w:val="auto"/>
          <w:sz w:val="18"/>
          <w:szCs w:val="18"/>
        </w:rPr>
        <w:t>Principal Freight Network</w:t>
      </w:r>
    </w:p>
    <w:p w14:paraId="373009BF" w14:textId="77777777" w:rsidR="005D4380" w:rsidRPr="006C7B74" w:rsidRDefault="005D4380" w:rsidP="005D4380">
      <w:pPr>
        <w:spacing w:after="120"/>
        <w:rPr>
          <w:rFonts w:asciiTheme="majorHAnsi" w:hAnsiTheme="majorHAnsi" w:cstheme="majorHAnsi"/>
          <w:color w:val="auto"/>
          <w:sz w:val="18"/>
          <w:szCs w:val="18"/>
        </w:rPr>
      </w:pPr>
      <w:r w:rsidRPr="006C7B74">
        <w:rPr>
          <w:rFonts w:asciiTheme="majorHAnsi" w:hAnsiTheme="majorHAnsi" w:cstheme="majorHAnsi"/>
          <w:b/>
          <w:color w:val="auto"/>
          <w:sz w:val="18"/>
          <w:szCs w:val="18"/>
        </w:rPr>
        <w:t xml:space="preserve">PSPs </w:t>
      </w:r>
      <w:r w:rsidRPr="006C7B74">
        <w:rPr>
          <w:rFonts w:asciiTheme="majorHAnsi" w:hAnsiTheme="majorHAnsi" w:cstheme="majorHAnsi"/>
          <w:color w:val="auto"/>
          <w:sz w:val="18"/>
          <w:szCs w:val="18"/>
        </w:rPr>
        <w:t>Precinct Structure Plans</w:t>
      </w:r>
    </w:p>
    <w:p w14:paraId="48F2BAA2" w14:textId="77777777" w:rsidR="005D4380" w:rsidRPr="006C7B74" w:rsidRDefault="005D4380" w:rsidP="005D4380">
      <w:pPr>
        <w:spacing w:after="120"/>
        <w:rPr>
          <w:rFonts w:asciiTheme="majorHAnsi" w:hAnsiTheme="majorHAnsi" w:cstheme="majorHAnsi"/>
          <w:color w:val="auto"/>
          <w:sz w:val="18"/>
          <w:szCs w:val="18"/>
        </w:rPr>
      </w:pPr>
      <w:r w:rsidRPr="006C7B74">
        <w:rPr>
          <w:rFonts w:asciiTheme="majorHAnsi" w:hAnsiTheme="majorHAnsi" w:cstheme="majorHAnsi"/>
          <w:b/>
          <w:color w:val="auto"/>
          <w:sz w:val="18"/>
          <w:szCs w:val="18"/>
        </w:rPr>
        <w:t xml:space="preserve">SSIPs </w:t>
      </w:r>
      <w:r w:rsidRPr="006C7B74">
        <w:rPr>
          <w:rFonts w:asciiTheme="majorHAnsi" w:hAnsiTheme="majorHAnsi" w:cstheme="majorHAnsi"/>
          <w:color w:val="auto"/>
          <w:sz w:val="18"/>
          <w:szCs w:val="18"/>
        </w:rPr>
        <w:t>State-Significant Industrial Precincts</w:t>
      </w:r>
    </w:p>
    <w:p w14:paraId="22EEA5F4" w14:textId="77777777" w:rsidR="005D4380" w:rsidRPr="006C7B74" w:rsidRDefault="005D4380" w:rsidP="005D4380">
      <w:pPr>
        <w:spacing w:after="120"/>
        <w:rPr>
          <w:rFonts w:asciiTheme="majorHAnsi" w:hAnsiTheme="majorHAnsi" w:cstheme="majorHAnsi"/>
          <w:color w:val="auto"/>
          <w:sz w:val="18"/>
          <w:szCs w:val="18"/>
        </w:rPr>
      </w:pPr>
      <w:r w:rsidRPr="006C7B74">
        <w:rPr>
          <w:rFonts w:asciiTheme="majorHAnsi" w:hAnsiTheme="majorHAnsi" w:cstheme="majorHAnsi"/>
          <w:b/>
          <w:color w:val="auto"/>
          <w:sz w:val="18"/>
          <w:szCs w:val="18"/>
        </w:rPr>
        <w:t xml:space="preserve">UDP </w:t>
      </w:r>
      <w:r w:rsidRPr="006C7B74">
        <w:rPr>
          <w:rFonts w:asciiTheme="majorHAnsi" w:hAnsiTheme="majorHAnsi" w:cstheme="majorHAnsi"/>
          <w:color w:val="auto"/>
          <w:sz w:val="18"/>
          <w:szCs w:val="18"/>
        </w:rPr>
        <w:t>Urban Development Program</w:t>
      </w:r>
    </w:p>
    <w:p w14:paraId="386157F5" w14:textId="77777777" w:rsidR="005D4380" w:rsidRPr="006C7B74" w:rsidRDefault="005D4380" w:rsidP="005D4380">
      <w:pPr>
        <w:spacing w:after="120"/>
        <w:rPr>
          <w:rFonts w:asciiTheme="majorHAnsi" w:hAnsiTheme="majorHAnsi" w:cstheme="majorHAnsi"/>
          <w:b/>
          <w:color w:val="auto"/>
          <w:sz w:val="18"/>
          <w:szCs w:val="18"/>
        </w:rPr>
      </w:pPr>
      <w:r w:rsidRPr="006C7B74">
        <w:rPr>
          <w:rFonts w:asciiTheme="majorHAnsi" w:hAnsiTheme="majorHAnsi" w:cstheme="majorHAnsi"/>
          <w:b/>
          <w:color w:val="auto"/>
          <w:sz w:val="18"/>
          <w:szCs w:val="18"/>
        </w:rPr>
        <w:t xml:space="preserve">UGB </w:t>
      </w:r>
      <w:r w:rsidRPr="006C7B74">
        <w:rPr>
          <w:rFonts w:asciiTheme="majorHAnsi" w:hAnsiTheme="majorHAnsi" w:cstheme="majorHAnsi"/>
          <w:color w:val="auto"/>
          <w:sz w:val="18"/>
          <w:szCs w:val="18"/>
        </w:rPr>
        <w:t>Urban Growth Boundary</w:t>
      </w:r>
    </w:p>
    <w:p w14:paraId="6A3DFAEC" w14:textId="09783570" w:rsidR="007244FA" w:rsidRPr="006C7B74" w:rsidRDefault="005D4380" w:rsidP="005D4380">
      <w:pPr>
        <w:spacing w:after="120"/>
        <w:rPr>
          <w:rFonts w:cstheme="minorHAnsi"/>
          <w:color w:val="auto"/>
          <w:sz w:val="20"/>
          <w:szCs w:val="20"/>
        </w:rPr>
      </w:pPr>
      <w:r w:rsidRPr="006C7B74">
        <w:rPr>
          <w:rFonts w:asciiTheme="majorHAnsi" w:hAnsiTheme="majorHAnsi" w:cstheme="majorHAnsi"/>
          <w:b/>
          <w:color w:val="auto"/>
          <w:sz w:val="18"/>
          <w:szCs w:val="18"/>
        </w:rPr>
        <w:t xml:space="preserve">WIFT </w:t>
      </w:r>
      <w:r w:rsidRPr="006C7B74">
        <w:rPr>
          <w:rFonts w:asciiTheme="majorHAnsi" w:hAnsiTheme="majorHAnsi" w:cstheme="majorHAnsi"/>
          <w:color w:val="auto"/>
          <w:sz w:val="18"/>
          <w:szCs w:val="18"/>
        </w:rPr>
        <w:t>Western Interstate Freight Terminal</w:t>
      </w:r>
    </w:p>
    <w:p w14:paraId="66D02D50" w14:textId="77777777" w:rsidR="007244FA" w:rsidRPr="006C7B74" w:rsidRDefault="007244FA" w:rsidP="007244FA">
      <w:pPr>
        <w:rPr>
          <w:color w:val="auto"/>
        </w:rPr>
      </w:pPr>
    </w:p>
    <w:p w14:paraId="6A69B8CB" w14:textId="231DE624" w:rsidR="007244FA" w:rsidRPr="006C7B74" w:rsidRDefault="007244FA" w:rsidP="00934C4D">
      <w:pPr>
        <w:spacing w:after="120"/>
        <w:rPr>
          <w:rStyle w:val="Strong"/>
          <w:rFonts w:cstheme="minorHAnsi"/>
        </w:rPr>
      </w:pPr>
    </w:p>
    <w:p w14:paraId="4D12B431" w14:textId="55C21FEC" w:rsidR="007244FA" w:rsidRPr="006C7B74" w:rsidRDefault="007244FA" w:rsidP="00934C4D">
      <w:pPr>
        <w:spacing w:after="120"/>
        <w:rPr>
          <w:rStyle w:val="Strong"/>
          <w:rFonts w:cstheme="minorHAnsi"/>
        </w:rPr>
      </w:pPr>
    </w:p>
    <w:p w14:paraId="134F8165" w14:textId="6C23BF4E" w:rsidR="00811BA8" w:rsidRPr="006C7B74" w:rsidRDefault="00811BA8" w:rsidP="00934C4D">
      <w:pPr>
        <w:spacing w:after="120"/>
        <w:rPr>
          <w:rStyle w:val="Strong"/>
          <w:rFonts w:cstheme="minorHAnsi"/>
        </w:rPr>
      </w:pPr>
    </w:p>
    <w:p w14:paraId="326EF558" w14:textId="65C6FAEC" w:rsidR="00811BA8" w:rsidRPr="006C7B74" w:rsidRDefault="00811BA8" w:rsidP="00934C4D">
      <w:pPr>
        <w:spacing w:after="120"/>
        <w:rPr>
          <w:rStyle w:val="Strong"/>
          <w:rFonts w:cstheme="minorHAnsi"/>
        </w:rPr>
      </w:pPr>
    </w:p>
    <w:p w14:paraId="4A1FBBA6" w14:textId="0B15E3C4" w:rsidR="00264A9B" w:rsidRPr="006C7B74" w:rsidRDefault="00264A9B" w:rsidP="00196F12">
      <w:pPr>
        <w:pStyle w:val="BodyText"/>
      </w:pPr>
      <w:r w:rsidRPr="006C7B74">
        <w:t xml:space="preserve">© The State of Victoria Department of Environment, Land, Water and Planning </w:t>
      </w:r>
      <w:bookmarkStart w:id="0" w:name="_CreativeCommonsMarker"/>
      <w:bookmarkEnd w:id="0"/>
      <w:r w:rsidRPr="006C7B74">
        <w:t>20</w:t>
      </w:r>
      <w:r w:rsidR="00A960AB" w:rsidRPr="006C7B74">
        <w:t>20</w:t>
      </w:r>
    </w:p>
    <w:p w14:paraId="3E6EBCC6" w14:textId="77777777" w:rsidR="00264A9B" w:rsidRPr="006C7B74" w:rsidRDefault="00264A9B" w:rsidP="00196F12">
      <w:pPr>
        <w:pStyle w:val="BodyText"/>
      </w:pPr>
      <w:r w:rsidRPr="006C7B74">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14" w:history="1">
        <w:r w:rsidRPr="006C7B74">
          <w:t>http://creativecommons.org/licenses/by/4.0/</w:t>
        </w:r>
      </w:hyperlink>
      <w:r w:rsidRPr="006C7B74">
        <w:t xml:space="preserve"> </w:t>
      </w:r>
    </w:p>
    <w:p w14:paraId="1A97B5FF" w14:textId="2A6A2ACA" w:rsidR="00264A9B" w:rsidRPr="006C7B74" w:rsidRDefault="00264A9B" w:rsidP="00264A9B">
      <w:pPr>
        <w:pStyle w:val="xDisclaimertext3"/>
      </w:pPr>
    </w:p>
    <w:p w14:paraId="4C6CC094" w14:textId="263A2FDB" w:rsidR="006C1030" w:rsidRPr="006C7B74" w:rsidRDefault="00AB15A6" w:rsidP="00196F12">
      <w:pPr>
        <w:pStyle w:val="BodyText"/>
      </w:pPr>
      <w:r w:rsidRPr="006C7B74">
        <w:t>ISBN 978-1-76105-122-7 (pdf/online/MS word)</w:t>
      </w:r>
    </w:p>
    <w:p w14:paraId="492DA724" w14:textId="77777777" w:rsidR="006C1030" w:rsidRPr="006C7B74" w:rsidRDefault="006C1030" w:rsidP="00196F12">
      <w:pPr>
        <w:pStyle w:val="BodyText"/>
      </w:pPr>
    </w:p>
    <w:p w14:paraId="1676B396" w14:textId="77777777" w:rsidR="00264A9B" w:rsidRPr="006C7B74" w:rsidRDefault="00264A9B" w:rsidP="00196F12">
      <w:pPr>
        <w:pStyle w:val="Heading4"/>
      </w:pPr>
      <w:r w:rsidRPr="006C7B74">
        <w:t>Disclaimer</w:t>
      </w:r>
    </w:p>
    <w:p w14:paraId="62D431BF" w14:textId="77777777" w:rsidR="00264A9B" w:rsidRPr="006C7B74" w:rsidRDefault="00264A9B" w:rsidP="00196F12">
      <w:pPr>
        <w:pStyle w:val="BodyText"/>
      </w:pPr>
      <w:r w:rsidRPr="006C7B74">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01854555" w14:textId="77777777" w:rsidR="00264A9B" w:rsidRPr="00357E88" w:rsidRDefault="00264A9B" w:rsidP="00357E88">
      <w:pPr>
        <w:pStyle w:val="Heading4"/>
      </w:pPr>
      <w:r w:rsidRPr="00357E88">
        <w:t>Accessibility</w:t>
      </w:r>
    </w:p>
    <w:p w14:paraId="70C1724B" w14:textId="77777777" w:rsidR="00264A9B" w:rsidRPr="006C7B74" w:rsidRDefault="00264A9B" w:rsidP="00196F12">
      <w:pPr>
        <w:pStyle w:val="BodyText"/>
        <w:rPr>
          <w:rStyle w:val="Strong"/>
        </w:rPr>
      </w:pPr>
      <w:r w:rsidRPr="006C7B74">
        <w:t>If you would like to receive this publication in an alternative format, please telephone the DELWP Customer Service Centre on 136186, email </w:t>
      </w:r>
      <w:hyperlink r:id="rId15" w:history="1">
        <w:r w:rsidRPr="006C7B74">
          <w:t>customer.service@delwp.vic.gov.au</w:t>
        </w:r>
      </w:hyperlink>
      <w:r w:rsidRPr="006C7B74">
        <w:t xml:space="preserve">, or via the National Relay Service on 133 677 </w:t>
      </w:r>
      <w:hyperlink r:id="rId16" w:history="1">
        <w:r w:rsidRPr="006C7B74">
          <w:t>www.relayservice.com.au</w:t>
        </w:r>
      </w:hyperlink>
      <w:r w:rsidRPr="006C7B74">
        <w:t xml:space="preserve">. This document is also available on the internet at </w:t>
      </w:r>
      <w:hyperlink r:id="rId17" w:history="1">
        <w:r w:rsidRPr="006C7B74">
          <w:t>www.delwp.vic.gov.au</w:t>
        </w:r>
      </w:hyperlink>
      <w:r w:rsidRPr="006C7B74">
        <w:t>.</w:t>
      </w:r>
    </w:p>
    <w:p w14:paraId="1FF1A22C" w14:textId="77777777" w:rsidR="00CC1208" w:rsidRPr="006C7B74" w:rsidRDefault="00CC1208" w:rsidP="00934C4D">
      <w:pPr>
        <w:spacing w:after="120"/>
        <w:rPr>
          <w:rStyle w:val="Strong"/>
          <w:rFonts w:cstheme="minorHAnsi"/>
        </w:rPr>
      </w:pPr>
      <w:r w:rsidRPr="006C7B74">
        <w:rPr>
          <w:rStyle w:val="Strong"/>
          <w:rFonts w:cstheme="minorHAnsi"/>
        </w:rPr>
        <w:br w:type="page"/>
      </w:r>
    </w:p>
    <w:p w14:paraId="13E73D11" w14:textId="77777777" w:rsidR="002C31B4" w:rsidRPr="006C7B74" w:rsidRDefault="002C31B4" w:rsidP="00BF6B16">
      <w:pPr>
        <w:pStyle w:val="Heading1"/>
        <w:rPr>
          <w:rStyle w:val="Strong"/>
          <w:rFonts w:cstheme="minorHAnsi"/>
        </w:rPr>
      </w:pPr>
      <w:r w:rsidRPr="006C7B74">
        <w:rPr>
          <w:rStyle w:val="Strong"/>
          <w:rFonts w:cstheme="minorHAnsi"/>
        </w:rPr>
        <w:lastRenderedPageBreak/>
        <w:t>Table of contents</w:t>
      </w:r>
    </w:p>
    <w:p w14:paraId="291E68CE" w14:textId="77777777" w:rsidR="007A31AF" w:rsidRPr="006C7B74" w:rsidRDefault="007A31AF" w:rsidP="00934C4D">
      <w:pPr>
        <w:spacing w:after="120"/>
        <w:rPr>
          <w:rFonts w:cstheme="minorHAnsi"/>
        </w:rPr>
      </w:pPr>
    </w:p>
    <w:p w14:paraId="6758A4C8" w14:textId="08B286E8" w:rsidR="008F1310" w:rsidRPr="006C7B74" w:rsidRDefault="00082906">
      <w:pPr>
        <w:pStyle w:val="TOC1"/>
        <w:rPr>
          <w:rFonts w:eastAsiaTheme="minorEastAsia" w:cstheme="minorBidi"/>
          <w:noProof/>
          <w:szCs w:val="22"/>
          <w:lang w:eastAsia="en-AU"/>
        </w:rPr>
      </w:pPr>
      <w:r w:rsidRPr="006C7B74">
        <w:rPr>
          <w:rFonts w:cstheme="minorHAnsi"/>
          <w:sz w:val="20"/>
          <w:szCs w:val="20"/>
        </w:rPr>
        <w:fldChar w:fldCharType="begin"/>
      </w:r>
      <w:r w:rsidRPr="006C7B74">
        <w:rPr>
          <w:rFonts w:cstheme="minorHAnsi"/>
          <w:sz w:val="20"/>
          <w:szCs w:val="20"/>
        </w:rPr>
        <w:instrText xml:space="preserve"> TOC \o "1-2" </w:instrText>
      </w:r>
      <w:r w:rsidRPr="006C7B74">
        <w:rPr>
          <w:rFonts w:cstheme="minorHAnsi"/>
          <w:sz w:val="20"/>
          <w:szCs w:val="20"/>
        </w:rPr>
        <w:fldChar w:fldCharType="separate"/>
      </w:r>
      <w:r w:rsidR="008F1310" w:rsidRPr="006C7B74">
        <w:rPr>
          <w:noProof/>
        </w:rPr>
        <w:t>Executive Summary</w:t>
      </w:r>
      <w:r w:rsidR="008F1310" w:rsidRPr="006C7B74">
        <w:rPr>
          <w:noProof/>
        </w:rPr>
        <w:tab/>
      </w:r>
      <w:r w:rsidR="008F1310" w:rsidRPr="006C7B74">
        <w:rPr>
          <w:noProof/>
        </w:rPr>
        <w:fldChar w:fldCharType="begin"/>
      </w:r>
      <w:r w:rsidR="008F1310" w:rsidRPr="006C7B74">
        <w:rPr>
          <w:noProof/>
        </w:rPr>
        <w:instrText xml:space="preserve"> PAGEREF _Toc21694791 \h </w:instrText>
      </w:r>
      <w:r w:rsidR="008F1310" w:rsidRPr="006C7B74">
        <w:rPr>
          <w:noProof/>
        </w:rPr>
      </w:r>
      <w:r w:rsidR="008F1310" w:rsidRPr="006C7B74">
        <w:rPr>
          <w:noProof/>
        </w:rPr>
        <w:fldChar w:fldCharType="separate"/>
      </w:r>
      <w:r w:rsidR="00273BCA">
        <w:rPr>
          <w:noProof/>
        </w:rPr>
        <w:t>v</w:t>
      </w:r>
      <w:r w:rsidR="008F1310" w:rsidRPr="006C7B74">
        <w:rPr>
          <w:noProof/>
        </w:rPr>
        <w:fldChar w:fldCharType="end"/>
      </w:r>
    </w:p>
    <w:p w14:paraId="4EB682F8" w14:textId="15F8B695" w:rsidR="008F1310" w:rsidRPr="006C7B74" w:rsidRDefault="008F1310">
      <w:pPr>
        <w:pStyle w:val="TOC1"/>
        <w:rPr>
          <w:rFonts w:eastAsiaTheme="minorEastAsia" w:cstheme="minorBidi"/>
          <w:noProof/>
          <w:szCs w:val="22"/>
          <w:lang w:eastAsia="en-AU"/>
        </w:rPr>
      </w:pPr>
      <w:r w:rsidRPr="006C7B74">
        <w:rPr>
          <w:noProof/>
        </w:rPr>
        <w:t>Introduction</w:t>
      </w:r>
      <w:r w:rsidRPr="006C7B74">
        <w:rPr>
          <w:noProof/>
        </w:rPr>
        <w:tab/>
      </w:r>
      <w:r w:rsidRPr="006C7B74">
        <w:rPr>
          <w:noProof/>
        </w:rPr>
        <w:fldChar w:fldCharType="begin"/>
      </w:r>
      <w:r w:rsidRPr="006C7B74">
        <w:rPr>
          <w:noProof/>
        </w:rPr>
        <w:instrText xml:space="preserve"> PAGEREF _Toc21694792 \h </w:instrText>
      </w:r>
      <w:r w:rsidRPr="006C7B74">
        <w:rPr>
          <w:noProof/>
        </w:rPr>
      </w:r>
      <w:r w:rsidRPr="006C7B74">
        <w:rPr>
          <w:noProof/>
        </w:rPr>
        <w:fldChar w:fldCharType="separate"/>
      </w:r>
      <w:r w:rsidR="00273BCA">
        <w:rPr>
          <w:noProof/>
        </w:rPr>
        <w:t>1</w:t>
      </w:r>
      <w:r w:rsidRPr="006C7B74">
        <w:rPr>
          <w:noProof/>
        </w:rPr>
        <w:fldChar w:fldCharType="end"/>
      </w:r>
    </w:p>
    <w:p w14:paraId="4ACB36AA" w14:textId="56BCACBE" w:rsidR="008F1310" w:rsidRPr="006C7B74" w:rsidRDefault="008F1310">
      <w:pPr>
        <w:pStyle w:val="TOC1"/>
        <w:rPr>
          <w:rFonts w:eastAsiaTheme="minorEastAsia" w:cstheme="minorBidi"/>
          <w:noProof/>
          <w:szCs w:val="22"/>
          <w:lang w:eastAsia="en-AU"/>
        </w:rPr>
      </w:pPr>
      <w:r w:rsidRPr="006C7B74">
        <w:rPr>
          <w:noProof/>
        </w:rPr>
        <w:t>PART A: OVERVIEW OF INDUSTRIAL AND COMMERCIAL LAND ACROSS MELBOURNE</w:t>
      </w:r>
      <w:r w:rsidRPr="006C7B74">
        <w:rPr>
          <w:noProof/>
        </w:rPr>
        <w:tab/>
      </w:r>
      <w:r w:rsidRPr="006C7B74">
        <w:rPr>
          <w:noProof/>
        </w:rPr>
        <w:fldChar w:fldCharType="begin"/>
      </w:r>
      <w:r w:rsidRPr="006C7B74">
        <w:rPr>
          <w:noProof/>
        </w:rPr>
        <w:instrText xml:space="preserve"> PAGEREF _Toc21694793 \h </w:instrText>
      </w:r>
      <w:r w:rsidRPr="006C7B74">
        <w:rPr>
          <w:noProof/>
        </w:rPr>
      </w:r>
      <w:r w:rsidRPr="006C7B74">
        <w:rPr>
          <w:noProof/>
        </w:rPr>
        <w:fldChar w:fldCharType="separate"/>
      </w:r>
      <w:r w:rsidR="00273BCA">
        <w:rPr>
          <w:noProof/>
        </w:rPr>
        <w:t>3</w:t>
      </w:r>
      <w:r w:rsidRPr="006C7B74">
        <w:rPr>
          <w:noProof/>
        </w:rPr>
        <w:fldChar w:fldCharType="end"/>
      </w:r>
    </w:p>
    <w:p w14:paraId="70FCF80A" w14:textId="5405F6B9" w:rsidR="008F1310" w:rsidRPr="006C7B74" w:rsidRDefault="008F1310">
      <w:pPr>
        <w:pStyle w:val="TOC1"/>
        <w:rPr>
          <w:rFonts w:eastAsiaTheme="minorEastAsia" w:cstheme="minorBidi"/>
          <w:noProof/>
          <w:szCs w:val="22"/>
          <w:lang w:eastAsia="en-AU"/>
        </w:rPr>
      </w:pPr>
      <w:r w:rsidRPr="006C7B74">
        <w:rPr>
          <w:noProof/>
        </w:rPr>
        <w:t>A changing economy</w:t>
      </w:r>
      <w:r w:rsidRPr="006C7B74">
        <w:rPr>
          <w:noProof/>
        </w:rPr>
        <w:tab/>
      </w:r>
      <w:r w:rsidRPr="006C7B74">
        <w:rPr>
          <w:noProof/>
        </w:rPr>
        <w:fldChar w:fldCharType="begin"/>
      </w:r>
      <w:r w:rsidRPr="006C7B74">
        <w:rPr>
          <w:noProof/>
        </w:rPr>
        <w:instrText xml:space="preserve"> PAGEREF _Toc21694794 \h </w:instrText>
      </w:r>
      <w:r w:rsidRPr="006C7B74">
        <w:rPr>
          <w:noProof/>
        </w:rPr>
      </w:r>
      <w:r w:rsidRPr="006C7B74">
        <w:rPr>
          <w:noProof/>
        </w:rPr>
        <w:fldChar w:fldCharType="separate"/>
      </w:r>
      <w:r w:rsidR="00273BCA">
        <w:rPr>
          <w:noProof/>
        </w:rPr>
        <w:t>4</w:t>
      </w:r>
      <w:r w:rsidRPr="006C7B74">
        <w:rPr>
          <w:noProof/>
        </w:rPr>
        <w:fldChar w:fldCharType="end"/>
      </w:r>
    </w:p>
    <w:p w14:paraId="33C48122" w14:textId="68F85EDF" w:rsidR="008F1310" w:rsidRPr="006C7B74" w:rsidRDefault="008F1310">
      <w:pPr>
        <w:pStyle w:val="TOC2"/>
        <w:tabs>
          <w:tab w:val="right" w:leader="dot" w:pos="9010"/>
        </w:tabs>
        <w:rPr>
          <w:rFonts w:eastAsiaTheme="minorEastAsia" w:cstheme="minorBidi"/>
          <w:noProof/>
          <w:szCs w:val="22"/>
          <w:lang w:eastAsia="en-AU"/>
        </w:rPr>
      </w:pPr>
      <w:r w:rsidRPr="006C7B74">
        <w:rPr>
          <w:noProof/>
        </w:rPr>
        <w:t>Victoria and Melbourne’s economy, industry structure and workforce</w:t>
      </w:r>
      <w:r w:rsidRPr="006C7B74">
        <w:rPr>
          <w:noProof/>
        </w:rPr>
        <w:tab/>
      </w:r>
      <w:r w:rsidRPr="006C7B74">
        <w:rPr>
          <w:noProof/>
        </w:rPr>
        <w:fldChar w:fldCharType="begin"/>
      </w:r>
      <w:r w:rsidRPr="006C7B74">
        <w:rPr>
          <w:noProof/>
        </w:rPr>
        <w:instrText xml:space="preserve"> PAGEREF _Toc21694795 \h </w:instrText>
      </w:r>
      <w:r w:rsidRPr="006C7B74">
        <w:rPr>
          <w:noProof/>
        </w:rPr>
      </w:r>
      <w:r w:rsidRPr="006C7B74">
        <w:rPr>
          <w:noProof/>
        </w:rPr>
        <w:fldChar w:fldCharType="separate"/>
      </w:r>
      <w:r w:rsidR="00273BCA">
        <w:rPr>
          <w:noProof/>
        </w:rPr>
        <w:t>4</w:t>
      </w:r>
      <w:r w:rsidRPr="006C7B74">
        <w:rPr>
          <w:noProof/>
        </w:rPr>
        <w:fldChar w:fldCharType="end"/>
      </w:r>
    </w:p>
    <w:p w14:paraId="149AC59A" w14:textId="489AC3E5" w:rsidR="008F1310" w:rsidRPr="006C7B74" w:rsidRDefault="008F1310">
      <w:pPr>
        <w:pStyle w:val="TOC2"/>
        <w:tabs>
          <w:tab w:val="right" w:leader="dot" w:pos="9010"/>
        </w:tabs>
        <w:rPr>
          <w:rFonts w:eastAsiaTheme="minorEastAsia" w:cstheme="minorBidi"/>
          <w:noProof/>
          <w:szCs w:val="22"/>
          <w:lang w:eastAsia="en-AU"/>
        </w:rPr>
      </w:pPr>
      <w:r w:rsidRPr="006C7B74">
        <w:rPr>
          <w:noProof/>
        </w:rPr>
        <w:t>Key factors that will change the future of work</w:t>
      </w:r>
      <w:r w:rsidRPr="006C7B74">
        <w:rPr>
          <w:noProof/>
        </w:rPr>
        <w:tab/>
      </w:r>
      <w:r w:rsidRPr="006C7B74">
        <w:rPr>
          <w:noProof/>
        </w:rPr>
        <w:fldChar w:fldCharType="begin"/>
      </w:r>
      <w:r w:rsidRPr="006C7B74">
        <w:rPr>
          <w:noProof/>
        </w:rPr>
        <w:instrText xml:space="preserve"> PAGEREF _Toc21694796 \h </w:instrText>
      </w:r>
      <w:r w:rsidRPr="006C7B74">
        <w:rPr>
          <w:noProof/>
        </w:rPr>
      </w:r>
      <w:r w:rsidRPr="006C7B74">
        <w:rPr>
          <w:noProof/>
        </w:rPr>
        <w:fldChar w:fldCharType="separate"/>
      </w:r>
      <w:r w:rsidR="00273BCA">
        <w:rPr>
          <w:noProof/>
        </w:rPr>
        <w:t>8</w:t>
      </w:r>
      <w:r w:rsidRPr="006C7B74">
        <w:rPr>
          <w:noProof/>
        </w:rPr>
        <w:fldChar w:fldCharType="end"/>
      </w:r>
    </w:p>
    <w:p w14:paraId="109B6D08" w14:textId="3C127E52" w:rsidR="008F1310" w:rsidRPr="006C7B74" w:rsidRDefault="008F1310">
      <w:pPr>
        <w:pStyle w:val="TOC1"/>
        <w:rPr>
          <w:rFonts w:eastAsiaTheme="minorEastAsia" w:cstheme="minorBidi"/>
          <w:noProof/>
          <w:szCs w:val="22"/>
          <w:lang w:eastAsia="en-AU"/>
        </w:rPr>
      </w:pPr>
      <w:r w:rsidRPr="006C7B74">
        <w:rPr>
          <w:noProof/>
        </w:rPr>
        <w:t>Supporting Melbourne and Victoria’s economic growth and development</w:t>
      </w:r>
      <w:r w:rsidRPr="006C7B74">
        <w:rPr>
          <w:noProof/>
        </w:rPr>
        <w:tab/>
      </w:r>
      <w:r w:rsidRPr="006C7B74">
        <w:rPr>
          <w:noProof/>
        </w:rPr>
        <w:fldChar w:fldCharType="begin"/>
      </w:r>
      <w:r w:rsidRPr="006C7B74">
        <w:rPr>
          <w:noProof/>
        </w:rPr>
        <w:instrText xml:space="preserve"> PAGEREF _Toc21694797 \h </w:instrText>
      </w:r>
      <w:r w:rsidRPr="006C7B74">
        <w:rPr>
          <w:noProof/>
        </w:rPr>
      </w:r>
      <w:r w:rsidRPr="006C7B74">
        <w:rPr>
          <w:noProof/>
        </w:rPr>
        <w:fldChar w:fldCharType="separate"/>
      </w:r>
      <w:r w:rsidR="00273BCA">
        <w:rPr>
          <w:noProof/>
        </w:rPr>
        <w:t>9</w:t>
      </w:r>
      <w:r w:rsidRPr="006C7B74">
        <w:rPr>
          <w:noProof/>
        </w:rPr>
        <w:fldChar w:fldCharType="end"/>
      </w:r>
    </w:p>
    <w:p w14:paraId="35B27558" w14:textId="00B6262B" w:rsidR="008F1310" w:rsidRPr="006C7B74" w:rsidRDefault="008F1310">
      <w:pPr>
        <w:pStyle w:val="TOC2"/>
        <w:tabs>
          <w:tab w:val="right" w:leader="dot" w:pos="9010"/>
        </w:tabs>
        <w:rPr>
          <w:rFonts w:eastAsiaTheme="minorEastAsia" w:cstheme="minorBidi"/>
          <w:noProof/>
          <w:szCs w:val="22"/>
          <w:lang w:eastAsia="en-AU"/>
        </w:rPr>
      </w:pPr>
      <w:r w:rsidRPr="006C7B74">
        <w:rPr>
          <w:noProof/>
        </w:rPr>
        <w:t>Industry sector strategies</w:t>
      </w:r>
      <w:r w:rsidRPr="006C7B74">
        <w:rPr>
          <w:noProof/>
        </w:rPr>
        <w:tab/>
      </w:r>
      <w:r w:rsidRPr="006C7B74">
        <w:rPr>
          <w:noProof/>
        </w:rPr>
        <w:fldChar w:fldCharType="begin"/>
      </w:r>
      <w:r w:rsidRPr="006C7B74">
        <w:rPr>
          <w:noProof/>
        </w:rPr>
        <w:instrText xml:space="preserve"> PAGEREF _Toc21694798 \h </w:instrText>
      </w:r>
      <w:r w:rsidRPr="006C7B74">
        <w:rPr>
          <w:noProof/>
        </w:rPr>
      </w:r>
      <w:r w:rsidRPr="006C7B74">
        <w:rPr>
          <w:noProof/>
        </w:rPr>
        <w:fldChar w:fldCharType="separate"/>
      </w:r>
      <w:r w:rsidR="00273BCA">
        <w:rPr>
          <w:noProof/>
        </w:rPr>
        <w:t>9</w:t>
      </w:r>
      <w:r w:rsidRPr="006C7B74">
        <w:rPr>
          <w:noProof/>
        </w:rPr>
        <w:fldChar w:fldCharType="end"/>
      </w:r>
    </w:p>
    <w:p w14:paraId="1A4C759B" w14:textId="286A3C3A" w:rsidR="008F1310" w:rsidRPr="006C7B74" w:rsidRDefault="008F1310">
      <w:pPr>
        <w:pStyle w:val="TOC2"/>
        <w:tabs>
          <w:tab w:val="right" w:leader="dot" w:pos="9010"/>
        </w:tabs>
        <w:rPr>
          <w:rFonts w:eastAsiaTheme="minorEastAsia" w:cstheme="minorBidi"/>
          <w:noProof/>
          <w:szCs w:val="22"/>
          <w:lang w:eastAsia="en-AU"/>
        </w:rPr>
      </w:pPr>
      <w:r w:rsidRPr="006C7B74">
        <w:rPr>
          <w:noProof/>
        </w:rPr>
        <w:t>Freight and logistics</w:t>
      </w:r>
      <w:r w:rsidRPr="006C7B74">
        <w:rPr>
          <w:noProof/>
        </w:rPr>
        <w:tab/>
      </w:r>
      <w:r w:rsidRPr="006C7B74">
        <w:rPr>
          <w:noProof/>
        </w:rPr>
        <w:fldChar w:fldCharType="begin"/>
      </w:r>
      <w:r w:rsidRPr="006C7B74">
        <w:rPr>
          <w:noProof/>
        </w:rPr>
        <w:instrText xml:space="preserve"> PAGEREF _Toc21694799 \h </w:instrText>
      </w:r>
      <w:r w:rsidRPr="006C7B74">
        <w:rPr>
          <w:noProof/>
        </w:rPr>
      </w:r>
      <w:r w:rsidRPr="006C7B74">
        <w:rPr>
          <w:noProof/>
        </w:rPr>
        <w:fldChar w:fldCharType="separate"/>
      </w:r>
      <w:r w:rsidR="00273BCA">
        <w:rPr>
          <w:noProof/>
        </w:rPr>
        <w:t>11</w:t>
      </w:r>
      <w:r w:rsidRPr="006C7B74">
        <w:rPr>
          <w:noProof/>
        </w:rPr>
        <w:fldChar w:fldCharType="end"/>
      </w:r>
    </w:p>
    <w:p w14:paraId="02487D79" w14:textId="0FC9F620" w:rsidR="008F1310" w:rsidRPr="006C7B74" w:rsidRDefault="008F1310">
      <w:pPr>
        <w:pStyle w:val="TOC2"/>
        <w:tabs>
          <w:tab w:val="right" w:leader="dot" w:pos="9010"/>
        </w:tabs>
        <w:rPr>
          <w:rFonts w:eastAsiaTheme="minorEastAsia" w:cstheme="minorBidi"/>
          <w:noProof/>
          <w:szCs w:val="22"/>
          <w:lang w:eastAsia="en-AU"/>
        </w:rPr>
      </w:pPr>
      <w:r w:rsidRPr="006C7B74">
        <w:rPr>
          <w:noProof/>
        </w:rPr>
        <w:t>Enhanced rail and road networks</w:t>
      </w:r>
      <w:r w:rsidRPr="006C7B74">
        <w:rPr>
          <w:noProof/>
        </w:rPr>
        <w:tab/>
      </w:r>
      <w:r w:rsidRPr="006C7B74">
        <w:rPr>
          <w:noProof/>
        </w:rPr>
        <w:fldChar w:fldCharType="begin"/>
      </w:r>
      <w:r w:rsidRPr="006C7B74">
        <w:rPr>
          <w:noProof/>
        </w:rPr>
        <w:instrText xml:space="preserve"> PAGEREF _Toc21694800 \h </w:instrText>
      </w:r>
      <w:r w:rsidRPr="006C7B74">
        <w:rPr>
          <w:noProof/>
        </w:rPr>
      </w:r>
      <w:r w:rsidRPr="006C7B74">
        <w:rPr>
          <w:noProof/>
        </w:rPr>
        <w:fldChar w:fldCharType="separate"/>
      </w:r>
      <w:r w:rsidR="00273BCA">
        <w:rPr>
          <w:noProof/>
        </w:rPr>
        <w:t>12</w:t>
      </w:r>
      <w:r w:rsidRPr="006C7B74">
        <w:rPr>
          <w:noProof/>
        </w:rPr>
        <w:fldChar w:fldCharType="end"/>
      </w:r>
    </w:p>
    <w:p w14:paraId="32024D58" w14:textId="13F19A8F" w:rsidR="008F1310" w:rsidRPr="006C7B74" w:rsidRDefault="008F1310">
      <w:pPr>
        <w:pStyle w:val="TOC1"/>
        <w:rPr>
          <w:rFonts w:eastAsiaTheme="minorEastAsia" w:cstheme="minorBidi"/>
          <w:noProof/>
          <w:szCs w:val="22"/>
          <w:lang w:eastAsia="en-AU"/>
        </w:rPr>
      </w:pPr>
      <w:r w:rsidRPr="006C7B74">
        <w:rPr>
          <w:noProof/>
        </w:rPr>
        <w:t>The need to plan for industrial and commercial land</w:t>
      </w:r>
      <w:r w:rsidRPr="006C7B74">
        <w:rPr>
          <w:noProof/>
        </w:rPr>
        <w:tab/>
      </w:r>
      <w:r w:rsidRPr="006C7B74">
        <w:rPr>
          <w:noProof/>
        </w:rPr>
        <w:fldChar w:fldCharType="begin"/>
      </w:r>
      <w:r w:rsidRPr="006C7B74">
        <w:rPr>
          <w:noProof/>
        </w:rPr>
        <w:instrText xml:space="preserve"> PAGEREF _Toc21694801 \h </w:instrText>
      </w:r>
      <w:r w:rsidRPr="006C7B74">
        <w:rPr>
          <w:noProof/>
        </w:rPr>
      </w:r>
      <w:r w:rsidRPr="006C7B74">
        <w:rPr>
          <w:noProof/>
        </w:rPr>
        <w:fldChar w:fldCharType="separate"/>
      </w:r>
      <w:r w:rsidR="00273BCA">
        <w:rPr>
          <w:noProof/>
        </w:rPr>
        <w:t>13</w:t>
      </w:r>
      <w:r w:rsidRPr="006C7B74">
        <w:rPr>
          <w:noProof/>
        </w:rPr>
        <w:fldChar w:fldCharType="end"/>
      </w:r>
    </w:p>
    <w:p w14:paraId="1D5E0044" w14:textId="76EC55D3" w:rsidR="008F1310" w:rsidRPr="006C7B74" w:rsidRDefault="008F1310">
      <w:pPr>
        <w:pStyle w:val="TOC2"/>
        <w:tabs>
          <w:tab w:val="right" w:leader="dot" w:pos="9010"/>
        </w:tabs>
        <w:rPr>
          <w:rFonts w:eastAsiaTheme="minorEastAsia" w:cstheme="minorBidi"/>
          <w:noProof/>
          <w:szCs w:val="22"/>
          <w:lang w:eastAsia="en-AU"/>
        </w:rPr>
      </w:pPr>
      <w:r w:rsidRPr="006C7B74">
        <w:rPr>
          <w:noProof/>
        </w:rPr>
        <w:t>Projected population and employment growth</w:t>
      </w:r>
      <w:r w:rsidRPr="006C7B74">
        <w:rPr>
          <w:noProof/>
        </w:rPr>
        <w:tab/>
      </w:r>
      <w:r w:rsidRPr="006C7B74">
        <w:rPr>
          <w:noProof/>
        </w:rPr>
        <w:fldChar w:fldCharType="begin"/>
      </w:r>
      <w:r w:rsidRPr="006C7B74">
        <w:rPr>
          <w:noProof/>
        </w:rPr>
        <w:instrText xml:space="preserve"> PAGEREF _Toc21694802 \h </w:instrText>
      </w:r>
      <w:r w:rsidRPr="006C7B74">
        <w:rPr>
          <w:noProof/>
        </w:rPr>
      </w:r>
      <w:r w:rsidRPr="006C7B74">
        <w:rPr>
          <w:noProof/>
        </w:rPr>
        <w:fldChar w:fldCharType="separate"/>
      </w:r>
      <w:r w:rsidR="00273BCA">
        <w:rPr>
          <w:noProof/>
        </w:rPr>
        <w:t>13</w:t>
      </w:r>
      <w:r w:rsidRPr="006C7B74">
        <w:rPr>
          <w:noProof/>
        </w:rPr>
        <w:fldChar w:fldCharType="end"/>
      </w:r>
    </w:p>
    <w:p w14:paraId="3A3CEC46" w14:textId="5D57FB33" w:rsidR="008F1310" w:rsidRPr="006C7B74" w:rsidRDefault="008F1310">
      <w:pPr>
        <w:pStyle w:val="TOC2"/>
        <w:tabs>
          <w:tab w:val="right" w:leader="dot" w:pos="9010"/>
        </w:tabs>
        <w:rPr>
          <w:rFonts w:eastAsiaTheme="minorEastAsia" w:cstheme="minorBidi"/>
          <w:noProof/>
          <w:szCs w:val="22"/>
          <w:lang w:eastAsia="en-AU"/>
        </w:rPr>
      </w:pPr>
      <w:r w:rsidRPr="006C7B74">
        <w:rPr>
          <w:noProof/>
        </w:rPr>
        <w:t>The legacy of long-term strategic planning</w:t>
      </w:r>
      <w:r w:rsidRPr="006C7B74">
        <w:rPr>
          <w:noProof/>
        </w:rPr>
        <w:tab/>
      </w:r>
      <w:r w:rsidRPr="006C7B74">
        <w:rPr>
          <w:noProof/>
        </w:rPr>
        <w:fldChar w:fldCharType="begin"/>
      </w:r>
      <w:r w:rsidRPr="006C7B74">
        <w:rPr>
          <w:noProof/>
        </w:rPr>
        <w:instrText xml:space="preserve"> PAGEREF _Toc21694803 \h </w:instrText>
      </w:r>
      <w:r w:rsidRPr="006C7B74">
        <w:rPr>
          <w:noProof/>
        </w:rPr>
      </w:r>
      <w:r w:rsidRPr="006C7B74">
        <w:rPr>
          <w:noProof/>
        </w:rPr>
        <w:fldChar w:fldCharType="separate"/>
      </w:r>
      <w:r w:rsidR="00273BCA">
        <w:rPr>
          <w:noProof/>
        </w:rPr>
        <w:t>14</w:t>
      </w:r>
      <w:r w:rsidRPr="006C7B74">
        <w:rPr>
          <w:noProof/>
        </w:rPr>
        <w:fldChar w:fldCharType="end"/>
      </w:r>
    </w:p>
    <w:p w14:paraId="4E40FC6A" w14:textId="035B3604" w:rsidR="008F1310" w:rsidRPr="006C7B74" w:rsidRDefault="008F1310">
      <w:pPr>
        <w:pStyle w:val="TOC2"/>
        <w:tabs>
          <w:tab w:val="right" w:leader="dot" w:pos="9010"/>
        </w:tabs>
        <w:rPr>
          <w:rFonts w:eastAsiaTheme="minorEastAsia" w:cstheme="minorBidi"/>
          <w:noProof/>
          <w:szCs w:val="22"/>
          <w:lang w:eastAsia="en-AU"/>
        </w:rPr>
      </w:pPr>
      <w:r w:rsidRPr="006C7B74">
        <w:rPr>
          <w:noProof/>
        </w:rPr>
        <w:t>Land use strategies and policies</w:t>
      </w:r>
      <w:r w:rsidRPr="006C7B74">
        <w:rPr>
          <w:noProof/>
        </w:rPr>
        <w:tab/>
      </w:r>
      <w:r w:rsidRPr="006C7B74">
        <w:rPr>
          <w:noProof/>
        </w:rPr>
        <w:fldChar w:fldCharType="begin"/>
      </w:r>
      <w:r w:rsidRPr="006C7B74">
        <w:rPr>
          <w:noProof/>
        </w:rPr>
        <w:instrText xml:space="preserve"> PAGEREF _Toc21694804 \h </w:instrText>
      </w:r>
      <w:r w:rsidRPr="006C7B74">
        <w:rPr>
          <w:noProof/>
        </w:rPr>
      </w:r>
      <w:r w:rsidRPr="006C7B74">
        <w:rPr>
          <w:noProof/>
        </w:rPr>
        <w:fldChar w:fldCharType="separate"/>
      </w:r>
      <w:r w:rsidR="00273BCA">
        <w:rPr>
          <w:noProof/>
        </w:rPr>
        <w:t>15</w:t>
      </w:r>
      <w:r w:rsidRPr="006C7B74">
        <w:rPr>
          <w:noProof/>
        </w:rPr>
        <w:fldChar w:fldCharType="end"/>
      </w:r>
    </w:p>
    <w:p w14:paraId="2E20572F" w14:textId="2E43C18E" w:rsidR="008F1310" w:rsidRPr="006C7B74" w:rsidRDefault="008F1310">
      <w:pPr>
        <w:pStyle w:val="TOC1"/>
        <w:rPr>
          <w:rFonts w:eastAsiaTheme="minorEastAsia" w:cstheme="minorBidi"/>
          <w:noProof/>
          <w:szCs w:val="22"/>
          <w:lang w:eastAsia="en-AU"/>
        </w:rPr>
      </w:pPr>
      <w:r w:rsidRPr="006C7B74">
        <w:rPr>
          <w:noProof/>
        </w:rPr>
        <w:t>Industrial and commercial land across metropolitan Melbourne</w:t>
      </w:r>
      <w:r w:rsidRPr="006C7B74">
        <w:rPr>
          <w:noProof/>
        </w:rPr>
        <w:tab/>
      </w:r>
      <w:r w:rsidRPr="006C7B74">
        <w:rPr>
          <w:noProof/>
        </w:rPr>
        <w:fldChar w:fldCharType="begin"/>
      </w:r>
      <w:r w:rsidRPr="006C7B74">
        <w:rPr>
          <w:noProof/>
        </w:rPr>
        <w:instrText xml:space="preserve"> PAGEREF _Toc21694805 \h </w:instrText>
      </w:r>
      <w:r w:rsidRPr="006C7B74">
        <w:rPr>
          <w:noProof/>
        </w:rPr>
      </w:r>
      <w:r w:rsidRPr="006C7B74">
        <w:rPr>
          <w:noProof/>
        </w:rPr>
        <w:fldChar w:fldCharType="separate"/>
      </w:r>
      <w:r w:rsidR="00273BCA">
        <w:rPr>
          <w:noProof/>
        </w:rPr>
        <w:t>19</w:t>
      </w:r>
      <w:r w:rsidRPr="006C7B74">
        <w:rPr>
          <w:noProof/>
        </w:rPr>
        <w:fldChar w:fldCharType="end"/>
      </w:r>
    </w:p>
    <w:p w14:paraId="29BD7666" w14:textId="5AC5FF0F" w:rsidR="008F1310" w:rsidRPr="006C7B74" w:rsidRDefault="008F1310">
      <w:pPr>
        <w:pStyle w:val="TOC2"/>
        <w:tabs>
          <w:tab w:val="right" w:leader="dot" w:pos="9010"/>
        </w:tabs>
        <w:rPr>
          <w:rFonts w:eastAsiaTheme="minorEastAsia" w:cstheme="minorBidi"/>
          <w:noProof/>
          <w:szCs w:val="22"/>
          <w:lang w:eastAsia="en-AU"/>
        </w:rPr>
      </w:pPr>
      <w:r w:rsidRPr="006C7B74">
        <w:rPr>
          <w:noProof/>
        </w:rPr>
        <w:t>Supply and demand for industrial land</w:t>
      </w:r>
      <w:r w:rsidRPr="006C7B74">
        <w:rPr>
          <w:noProof/>
        </w:rPr>
        <w:tab/>
      </w:r>
      <w:r w:rsidRPr="006C7B74">
        <w:rPr>
          <w:noProof/>
        </w:rPr>
        <w:fldChar w:fldCharType="begin"/>
      </w:r>
      <w:r w:rsidRPr="006C7B74">
        <w:rPr>
          <w:noProof/>
        </w:rPr>
        <w:instrText xml:space="preserve"> PAGEREF _Toc21694806 \h </w:instrText>
      </w:r>
      <w:r w:rsidRPr="006C7B74">
        <w:rPr>
          <w:noProof/>
        </w:rPr>
      </w:r>
      <w:r w:rsidRPr="006C7B74">
        <w:rPr>
          <w:noProof/>
        </w:rPr>
        <w:fldChar w:fldCharType="separate"/>
      </w:r>
      <w:r w:rsidR="00273BCA">
        <w:rPr>
          <w:noProof/>
        </w:rPr>
        <w:t>19</w:t>
      </w:r>
      <w:r w:rsidRPr="006C7B74">
        <w:rPr>
          <w:noProof/>
        </w:rPr>
        <w:fldChar w:fldCharType="end"/>
      </w:r>
    </w:p>
    <w:p w14:paraId="6473F61A" w14:textId="6301DD88" w:rsidR="008F1310" w:rsidRPr="006C7B74" w:rsidRDefault="008F1310">
      <w:pPr>
        <w:pStyle w:val="TOC2"/>
        <w:tabs>
          <w:tab w:val="right" w:leader="dot" w:pos="9010"/>
        </w:tabs>
        <w:rPr>
          <w:rFonts w:eastAsiaTheme="minorEastAsia" w:cstheme="minorBidi"/>
          <w:noProof/>
          <w:szCs w:val="22"/>
          <w:lang w:eastAsia="en-AU"/>
        </w:rPr>
      </w:pPr>
      <w:r w:rsidRPr="006C7B74">
        <w:rPr>
          <w:noProof/>
        </w:rPr>
        <w:t>Supply and demand for commercial land</w:t>
      </w:r>
      <w:r w:rsidRPr="006C7B74">
        <w:rPr>
          <w:noProof/>
        </w:rPr>
        <w:tab/>
      </w:r>
      <w:r w:rsidRPr="006C7B74">
        <w:rPr>
          <w:noProof/>
        </w:rPr>
        <w:fldChar w:fldCharType="begin"/>
      </w:r>
      <w:r w:rsidRPr="006C7B74">
        <w:rPr>
          <w:noProof/>
        </w:rPr>
        <w:instrText xml:space="preserve"> PAGEREF _Toc21694807 \h </w:instrText>
      </w:r>
      <w:r w:rsidRPr="006C7B74">
        <w:rPr>
          <w:noProof/>
        </w:rPr>
      </w:r>
      <w:r w:rsidRPr="006C7B74">
        <w:rPr>
          <w:noProof/>
        </w:rPr>
        <w:fldChar w:fldCharType="separate"/>
      </w:r>
      <w:r w:rsidR="00273BCA">
        <w:rPr>
          <w:noProof/>
        </w:rPr>
        <w:t>23</w:t>
      </w:r>
      <w:r w:rsidRPr="006C7B74">
        <w:rPr>
          <w:noProof/>
        </w:rPr>
        <w:fldChar w:fldCharType="end"/>
      </w:r>
    </w:p>
    <w:p w14:paraId="4FB5357C" w14:textId="69867D23" w:rsidR="008F1310" w:rsidRPr="006C7B74" w:rsidRDefault="008F1310">
      <w:pPr>
        <w:pStyle w:val="TOC1"/>
        <w:rPr>
          <w:rFonts w:eastAsiaTheme="minorEastAsia" w:cstheme="minorBidi"/>
          <w:noProof/>
          <w:szCs w:val="22"/>
          <w:lang w:eastAsia="en-AU"/>
        </w:rPr>
      </w:pPr>
      <w:r w:rsidRPr="006C7B74">
        <w:rPr>
          <w:noProof/>
        </w:rPr>
        <w:t>Approach to planning for industrial and commercial land</w:t>
      </w:r>
      <w:r w:rsidRPr="006C7B74">
        <w:rPr>
          <w:noProof/>
        </w:rPr>
        <w:tab/>
      </w:r>
      <w:r w:rsidRPr="006C7B74">
        <w:rPr>
          <w:noProof/>
        </w:rPr>
        <w:fldChar w:fldCharType="begin"/>
      </w:r>
      <w:r w:rsidRPr="006C7B74">
        <w:rPr>
          <w:noProof/>
        </w:rPr>
        <w:instrText xml:space="preserve"> PAGEREF _Toc21694808 \h </w:instrText>
      </w:r>
      <w:r w:rsidRPr="006C7B74">
        <w:rPr>
          <w:noProof/>
        </w:rPr>
      </w:r>
      <w:r w:rsidRPr="006C7B74">
        <w:rPr>
          <w:noProof/>
        </w:rPr>
        <w:fldChar w:fldCharType="separate"/>
      </w:r>
      <w:r w:rsidR="00273BCA">
        <w:rPr>
          <w:noProof/>
        </w:rPr>
        <w:t>28</w:t>
      </w:r>
      <w:r w:rsidRPr="006C7B74">
        <w:rPr>
          <w:noProof/>
        </w:rPr>
        <w:fldChar w:fldCharType="end"/>
      </w:r>
    </w:p>
    <w:p w14:paraId="75D1C16B" w14:textId="09D522DD" w:rsidR="008F1310" w:rsidRPr="006C7B74" w:rsidRDefault="008F1310">
      <w:pPr>
        <w:pStyle w:val="TOC2"/>
        <w:tabs>
          <w:tab w:val="right" w:leader="dot" w:pos="9010"/>
        </w:tabs>
        <w:rPr>
          <w:rFonts w:eastAsiaTheme="minorEastAsia" w:cstheme="minorBidi"/>
          <w:noProof/>
          <w:szCs w:val="22"/>
          <w:lang w:eastAsia="en-AU"/>
        </w:rPr>
      </w:pPr>
      <w:r w:rsidRPr="006C7B74">
        <w:rPr>
          <w:noProof/>
        </w:rPr>
        <w:t>Principles and strategies to guide planning for industrial and commercial land</w:t>
      </w:r>
      <w:r w:rsidRPr="006C7B74">
        <w:rPr>
          <w:noProof/>
        </w:rPr>
        <w:tab/>
      </w:r>
      <w:r w:rsidRPr="006C7B74">
        <w:rPr>
          <w:noProof/>
        </w:rPr>
        <w:fldChar w:fldCharType="begin"/>
      </w:r>
      <w:r w:rsidRPr="006C7B74">
        <w:rPr>
          <w:noProof/>
        </w:rPr>
        <w:instrText xml:space="preserve"> PAGEREF _Toc21694809 \h </w:instrText>
      </w:r>
      <w:r w:rsidRPr="006C7B74">
        <w:rPr>
          <w:noProof/>
        </w:rPr>
      </w:r>
      <w:r w:rsidRPr="006C7B74">
        <w:rPr>
          <w:noProof/>
        </w:rPr>
        <w:fldChar w:fldCharType="separate"/>
      </w:r>
      <w:r w:rsidR="00273BCA">
        <w:rPr>
          <w:noProof/>
        </w:rPr>
        <w:t>29</w:t>
      </w:r>
      <w:r w:rsidRPr="006C7B74">
        <w:rPr>
          <w:noProof/>
        </w:rPr>
        <w:fldChar w:fldCharType="end"/>
      </w:r>
    </w:p>
    <w:p w14:paraId="0AF60AE1" w14:textId="378EB1CA" w:rsidR="008F1310" w:rsidRPr="006C7B74" w:rsidRDefault="008F1310">
      <w:pPr>
        <w:pStyle w:val="TOC2"/>
        <w:tabs>
          <w:tab w:val="right" w:leader="dot" w:pos="9010"/>
        </w:tabs>
        <w:rPr>
          <w:rFonts w:eastAsiaTheme="minorEastAsia" w:cstheme="minorBidi"/>
          <w:noProof/>
          <w:szCs w:val="22"/>
          <w:lang w:eastAsia="en-AU"/>
        </w:rPr>
      </w:pPr>
      <w:r w:rsidRPr="006C7B74">
        <w:rPr>
          <w:noProof/>
        </w:rPr>
        <w:t>Planning framework for industrial and commercial land</w:t>
      </w:r>
      <w:r w:rsidRPr="006C7B74">
        <w:rPr>
          <w:noProof/>
        </w:rPr>
        <w:tab/>
      </w:r>
      <w:r w:rsidRPr="006C7B74">
        <w:rPr>
          <w:noProof/>
        </w:rPr>
        <w:fldChar w:fldCharType="begin"/>
      </w:r>
      <w:r w:rsidRPr="006C7B74">
        <w:rPr>
          <w:noProof/>
        </w:rPr>
        <w:instrText xml:space="preserve"> PAGEREF _Toc21694810 \h </w:instrText>
      </w:r>
      <w:r w:rsidRPr="006C7B74">
        <w:rPr>
          <w:noProof/>
        </w:rPr>
      </w:r>
      <w:r w:rsidRPr="006C7B74">
        <w:rPr>
          <w:noProof/>
        </w:rPr>
        <w:fldChar w:fldCharType="separate"/>
      </w:r>
      <w:r w:rsidR="00273BCA">
        <w:rPr>
          <w:noProof/>
        </w:rPr>
        <w:t>30</w:t>
      </w:r>
      <w:r w:rsidRPr="006C7B74">
        <w:rPr>
          <w:noProof/>
        </w:rPr>
        <w:fldChar w:fldCharType="end"/>
      </w:r>
    </w:p>
    <w:p w14:paraId="1C0C0786" w14:textId="6646616E" w:rsidR="008F1310" w:rsidRPr="006C7B74" w:rsidRDefault="008F1310">
      <w:pPr>
        <w:pStyle w:val="TOC1"/>
        <w:rPr>
          <w:rFonts w:eastAsiaTheme="minorEastAsia" w:cstheme="minorBidi"/>
          <w:noProof/>
          <w:szCs w:val="22"/>
          <w:lang w:eastAsia="en-AU"/>
        </w:rPr>
      </w:pPr>
      <w:r w:rsidRPr="006C7B74">
        <w:rPr>
          <w:noProof/>
        </w:rPr>
        <w:t>PART B: REGIONAL SUMMARIES AND DIRECTIONS</w:t>
      </w:r>
      <w:r w:rsidRPr="006C7B74">
        <w:rPr>
          <w:noProof/>
        </w:rPr>
        <w:tab/>
      </w:r>
      <w:r w:rsidRPr="006C7B74">
        <w:rPr>
          <w:noProof/>
        </w:rPr>
        <w:fldChar w:fldCharType="begin"/>
      </w:r>
      <w:r w:rsidRPr="006C7B74">
        <w:rPr>
          <w:noProof/>
        </w:rPr>
        <w:instrText xml:space="preserve"> PAGEREF _Toc21694811 \h </w:instrText>
      </w:r>
      <w:r w:rsidRPr="006C7B74">
        <w:rPr>
          <w:noProof/>
        </w:rPr>
      </w:r>
      <w:r w:rsidRPr="006C7B74">
        <w:rPr>
          <w:noProof/>
        </w:rPr>
        <w:fldChar w:fldCharType="separate"/>
      </w:r>
      <w:r w:rsidR="00273BCA">
        <w:rPr>
          <w:noProof/>
        </w:rPr>
        <w:t>36</w:t>
      </w:r>
      <w:r w:rsidRPr="006C7B74">
        <w:rPr>
          <w:noProof/>
        </w:rPr>
        <w:fldChar w:fldCharType="end"/>
      </w:r>
    </w:p>
    <w:p w14:paraId="1489527C" w14:textId="743BF284" w:rsidR="008F1310" w:rsidRPr="006C7B74" w:rsidRDefault="008F1310">
      <w:pPr>
        <w:pStyle w:val="TOC1"/>
        <w:rPr>
          <w:rFonts w:eastAsiaTheme="minorEastAsia" w:cstheme="minorBidi"/>
          <w:noProof/>
          <w:szCs w:val="22"/>
          <w:lang w:eastAsia="en-AU"/>
        </w:rPr>
      </w:pPr>
      <w:r w:rsidRPr="006C7B74">
        <w:rPr>
          <w:noProof/>
        </w:rPr>
        <w:t>Inner Metro Region</w:t>
      </w:r>
      <w:r w:rsidRPr="006C7B74">
        <w:rPr>
          <w:noProof/>
        </w:rPr>
        <w:tab/>
      </w:r>
      <w:r w:rsidRPr="006C7B74">
        <w:rPr>
          <w:noProof/>
        </w:rPr>
        <w:fldChar w:fldCharType="begin"/>
      </w:r>
      <w:r w:rsidRPr="006C7B74">
        <w:rPr>
          <w:noProof/>
        </w:rPr>
        <w:instrText xml:space="preserve"> PAGEREF _Toc21694812 \h </w:instrText>
      </w:r>
      <w:r w:rsidRPr="006C7B74">
        <w:rPr>
          <w:noProof/>
        </w:rPr>
      </w:r>
      <w:r w:rsidRPr="006C7B74">
        <w:rPr>
          <w:noProof/>
        </w:rPr>
        <w:fldChar w:fldCharType="separate"/>
      </w:r>
      <w:r w:rsidR="00273BCA">
        <w:rPr>
          <w:noProof/>
        </w:rPr>
        <w:t>37</w:t>
      </w:r>
      <w:r w:rsidRPr="006C7B74">
        <w:rPr>
          <w:noProof/>
        </w:rPr>
        <w:fldChar w:fldCharType="end"/>
      </w:r>
    </w:p>
    <w:p w14:paraId="732E185D" w14:textId="66BCB665" w:rsidR="008F1310" w:rsidRPr="006C7B74" w:rsidRDefault="008F1310">
      <w:pPr>
        <w:pStyle w:val="TOC2"/>
        <w:tabs>
          <w:tab w:val="right" w:leader="dot" w:pos="9010"/>
        </w:tabs>
        <w:rPr>
          <w:rFonts w:eastAsiaTheme="minorEastAsia" w:cstheme="minorBidi"/>
          <w:noProof/>
          <w:szCs w:val="22"/>
          <w:lang w:eastAsia="en-AU"/>
        </w:rPr>
      </w:pPr>
      <w:r w:rsidRPr="006C7B74">
        <w:rPr>
          <w:noProof/>
        </w:rPr>
        <w:t>Regional snapshot</w:t>
      </w:r>
      <w:r w:rsidRPr="006C7B74">
        <w:rPr>
          <w:noProof/>
        </w:rPr>
        <w:tab/>
      </w:r>
      <w:r w:rsidRPr="006C7B74">
        <w:rPr>
          <w:noProof/>
        </w:rPr>
        <w:fldChar w:fldCharType="begin"/>
      </w:r>
      <w:r w:rsidRPr="006C7B74">
        <w:rPr>
          <w:noProof/>
        </w:rPr>
        <w:instrText xml:space="preserve"> PAGEREF _Toc21694813 \h </w:instrText>
      </w:r>
      <w:r w:rsidRPr="006C7B74">
        <w:rPr>
          <w:noProof/>
        </w:rPr>
      </w:r>
      <w:r w:rsidRPr="006C7B74">
        <w:rPr>
          <w:noProof/>
        </w:rPr>
        <w:fldChar w:fldCharType="separate"/>
      </w:r>
      <w:r w:rsidR="00273BCA">
        <w:rPr>
          <w:noProof/>
        </w:rPr>
        <w:t>37</w:t>
      </w:r>
      <w:r w:rsidRPr="006C7B74">
        <w:rPr>
          <w:noProof/>
        </w:rPr>
        <w:fldChar w:fldCharType="end"/>
      </w:r>
    </w:p>
    <w:p w14:paraId="4A69A644" w14:textId="67AEC65A" w:rsidR="008F1310" w:rsidRPr="006C7B74" w:rsidRDefault="008F1310">
      <w:pPr>
        <w:pStyle w:val="TOC2"/>
        <w:tabs>
          <w:tab w:val="right" w:leader="dot" w:pos="9010"/>
        </w:tabs>
        <w:rPr>
          <w:rFonts w:eastAsiaTheme="minorEastAsia" w:cstheme="minorBidi"/>
          <w:noProof/>
          <w:szCs w:val="22"/>
          <w:lang w:eastAsia="en-AU"/>
        </w:rPr>
      </w:pPr>
      <w:r w:rsidRPr="006C7B74">
        <w:rPr>
          <w:noProof/>
        </w:rPr>
        <w:t>Key industrial and commercial areas</w:t>
      </w:r>
      <w:r w:rsidRPr="006C7B74">
        <w:rPr>
          <w:noProof/>
        </w:rPr>
        <w:tab/>
      </w:r>
      <w:r w:rsidRPr="006C7B74">
        <w:rPr>
          <w:noProof/>
        </w:rPr>
        <w:fldChar w:fldCharType="begin"/>
      </w:r>
      <w:r w:rsidRPr="006C7B74">
        <w:rPr>
          <w:noProof/>
        </w:rPr>
        <w:instrText xml:space="preserve"> PAGEREF _Toc21694814 \h </w:instrText>
      </w:r>
      <w:r w:rsidRPr="006C7B74">
        <w:rPr>
          <w:noProof/>
        </w:rPr>
      </w:r>
      <w:r w:rsidRPr="006C7B74">
        <w:rPr>
          <w:noProof/>
        </w:rPr>
        <w:fldChar w:fldCharType="separate"/>
      </w:r>
      <w:r w:rsidR="00273BCA">
        <w:rPr>
          <w:noProof/>
        </w:rPr>
        <w:t>39</w:t>
      </w:r>
      <w:r w:rsidRPr="006C7B74">
        <w:rPr>
          <w:noProof/>
        </w:rPr>
        <w:fldChar w:fldCharType="end"/>
      </w:r>
    </w:p>
    <w:p w14:paraId="521C498E" w14:textId="0BFCD279" w:rsidR="008F1310" w:rsidRPr="006C7B74" w:rsidRDefault="008F1310">
      <w:pPr>
        <w:pStyle w:val="TOC2"/>
        <w:tabs>
          <w:tab w:val="right" w:leader="dot" w:pos="9010"/>
        </w:tabs>
        <w:rPr>
          <w:rFonts w:eastAsiaTheme="minorEastAsia" w:cstheme="minorBidi"/>
          <w:noProof/>
          <w:szCs w:val="22"/>
          <w:lang w:eastAsia="en-AU"/>
        </w:rPr>
      </w:pPr>
      <w:r w:rsidRPr="006C7B74">
        <w:rPr>
          <w:noProof/>
        </w:rPr>
        <w:t>Supply and demand for industrial and commercial land across the region</w:t>
      </w:r>
      <w:r w:rsidRPr="006C7B74">
        <w:rPr>
          <w:noProof/>
        </w:rPr>
        <w:tab/>
      </w:r>
      <w:r w:rsidRPr="006C7B74">
        <w:rPr>
          <w:noProof/>
        </w:rPr>
        <w:fldChar w:fldCharType="begin"/>
      </w:r>
      <w:r w:rsidRPr="006C7B74">
        <w:rPr>
          <w:noProof/>
        </w:rPr>
        <w:instrText xml:space="preserve"> PAGEREF _Toc21694815 \h </w:instrText>
      </w:r>
      <w:r w:rsidRPr="006C7B74">
        <w:rPr>
          <w:noProof/>
        </w:rPr>
      </w:r>
      <w:r w:rsidRPr="006C7B74">
        <w:rPr>
          <w:noProof/>
        </w:rPr>
        <w:fldChar w:fldCharType="separate"/>
      </w:r>
      <w:r w:rsidR="00273BCA">
        <w:rPr>
          <w:noProof/>
        </w:rPr>
        <w:t>40</w:t>
      </w:r>
      <w:r w:rsidRPr="006C7B74">
        <w:rPr>
          <w:noProof/>
        </w:rPr>
        <w:fldChar w:fldCharType="end"/>
      </w:r>
    </w:p>
    <w:p w14:paraId="223EB809" w14:textId="477F76BD" w:rsidR="008F1310" w:rsidRPr="006C7B74" w:rsidRDefault="008F1310">
      <w:pPr>
        <w:pStyle w:val="TOC2"/>
        <w:tabs>
          <w:tab w:val="right" w:leader="dot" w:pos="9010"/>
        </w:tabs>
        <w:rPr>
          <w:rFonts w:eastAsiaTheme="minorEastAsia" w:cstheme="minorBidi"/>
          <w:noProof/>
          <w:szCs w:val="22"/>
          <w:lang w:eastAsia="en-AU"/>
        </w:rPr>
      </w:pPr>
      <w:r w:rsidRPr="006C7B74">
        <w:rPr>
          <w:noProof/>
        </w:rPr>
        <w:t>Planning framework for industrial and commercial land across the region</w:t>
      </w:r>
      <w:r w:rsidRPr="006C7B74">
        <w:rPr>
          <w:noProof/>
        </w:rPr>
        <w:tab/>
      </w:r>
      <w:r w:rsidRPr="006C7B74">
        <w:rPr>
          <w:noProof/>
        </w:rPr>
        <w:fldChar w:fldCharType="begin"/>
      </w:r>
      <w:r w:rsidRPr="006C7B74">
        <w:rPr>
          <w:noProof/>
        </w:rPr>
        <w:instrText xml:space="preserve"> PAGEREF _Toc21694816 \h </w:instrText>
      </w:r>
      <w:r w:rsidRPr="006C7B74">
        <w:rPr>
          <w:noProof/>
        </w:rPr>
      </w:r>
      <w:r w:rsidRPr="006C7B74">
        <w:rPr>
          <w:noProof/>
        </w:rPr>
        <w:fldChar w:fldCharType="separate"/>
      </w:r>
      <w:r w:rsidR="00273BCA">
        <w:rPr>
          <w:noProof/>
        </w:rPr>
        <w:t>44</w:t>
      </w:r>
      <w:r w:rsidRPr="006C7B74">
        <w:rPr>
          <w:noProof/>
        </w:rPr>
        <w:fldChar w:fldCharType="end"/>
      </w:r>
    </w:p>
    <w:p w14:paraId="5B26F6E0" w14:textId="5B81312C" w:rsidR="008F1310" w:rsidRPr="006C7B74" w:rsidRDefault="008F1310">
      <w:pPr>
        <w:pStyle w:val="TOC1"/>
        <w:rPr>
          <w:rFonts w:eastAsiaTheme="minorEastAsia" w:cstheme="minorBidi"/>
          <w:noProof/>
          <w:szCs w:val="22"/>
          <w:lang w:eastAsia="en-AU"/>
        </w:rPr>
      </w:pPr>
      <w:r w:rsidRPr="006C7B74">
        <w:rPr>
          <w:noProof/>
        </w:rPr>
        <w:t>Western Region</w:t>
      </w:r>
      <w:r w:rsidRPr="006C7B74">
        <w:rPr>
          <w:noProof/>
        </w:rPr>
        <w:tab/>
      </w:r>
      <w:r w:rsidRPr="006C7B74">
        <w:rPr>
          <w:noProof/>
        </w:rPr>
        <w:fldChar w:fldCharType="begin"/>
      </w:r>
      <w:r w:rsidRPr="006C7B74">
        <w:rPr>
          <w:noProof/>
        </w:rPr>
        <w:instrText xml:space="preserve"> PAGEREF _Toc21694817 \h </w:instrText>
      </w:r>
      <w:r w:rsidRPr="006C7B74">
        <w:rPr>
          <w:noProof/>
        </w:rPr>
      </w:r>
      <w:r w:rsidRPr="006C7B74">
        <w:rPr>
          <w:noProof/>
        </w:rPr>
        <w:fldChar w:fldCharType="separate"/>
      </w:r>
      <w:r w:rsidR="00273BCA">
        <w:rPr>
          <w:noProof/>
        </w:rPr>
        <w:t>46</w:t>
      </w:r>
      <w:r w:rsidRPr="006C7B74">
        <w:rPr>
          <w:noProof/>
        </w:rPr>
        <w:fldChar w:fldCharType="end"/>
      </w:r>
    </w:p>
    <w:p w14:paraId="00D9E5C4" w14:textId="1F39D853" w:rsidR="008F1310" w:rsidRPr="006C7B74" w:rsidRDefault="008F1310">
      <w:pPr>
        <w:pStyle w:val="TOC2"/>
        <w:tabs>
          <w:tab w:val="right" w:leader="dot" w:pos="9010"/>
        </w:tabs>
        <w:rPr>
          <w:rFonts w:eastAsiaTheme="minorEastAsia" w:cstheme="minorBidi"/>
          <w:noProof/>
          <w:szCs w:val="22"/>
          <w:lang w:eastAsia="en-AU"/>
        </w:rPr>
      </w:pPr>
      <w:r w:rsidRPr="006C7B74">
        <w:rPr>
          <w:noProof/>
        </w:rPr>
        <w:t>Regional snapshot</w:t>
      </w:r>
      <w:r w:rsidRPr="006C7B74">
        <w:rPr>
          <w:noProof/>
        </w:rPr>
        <w:tab/>
      </w:r>
      <w:r w:rsidRPr="006C7B74">
        <w:rPr>
          <w:noProof/>
        </w:rPr>
        <w:fldChar w:fldCharType="begin"/>
      </w:r>
      <w:r w:rsidRPr="006C7B74">
        <w:rPr>
          <w:noProof/>
        </w:rPr>
        <w:instrText xml:space="preserve"> PAGEREF _Toc21694818 \h </w:instrText>
      </w:r>
      <w:r w:rsidRPr="006C7B74">
        <w:rPr>
          <w:noProof/>
        </w:rPr>
      </w:r>
      <w:r w:rsidRPr="006C7B74">
        <w:rPr>
          <w:noProof/>
        </w:rPr>
        <w:fldChar w:fldCharType="separate"/>
      </w:r>
      <w:r w:rsidR="00273BCA">
        <w:rPr>
          <w:noProof/>
        </w:rPr>
        <w:t>46</w:t>
      </w:r>
      <w:r w:rsidRPr="006C7B74">
        <w:rPr>
          <w:noProof/>
        </w:rPr>
        <w:fldChar w:fldCharType="end"/>
      </w:r>
    </w:p>
    <w:p w14:paraId="42504361" w14:textId="0FBCFCC4" w:rsidR="008F1310" w:rsidRPr="006C7B74" w:rsidRDefault="008F1310">
      <w:pPr>
        <w:pStyle w:val="TOC2"/>
        <w:tabs>
          <w:tab w:val="right" w:leader="dot" w:pos="9010"/>
        </w:tabs>
        <w:rPr>
          <w:rFonts w:eastAsiaTheme="minorEastAsia" w:cstheme="minorBidi"/>
          <w:noProof/>
          <w:szCs w:val="22"/>
          <w:lang w:eastAsia="en-AU"/>
        </w:rPr>
      </w:pPr>
      <w:r w:rsidRPr="006C7B74">
        <w:rPr>
          <w:noProof/>
        </w:rPr>
        <w:t>Key industrial and commercial areas</w:t>
      </w:r>
      <w:r w:rsidRPr="006C7B74">
        <w:rPr>
          <w:noProof/>
        </w:rPr>
        <w:tab/>
      </w:r>
      <w:r w:rsidRPr="006C7B74">
        <w:rPr>
          <w:noProof/>
        </w:rPr>
        <w:fldChar w:fldCharType="begin"/>
      </w:r>
      <w:r w:rsidRPr="006C7B74">
        <w:rPr>
          <w:noProof/>
        </w:rPr>
        <w:instrText xml:space="preserve"> PAGEREF _Toc21694819 \h </w:instrText>
      </w:r>
      <w:r w:rsidRPr="006C7B74">
        <w:rPr>
          <w:noProof/>
        </w:rPr>
      </w:r>
      <w:r w:rsidRPr="006C7B74">
        <w:rPr>
          <w:noProof/>
        </w:rPr>
        <w:fldChar w:fldCharType="separate"/>
      </w:r>
      <w:r w:rsidR="00273BCA">
        <w:rPr>
          <w:noProof/>
        </w:rPr>
        <w:t>48</w:t>
      </w:r>
      <w:r w:rsidRPr="006C7B74">
        <w:rPr>
          <w:noProof/>
        </w:rPr>
        <w:fldChar w:fldCharType="end"/>
      </w:r>
    </w:p>
    <w:p w14:paraId="1C35BC67" w14:textId="1F77B4A4" w:rsidR="008F1310" w:rsidRPr="006C7B74" w:rsidRDefault="008F1310">
      <w:pPr>
        <w:pStyle w:val="TOC2"/>
        <w:tabs>
          <w:tab w:val="right" w:leader="dot" w:pos="9010"/>
        </w:tabs>
        <w:rPr>
          <w:rFonts w:eastAsiaTheme="minorEastAsia" w:cstheme="minorBidi"/>
          <w:noProof/>
          <w:szCs w:val="22"/>
          <w:lang w:eastAsia="en-AU"/>
        </w:rPr>
      </w:pPr>
      <w:r w:rsidRPr="006C7B74">
        <w:rPr>
          <w:noProof/>
        </w:rPr>
        <w:t>Supply and demand for industrial and commercial land across the region</w:t>
      </w:r>
      <w:r w:rsidRPr="006C7B74">
        <w:rPr>
          <w:noProof/>
        </w:rPr>
        <w:tab/>
      </w:r>
      <w:r w:rsidRPr="006C7B74">
        <w:rPr>
          <w:noProof/>
        </w:rPr>
        <w:fldChar w:fldCharType="begin"/>
      </w:r>
      <w:r w:rsidRPr="006C7B74">
        <w:rPr>
          <w:noProof/>
        </w:rPr>
        <w:instrText xml:space="preserve"> PAGEREF _Toc21694820 \h </w:instrText>
      </w:r>
      <w:r w:rsidRPr="006C7B74">
        <w:rPr>
          <w:noProof/>
        </w:rPr>
      </w:r>
      <w:r w:rsidRPr="006C7B74">
        <w:rPr>
          <w:noProof/>
        </w:rPr>
        <w:fldChar w:fldCharType="separate"/>
      </w:r>
      <w:r w:rsidR="00273BCA">
        <w:rPr>
          <w:noProof/>
        </w:rPr>
        <w:t>51</w:t>
      </w:r>
      <w:r w:rsidRPr="006C7B74">
        <w:rPr>
          <w:noProof/>
        </w:rPr>
        <w:fldChar w:fldCharType="end"/>
      </w:r>
    </w:p>
    <w:p w14:paraId="54898A64" w14:textId="63F527DF" w:rsidR="008F1310" w:rsidRPr="006C7B74" w:rsidRDefault="008F1310">
      <w:pPr>
        <w:pStyle w:val="TOC2"/>
        <w:tabs>
          <w:tab w:val="right" w:leader="dot" w:pos="9010"/>
        </w:tabs>
        <w:rPr>
          <w:rFonts w:eastAsiaTheme="minorEastAsia" w:cstheme="minorBidi"/>
          <w:noProof/>
          <w:szCs w:val="22"/>
          <w:lang w:eastAsia="en-AU"/>
        </w:rPr>
      </w:pPr>
      <w:r w:rsidRPr="006C7B74">
        <w:rPr>
          <w:noProof/>
        </w:rPr>
        <w:t>Planning framework for industrial and commercial land across the region</w:t>
      </w:r>
      <w:r w:rsidRPr="006C7B74">
        <w:rPr>
          <w:noProof/>
        </w:rPr>
        <w:tab/>
      </w:r>
      <w:r w:rsidRPr="006C7B74">
        <w:rPr>
          <w:noProof/>
        </w:rPr>
        <w:fldChar w:fldCharType="begin"/>
      </w:r>
      <w:r w:rsidRPr="006C7B74">
        <w:rPr>
          <w:noProof/>
        </w:rPr>
        <w:instrText xml:space="preserve"> PAGEREF _Toc21694821 \h </w:instrText>
      </w:r>
      <w:r w:rsidRPr="006C7B74">
        <w:rPr>
          <w:noProof/>
        </w:rPr>
      </w:r>
      <w:r w:rsidRPr="006C7B74">
        <w:rPr>
          <w:noProof/>
        </w:rPr>
        <w:fldChar w:fldCharType="separate"/>
      </w:r>
      <w:r w:rsidR="00273BCA">
        <w:rPr>
          <w:noProof/>
        </w:rPr>
        <w:t>55</w:t>
      </w:r>
      <w:r w:rsidRPr="006C7B74">
        <w:rPr>
          <w:noProof/>
        </w:rPr>
        <w:fldChar w:fldCharType="end"/>
      </w:r>
    </w:p>
    <w:p w14:paraId="3B8F0967" w14:textId="703497FF" w:rsidR="008F1310" w:rsidRPr="006C7B74" w:rsidRDefault="008F1310">
      <w:pPr>
        <w:pStyle w:val="TOC1"/>
        <w:rPr>
          <w:rFonts w:eastAsiaTheme="minorEastAsia" w:cstheme="minorBidi"/>
          <w:noProof/>
          <w:szCs w:val="22"/>
          <w:lang w:eastAsia="en-AU"/>
        </w:rPr>
      </w:pPr>
      <w:r w:rsidRPr="006C7B74">
        <w:rPr>
          <w:noProof/>
        </w:rPr>
        <w:t>Northern Region</w:t>
      </w:r>
      <w:r w:rsidRPr="006C7B74">
        <w:rPr>
          <w:noProof/>
        </w:rPr>
        <w:tab/>
      </w:r>
      <w:r w:rsidRPr="006C7B74">
        <w:rPr>
          <w:noProof/>
        </w:rPr>
        <w:fldChar w:fldCharType="begin"/>
      </w:r>
      <w:r w:rsidRPr="006C7B74">
        <w:rPr>
          <w:noProof/>
        </w:rPr>
        <w:instrText xml:space="preserve"> PAGEREF _Toc21694822 \h </w:instrText>
      </w:r>
      <w:r w:rsidRPr="006C7B74">
        <w:rPr>
          <w:noProof/>
        </w:rPr>
      </w:r>
      <w:r w:rsidRPr="006C7B74">
        <w:rPr>
          <w:noProof/>
        </w:rPr>
        <w:fldChar w:fldCharType="separate"/>
      </w:r>
      <w:r w:rsidR="00273BCA">
        <w:rPr>
          <w:noProof/>
        </w:rPr>
        <w:t>57</w:t>
      </w:r>
      <w:r w:rsidRPr="006C7B74">
        <w:rPr>
          <w:noProof/>
        </w:rPr>
        <w:fldChar w:fldCharType="end"/>
      </w:r>
    </w:p>
    <w:p w14:paraId="79687D8B" w14:textId="2A2A1288" w:rsidR="008F1310" w:rsidRPr="006C7B74" w:rsidRDefault="008F1310">
      <w:pPr>
        <w:pStyle w:val="TOC2"/>
        <w:tabs>
          <w:tab w:val="right" w:leader="dot" w:pos="9010"/>
        </w:tabs>
        <w:rPr>
          <w:rFonts w:eastAsiaTheme="minorEastAsia" w:cstheme="minorBidi"/>
          <w:noProof/>
          <w:szCs w:val="22"/>
          <w:lang w:eastAsia="en-AU"/>
        </w:rPr>
      </w:pPr>
      <w:r w:rsidRPr="006C7B74">
        <w:rPr>
          <w:noProof/>
        </w:rPr>
        <w:t>Regional snapshot</w:t>
      </w:r>
      <w:r w:rsidRPr="006C7B74">
        <w:rPr>
          <w:noProof/>
        </w:rPr>
        <w:tab/>
      </w:r>
      <w:r w:rsidRPr="006C7B74">
        <w:rPr>
          <w:noProof/>
        </w:rPr>
        <w:fldChar w:fldCharType="begin"/>
      </w:r>
      <w:r w:rsidRPr="006C7B74">
        <w:rPr>
          <w:noProof/>
        </w:rPr>
        <w:instrText xml:space="preserve"> PAGEREF _Toc21694823 \h </w:instrText>
      </w:r>
      <w:r w:rsidRPr="006C7B74">
        <w:rPr>
          <w:noProof/>
        </w:rPr>
      </w:r>
      <w:r w:rsidRPr="006C7B74">
        <w:rPr>
          <w:noProof/>
        </w:rPr>
        <w:fldChar w:fldCharType="separate"/>
      </w:r>
      <w:r w:rsidR="00273BCA">
        <w:rPr>
          <w:noProof/>
        </w:rPr>
        <w:t>57</w:t>
      </w:r>
      <w:r w:rsidRPr="006C7B74">
        <w:rPr>
          <w:noProof/>
        </w:rPr>
        <w:fldChar w:fldCharType="end"/>
      </w:r>
    </w:p>
    <w:p w14:paraId="38A5487D" w14:textId="7865EB4B" w:rsidR="008F1310" w:rsidRPr="006C7B74" w:rsidRDefault="008F1310">
      <w:pPr>
        <w:pStyle w:val="TOC2"/>
        <w:tabs>
          <w:tab w:val="right" w:leader="dot" w:pos="9010"/>
        </w:tabs>
        <w:rPr>
          <w:rFonts w:eastAsiaTheme="minorEastAsia" w:cstheme="minorBidi"/>
          <w:noProof/>
          <w:szCs w:val="22"/>
          <w:lang w:eastAsia="en-AU"/>
        </w:rPr>
      </w:pPr>
      <w:r w:rsidRPr="006C7B74">
        <w:rPr>
          <w:noProof/>
        </w:rPr>
        <w:t>Key industrial and commercial areas</w:t>
      </w:r>
      <w:r w:rsidRPr="006C7B74">
        <w:rPr>
          <w:noProof/>
        </w:rPr>
        <w:tab/>
      </w:r>
      <w:r w:rsidRPr="006C7B74">
        <w:rPr>
          <w:noProof/>
        </w:rPr>
        <w:fldChar w:fldCharType="begin"/>
      </w:r>
      <w:r w:rsidRPr="006C7B74">
        <w:rPr>
          <w:noProof/>
        </w:rPr>
        <w:instrText xml:space="preserve"> PAGEREF _Toc21694824 \h </w:instrText>
      </w:r>
      <w:r w:rsidRPr="006C7B74">
        <w:rPr>
          <w:noProof/>
        </w:rPr>
      </w:r>
      <w:r w:rsidRPr="006C7B74">
        <w:rPr>
          <w:noProof/>
        </w:rPr>
        <w:fldChar w:fldCharType="separate"/>
      </w:r>
      <w:r w:rsidR="00273BCA">
        <w:rPr>
          <w:noProof/>
        </w:rPr>
        <w:t>59</w:t>
      </w:r>
      <w:r w:rsidRPr="006C7B74">
        <w:rPr>
          <w:noProof/>
        </w:rPr>
        <w:fldChar w:fldCharType="end"/>
      </w:r>
    </w:p>
    <w:p w14:paraId="37DABB27" w14:textId="29254697" w:rsidR="008F1310" w:rsidRPr="006C7B74" w:rsidRDefault="008F1310">
      <w:pPr>
        <w:pStyle w:val="TOC2"/>
        <w:tabs>
          <w:tab w:val="right" w:leader="dot" w:pos="9010"/>
        </w:tabs>
        <w:rPr>
          <w:rFonts w:eastAsiaTheme="minorEastAsia" w:cstheme="minorBidi"/>
          <w:noProof/>
          <w:szCs w:val="22"/>
          <w:lang w:eastAsia="en-AU"/>
        </w:rPr>
      </w:pPr>
      <w:r w:rsidRPr="006C7B74">
        <w:rPr>
          <w:noProof/>
        </w:rPr>
        <w:t>Supply and demand for industrial and commercial land across the region</w:t>
      </w:r>
      <w:r w:rsidRPr="006C7B74">
        <w:rPr>
          <w:noProof/>
        </w:rPr>
        <w:tab/>
      </w:r>
      <w:r w:rsidRPr="006C7B74">
        <w:rPr>
          <w:noProof/>
        </w:rPr>
        <w:fldChar w:fldCharType="begin"/>
      </w:r>
      <w:r w:rsidRPr="006C7B74">
        <w:rPr>
          <w:noProof/>
        </w:rPr>
        <w:instrText xml:space="preserve"> PAGEREF _Toc21694825 \h </w:instrText>
      </w:r>
      <w:r w:rsidRPr="006C7B74">
        <w:rPr>
          <w:noProof/>
        </w:rPr>
      </w:r>
      <w:r w:rsidRPr="006C7B74">
        <w:rPr>
          <w:noProof/>
        </w:rPr>
        <w:fldChar w:fldCharType="separate"/>
      </w:r>
      <w:r w:rsidR="00273BCA">
        <w:rPr>
          <w:noProof/>
        </w:rPr>
        <w:t>61</w:t>
      </w:r>
      <w:r w:rsidRPr="006C7B74">
        <w:rPr>
          <w:noProof/>
        </w:rPr>
        <w:fldChar w:fldCharType="end"/>
      </w:r>
    </w:p>
    <w:p w14:paraId="5D4A958B" w14:textId="4594E34E" w:rsidR="008F1310" w:rsidRPr="006C7B74" w:rsidRDefault="008F1310">
      <w:pPr>
        <w:pStyle w:val="TOC2"/>
        <w:tabs>
          <w:tab w:val="right" w:leader="dot" w:pos="9010"/>
        </w:tabs>
        <w:rPr>
          <w:rFonts w:eastAsiaTheme="minorEastAsia" w:cstheme="minorBidi"/>
          <w:noProof/>
          <w:szCs w:val="22"/>
          <w:lang w:eastAsia="en-AU"/>
        </w:rPr>
      </w:pPr>
      <w:r w:rsidRPr="006C7B74">
        <w:rPr>
          <w:noProof/>
        </w:rPr>
        <w:lastRenderedPageBreak/>
        <w:t>Planning framework for industrial and commercial land across the region</w:t>
      </w:r>
      <w:r w:rsidRPr="006C7B74">
        <w:rPr>
          <w:noProof/>
        </w:rPr>
        <w:tab/>
      </w:r>
      <w:r w:rsidRPr="006C7B74">
        <w:rPr>
          <w:noProof/>
        </w:rPr>
        <w:fldChar w:fldCharType="begin"/>
      </w:r>
      <w:r w:rsidRPr="006C7B74">
        <w:rPr>
          <w:noProof/>
        </w:rPr>
        <w:instrText xml:space="preserve"> PAGEREF _Toc21694826 \h </w:instrText>
      </w:r>
      <w:r w:rsidRPr="006C7B74">
        <w:rPr>
          <w:noProof/>
        </w:rPr>
      </w:r>
      <w:r w:rsidRPr="006C7B74">
        <w:rPr>
          <w:noProof/>
        </w:rPr>
        <w:fldChar w:fldCharType="separate"/>
      </w:r>
      <w:r w:rsidR="00273BCA">
        <w:rPr>
          <w:noProof/>
        </w:rPr>
        <w:t>66</w:t>
      </w:r>
      <w:r w:rsidRPr="006C7B74">
        <w:rPr>
          <w:noProof/>
        </w:rPr>
        <w:fldChar w:fldCharType="end"/>
      </w:r>
    </w:p>
    <w:p w14:paraId="1157CF30" w14:textId="0241A9A9" w:rsidR="008F1310" w:rsidRPr="006C7B74" w:rsidRDefault="008F1310">
      <w:pPr>
        <w:pStyle w:val="TOC1"/>
        <w:rPr>
          <w:rFonts w:eastAsiaTheme="minorEastAsia" w:cstheme="minorBidi"/>
          <w:noProof/>
          <w:szCs w:val="22"/>
          <w:lang w:eastAsia="en-AU"/>
        </w:rPr>
      </w:pPr>
      <w:r w:rsidRPr="006C7B74">
        <w:rPr>
          <w:noProof/>
        </w:rPr>
        <w:t>Eastern Region</w:t>
      </w:r>
      <w:r w:rsidRPr="006C7B74">
        <w:rPr>
          <w:noProof/>
        </w:rPr>
        <w:tab/>
      </w:r>
      <w:r w:rsidRPr="006C7B74">
        <w:rPr>
          <w:noProof/>
        </w:rPr>
        <w:fldChar w:fldCharType="begin"/>
      </w:r>
      <w:r w:rsidRPr="006C7B74">
        <w:rPr>
          <w:noProof/>
        </w:rPr>
        <w:instrText xml:space="preserve"> PAGEREF _Toc21694827 \h </w:instrText>
      </w:r>
      <w:r w:rsidRPr="006C7B74">
        <w:rPr>
          <w:noProof/>
        </w:rPr>
      </w:r>
      <w:r w:rsidRPr="006C7B74">
        <w:rPr>
          <w:noProof/>
        </w:rPr>
        <w:fldChar w:fldCharType="separate"/>
      </w:r>
      <w:r w:rsidR="00273BCA">
        <w:rPr>
          <w:noProof/>
        </w:rPr>
        <w:t>68</w:t>
      </w:r>
      <w:r w:rsidRPr="006C7B74">
        <w:rPr>
          <w:noProof/>
        </w:rPr>
        <w:fldChar w:fldCharType="end"/>
      </w:r>
    </w:p>
    <w:p w14:paraId="70B4282C" w14:textId="74548EC0" w:rsidR="008F1310" w:rsidRPr="006C7B74" w:rsidRDefault="008F1310">
      <w:pPr>
        <w:pStyle w:val="TOC2"/>
        <w:tabs>
          <w:tab w:val="right" w:leader="dot" w:pos="9010"/>
        </w:tabs>
        <w:rPr>
          <w:rFonts w:eastAsiaTheme="minorEastAsia" w:cstheme="minorBidi"/>
          <w:noProof/>
          <w:szCs w:val="22"/>
          <w:lang w:eastAsia="en-AU"/>
        </w:rPr>
      </w:pPr>
      <w:r w:rsidRPr="006C7B74">
        <w:rPr>
          <w:noProof/>
        </w:rPr>
        <w:t>Regional snapshot</w:t>
      </w:r>
      <w:r w:rsidRPr="006C7B74">
        <w:rPr>
          <w:noProof/>
        </w:rPr>
        <w:tab/>
      </w:r>
      <w:r w:rsidRPr="006C7B74">
        <w:rPr>
          <w:noProof/>
        </w:rPr>
        <w:fldChar w:fldCharType="begin"/>
      </w:r>
      <w:r w:rsidRPr="006C7B74">
        <w:rPr>
          <w:noProof/>
        </w:rPr>
        <w:instrText xml:space="preserve"> PAGEREF _Toc21694828 \h </w:instrText>
      </w:r>
      <w:r w:rsidRPr="006C7B74">
        <w:rPr>
          <w:noProof/>
        </w:rPr>
      </w:r>
      <w:r w:rsidRPr="006C7B74">
        <w:rPr>
          <w:noProof/>
        </w:rPr>
        <w:fldChar w:fldCharType="separate"/>
      </w:r>
      <w:r w:rsidR="00273BCA">
        <w:rPr>
          <w:noProof/>
        </w:rPr>
        <w:t>68</w:t>
      </w:r>
      <w:r w:rsidRPr="006C7B74">
        <w:rPr>
          <w:noProof/>
        </w:rPr>
        <w:fldChar w:fldCharType="end"/>
      </w:r>
    </w:p>
    <w:p w14:paraId="4A76019E" w14:textId="60F25B87" w:rsidR="008F1310" w:rsidRPr="006C7B74" w:rsidRDefault="008F1310">
      <w:pPr>
        <w:pStyle w:val="TOC2"/>
        <w:tabs>
          <w:tab w:val="right" w:leader="dot" w:pos="9010"/>
        </w:tabs>
        <w:rPr>
          <w:rFonts w:eastAsiaTheme="minorEastAsia" w:cstheme="minorBidi"/>
          <w:noProof/>
          <w:szCs w:val="22"/>
          <w:lang w:eastAsia="en-AU"/>
        </w:rPr>
      </w:pPr>
      <w:r w:rsidRPr="006C7B74">
        <w:rPr>
          <w:noProof/>
        </w:rPr>
        <w:t>Key industrial and commercial areas</w:t>
      </w:r>
      <w:r w:rsidRPr="006C7B74">
        <w:rPr>
          <w:noProof/>
        </w:rPr>
        <w:tab/>
      </w:r>
      <w:r w:rsidRPr="006C7B74">
        <w:rPr>
          <w:noProof/>
        </w:rPr>
        <w:fldChar w:fldCharType="begin"/>
      </w:r>
      <w:r w:rsidRPr="006C7B74">
        <w:rPr>
          <w:noProof/>
        </w:rPr>
        <w:instrText xml:space="preserve"> PAGEREF _Toc21694829 \h </w:instrText>
      </w:r>
      <w:r w:rsidRPr="006C7B74">
        <w:rPr>
          <w:noProof/>
        </w:rPr>
      </w:r>
      <w:r w:rsidRPr="006C7B74">
        <w:rPr>
          <w:noProof/>
        </w:rPr>
        <w:fldChar w:fldCharType="separate"/>
      </w:r>
      <w:r w:rsidR="00273BCA">
        <w:rPr>
          <w:noProof/>
        </w:rPr>
        <w:t>70</w:t>
      </w:r>
      <w:r w:rsidRPr="006C7B74">
        <w:rPr>
          <w:noProof/>
        </w:rPr>
        <w:fldChar w:fldCharType="end"/>
      </w:r>
    </w:p>
    <w:p w14:paraId="2C28D7F3" w14:textId="5260C738" w:rsidR="008F1310" w:rsidRPr="006C7B74" w:rsidRDefault="008F1310">
      <w:pPr>
        <w:pStyle w:val="TOC2"/>
        <w:tabs>
          <w:tab w:val="right" w:leader="dot" w:pos="9010"/>
        </w:tabs>
        <w:rPr>
          <w:rFonts w:eastAsiaTheme="minorEastAsia" w:cstheme="minorBidi"/>
          <w:noProof/>
          <w:szCs w:val="22"/>
          <w:lang w:eastAsia="en-AU"/>
        </w:rPr>
      </w:pPr>
      <w:r w:rsidRPr="006C7B74">
        <w:rPr>
          <w:noProof/>
        </w:rPr>
        <w:t>Supply and demand for industrial and commercial land across the region</w:t>
      </w:r>
      <w:r w:rsidRPr="006C7B74">
        <w:rPr>
          <w:noProof/>
        </w:rPr>
        <w:tab/>
      </w:r>
      <w:r w:rsidRPr="006C7B74">
        <w:rPr>
          <w:noProof/>
        </w:rPr>
        <w:fldChar w:fldCharType="begin"/>
      </w:r>
      <w:r w:rsidRPr="006C7B74">
        <w:rPr>
          <w:noProof/>
        </w:rPr>
        <w:instrText xml:space="preserve"> PAGEREF _Toc21694830 \h </w:instrText>
      </w:r>
      <w:r w:rsidRPr="006C7B74">
        <w:rPr>
          <w:noProof/>
        </w:rPr>
      </w:r>
      <w:r w:rsidRPr="006C7B74">
        <w:rPr>
          <w:noProof/>
        </w:rPr>
        <w:fldChar w:fldCharType="separate"/>
      </w:r>
      <w:r w:rsidR="00273BCA">
        <w:rPr>
          <w:noProof/>
        </w:rPr>
        <w:t>71</w:t>
      </w:r>
      <w:r w:rsidRPr="006C7B74">
        <w:rPr>
          <w:noProof/>
        </w:rPr>
        <w:fldChar w:fldCharType="end"/>
      </w:r>
    </w:p>
    <w:p w14:paraId="35F15F0B" w14:textId="319EF07E" w:rsidR="008F1310" w:rsidRPr="006C7B74" w:rsidRDefault="008F1310">
      <w:pPr>
        <w:pStyle w:val="TOC2"/>
        <w:tabs>
          <w:tab w:val="right" w:leader="dot" w:pos="9010"/>
        </w:tabs>
        <w:rPr>
          <w:rFonts w:eastAsiaTheme="minorEastAsia" w:cstheme="minorBidi"/>
          <w:noProof/>
          <w:szCs w:val="22"/>
          <w:lang w:eastAsia="en-AU"/>
        </w:rPr>
      </w:pPr>
      <w:r w:rsidRPr="006C7B74">
        <w:rPr>
          <w:noProof/>
        </w:rPr>
        <w:t>Planning framework for industrial and commercial land across the region</w:t>
      </w:r>
      <w:r w:rsidRPr="006C7B74">
        <w:rPr>
          <w:noProof/>
        </w:rPr>
        <w:tab/>
      </w:r>
      <w:r w:rsidRPr="006C7B74">
        <w:rPr>
          <w:noProof/>
        </w:rPr>
        <w:fldChar w:fldCharType="begin"/>
      </w:r>
      <w:r w:rsidRPr="006C7B74">
        <w:rPr>
          <w:noProof/>
        </w:rPr>
        <w:instrText xml:space="preserve"> PAGEREF _Toc21694831 \h </w:instrText>
      </w:r>
      <w:r w:rsidRPr="006C7B74">
        <w:rPr>
          <w:noProof/>
        </w:rPr>
      </w:r>
      <w:r w:rsidRPr="006C7B74">
        <w:rPr>
          <w:noProof/>
        </w:rPr>
        <w:fldChar w:fldCharType="separate"/>
      </w:r>
      <w:r w:rsidR="00273BCA">
        <w:rPr>
          <w:noProof/>
        </w:rPr>
        <w:t>75</w:t>
      </w:r>
      <w:r w:rsidRPr="006C7B74">
        <w:rPr>
          <w:noProof/>
        </w:rPr>
        <w:fldChar w:fldCharType="end"/>
      </w:r>
    </w:p>
    <w:p w14:paraId="07D7F3B4" w14:textId="0400EA68" w:rsidR="008F1310" w:rsidRPr="006C7B74" w:rsidRDefault="008F1310">
      <w:pPr>
        <w:pStyle w:val="TOC1"/>
        <w:rPr>
          <w:rFonts w:eastAsiaTheme="minorEastAsia" w:cstheme="minorBidi"/>
          <w:noProof/>
          <w:szCs w:val="22"/>
          <w:lang w:eastAsia="en-AU"/>
        </w:rPr>
      </w:pPr>
      <w:r w:rsidRPr="006C7B74">
        <w:rPr>
          <w:noProof/>
        </w:rPr>
        <w:t>Southern Region</w:t>
      </w:r>
      <w:r w:rsidRPr="006C7B74">
        <w:rPr>
          <w:noProof/>
        </w:rPr>
        <w:tab/>
      </w:r>
      <w:r w:rsidRPr="006C7B74">
        <w:rPr>
          <w:noProof/>
        </w:rPr>
        <w:fldChar w:fldCharType="begin"/>
      </w:r>
      <w:r w:rsidRPr="006C7B74">
        <w:rPr>
          <w:noProof/>
        </w:rPr>
        <w:instrText xml:space="preserve"> PAGEREF _Toc21694832 \h </w:instrText>
      </w:r>
      <w:r w:rsidRPr="006C7B74">
        <w:rPr>
          <w:noProof/>
        </w:rPr>
      </w:r>
      <w:r w:rsidRPr="006C7B74">
        <w:rPr>
          <w:noProof/>
        </w:rPr>
        <w:fldChar w:fldCharType="separate"/>
      </w:r>
      <w:r w:rsidR="00273BCA">
        <w:rPr>
          <w:noProof/>
        </w:rPr>
        <w:t>77</w:t>
      </w:r>
      <w:r w:rsidRPr="006C7B74">
        <w:rPr>
          <w:noProof/>
        </w:rPr>
        <w:fldChar w:fldCharType="end"/>
      </w:r>
    </w:p>
    <w:p w14:paraId="02ACF78B" w14:textId="0F3CAE2F" w:rsidR="008F1310" w:rsidRPr="006C7B74" w:rsidRDefault="008F1310">
      <w:pPr>
        <w:pStyle w:val="TOC2"/>
        <w:tabs>
          <w:tab w:val="right" w:leader="dot" w:pos="9010"/>
        </w:tabs>
        <w:rPr>
          <w:rFonts w:eastAsiaTheme="minorEastAsia" w:cstheme="minorBidi"/>
          <w:noProof/>
          <w:szCs w:val="22"/>
          <w:lang w:eastAsia="en-AU"/>
        </w:rPr>
      </w:pPr>
      <w:r w:rsidRPr="006C7B74">
        <w:rPr>
          <w:noProof/>
        </w:rPr>
        <w:t>Regional snapshot</w:t>
      </w:r>
      <w:r w:rsidRPr="006C7B74">
        <w:rPr>
          <w:noProof/>
        </w:rPr>
        <w:tab/>
      </w:r>
      <w:r w:rsidRPr="006C7B74">
        <w:rPr>
          <w:noProof/>
        </w:rPr>
        <w:fldChar w:fldCharType="begin"/>
      </w:r>
      <w:r w:rsidRPr="006C7B74">
        <w:rPr>
          <w:noProof/>
        </w:rPr>
        <w:instrText xml:space="preserve"> PAGEREF _Toc21694833 \h </w:instrText>
      </w:r>
      <w:r w:rsidRPr="006C7B74">
        <w:rPr>
          <w:noProof/>
        </w:rPr>
      </w:r>
      <w:r w:rsidRPr="006C7B74">
        <w:rPr>
          <w:noProof/>
        </w:rPr>
        <w:fldChar w:fldCharType="separate"/>
      </w:r>
      <w:r w:rsidR="00273BCA">
        <w:rPr>
          <w:noProof/>
        </w:rPr>
        <w:t>77</w:t>
      </w:r>
      <w:r w:rsidRPr="006C7B74">
        <w:rPr>
          <w:noProof/>
        </w:rPr>
        <w:fldChar w:fldCharType="end"/>
      </w:r>
    </w:p>
    <w:p w14:paraId="40A136FC" w14:textId="7828EE06" w:rsidR="008F1310" w:rsidRPr="006C7B74" w:rsidRDefault="008F1310">
      <w:pPr>
        <w:pStyle w:val="TOC2"/>
        <w:tabs>
          <w:tab w:val="right" w:leader="dot" w:pos="9010"/>
        </w:tabs>
        <w:rPr>
          <w:rFonts w:eastAsiaTheme="minorEastAsia" w:cstheme="minorBidi"/>
          <w:noProof/>
          <w:szCs w:val="22"/>
          <w:lang w:eastAsia="en-AU"/>
        </w:rPr>
      </w:pPr>
      <w:r w:rsidRPr="006C7B74">
        <w:rPr>
          <w:noProof/>
        </w:rPr>
        <w:t>Key industrial and commercial areas</w:t>
      </w:r>
      <w:r w:rsidRPr="006C7B74">
        <w:rPr>
          <w:noProof/>
        </w:rPr>
        <w:tab/>
      </w:r>
      <w:r w:rsidRPr="006C7B74">
        <w:rPr>
          <w:noProof/>
        </w:rPr>
        <w:fldChar w:fldCharType="begin"/>
      </w:r>
      <w:r w:rsidRPr="006C7B74">
        <w:rPr>
          <w:noProof/>
        </w:rPr>
        <w:instrText xml:space="preserve"> PAGEREF _Toc21694834 \h </w:instrText>
      </w:r>
      <w:r w:rsidRPr="006C7B74">
        <w:rPr>
          <w:noProof/>
        </w:rPr>
      </w:r>
      <w:r w:rsidRPr="006C7B74">
        <w:rPr>
          <w:noProof/>
        </w:rPr>
        <w:fldChar w:fldCharType="separate"/>
      </w:r>
      <w:r w:rsidR="00273BCA">
        <w:rPr>
          <w:noProof/>
        </w:rPr>
        <w:t>79</w:t>
      </w:r>
      <w:r w:rsidRPr="006C7B74">
        <w:rPr>
          <w:noProof/>
        </w:rPr>
        <w:fldChar w:fldCharType="end"/>
      </w:r>
    </w:p>
    <w:p w14:paraId="03C730D4" w14:textId="21642A81" w:rsidR="008F1310" w:rsidRPr="006C7B74" w:rsidRDefault="008F1310">
      <w:pPr>
        <w:pStyle w:val="TOC2"/>
        <w:tabs>
          <w:tab w:val="right" w:leader="dot" w:pos="9010"/>
        </w:tabs>
        <w:rPr>
          <w:rFonts w:eastAsiaTheme="minorEastAsia" w:cstheme="minorBidi"/>
          <w:noProof/>
          <w:szCs w:val="22"/>
          <w:lang w:eastAsia="en-AU"/>
        </w:rPr>
      </w:pPr>
      <w:r w:rsidRPr="006C7B74">
        <w:rPr>
          <w:noProof/>
        </w:rPr>
        <w:t>Supply and demand for industrial and commercial land across the region</w:t>
      </w:r>
      <w:r w:rsidRPr="006C7B74">
        <w:rPr>
          <w:noProof/>
        </w:rPr>
        <w:tab/>
      </w:r>
      <w:r w:rsidRPr="006C7B74">
        <w:rPr>
          <w:noProof/>
        </w:rPr>
        <w:fldChar w:fldCharType="begin"/>
      </w:r>
      <w:r w:rsidRPr="006C7B74">
        <w:rPr>
          <w:noProof/>
        </w:rPr>
        <w:instrText xml:space="preserve"> PAGEREF _Toc21694835 \h </w:instrText>
      </w:r>
      <w:r w:rsidRPr="006C7B74">
        <w:rPr>
          <w:noProof/>
        </w:rPr>
      </w:r>
      <w:r w:rsidRPr="006C7B74">
        <w:rPr>
          <w:noProof/>
        </w:rPr>
        <w:fldChar w:fldCharType="separate"/>
      </w:r>
      <w:r w:rsidR="00273BCA">
        <w:rPr>
          <w:noProof/>
        </w:rPr>
        <w:t>81</w:t>
      </w:r>
      <w:r w:rsidRPr="006C7B74">
        <w:rPr>
          <w:noProof/>
        </w:rPr>
        <w:fldChar w:fldCharType="end"/>
      </w:r>
    </w:p>
    <w:p w14:paraId="0BA8DFE1" w14:textId="3C36E7DE" w:rsidR="008F1310" w:rsidRPr="006C7B74" w:rsidRDefault="008F1310">
      <w:pPr>
        <w:pStyle w:val="TOC2"/>
        <w:tabs>
          <w:tab w:val="right" w:leader="dot" w:pos="9010"/>
        </w:tabs>
        <w:rPr>
          <w:rFonts w:eastAsiaTheme="minorEastAsia" w:cstheme="minorBidi"/>
          <w:noProof/>
          <w:szCs w:val="22"/>
          <w:lang w:eastAsia="en-AU"/>
        </w:rPr>
      </w:pPr>
      <w:r w:rsidRPr="006C7B74">
        <w:rPr>
          <w:noProof/>
        </w:rPr>
        <w:t>Planning framework for industrial and commercial land across the region</w:t>
      </w:r>
      <w:r w:rsidRPr="006C7B74">
        <w:rPr>
          <w:noProof/>
        </w:rPr>
        <w:tab/>
      </w:r>
      <w:r w:rsidRPr="006C7B74">
        <w:rPr>
          <w:noProof/>
        </w:rPr>
        <w:fldChar w:fldCharType="begin"/>
      </w:r>
      <w:r w:rsidRPr="006C7B74">
        <w:rPr>
          <w:noProof/>
        </w:rPr>
        <w:instrText xml:space="preserve"> PAGEREF _Toc21694836 \h </w:instrText>
      </w:r>
      <w:r w:rsidRPr="006C7B74">
        <w:rPr>
          <w:noProof/>
        </w:rPr>
      </w:r>
      <w:r w:rsidRPr="006C7B74">
        <w:rPr>
          <w:noProof/>
        </w:rPr>
        <w:fldChar w:fldCharType="separate"/>
      </w:r>
      <w:r w:rsidR="00273BCA">
        <w:rPr>
          <w:noProof/>
        </w:rPr>
        <w:t>86</w:t>
      </w:r>
      <w:r w:rsidRPr="006C7B74">
        <w:rPr>
          <w:noProof/>
        </w:rPr>
        <w:fldChar w:fldCharType="end"/>
      </w:r>
    </w:p>
    <w:p w14:paraId="68A16A51" w14:textId="79D00B0A" w:rsidR="008F1310" w:rsidRPr="006C7B74" w:rsidRDefault="008F1310">
      <w:pPr>
        <w:pStyle w:val="TOC1"/>
        <w:rPr>
          <w:rFonts w:eastAsiaTheme="minorEastAsia" w:cstheme="minorBidi"/>
          <w:noProof/>
          <w:szCs w:val="22"/>
          <w:lang w:eastAsia="en-AU"/>
        </w:rPr>
      </w:pPr>
      <w:r w:rsidRPr="006C7B74">
        <w:rPr>
          <w:noProof/>
        </w:rPr>
        <w:t>Inner South East Region</w:t>
      </w:r>
      <w:r w:rsidRPr="006C7B74">
        <w:rPr>
          <w:noProof/>
        </w:rPr>
        <w:tab/>
      </w:r>
      <w:r w:rsidRPr="006C7B74">
        <w:rPr>
          <w:noProof/>
        </w:rPr>
        <w:fldChar w:fldCharType="begin"/>
      </w:r>
      <w:r w:rsidRPr="006C7B74">
        <w:rPr>
          <w:noProof/>
        </w:rPr>
        <w:instrText xml:space="preserve"> PAGEREF _Toc21694837 \h </w:instrText>
      </w:r>
      <w:r w:rsidRPr="006C7B74">
        <w:rPr>
          <w:noProof/>
        </w:rPr>
      </w:r>
      <w:r w:rsidRPr="006C7B74">
        <w:rPr>
          <w:noProof/>
        </w:rPr>
        <w:fldChar w:fldCharType="separate"/>
      </w:r>
      <w:r w:rsidR="00273BCA">
        <w:rPr>
          <w:noProof/>
        </w:rPr>
        <w:t>88</w:t>
      </w:r>
      <w:r w:rsidRPr="006C7B74">
        <w:rPr>
          <w:noProof/>
        </w:rPr>
        <w:fldChar w:fldCharType="end"/>
      </w:r>
    </w:p>
    <w:p w14:paraId="13788C61" w14:textId="06279BE9" w:rsidR="008F1310" w:rsidRPr="006C7B74" w:rsidRDefault="008F1310">
      <w:pPr>
        <w:pStyle w:val="TOC2"/>
        <w:tabs>
          <w:tab w:val="right" w:leader="dot" w:pos="9010"/>
        </w:tabs>
        <w:rPr>
          <w:rFonts w:eastAsiaTheme="minorEastAsia" w:cstheme="minorBidi"/>
          <w:noProof/>
          <w:szCs w:val="22"/>
          <w:lang w:eastAsia="en-AU"/>
        </w:rPr>
      </w:pPr>
      <w:r w:rsidRPr="006C7B74">
        <w:rPr>
          <w:noProof/>
        </w:rPr>
        <w:t>Regional snapshot</w:t>
      </w:r>
      <w:r w:rsidRPr="006C7B74">
        <w:rPr>
          <w:noProof/>
        </w:rPr>
        <w:tab/>
      </w:r>
      <w:r w:rsidRPr="006C7B74">
        <w:rPr>
          <w:noProof/>
        </w:rPr>
        <w:fldChar w:fldCharType="begin"/>
      </w:r>
      <w:r w:rsidRPr="006C7B74">
        <w:rPr>
          <w:noProof/>
        </w:rPr>
        <w:instrText xml:space="preserve"> PAGEREF _Toc21694838 \h </w:instrText>
      </w:r>
      <w:r w:rsidRPr="006C7B74">
        <w:rPr>
          <w:noProof/>
        </w:rPr>
      </w:r>
      <w:r w:rsidRPr="006C7B74">
        <w:rPr>
          <w:noProof/>
        </w:rPr>
        <w:fldChar w:fldCharType="separate"/>
      </w:r>
      <w:r w:rsidR="00273BCA">
        <w:rPr>
          <w:noProof/>
        </w:rPr>
        <w:t>88</w:t>
      </w:r>
      <w:r w:rsidRPr="006C7B74">
        <w:rPr>
          <w:noProof/>
        </w:rPr>
        <w:fldChar w:fldCharType="end"/>
      </w:r>
    </w:p>
    <w:p w14:paraId="12AE2EBF" w14:textId="465C18C9" w:rsidR="008F1310" w:rsidRPr="006C7B74" w:rsidRDefault="008F1310">
      <w:pPr>
        <w:pStyle w:val="TOC2"/>
        <w:tabs>
          <w:tab w:val="right" w:leader="dot" w:pos="9010"/>
        </w:tabs>
        <w:rPr>
          <w:rFonts w:eastAsiaTheme="minorEastAsia" w:cstheme="minorBidi"/>
          <w:noProof/>
          <w:szCs w:val="22"/>
          <w:lang w:eastAsia="en-AU"/>
        </w:rPr>
      </w:pPr>
      <w:r w:rsidRPr="006C7B74">
        <w:rPr>
          <w:noProof/>
        </w:rPr>
        <w:t>Key industrial and commercial areas</w:t>
      </w:r>
      <w:r w:rsidRPr="006C7B74">
        <w:rPr>
          <w:noProof/>
        </w:rPr>
        <w:tab/>
      </w:r>
      <w:r w:rsidRPr="006C7B74">
        <w:rPr>
          <w:noProof/>
        </w:rPr>
        <w:fldChar w:fldCharType="begin"/>
      </w:r>
      <w:r w:rsidRPr="006C7B74">
        <w:rPr>
          <w:noProof/>
        </w:rPr>
        <w:instrText xml:space="preserve"> PAGEREF _Toc21694839 \h </w:instrText>
      </w:r>
      <w:r w:rsidRPr="006C7B74">
        <w:rPr>
          <w:noProof/>
        </w:rPr>
      </w:r>
      <w:r w:rsidRPr="006C7B74">
        <w:rPr>
          <w:noProof/>
        </w:rPr>
        <w:fldChar w:fldCharType="separate"/>
      </w:r>
      <w:r w:rsidR="00273BCA">
        <w:rPr>
          <w:noProof/>
        </w:rPr>
        <w:t>90</w:t>
      </w:r>
      <w:r w:rsidRPr="006C7B74">
        <w:rPr>
          <w:noProof/>
        </w:rPr>
        <w:fldChar w:fldCharType="end"/>
      </w:r>
    </w:p>
    <w:p w14:paraId="3F441022" w14:textId="7D3F297F" w:rsidR="008F1310" w:rsidRPr="006C7B74" w:rsidRDefault="008F1310">
      <w:pPr>
        <w:pStyle w:val="TOC2"/>
        <w:tabs>
          <w:tab w:val="right" w:leader="dot" w:pos="9010"/>
        </w:tabs>
        <w:rPr>
          <w:rFonts w:eastAsiaTheme="minorEastAsia" w:cstheme="minorBidi"/>
          <w:noProof/>
          <w:szCs w:val="22"/>
          <w:lang w:eastAsia="en-AU"/>
        </w:rPr>
      </w:pPr>
      <w:r w:rsidRPr="006C7B74">
        <w:rPr>
          <w:noProof/>
        </w:rPr>
        <w:t>Supply and demand for industrial and commercial land across the region</w:t>
      </w:r>
      <w:r w:rsidRPr="006C7B74">
        <w:rPr>
          <w:noProof/>
        </w:rPr>
        <w:tab/>
      </w:r>
      <w:r w:rsidRPr="006C7B74">
        <w:rPr>
          <w:noProof/>
        </w:rPr>
        <w:fldChar w:fldCharType="begin"/>
      </w:r>
      <w:r w:rsidRPr="006C7B74">
        <w:rPr>
          <w:noProof/>
        </w:rPr>
        <w:instrText xml:space="preserve"> PAGEREF _Toc21694840 \h </w:instrText>
      </w:r>
      <w:r w:rsidRPr="006C7B74">
        <w:rPr>
          <w:noProof/>
        </w:rPr>
      </w:r>
      <w:r w:rsidRPr="006C7B74">
        <w:rPr>
          <w:noProof/>
        </w:rPr>
        <w:fldChar w:fldCharType="separate"/>
      </w:r>
      <w:r w:rsidR="00273BCA">
        <w:rPr>
          <w:noProof/>
        </w:rPr>
        <w:t>90</w:t>
      </w:r>
      <w:r w:rsidRPr="006C7B74">
        <w:rPr>
          <w:noProof/>
        </w:rPr>
        <w:fldChar w:fldCharType="end"/>
      </w:r>
    </w:p>
    <w:p w14:paraId="312BAB6A" w14:textId="46F1071B" w:rsidR="008F1310" w:rsidRPr="006C7B74" w:rsidRDefault="008F1310">
      <w:pPr>
        <w:pStyle w:val="TOC2"/>
        <w:tabs>
          <w:tab w:val="right" w:leader="dot" w:pos="9010"/>
        </w:tabs>
        <w:rPr>
          <w:rFonts w:eastAsiaTheme="minorEastAsia" w:cstheme="minorBidi"/>
          <w:noProof/>
          <w:szCs w:val="22"/>
          <w:lang w:eastAsia="en-AU"/>
        </w:rPr>
      </w:pPr>
      <w:r w:rsidRPr="006C7B74">
        <w:rPr>
          <w:noProof/>
        </w:rPr>
        <w:t>Planning framework for industrial and commercial land across the region</w:t>
      </w:r>
      <w:r w:rsidRPr="006C7B74">
        <w:rPr>
          <w:noProof/>
        </w:rPr>
        <w:tab/>
      </w:r>
      <w:r w:rsidRPr="006C7B74">
        <w:rPr>
          <w:noProof/>
        </w:rPr>
        <w:fldChar w:fldCharType="begin"/>
      </w:r>
      <w:r w:rsidRPr="006C7B74">
        <w:rPr>
          <w:noProof/>
        </w:rPr>
        <w:instrText xml:space="preserve"> PAGEREF _Toc21694841 \h </w:instrText>
      </w:r>
      <w:r w:rsidRPr="006C7B74">
        <w:rPr>
          <w:noProof/>
        </w:rPr>
      </w:r>
      <w:r w:rsidRPr="006C7B74">
        <w:rPr>
          <w:noProof/>
        </w:rPr>
        <w:fldChar w:fldCharType="separate"/>
      </w:r>
      <w:r w:rsidR="00273BCA">
        <w:rPr>
          <w:noProof/>
        </w:rPr>
        <w:t>94</w:t>
      </w:r>
      <w:r w:rsidRPr="006C7B74">
        <w:rPr>
          <w:noProof/>
        </w:rPr>
        <w:fldChar w:fldCharType="end"/>
      </w:r>
    </w:p>
    <w:p w14:paraId="735BCAC9" w14:textId="5259CED6" w:rsidR="008F1310" w:rsidRPr="006C7B74" w:rsidRDefault="008F1310">
      <w:pPr>
        <w:pStyle w:val="TOC1"/>
        <w:rPr>
          <w:rFonts w:eastAsiaTheme="minorEastAsia" w:cstheme="minorBidi"/>
          <w:noProof/>
          <w:szCs w:val="22"/>
          <w:lang w:eastAsia="en-AU"/>
        </w:rPr>
      </w:pPr>
      <w:r w:rsidRPr="006C7B74">
        <w:rPr>
          <w:noProof/>
        </w:rPr>
        <w:t>APPENDICES</w:t>
      </w:r>
      <w:r w:rsidRPr="006C7B74">
        <w:rPr>
          <w:noProof/>
        </w:rPr>
        <w:tab/>
      </w:r>
      <w:r w:rsidRPr="006C7B74">
        <w:rPr>
          <w:noProof/>
        </w:rPr>
        <w:fldChar w:fldCharType="begin"/>
      </w:r>
      <w:r w:rsidRPr="006C7B74">
        <w:rPr>
          <w:noProof/>
        </w:rPr>
        <w:instrText xml:space="preserve"> PAGEREF _Toc21694842 \h </w:instrText>
      </w:r>
      <w:r w:rsidRPr="006C7B74">
        <w:rPr>
          <w:noProof/>
        </w:rPr>
      </w:r>
      <w:r w:rsidRPr="006C7B74">
        <w:rPr>
          <w:noProof/>
        </w:rPr>
        <w:fldChar w:fldCharType="separate"/>
      </w:r>
      <w:r w:rsidR="00273BCA">
        <w:rPr>
          <w:noProof/>
        </w:rPr>
        <w:t>96</w:t>
      </w:r>
      <w:r w:rsidRPr="006C7B74">
        <w:rPr>
          <w:noProof/>
        </w:rPr>
        <w:fldChar w:fldCharType="end"/>
      </w:r>
    </w:p>
    <w:p w14:paraId="237F7396" w14:textId="4D737CDA" w:rsidR="008F1310" w:rsidRPr="006C7B74" w:rsidRDefault="008F1310">
      <w:pPr>
        <w:pStyle w:val="TOC2"/>
        <w:tabs>
          <w:tab w:val="right" w:leader="dot" w:pos="9010"/>
        </w:tabs>
        <w:rPr>
          <w:rFonts w:eastAsiaTheme="minorEastAsia" w:cstheme="minorBidi"/>
          <w:noProof/>
          <w:szCs w:val="22"/>
          <w:lang w:eastAsia="en-AU"/>
        </w:rPr>
      </w:pPr>
      <w:r w:rsidRPr="006C7B74">
        <w:rPr>
          <w:noProof/>
        </w:rPr>
        <w:t>Appendix 1 – Methodology</w:t>
      </w:r>
      <w:r w:rsidRPr="006C7B74">
        <w:rPr>
          <w:noProof/>
        </w:rPr>
        <w:tab/>
      </w:r>
      <w:r w:rsidRPr="006C7B74">
        <w:rPr>
          <w:noProof/>
        </w:rPr>
        <w:fldChar w:fldCharType="begin"/>
      </w:r>
      <w:r w:rsidRPr="006C7B74">
        <w:rPr>
          <w:noProof/>
        </w:rPr>
        <w:instrText xml:space="preserve"> PAGEREF _Toc21694843 \h </w:instrText>
      </w:r>
      <w:r w:rsidRPr="006C7B74">
        <w:rPr>
          <w:noProof/>
        </w:rPr>
      </w:r>
      <w:r w:rsidRPr="006C7B74">
        <w:rPr>
          <w:noProof/>
        </w:rPr>
        <w:fldChar w:fldCharType="separate"/>
      </w:r>
      <w:r w:rsidR="00273BCA">
        <w:rPr>
          <w:noProof/>
        </w:rPr>
        <w:t>97</w:t>
      </w:r>
      <w:r w:rsidRPr="006C7B74">
        <w:rPr>
          <w:noProof/>
        </w:rPr>
        <w:fldChar w:fldCharType="end"/>
      </w:r>
    </w:p>
    <w:p w14:paraId="6B8210FD" w14:textId="52D2D4D6" w:rsidR="008F1310" w:rsidRPr="006C7B74" w:rsidRDefault="008F1310">
      <w:pPr>
        <w:pStyle w:val="TOC2"/>
        <w:tabs>
          <w:tab w:val="right" w:leader="dot" w:pos="9010"/>
        </w:tabs>
        <w:rPr>
          <w:rFonts w:eastAsiaTheme="minorEastAsia" w:cstheme="minorBidi"/>
          <w:noProof/>
          <w:szCs w:val="22"/>
          <w:lang w:eastAsia="en-AU"/>
        </w:rPr>
      </w:pPr>
      <w:r w:rsidRPr="006C7B74">
        <w:rPr>
          <w:noProof/>
        </w:rPr>
        <w:t>Appendix 2 – Developing local industrial land use strategies</w:t>
      </w:r>
      <w:r w:rsidRPr="006C7B74">
        <w:rPr>
          <w:noProof/>
        </w:rPr>
        <w:tab/>
      </w:r>
      <w:r w:rsidRPr="006C7B74">
        <w:rPr>
          <w:noProof/>
        </w:rPr>
        <w:fldChar w:fldCharType="begin"/>
      </w:r>
      <w:r w:rsidRPr="006C7B74">
        <w:rPr>
          <w:noProof/>
        </w:rPr>
        <w:instrText xml:space="preserve"> PAGEREF _Toc21694844 \h </w:instrText>
      </w:r>
      <w:r w:rsidRPr="006C7B74">
        <w:rPr>
          <w:noProof/>
        </w:rPr>
      </w:r>
      <w:r w:rsidRPr="006C7B74">
        <w:rPr>
          <w:noProof/>
        </w:rPr>
        <w:fldChar w:fldCharType="separate"/>
      </w:r>
      <w:r w:rsidR="00273BCA">
        <w:rPr>
          <w:noProof/>
        </w:rPr>
        <w:t>99</w:t>
      </w:r>
      <w:r w:rsidRPr="006C7B74">
        <w:rPr>
          <w:noProof/>
        </w:rPr>
        <w:fldChar w:fldCharType="end"/>
      </w:r>
    </w:p>
    <w:p w14:paraId="77D2AF65" w14:textId="01BE9DA5" w:rsidR="008F1310" w:rsidRPr="006C7B74" w:rsidRDefault="008F1310">
      <w:pPr>
        <w:pStyle w:val="TOC2"/>
        <w:tabs>
          <w:tab w:val="right" w:leader="dot" w:pos="9010"/>
        </w:tabs>
        <w:rPr>
          <w:rFonts w:eastAsiaTheme="minorEastAsia" w:cstheme="minorBidi"/>
          <w:noProof/>
          <w:szCs w:val="22"/>
          <w:lang w:eastAsia="en-AU"/>
        </w:rPr>
      </w:pPr>
      <w:r w:rsidRPr="006C7B74">
        <w:rPr>
          <w:noProof/>
        </w:rPr>
        <w:t>Appendix 3 – Glossary</w:t>
      </w:r>
      <w:r w:rsidRPr="006C7B74">
        <w:rPr>
          <w:noProof/>
        </w:rPr>
        <w:tab/>
      </w:r>
      <w:r w:rsidRPr="006C7B74">
        <w:rPr>
          <w:noProof/>
        </w:rPr>
        <w:fldChar w:fldCharType="begin"/>
      </w:r>
      <w:r w:rsidRPr="006C7B74">
        <w:rPr>
          <w:noProof/>
        </w:rPr>
        <w:instrText xml:space="preserve"> PAGEREF _Toc21694845 \h </w:instrText>
      </w:r>
      <w:r w:rsidRPr="006C7B74">
        <w:rPr>
          <w:noProof/>
        </w:rPr>
      </w:r>
      <w:r w:rsidRPr="006C7B74">
        <w:rPr>
          <w:noProof/>
        </w:rPr>
        <w:fldChar w:fldCharType="separate"/>
      </w:r>
      <w:r w:rsidR="00273BCA">
        <w:rPr>
          <w:noProof/>
        </w:rPr>
        <w:t>100</w:t>
      </w:r>
      <w:r w:rsidRPr="006C7B74">
        <w:rPr>
          <w:noProof/>
        </w:rPr>
        <w:fldChar w:fldCharType="end"/>
      </w:r>
    </w:p>
    <w:p w14:paraId="5EA203E6" w14:textId="7B7F8D32" w:rsidR="005A3091" w:rsidRPr="006C7B74" w:rsidRDefault="00082906" w:rsidP="00934C4D">
      <w:pPr>
        <w:spacing w:after="120"/>
        <w:rPr>
          <w:rFonts w:cstheme="minorHAnsi"/>
        </w:rPr>
      </w:pPr>
      <w:r w:rsidRPr="006C7B74">
        <w:rPr>
          <w:rFonts w:cstheme="minorHAnsi"/>
          <w:sz w:val="20"/>
          <w:szCs w:val="20"/>
        </w:rPr>
        <w:fldChar w:fldCharType="end"/>
      </w:r>
    </w:p>
    <w:p w14:paraId="087C7882" w14:textId="77777777" w:rsidR="00EA5F8E" w:rsidRPr="006C7B74" w:rsidRDefault="00EA5F8E" w:rsidP="00934C4D">
      <w:pPr>
        <w:spacing w:after="120"/>
        <w:rPr>
          <w:rFonts w:cstheme="minorHAnsi"/>
        </w:rPr>
      </w:pPr>
    </w:p>
    <w:p w14:paraId="2A27C08F" w14:textId="77777777" w:rsidR="003F4B95" w:rsidRPr="006C7B74" w:rsidRDefault="003F4B95" w:rsidP="00934C4D">
      <w:pPr>
        <w:pStyle w:val="Heading1"/>
        <w:spacing w:before="0"/>
        <w:rPr>
          <w:rFonts w:asciiTheme="minorHAnsi" w:hAnsiTheme="minorHAnsi" w:cstheme="minorHAnsi"/>
        </w:rPr>
        <w:sectPr w:rsidR="003F4B95" w:rsidRPr="006C7B74" w:rsidSect="00153967">
          <w:headerReference w:type="default" r:id="rId18"/>
          <w:footerReference w:type="even" r:id="rId19"/>
          <w:footerReference w:type="default" r:id="rId20"/>
          <w:headerReference w:type="first" r:id="rId21"/>
          <w:footerReference w:type="first" r:id="rId22"/>
          <w:pgSz w:w="11900" w:h="16840"/>
          <w:pgMar w:top="1440" w:right="1440" w:bottom="1440" w:left="1440" w:header="708" w:footer="708" w:gutter="0"/>
          <w:pgNumType w:fmt="lowerRoman" w:start="1"/>
          <w:cols w:space="708"/>
          <w:titlePg/>
          <w:docGrid w:linePitch="360"/>
        </w:sectPr>
      </w:pPr>
    </w:p>
    <w:p w14:paraId="0213576A" w14:textId="77777777" w:rsidR="00C31ECA" w:rsidRPr="00BF6B16" w:rsidRDefault="00C31ECA" w:rsidP="00BF6B16">
      <w:pPr>
        <w:pStyle w:val="Heading1"/>
      </w:pPr>
      <w:bookmarkStart w:id="1" w:name="_Toc12960589"/>
      <w:bookmarkStart w:id="2" w:name="_Toc21694791"/>
      <w:r w:rsidRPr="00BF6B16">
        <w:lastRenderedPageBreak/>
        <w:t>Executive Summary</w:t>
      </w:r>
      <w:bookmarkEnd w:id="1"/>
      <w:bookmarkEnd w:id="2"/>
    </w:p>
    <w:p w14:paraId="72CCD087" w14:textId="77777777" w:rsidR="00892599" w:rsidRPr="006C7B74" w:rsidRDefault="00892599" w:rsidP="00892599">
      <w:pPr>
        <w:pStyle w:val="BodyText"/>
        <w:spacing w:before="0" w:line="240" w:lineRule="auto"/>
      </w:pPr>
      <w:r w:rsidRPr="006C7B74">
        <w:t xml:space="preserve">The Victorian Government is committed to ensuring policies and strategies are in place to improve economic performance and productivity in order to contribute to improved living standards for all Victorians. </w:t>
      </w:r>
    </w:p>
    <w:p w14:paraId="1C581510" w14:textId="1996EFDE" w:rsidR="00CB2109" w:rsidRPr="006C7B74" w:rsidRDefault="00892599" w:rsidP="00892599">
      <w:pPr>
        <w:pStyle w:val="BodyText"/>
        <w:spacing w:before="0" w:line="240" w:lineRule="auto"/>
      </w:pPr>
      <w:r w:rsidRPr="006C7B74">
        <w:t xml:space="preserve">Between 2016 and 2031 </w:t>
      </w:r>
      <w:r w:rsidR="00CB2109" w:rsidRPr="006C7B74">
        <w:t xml:space="preserve">metropolitan </w:t>
      </w:r>
      <w:r w:rsidRPr="006C7B74">
        <w:t xml:space="preserve">Melbourne is projected to grow by around </w:t>
      </w:r>
      <w:r w:rsidR="00AC30D1" w:rsidRPr="006C7B74">
        <w:t>1.6</w:t>
      </w:r>
      <w:r w:rsidRPr="006C7B74">
        <w:t xml:space="preserve"> million people – from a population of 4.</w:t>
      </w:r>
      <w:r w:rsidR="00AC30D1" w:rsidRPr="006C7B74">
        <w:t>7</w:t>
      </w:r>
      <w:r w:rsidRPr="006C7B74">
        <w:t xml:space="preserve"> million to </w:t>
      </w:r>
      <w:r w:rsidR="00AC30D1" w:rsidRPr="006C7B74">
        <w:t xml:space="preserve">a population of </w:t>
      </w:r>
      <w:r w:rsidRPr="006C7B74">
        <w:t xml:space="preserve">around </w:t>
      </w:r>
      <w:r w:rsidR="00AC30D1" w:rsidRPr="006C7B74">
        <w:t>6</w:t>
      </w:r>
      <w:r w:rsidRPr="006C7B74">
        <w:t>.3 million</w:t>
      </w:r>
      <w:r w:rsidR="0083636B" w:rsidRPr="006C7B74">
        <w:t xml:space="preserve"> people</w:t>
      </w:r>
      <w:r w:rsidRPr="006C7B74">
        <w:t xml:space="preserve">. </w:t>
      </w:r>
      <w:r w:rsidR="00027837" w:rsidRPr="006C7B74">
        <w:t xml:space="preserve">By 2051 the Greater Melbourne area is projected to grow </w:t>
      </w:r>
      <w:r w:rsidR="00D3751B" w:rsidRPr="006C7B74">
        <w:t>to around 8.5 million people.</w:t>
      </w:r>
    </w:p>
    <w:p w14:paraId="3668AFD3" w14:textId="6CDCBAB9" w:rsidR="00892599" w:rsidRPr="006C7B74" w:rsidRDefault="00892599" w:rsidP="00892599">
      <w:pPr>
        <w:pStyle w:val="BodyText"/>
        <w:spacing w:before="0" w:line="240" w:lineRule="auto"/>
      </w:pPr>
      <w:r>
        <w:t xml:space="preserve">To support this </w:t>
      </w:r>
      <w:r w:rsidR="01BC51D0">
        <w:t>growth,</w:t>
      </w:r>
      <w:r>
        <w:t xml:space="preserve"> it is estimated that the total number of jobs required across Melbourne by 2031 will be around </w:t>
      </w:r>
      <w:r w:rsidR="004B6169">
        <w:t>3.1</w:t>
      </w:r>
      <w:r>
        <w:t xml:space="preserve"> million, and by 2051 around 4.1 million. This will require the provision of another </w:t>
      </w:r>
      <w:r w:rsidR="005F5635">
        <w:t>85</w:t>
      </w:r>
      <w:r w:rsidR="00D859FD">
        <w:t>7</w:t>
      </w:r>
      <w:r w:rsidR="005F5635">
        <w:t>,000</w:t>
      </w:r>
      <w:r>
        <w:t xml:space="preserve"> jobs by 2031, and another 1.8 million jobs by 2051. The Inner Metro Region will continue to be a key focus for jobs </w:t>
      </w:r>
      <w:r w:rsidR="415123E6">
        <w:t>growth;</w:t>
      </w:r>
      <w:r>
        <w:t xml:space="preserve"> </w:t>
      </w:r>
      <w:r w:rsidR="7B14524F">
        <w:t>however,</w:t>
      </w:r>
      <w:r>
        <w:t xml:space="preserve"> it is also anticipated that there will be strong demand for more jobs in Melbourne’s growth areas to support population growth.</w:t>
      </w:r>
    </w:p>
    <w:p w14:paraId="692DF0F7" w14:textId="1F737D12" w:rsidR="00892599" w:rsidRPr="006C7B74" w:rsidRDefault="00892599" w:rsidP="00892599">
      <w:pPr>
        <w:pStyle w:val="BodyText"/>
        <w:spacing w:before="0" w:line="240" w:lineRule="auto"/>
      </w:pPr>
      <w:r w:rsidRPr="006C7B74">
        <w:rPr>
          <w:i/>
          <w:iCs/>
        </w:rPr>
        <w:t>Plan Melbourne 2017-2050</w:t>
      </w:r>
      <w:r w:rsidRPr="006C7B74">
        <w:t xml:space="preserve"> (Plan Melbourne) outlines how Melbourne's growth and change will be managed over the next three decades and sets out the strategy for supporting jobs and growth, while building on Melbourne’s legacy of distinctiveness, liveability and sustainability. As outlined in Plan Melbourne, in order to remain prosperous Melbourne must remain attractive to investment. That means ensuring well-priced commercial and industrial land is available in locations that can support and strengthen industry and support our expected population growth.</w:t>
      </w:r>
    </w:p>
    <w:p w14:paraId="2282203B" w14:textId="2322ABDC" w:rsidR="00892599" w:rsidRPr="006C7B74" w:rsidRDefault="00892599" w:rsidP="00892599">
      <w:pPr>
        <w:pStyle w:val="BodyText"/>
        <w:spacing w:before="0" w:line="240" w:lineRule="auto"/>
        <w:rPr>
          <w:lang w:eastAsia="en-AU"/>
        </w:rPr>
      </w:pPr>
      <w:r w:rsidRPr="006C7B74">
        <w:rPr>
          <w:lang w:eastAsia="en-AU"/>
        </w:rPr>
        <w:t xml:space="preserve">The Victorian economy </w:t>
      </w:r>
      <w:r w:rsidRPr="006C7B74" w:rsidDel="00FE4581">
        <w:t>has undergone significant change</w:t>
      </w:r>
      <w:r w:rsidRPr="006C7B74">
        <w:t xml:space="preserve"> in recent decades and</w:t>
      </w:r>
      <w:r w:rsidRPr="006C7B74">
        <w:rPr>
          <w:lang w:eastAsia="en-AU"/>
        </w:rPr>
        <w:t xml:space="preserve"> will continue to undergo change for some time as it transitions away from one based on manufacturing, to a more service and knowledge-based economy. </w:t>
      </w:r>
      <w:r w:rsidR="00D55130" w:rsidRPr="006C7B74">
        <w:rPr>
          <w:lang w:eastAsia="en-AU"/>
        </w:rPr>
        <w:t>The</w:t>
      </w:r>
      <w:r w:rsidR="0003588C" w:rsidRPr="006C7B74">
        <w:rPr>
          <w:lang w:eastAsia="en-AU"/>
        </w:rPr>
        <w:t>se</w:t>
      </w:r>
      <w:r w:rsidR="00D55130" w:rsidRPr="006C7B74">
        <w:rPr>
          <w:lang w:eastAsia="en-AU"/>
        </w:rPr>
        <w:t xml:space="preserve"> chang</w:t>
      </w:r>
      <w:r w:rsidR="0003588C" w:rsidRPr="006C7B74">
        <w:rPr>
          <w:lang w:eastAsia="en-AU"/>
        </w:rPr>
        <w:t>es</w:t>
      </w:r>
      <w:r w:rsidR="00D55130" w:rsidRPr="006C7B74">
        <w:rPr>
          <w:lang w:eastAsia="en-AU"/>
        </w:rPr>
        <w:t xml:space="preserve"> </w:t>
      </w:r>
      <w:r w:rsidR="00C0278E" w:rsidRPr="006C7B74">
        <w:rPr>
          <w:lang w:eastAsia="en-AU"/>
        </w:rPr>
        <w:t xml:space="preserve">have </w:t>
      </w:r>
      <w:r w:rsidR="00D55130" w:rsidRPr="006C7B74">
        <w:rPr>
          <w:lang w:eastAsia="en-AU"/>
        </w:rPr>
        <w:t xml:space="preserve">spatial </w:t>
      </w:r>
      <w:r w:rsidR="00C0278E" w:rsidRPr="006C7B74">
        <w:rPr>
          <w:lang w:eastAsia="en-AU"/>
        </w:rPr>
        <w:t xml:space="preserve">implications and </w:t>
      </w:r>
      <w:r w:rsidR="00D55130" w:rsidRPr="006C7B74">
        <w:rPr>
          <w:lang w:eastAsia="en-AU"/>
        </w:rPr>
        <w:t xml:space="preserve">requirements </w:t>
      </w:r>
      <w:r w:rsidR="00C04985" w:rsidRPr="006C7B74">
        <w:rPr>
          <w:lang w:eastAsia="en-AU"/>
        </w:rPr>
        <w:t xml:space="preserve">such as </w:t>
      </w:r>
      <w:r w:rsidR="00743ED0" w:rsidRPr="006C7B74">
        <w:rPr>
          <w:lang w:eastAsia="en-AU"/>
        </w:rPr>
        <w:t xml:space="preserve">a growing preference for dense, accessible and amenity-rich </w:t>
      </w:r>
      <w:r w:rsidR="00AC1A92" w:rsidRPr="006C7B74">
        <w:rPr>
          <w:lang w:eastAsia="en-AU"/>
        </w:rPr>
        <w:t xml:space="preserve">enterprise precincts. </w:t>
      </w:r>
    </w:p>
    <w:p w14:paraId="751B2B81" w14:textId="77777777" w:rsidR="00892599" w:rsidRPr="006C7B74" w:rsidRDefault="00892599" w:rsidP="00892599">
      <w:pPr>
        <w:pStyle w:val="BodyText"/>
        <w:spacing w:before="0" w:line="240" w:lineRule="auto"/>
        <w:rPr>
          <w:lang w:eastAsia="en-AU"/>
        </w:rPr>
      </w:pPr>
      <w:r w:rsidRPr="006C7B74">
        <w:rPr>
          <w:lang w:eastAsia="en-AU"/>
        </w:rPr>
        <w:t>While the manufacturing sector is declining as a proportion of all jobs, its contribution to the Victorian economy remains steady at around $30 billion in 2017-18. In addition, demand for industrial land remains high for uses such as logistics and advanced manufacturing. These sectors continue to require large tracts of land, and as such, the provision of a well-suited supply of industrial land will continue to be required to support the contemporary Victorian economy.</w:t>
      </w:r>
    </w:p>
    <w:p w14:paraId="2E60FD48" w14:textId="693F4DD2" w:rsidR="00892599" w:rsidRPr="006C7B74" w:rsidRDefault="00892599" w:rsidP="00892599">
      <w:pPr>
        <w:pStyle w:val="BodyText"/>
        <w:spacing w:before="0" w:line="240" w:lineRule="auto"/>
        <w:rPr>
          <w:lang w:eastAsia="en-AU"/>
        </w:rPr>
      </w:pPr>
      <w:r w:rsidRPr="006C7B74">
        <w:rPr>
          <w:lang w:eastAsia="en-AU"/>
        </w:rPr>
        <w:t>Our economy is also being reshaped by population changes taking place. As our population ages, so too does our demand on health</w:t>
      </w:r>
      <w:r w:rsidR="00A16BE0" w:rsidRPr="006C7B74">
        <w:rPr>
          <w:lang w:eastAsia="en-AU"/>
        </w:rPr>
        <w:t xml:space="preserve">, community and waste management </w:t>
      </w:r>
      <w:r w:rsidRPr="006C7B74">
        <w:rPr>
          <w:lang w:eastAsia="en-AU"/>
        </w:rPr>
        <w:t xml:space="preserve">services. These population serving industries will grow significantly over the coming decades as will retailing and business services that support these sectors. This will drive demand for premises in commercial areas closer to growing populations. </w:t>
      </w:r>
    </w:p>
    <w:p w14:paraId="59E19217" w14:textId="77777777" w:rsidR="00892599" w:rsidRPr="006C7B74" w:rsidRDefault="00892599" w:rsidP="00892599">
      <w:pPr>
        <w:pStyle w:val="BodyText"/>
        <w:spacing w:before="0" w:line="240" w:lineRule="auto"/>
        <w:rPr>
          <w:lang w:eastAsia="en-AU"/>
        </w:rPr>
      </w:pPr>
      <w:r w:rsidRPr="006C7B74">
        <w:rPr>
          <w:lang w:eastAsia="en-AU"/>
        </w:rPr>
        <w:t>Understanding these changes and what they mean for future industrial and commercial land requirements will support better planning for our future needs.</w:t>
      </w:r>
    </w:p>
    <w:p w14:paraId="3DAE5B84" w14:textId="0D3E370B" w:rsidR="00892599" w:rsidRPr="006C7B74" w:rsidRDefault="00892599" w:rsidP="00892599">
      <w:pPr>
        <w:pStyle w:val="BodyText"/>
        <w:spacing w:before="0" w:line="240" w:lineRule="auto"/>
      </w:pPr>
      <w:r w:rsidRPr="006C7B74">
        <w:t>The</w:t>
      </w:r>
      <w:r w:rsidR="00557985" w:rsidRPr="006C7B74">
        <w:t xml:space="preserve"> </w:t>
      </w:r>
      <w:r w:rsidRPr="006C7B74">
        <w:rPr>
          <w:i/>
        </w:rPr>
        <w:t>Melbourne Industrial and Commercial Land Use Plan</w:t>
      </w:r>
      <w:r w:rsidRPr="006C7B74">
        <w:t xml:space="preserve"> builds on policies, strategies and actions in Plan Melbourne and its associated </w:t>
      </w:r>
      <w:r w:rsidRPr="006C7B74">
        <w:rPr>
          <w:i/>
          <w:iCs/>
        </w:rPr>
        <w:t xml:space="preserve">Plan Melbourne 2017-2050 Five-Year Implementation Plan </w:t>
      </w:r>
      <w:r w:rsidRPr="006C7B74">
        <w:rPr>
          <w:iCs/>
        </w:rPr>
        <w:t xml:space="preserve">(Plan Melbourne Implementation Plan). It provides </w:t>
      </w:r>
      <w:r w:rsidRPr="006C7B74">
        <w:t>an overview of current and future needs for industrial and commercial land across metropolitan Melbourne and put</w:t>
      </w:r>
      <w:r w:rsidR="007676B4" w:rsidRPr="006C7B74">
        <w:t>s</w:t>
      </w:r>
      <w:r w:rsidRPr="006C7B74">
        <w:t xml:space="preserve"> in place a planning framework to support state and local government to plan more effectively for future employment and industry needs, and better inform future strategic directions. </w:t>
      </w:r>
    </w:p>
    <w:p w14:paraId="64F9A4A7" w14:textId="77777777" w:rsidR="00892599" w:rsidRPr="006C7B74" w:rsidRDefault="00892599" w:rsidP="00892599">
      <w:pPr>
        <w:pStyle w:val="BodyText"/>
        <w:spacing w:before="0" w:line="240" w:lineRule="auto"/>
      </w:pPr>
      <w:r w:rsidRPr="006C7B74">
        <w:t>The plan will play an important role in supporting Melbourne’s industrial and commercial areas to thrive and will help to facilitate a more diverse industrial and commercial base, while also providing long-term business and employment opportunities.</w:t>
      </w:r>
    </w:p>
    <w:p w14:paraId="582E825E" w14:textId="77777777" w:rsidR="00892599" w:rsidRPr="006C7B74" w:rsidRDefault="00892599" w:rsidP="00892599">
      <w:pPr>
        <w:pStyle w:val="BodyText"/>
        <w:spacing w:before="0" w:line="240" w:lineRule="auto"/>
      </w:pPr>
    </w:p>
    <w:p w14:paraId="0B4C38FA" w14:textId="77777777" w:rsidR="00892599" w:rsidRPr="006C7B74" w:rsidRDefault="00892599" w:rsidP="00BF6B16">
      <w:pPr>
        <w:pStyle w:val="Heading2-Contenttable"/>
      </w:pPr>
      <w:r w:rsidRPr="006C7B74">
        <w:t xml:space="preserve">Supply and demand for industrial land </w:t>
      </w:r>
    </w:p>
    <w:p w14:paraId="56CE09DE" w14:textId="6AD78ED4" w:rsidR="00142893" w:rsidRPr="006C7B74" w:rsidRDefault="00142893" w:rsidP="00892599">
      <w:pPr>
        <w:pStyle w:val="BodyText"/>
        <w:spacing w:before="0" w:line="240" w:lineRule="auto"/>
      </w:pPr>
      <w:r w:rsidRPr="006C7B74">
        <w:t xml:space="preserve">Across metropolitan Melbourne approximately </w:t>
      </w:r>
      <w:r w:rsidR="00CD774A" w:rsidRPr="006C7B74">
        <w:t>33,300</w:t>
      </w:r>
      <w:r w:rsidRPr="006C7B74">
        <w:t xml:space="preserve"> hectares of existing and future industrial land has been identified. Of this, approximately 19,800 hectares are occupied and </w:t>
      </w:r>
      <w:r w:rsidR="00E460F1" w:rsidRPr="006C7B74">
        <w:t>just under</w:t>
      </w:r>
      <w:r w:rsidRPr="006C7B74">
        <w:t xml:space="preserve"> </w:t>
      </w:r>
      <w:r w:rsidR="00B56937" w:rsidRPr="006C7B74">
        <w:t>13,500</w:t>
      </w:r>
      <w:r w:rsidRPr="006C7B74">
        <w:t xml:space="preserve"> hectares are available. Of the available supply, </w:t>
      </w:r>
      <w:r w:rsidR="001D0B94">
        <w:t xml:space="preserve">there is almost </w:t>
      </w:r>
      <w:r w:rsidR="009F3E97" w:rsidRPr="006C7B74">
        <w:t>6,</w:t>
      </w:r>
      <w:r w:rsidR="001D0B94">
        <w:t>6</w:t>
      </w:r>
      <w:r w:rsidR="009F3E97" w:rsidRPr="006C7B74">
        <w:t>00</w:t>
      </w:r>
      <w:r w:rsidRPr="006C7B74">
        <w:t xml:space="preserve"> hectares currently zoned and</w:t>
      </w:r>
      <w:r w:rsidR="00E118D1" w:rsidRPr="006C7B74">
        <w:t xml:space="preserve"> approximately 6,900 </w:t>
      </w:r>
      <w:r w:rsidRPr="006C7B74">
        <w:t>hectares unzoned and identified for future industrial purposes.</w:t>
      </w:r>
    </w:p>
    <w:p w14:paraId="063286B8" w14:textId="334EB794" w:rsidR="00892599" w:rsidRPr="006C7B74" w:rsidRDefault="00892599" w:rsidP="00892599">
      <w:pPr>
        <w:pStyle w:val="BodyText"/>
        <w:spacing w:before="0" w:line="240" w:lineRule="auto"/>
      </w:pPr>
      <w:r w:rsidRPr="006C7B74">
        <w:t>Over two-thirds of the vacant zoned industrial land supply (</w:t>
      </w:r>
      <w:r w:rsidR="00A21D7A">
        <w:t xml:space="preserve">approximately </w:t>
      </w:r>
      <w:r w:rsidR="004C2E01" w:rsidRPr="006C7B74">
        <w:t>4,19</w:t>
      </w:r>
      <w:r w:rsidR="00A21D7A">
        <w:t>0</w:t>
      </w:r>
      <w:r w:rsidRPr="006C7B74">
        <w:t xml:space="preserve"> hectares of a total of</w:t>
      </w:r>
      <w:r w:rsidR="00C62299">
        <w:t xml:space="preserve"> approximately</w:t>
      </w:r>
      <w:r w:rsidRPr="006C7B74">
        <w:t xml:space="preserve"> </w:t>
      </w:r>
      <w:r w:rsidR="004C2E01" w:rsidRPr="006C7B74">
        <w:t>6,</w:t>
      </w:r>
      <w:r w:rsidR="00222201">
        <w:t>56</w:t>
      </w:r>
      <w:r w:rsidR="00C62299">
        <w:t>0</w:t>
      </w:r>
      <w:r w:rsidR="00222201" w:rsidRPr="006C7B74">
        <w:t xml:space="preserve"> </w:t>
      </w:r>
      <w:r w:rsidRPr="006C7B74">
        <w:t xml:space="preserve">hectares) is located within Melbourne’s five </w:t>
      </w:r>
      <w:r w:rsidR="008B5075" w:rsidRPr="006C7B74">
        <w:t>s</w:t>
      </w:r>
      <w:r w:rsidRPr="006C7B74">
        <w:t>tate</w:t>
      </w:r>
      <w:r w:rsidR="009529DB" w:rsidRPr="006C7B74">
        <w:t>-s</w:t>
      </w:r>
      <w:r w:rsidRPr="006C7B74">
        <w:t xml:space="preserve">ignificant </w:t>
      </w:r>
      <w:r w:rsidR="009529DB" w:rsidRPr="006C7B74">
        <w:t>i</w:t>
      </w:r>
      <w:r w:rsidRPr="006C7B74">
        <w:t xml:space="preserve">ndustrial </w:t>
      </w:r>
      <w:r w:rsidR="009529DB" w:rsidRPr="006C7B74">
        <w:t>p</w:t>
      </w:r>
      <w:r w:rsidRPr="006C7B74">
        <w:t xml:space="preserve">recincts (SSIPs). </w:t>
      </w:r>
    </w:p>
    <w:p w14:paraId="5B6707A6" w14:textId="1549AE97" w:rsidR="00892599" w:rsidRPr="006C7B74" w:rsidRDefault="00CE2103" w:rsidP="00892599">
      <w:pPr>
        <w:pStyle w:val="BodyText"/>
        <w:spacing w:before="0" w:line="240" w:lineRule="auto"/>
      </w:pPr>
      <w:r w:rsidRPr="006C7B74">
        <w:lastRenderedPageBreak/>
        <w:t xml:space="preserve">Of the future </w:t>
      </w:r>
      <w:r w:rsidR="009D4767" w:rsidRPr="006C7B74">
        <w:t xml:space="preserve">unzoned </w:t>
      </w:r>
      <w:r w:rsidR="00892599" w:rsidRPr="006C7B74">
        <w:t>land identified</w:t>
      </w:r>
      <w:r w:rsidR="00911D27">
        <w:t>,</w:t>
      </w:r>
      <w:r w:rsidR="00892599" w:rsidRPr="006C7B74">
        <w:t xml:space="preserve"> </w:t>
      </w:r>
      <w:r w:rsidRPr="006C7B74">
        <w:t>a</w:t>
      </w:r>
      <w:r w:rsidR="00892599" w:rsidRPr="006C7B74">
        <w:t xml:space="preserve">pproximately </w:t>
      </w:r>
      <w:r w:rsidR="003F34C9" w:rsidRPr="006C7B74">
        <w:t>6</w:t>
      </w:r>
      <w:r w:rsidR="003F34C9">
        <w:t>3</w:t>
      </w:r>
      <w:r w:rsidR="003F34C9" w:rsidRPr="006C7B74">
        <w:t xml:space="preserve"> </w:t>
      </w:r>
      <w:r w:rsidR="00892599" w:rsidRPr="006C7B74">
        <w:t xml:space="preserve">per cent is located within one of three SSIPs (Western, Northern and Officer-Pakenham). The remaining future supply of land is located in key industrial areas identified through </w:t>
      </w:r>
      <w:r w:rsidR="009B49FD" w:rsidRPr="00A8260D">
        <w:rPr>
          <w:i/>
        </w:rPr>
        <w:t>Growth Corridor Plans – Managing Melbourne’s Growth</w:t>
      </w:r>
      <w:r w:rsidR="009B49FD" w:rsidRPr="006C7B74">
        <w:rPr>
          <w:i/>
          <w:sz w:val="18"/>
          <w:szCs w:val="18"/>
        </w:rPr>
        <w:t xml:space="preserve"> </w:t>
      </w:r>
      <w:r w:rsidR="00793BC4" w:rsidRPr="006C7B74">
        <w:t>(</w:t>
      </w:r>
      <w:r w:rsidR="00065271" w:rsidRPr="006C7B74">
        <w:t>G</w:t>
      </w:r>
      <w:r w:rsidR="00892599" w:rsidRPr="006C7B74">
        <w:t xml:space="preserve">rowth </w:t>
      </w:r>
      <w:r w:rsidR="00065271" w:rsidRPr="006C7B74">
        <w:t>C</w:t>
      </w:r>
      <w:r w:rsidR="00892599" w:rsidRPr="006C7B74">
        <w:t xml:space="preserve">orridor </w:t>
      </w:r>
      <w:r w:rsidR="00065271" w:rsidRPr="006C7B74">
        <w:t>P</w:t>
      </w:r>
      <w:r w:rsidR="00892599" w:rsidRPr="006C7B74">
        <w:t>lans</w:t>
      </w:r>
      <w:r w:rsidR="00793BC4" w:rsidRPr="006C7B74">
        <w:t>)</w:t>
      </w:r>
      <w:r w:rsidR="00892599" w:rsidRPr="006C7B74">
        <w:t xml:space="preserve"> or other strategic plans. All of these areas are yet to be planned for and zoned for industrial purposes but will be critical in providing future industrial land supply across the metropolitan area.</w:t>
      </w:r>
    </w:p>
    <w:p w14:paraId="1A9D5E19" w14:textId="77777777" w:rsidR="00892599" w:rsidRPr="006C7B74" w:rsidRDefault="00892599" w:rsidP="00892599">
      <w:pPr>
        <w:pStyle w:val="BodyText"/>
        <w:spacing w:before="0" w:line="240" w:lineRule="auto"/>
      </w:pPr>
    </w:p>
    <w:p w14:paraId="222FA30D" w14:textId="307B63B8" w:rsidR="00892599" w:rsidRPr="006C7B74" w:rsidRDefault="00892599" w:rsidP="00BF6B16">
      <w:pPr>
        <w:pStyle w:val="Heading3"/>
      </w:pPr>
      <w:r w:rsidRPr="006C7B74">
        <w:t>Table ES1: Industrial land supply</w:t>
      </w:r>
    </w:p>
    <w:tbl>
      <w:tblPr>
        <w:tblW w:w="9020" w:type="dxa"/>
        <w:tblLook w:val="04A0" w:firstRow="1" w:lastRow="0" w:firstColumn="1" w:lastColumn="0" w:noHBand="0" w:noVBand="1"/>
      </w:tblPr>
      <w:tblGrid>
        <w:gridCol w:w="2340"/>
        <w:gridCol w:w="2506"/>
        <w:gridCol w:w="1310"/>
        <w:gridCol w:w="1373"/>
        <w:gridCol w:w="1491"/>
      </w:tblGrid>
      <w:tr w:rsidR="00652302" w:rsidRPr="006C7B74" w14:paraId="341413B5" w14:textId="77777777" w:rsidTr="007A16A9">
        <w:trPr>
          <w:trHeight w:val="1056"/>
        </w:trPr>
        <w:tc>
          <w:tcPr>
            <w:tcW w:w="2340" w:type="dxa"/>
            <w:tcBorders>
              <w:top w:val="nil"/>
              <w:left w:val="nil"/>
              <w:bottom w:val="single" w:sz="8" w:space="0" w:color="4D446C"/>
              <w:right w:val="nil"/>
            </w:tcBorders>
            <w:shd w:val="clear" w:color="000000" w:fill="4D446C"/>
            <w:noWrap/>
            <w:vAlign w:val="center"/>
            <w:hideMark/>
          </w:tcPr>
          <w:p w14:paraId="188EE585" w14:textId="77777777" w:rsidR="00892599" w:rsidRPr="006C7B74" w:rsidRDefault="00892599" w:rsidP="001C785B">
            <w:pPr>
              <w:rPr>
                <w:rFonts w:ascii="Calibri" w:hAnsi="Calibri" w:cs="Calibri"/>
                <w:b/>
                <w:color w:val="FFFFFF"/>
                <w:sz w:val="18"/>
                <w:szCs w:val="18"/>
                <w:lang w:eastAsia="en-GB"/>
              </w:rPr>
            </w:pPr>
            <w:r w:rsidRPr="006C7B74">
              <w:rPr>
                <w:rFonts w:ascii="Calibri" w:hAnsi="Calibri" w:cs="Calibri"/>
                <w:b/>
                <w:color w:val="FFFFFF"/>
                <w:sz w:val="18"/>
                <w:szCs w:val="18"/>
                <w:lang w:eastAsia="en-GB"/>
              </w:rPr>
              <w:t>Region / SSIP</w:t>
            </w:r>
          </w:p>
        </w:tc>
        <w:tc>
          <w:tcPr>
            <w:tcW w:w="2506" w:type="dxa"/>
            <w:tcBorders>
              <w:top w:val="nil"/>
              <w:left w:val="nil"/>
              <w:bottom w:val="single" w:sz="8" w:space="0" w:color="4D446C"/>
              <w:right w:val="nil"/>
            </w:tcBorders>
            <w:shd w:val="clear" w:color="000000" w:fill="4D446C"/>
            <w:vAlign w:val="center"/>
            <w:hideMark/>
          </w:tcPr>
          <w:p w14:paraId="3D07D0D8" w14:textId="77777777" w:rsidR="00892599" w:rsidRPr="006C7B74" w:rsidRDefault="00892599" w:rsidP="001C785B">
            <w:pPr>
              <w:jc w:val="center"/>
              <w:rPr>
                <w:rFonts w:ascii="Calibri" w:hAnsi="Calibri" w:cs="Calibri"/>
                <w:b/>
                <w:color w:val="FFFFFF"/>
                <w:sz w:val="18"/>
                <w:szCs w:val="18"/>
                <w:lang w:eastAsia="en-GB"/>
              </w:rPr>
            </w:pPr>
            <w:r w:rsidRPr="006C7B74">
              <w:rPr>
                <w:rFonts w:ascii="Calibri" w:hAnsi="Calibri" w:cs="Calibri"/>
                <w:b/>
                <w:color w:val="FFFFFF"/>
                <w:sz w:val="18"/>
                <w:szCs w:val="18"/>
                <w:lang w:eastAsia="en-GB"/>
              </w:rPr>
              <w:t>Occupied zoned land (ha)</w:t>
            </w:r>
          </w:p>
        </w:tc>
        <w:tc>
          <w:tcPr>
            <w:tcW w:w="1310" w:type="dxa"/>
            <w:tcBorders>
              <w:top w:val="nil"/>
              <w:left w:val="nil"/>
              <w:bottom w:val="single" w:sz="8" w:space="0" w:color="4D446C"/>
              <w:right w:val="nil"/>
            </w:tcBorders>
            <w:shd w:val="clear" w:color="000000" w:fill="4D446C"/>
            <w:vAlign w:val="center"/>
            <w:hideMark/>
          </w:tcPr>
          <w:p w14:paraId="6FE3CAC7" w14:textId="77777777" w:rsidR="00892599" w:rsidRPr="006C7B74" w:rsidRDefault="00892599" w:rsidP="001C785B">
            <w:pPr>
              <w:jc w:val="center"/>
              <w:rPr>
                <w:rFonts w:ascii="Calibri" w:hAnsi="Calibri" w:cs="Calibri"/>
                <w:b/>
                <w:color w:val="FFFFFF"/>
                <w:sz w:val="18"/>
                <w:szCs w:val="18"/>
                <w:lang w:eastAsia="en-GB"/>
              </w:rPr>
            </w:pPr>
            <w:r w:rsidRPr="006C7B74">
              <w:rPr>
                <w:rFonts w:ascii="Calibri" w:hAnsi="Calibri" w:cs="Calibri"/>
                <w:b/>
                <w:color w:val="FFFFFF"/>
                <w:sz w:val="18"/>
                <w:szCs w:val="18"/>
                <w:lang w:eastAsia="en-GB"/>
              </w:rPr>
              <w:t>Vacant zoned land (ha)</w:t>
            </w:r>
          </w:p>
        </w:tc>
        <w:tc>
          <w:tcPr>
            <w:tcW w:w="1373" w:type="dxa"/>
            <w:tcBorders>
              <w:top w:val="nil"/>
              <w:left w:val="nil"/>
              <w:bottom w:val="single" w:sz="8" w:space="0" w:color="4D446C"/>
              <w:right w:val="nil"/>
            </w:tcBorders>
            <w:shd w:val="clear" w:color="000000" w:fill="4D446C"/>
            <w:vAlign w:val="center"/>
            <w:hideMark/>
          </w:tcPr>
          <w:p w14:paraId="10E72C1B" w14:textId="77777777" w:rsidR="00892599" w:rsidRPr="006C7B74" w:rsidRDefault="00892599" w:rsidP="001C785B">
            <w:pPr>
              <w:jc w:val="center"/>
              <w:rPr>
                <w:rFonts w:ascii="Calibri" w:hAnsi="Calibri" w:cs="Calibri"/>
                <w:b/>
                <w:color w:val="FFFFFF"/>
                <w:sz w:val="18"/>
                <w:szCs w:val="18"/>
                <w:lang w:eastAsia="en-GB"/>
              </w:rPr>
            </w:pPr>
            <w:r w:rsidRPr="006C7B74">
              <w:rPr>
                <w:rFonts w:ascii="Calibri" w:hAnsi="Calibri" w:cs="Calibri"/>
                <w:b/>
                <w:color w:val="FFFFFF"/>
                <w:sz w:val="18"/>
                <w:szCs w:val="18"/>
                <w:lang w:eastAsia="en-GB"/>
              </w:rPr>
              <w:t>Future unzoned land (ha)</w:t>
            </w:r>
          </w:p>
        </w:tc>
        <w:tc>
          <w:tcPr>
            <w:tcW w:w="1491" w:type="dxa"/>
            <w:tcBorders>
              <w:top w:val="nil"/>
              <w:left w:val="nil"/>
              <w:bottom w:val="single" w:sz="8" w:space="0" w:color="4D446C"/>
              <w:right w:val="nil"/>
            </w:tcBorders>
            <w:shd w:val="clear" w:color="000000" w:fill="4D446C"/>
            <w:vAlign w:val="center"/>
            <w:hideMark/>
          </w:tcPr>
          <w:p w14:paraId="0F93CC5F" w14:textId="77777777" w:rsidR="00892599" w:rsidRPr="006C7B74" w:rsidRDefault="00892599" w:rsidP="001C785B">
            <w:pPr>
              <w:jc w:val="center"/>
              <w:rPr>
                <w:rFonts w:ascii="Calibri" w:hAnsi="Calibri" w:cs="Calibri"/>
                <w:b/>
                <w:color w:val="FFFFFF"/>
                <w:sz w:val="18"/>
                <w:szCs w:val="18"/>
                <w:lang w:eastAsia="en-GB"/>
              </w:rPr>
            </w:pPr>
            <w:r w:rsidRPr="006C7B74">
              <w:rPr>
                <w:rFonts w:ascii="Calibri" w:hAnsi="Calibri" w:cs="Calibri"/>
                <w:b/>
                <w:color w:val="FFFFFF"/>
                <w:sz w:val="18"/>
                <w:szCs w:val="18"/>
                <w:lang w:eastAsia="en-GB"/>
              </w:rPr>
              <w:t>Total vacant zoned and unzoned land supply (ha)</w:t>
            </w:r>
          </w:p>
        </w:tc>
      </w:tr>
      <w:tr w:rsidR="007A16A9" w:rsidRPr="006C7B74" w14:paraId="4F655D22" w14:textId="77777777" w:rsidTr="006C7B74">
        <w:trPr>
          <w:trHeight w:val="338"/>
        </w:trPr>
        <w:tc>
          <w:tcPr>
            <w:tcW w:w="2340" w:type="dxa"/>
            <w:tcBorders>
              <w:top w:val="nil"/>
              <w:left w:val="nil"/>
              <w:bottom w:val="single" w:sz="8" w:space="0" w:color="4D446C"/>
              <w:right w:val="nil"/>
            </w:tcBorders>
            <w:shd w:val="clear" w:color="auto" w:fill="auto"/>
            <w:noWrap/>
            <w:vAlign w:val="center"/>
            <w:hideMark/>
          </w:tcPr>
          <w:p w14:paraId="0144CD44" w14:textId="2993CCCC" w:rsidR="007A16A9" w:rsidRPr="006C7B74" w:rsidRDefault="007A16A9" w:rsidP="007A16A9">
            <w:pPr>
              <w:rPr>
                <w:rFonts w:ascii="Calibri" w:hAnsi="Calibri" w:cs="Calibri"/>
                <w:color w:val="363534"/>
                <w:sz w:val="18"/>
                <w:szCs w:val="18"/>
                <w:lang w:eastAsia="en-GB"/>
              </w:rPr>
            </w:pPr>
            <w:r w:rsidRPr="006C7B74">
              <w:rPr>
                <w:rFonts w:ascii="Calibri" w:hAnsi="Calibri" w:cs="Calibri"/>
                <w:color w:val="363534"/>
                <w:sz w:val="18"/>
                <w:szCs w:val="18"/>
                <w:lang w:eastAsia="en-GB"/>
              </w:rPr>
              <w:t>Inner Metro Region</w:t>
            </w:r>
          </w:p>
        </w:tc>
        <w:tc>
          <w:tcPr>
            <w:tcW w:w="2506" w:type="dxa"/>
            <w:tcBorders>
              <w:top w:val="nil"/>
              <w:left w:val="nil"/>
              <w:bottom w:val="single" w:sz="8" w:space="0" w:color="4D446C"/>
              <w:right w:val="nil"/>
            </w:tcBorders>
            <w:shd w:val="clear" w:color="auto" w:fill="auto"/>
            <w:noWrap/>
            <w:hideMark/>
          </w:tcPr>
          <w:p w14:paraId="47835A42" w14:textId="7CA2E9A4" w:rsidR="007A16A9" w:rsidRPr="006C7B74" w:rsidRDefault="007A16A9" w:rsidP="007A16A9">
            <w:pPr>
              <w:jc w:val="center"/>
              <w:rPr>
                <w:rFonts w:cstheme="minorHAnsi"/>
                <w:color w:val="363534"/>
                <w:sz w:val="18"/>
                <w:szCs w:val="18"/>
                <w:lang w:eastAsia="en-GB"/>
              </w:rPr>
            </w:pPr>
            <w:r w:rsidRPr="006C7B74">
              <w:rPr>
                <w:rFonts w:cstheme="minorHAnsi"/>
                <w:sz w:val="18"/>
                <w:szCs w:val="18"/>
              </w:rPr>
              <w:t>459.4</w:t>
            </w:r>
          </w:p>
        </w:tc>
        <w:tc>
          <w:tcPr>
            <w:tcW w:w="1310" w:type="dxa"/>
            <w:tcBorders>
              <w:top w:val="nil"/>
              <w:left w:val="nil"/>
              <w:bottom w:val="single" w:sz="8" w:space="0" w:color="4D446C"/>
              <w:right w:val="nil"/>
            </w:tcBorders>
            <w:shd w:val="clear" w:color="auto" w:fill="auto"/>
            <w:noWrap/>
            <w:hideMark/>
          </w:tcPr>
          <w:p w14:paraId="152A646E" w14:textId="10EA376F" w:rsidR="007A16A9" w:rsidRPr="006C7B74" w:rsidRDefault="007A16A9" w:rsidP="007A16A9">
            <w:pPr>
              <w:jc w:val="center"/>
              <w:rPr>
                <w:rFonts w:cstheme="minorHAnsi"/>
                <w:color w:val="363534"/>
                <w:sz w:val="18"/>
                <w:szCs w:val="18"/>
                <w:lang w:eastAsia="en-GB"/>
              </w:rPr>
            </w:pPr>
            <w:r w:rsidRPr="006C7B74">
              <w:rPr>
                <w:rFonts w:cstheme="minorHAnsi"/>
                <w:sz w:val="18"/>
                <w:szCs w:val="18"/>
              </w:rPr>
              <w:t>28.0</w:t>
            </w:r>
          </w:p>
        </w:tc>
        <w:tc>
          <w:tcPr>
            <w:tcW w:w="1373" w:type="dxa"/>
            <w:tcBorders>
              <w:top w:val="nil"/>
              <w:left w:val="nil"/>
              <w:bottom w:val="single" w:sz="8" w:space="0" w:color="4D446C"/>
              <w:right w:val="nil"/>
            </w:tcBorders>
            <w:shd w:val="clear" w:color="auto" w:fill="auto"/>
            <w:noWrap/>
            <w:hideMark/>
          </w:tcPr>
          <w:p w14:paraId="165B95B9" w14:textId="045D64BC" w:rsidR="007A16A9" w:rsidRPr="006C7B74" w:rsidRDefault="007A16A9" w:rsidP="007A16A9">
            <w:pPr>
              <w:jc w:val="center"/>
              <w:rPr>
                <w:rFonts w:cstheme="minorHAnsi"/>
                <w:color w:val="363534"/>
                <w:sz w:val="18"/>
                <w:szCs w:val="18"/>
                <w:lang w:eastAsia="en-GB"/>
              </w:rPr>
            </w:pPr>
            <w:r w:rsidRPr="006C7B74">
              <w:rPr>
                <w:sz w:val="18"/>
                <w:szCs w:val="18"/>
              </w:rPr>
              <w:t>0.0</w:t>
            </w:r>
          </w:p>
        </w:tc>
        <w:tc>
          <w:tcPr>
            <w:tcW w:w="1491" w:type="dxa"/>
            <w:tcBorders>
              <w:top w:val="nil"/>
              <w:left w:val="nil"/>
              <w:bottom w:val="single" w:sz="8" w:space="0" w:color="4D446C"/>
              <w:right w:val="nil"/>
            </w:tcBorders>
            <w:shd w:val="clear" w:color="auto" w:fill="auto"/>
            <w:noWrap/>
            <w:hideMark/>
          </w:tcPr>
          <w:p w14:paraId="528B91CE" w14:textId="0DEE37BF" w:rsidR="007A16A9" w:rsidRPr="006C7B74" w:rsidRDefault="007A16A9" w:rsidP="007A16A9">
            <w:pPr>
              <w:jc w:val="center"/>
              <w:rPr>
                <w:sz w:val="18"/>
                <w:szCs w:val="18"/>
              </w:rPr>
            </w:pPr>
            <w:r w:rsidRPr="006C7B74">
              <w:rPr>
                <w:sz w:val="18"/>
                <w:szCs w:val="18"/>
              </w:rPr>
              <w:t>28.0</w:t>
            </w:r>
          </w:p>
        </w:tc>
      </w:tr>
      <w:tr w:rsidR="007A16A9" w:rsidRPr="006C7B74" w14:paraId="324644BC" w14:textId="77777777" w:rsidTr="006C7B74">
        <w:trPr>
          <w:trHeight w:val="338"/>
        </w:trPr>
        <w:tc>
          <w:tcPr>
            <w:tcW w:w="2340" w:type="dxa"/>
            <w:tcBorders>
              <w:top w:val="nil"/>
              <w:left w:val="nil"/>
              <w:bottom w:val="single" w:sz="8" w:space="0" w:color="4D446C"/>
              <w:right w:val="nil"/>
            </w:tcBorders>
            <w:shd w:val="clear" w:color="auto" w:fill="auto"/>
            <w:noWrap/>
            <w:vAlign w:val="center"/>
            <w:hideMark/>
          </w:tcPr>
          <w:p w14:paraId="7EB2BE42" w14:textId="6107B7E4" w:rsidR="007A16A9" w:rsidRPr="006C7B74" w:rsidRDefault="007A16A9" w:rsidP="007A16A9">
            <w:pPr>
              <w:rPr>
                <w:rFonts w:ascii="Calibri" w:hAnsi="Calibri" w:cs="Calibri"/>
                <w:color w:val="363534"/>
                <w:sz w:val="18"/>
                <w:szCs w:val="18"/>
                <w:lang w:eastAsia="en-GB"/>
              </w:rPr>
            </w:pPr>
            <w:r w:rsidRPr="006C7B74">
              <w:rPr>
                <w:rFonts w:ascii="Calibri" w:hAnsi="Calibri" w:cs="Calibri"/>
                <w:color w:val="363534"/>
                <w:sz w:val="18"/>
                <w:szCs w:val="18"/>
                <w:lang w:eastAsia="en-GB"/>
              </w:rPr>
              <w:t>Western Region</w:t>
            </w:r>
          </w:p>
        </w:tc>
        <w:tc>
          <w:tcPr>
            <w:tcW w:w="2506" w:type="dxa"/>
            <w:tcBorders>
              <w:top w:val="nil"/>
              <w:left w:val="nil"/>
              <w:bottom w:val="single" w:sz="8" w:space="0" w:color="4D446C"/>
              <w:right w:val="nil"/>
            </w:tcBorders>
            <w:shd w:val="clear" w:color="auto" w:fill="auto"/>
            <w:noWrap/>
            <w:hideMark/>
          </w:tcPr>
          <w:p w14:paraId="2A39F32C" w14:textId="06DD5DC0" w:rsidR="007A16A9" w:rsidRPr="006C7B74" w:rsidRDefault="007A16A9" w:rsidP="007A16A9">
            <w:pPr>
              <w:jc w:val="center"/>
              <w:rPr>
                <w:rFonts w:cstheme="minorHAnsi"/>
                <w:color w:val="363534"/>
                <w:sz w:val="18"/>
                <w:szCs w:val="18"/>
                <w:lang w:eastAsia="en-GB"/>
              </w:rPr>
            </w:pPr>
            <w:r w:rsidRPr="006C7B74">
              <w:rPr>
                <w:rFonts w:cstheme="minorHAnsi"/>
                <w:sz w:val="18"/>
                <w:szCs w:val="18"/>
              </w:rPr>
              <w:t>5,819.2</w:t>
            </w:r>
          </w:p>
        </w:tc>
        <w:tc>
          <w:tcPr>
            <w:tcW w:w="1310" w:type="dxa"/>
            <w:tcBorders>
              <w:top w:val="nil"/>
              <w:left w:val="nil"/>
              <w:bottom w:val="single" w:sz="8" w:space="0" w:color="4D446C"/>
              <w:right w:val="nil"/>
            </w:tcBorders>
            <w:shd w:val="clear" w:color="auto" w:fill="auto"/>
            <w:noWrap/>
            <w:hideMark/>
          </w:tcPr>
          <w:p w14:paraId="0C32A8F1" w14:textId="75624D89" w:rsidR="007A16A9" w:rsidRPr="006C7B74" w:rsidRDefault="007A16A9" w:rsidP="007A16A9">
            <w:pPr>
              <w:jc w:val="center"/>
              <w:rPr>
                <w:rFonts w:cstheme="minorHAnsi"/>
                <w:color w:val="363534"/>
                <w:sz w:val="18"/>
                <w:szCs w:val="18"/>
                <w:lang w:eastAsia="en-GB"/>
              </w:rPr>
            </w:pPr>
            <w:r w:rsidRPr="006C7B74">
              <w:rPr>
                <w:rFonts w:cstheme="minorHAnsi"/>
                <w:sz w:val="18"/>
                <w:szCs w:val="18"/>
              </w:rPr>
              <w:t>2,818.4</w:t>
            </w:r>
          </w:p>
        </w:tc>
        <w:tc>
          <w:tcPr>
            <w:tcW w:w="1373" w:type="dxa"/>
            <w:tcBorders>
              <w:top w:val="nil"/>
              <w:left w:val="nil"/>
              <w:bottom w:val="single" w:sz="8" w:space="0" w:color="4D446C"/>
              <w:right w:val="nil"/>
            </w:tcBorders>
            <w:shd w:val="clear" w:color="auto" w:fill="auto"/>
            <w:noWrap/>
            <w:hideMark/>
          </w:tcPr>
          <w:p w14:paraId="0E87E3BF" w14:textId="57458936" w:rsidR="007A16A9" w:rsidRPr="006C7B74" w:rsidRDefault="007A16A9" w:rsidP="007A16A9">
            <w:pPr>
              <w:jc w:val="center"/>
              <w:rPr>
                <w:rFonts w:cstheme="minorHAnsi"/>
                <w:color w:val="363534"/>
                <w:sz w:val="18"/>
                <w:szCs w:val="18"/>
                <w:lang w:eastAsia="en-GB"/>
              </w:rPr>
            </w:pPr>
            <w:r w:rsidRPr="006C7B74">
              <w:rPr>
                <w:sz w:val="18"/>
                <w:szCs w:val="18"/>
              </w:rPr>
              <w:t>2,881.3</w:t>
            </w:r>
          </w:p>
        </w:tc>
        <w:tc>
          <w:tcPr>
            <w:tcW w:w="1491" w:type="dxa"/>
            <w:tcBorders>
              <w:top w:val="nil"/>
              <w:left w:val="nil"/>
              <w:bottom w:val="single" w:sz="8" w:space="0" w:color="4D446C"/>
              <w:right w:val="nil"/>
            </w:tcBorders>
            <w:shd w:val="clear" w:color="auto" w:fill="auto"/>
            <w:noWrap/>
            <w:hideMark/>
          </w:tcPr>
          <w:p w14:paraId="0E38C0B9" w14:textId="21ADD3FB" w:rsidR="007A16A9" w:rsidRPr="006C7B74" w:rsidRDefault="007A16A9" w:rsidP="007A16A9">
            <w:pPr>
              <w:jc w:val="center"/>
              <w:rPr>
                <w:sz w:val="18"/>
                <w:szCs w:val="18"/>
              </w:rPr>
            </w:pPr>
            <w:r w:rsidRPr="006C7B74">
              <w:rPr>
                <w:sz w:val="18"/>
                <w:szCs w:val="18"/>
              </w:rPr>
              <w:t>5,699.7</w:t>
            </w:r>
          </w:p>
        </w:tc>
      </w:tr>
      <w:tr w:rsidR="007A16A9" w:rsidRPr="006C7B74" w14:paraId="18EB86EB" w14:textId="77777777" w:rsidTr="006C7B74">
        <w:trPr>
          <w:trHeight w:val="338"/>
        </w:trPr>
        <w:tc>
          <w:tcPr>
            <w:tcW w:w="2340" w:type="dxa"/>
            <w:tcBorders>
              <w:top w:val="nil"/>
              <w:left w:val="nil"/>
              <w:bottom w:val="single" w:sz="8" w:space="0" w:color="4D446C"/>
              <w:right w:val="nil"/>
            </w:tcBorders>
            <w:shd w:val="clear" w:color="auto" w:fill="auto"/>
            <w:noWrap/>
            <w:vAlign w:val="center"/>
            <w:hideMark/>
          </w:tcPr>
          <w:p w14:paraId="4CC7BDBB" w14:textId="00D2E21E" w:rsidR="007A16A9" w:rsidRPr="006C7B74" w:rsidRDefault="007A16A9" w:rsidP="007A16A9">
            <w:pPr>
              <w:rPr>
                <w:rFonts w:ascii="Calibri" w:hAnsi="Calibri" w:cs="Calibri"/>
                <w:i/>
                <w:color w:val="363534"/>
                <w:sz w:val="18"/>
                <w:szCs w:val="18"/>
                <w:lang w:eastAsia="en-GB"/>
              </w:rPr>
            </w:pPr>
            <w:r w:rsidRPr="006C7B74">
              <w:rPr>
                <w:rFonts w:ascii="Calibri" w:hAnsi="Calibri" w:cs="Calibri"/>
                <w:i/>
                <w:color w:val="363534"/>
                <w:sz w:val="18"/>
                <w:szCs w:val="18"/>
                <w:lang w:eastAsia="en-GB"/>
              </w:rPr>
              <w:t xml:space="preserve">   Western SSIP</w:t>
            </w:r>
          </w:p>
        </w:tc>
        <w:tc>
          <w:tcPr>
            <w:tcW w:w="2506" w:type="dxa"/>
            <w:tcBorders>
              <w:top w:val="nil"/>
              <w:left w:val="nil"/>
              <w:bottom w:val="single" w:sz="8" w:space="0" w:color="4D446C"/>
              <w:right w:val="nil"/>
            </w:tcBorders>
            <w:shd w:val="clear" w:color="auto" w:fill="auto"/>
            <w:noWrap/>
            <w:hideMark/>
          </w:tcPr>
          <w:p w14:paraId="25C69C2E" w14:textId="24AA0539" w:rsidR="007A16A9" w:rsidRPr="006C7B74" w:rsidRDefault="007A16A9" w:rsidP="007A16A9">
            <w:pPr>
              <w:jc w:val="center"/>
              <w:rPr>
                <w:rFonts w:cstheme="minorHAnsi"/>
                <w:i/>
                <w:color w:val="363534"/>
                <w:sz w:val="18"/>
                <w:szCs w:val="18"/>
                <w:lang w:eastAsia="en-GB"/>
              </w:rPr>
            </w:pPr>
            <w:r w:rsidRPr="006C7B74">
              <w:rPr>
                <w:rFonts w:cstheme="minorHAnsi"/>
                <w:i/>
                <w:sz w:val="18"/>
                <w:szCs w:val="18"/>
              </w:rPr>
              <w:t>4,356.3</w:t>
            </w:r>
          </w:p>
        </w:tc>
        <w:tc>
          <w:tcPr>
            <w:tcW w:w="1310" w:type="dxa"/>
            <w:tcBorders>
              <w:top w:val="nil"/>
              <w:left w:val="nil"/>
              <w:bottom w:val="single" w:sz="8" w:space="0" w:color="4D446C"/>
              <w:right w:val="nil"/>
            </w:tcBorders>
            <w:shd w:val="clear" w:color="auto" w:fill="auto"/>
            <w:noWrap/>
            <w:hideMark/>
          </w:tcPr>
          <w:p w14:paraId="4F62641B" w14:textId="299728A9" w:rsidR="007A16A9" w:rsidRPr="006C7B74" w:rsidRDefault="007A16A9" w:rsidP="007A16A9">
            <w:pPr>
              <w:jc w:val="center"/>
              <w:rPr>
                <w:rFonts w:cstheme="minorHAnsi"/>
                <w:i/>
                <w:color w:val="363534"/>
                <w:sz w:val="18"/>
                <w:szCs w:val="18"/>
                <w:lang w:eastAsia="en-GB"/>
              </w:rPr>
            </w:pPr>
            <w:r w:rsidRPr="006C7B74">
              <w:rPr>
                <w:rFonts w:cstheme="minorHAnsi"/>
                <w:i/>
                <w:sz w:val="18"/>
                <w:szCs w:val="18"/>
              </w:rPr>
              <w:t>1,810.5</w:t>
            </w:r>
          </w:p>
        </w:tc>
        <w:tc>
          <w:tcPr>
            <w:tcW w:w="1373" w:type="dxa"/>
            <w:tcBorders>
              <w:top w:val="nil"/>
              <w:left w:val="nil"/>
              <w:bottom w:val="single" w:sz="8" w:space="0" w:color="4D446C"/>
              <w:right w:val="nil"/>
            </w:tcBorders>
            <w:shd w:val="clear" w:color="auto" w:fill="auto"/>
            <w:noWrap/>
            <w:hideMark/>
          </w:tcPr>
          <w:p w14:paraId="0CA74005" w14:textId="26FFA3C7" w:rsidR="007A16A9" w:rsidRPr="006C7B74" w:rsidRDefault="007A16A9" w:rsidP="007A16A9">
            <w:pPr>
              <w:jc w:val="center"/>
              <w:rPr>
                <w:rFonts w:cstheme="minorHAnsi"/>
                <w:i/>
                <w:color w:val="363534"/>
                <w:sz w:val="18"/>
                <w:szCs w:val="18"/>
                <w:lang w:eastAsia="en-GB"/>
              </w:rPr>
            </w:pPr>
            <w:r w:rsidRPr="006C7B74">
              <w:rPr>
                <w:i/>
                <w:sz w:val="18"/>
                <w:szCs w:val="18"/>
              </w:rPr>
              <w:t>1,033.8</w:t>
            </w:r>
          </w:p>
        </w:tc>
        <w:tc>
          <w:tcPr>
            <w:tcW w:w="1491" w:type="dxa"/>
            <w:tcBorders>
              <w:top w:val="nil"/>
              <w:left w:val="nil"/>
              <w:bottom w:val="single" w:sz="8" w:space="0" w:color="4D446C"/>
              <w:right w:val="nil"/>
            </w:tcBorders>
            <w:shd w:val="clear" w:color="auto" w:fill="auto"/>
            <w:noWrap/>
            <w:hideMark/>
          </w:tcPr>
          <w:p w14:paraId="074FBBFD" w14:textId="383ACE9A" w:rsidR="007A16A9" w:rsidRPr="006C7B74" w:rsidRDefault="007A16A9" w:rsidP="007A16A9">
            <w:pPr>
              <w:jc w:val="center"/>
              <w:rPr>
                <w:i/>
                <w:sz w:val="18"/>
                <w:szCs w:val="18"/>
              </w:rPr>
            </w:pPr>
            <w:r w:rsidRPr="006C7B74">
              <w:rPr>
                <w:i/>
                <w:sz w:val="18"/>
                <w:szCs w:val="18"/>
              </w:rPr>
              <w:t>2,844.3</w:t>
            </w:r>
          </w:p>
        </w:tc>
      </w:tr>
      <w:tr w:rsidR="007A16A9" w:rsidRPr="006C7B74" w14:paraId="376862A4" w14:textId="77777777" w:rsidTr="006C7B74">
        <w:trPr>
          <w:trHeight w:val="338"/>
        </w:trPr>
        <w:tc>
          <w:tcPr>
            <w:tcW w:w="2340" w:type="dxa"/>
            <w:tcBorders>
              <w:top w:val="nil"/>
              <w:left w:val="nil"/>
              <w:bottom w:val="single" w:sz="8" w:space="0" w:color="4D446C"/>
              <w:right w:val="nil"/>
            </w:tcBorders>
            <w:shd w:val="clear" w:color="auto" w:fill="auto"/>
            <w:noWrap/>
            <w:vAlign w:val="center"/>
            <w:hideMark/>
          </w:tcPr>
          <w:p w14:paraId="1EA3AD14" w14:textId="0EDA169E" w:rsidR="007A16A9" w:rsidRPr="006C7B74" w:rsidRDefault="007A16A9" w:rsidP="007A16A9">
            <w:pPr>
              <w:rPr>
                <w:rFonts w:ascii="Calibri" w:hAnsi="Calibri" w:cs="Calibri"/>
                <w:color w:val="363534"/>
                <w:sz w:val="18"/>
                <w:szCs w:val="18"/>
                <w:lang w:eastAsia="en-GB"/>
              </w:rPr>
            </w:pPr>
            <w:r w:rsidRPr="006C7B74">
              <w:rPr>
                <w:rFonts w:ascii="Calibri" w:hAnsi="Calibri" w:cs="Calibri"/>
                <w:color w:val="363534"/>
                <w:sz w:val="18"/>
                <w:szCs w:val="18"/>
                <w:lang w:eastAsia="en-GB"/>
              </w:rPr>
              <w:t>Northern Region</w:t>
            </w:r>
          </w:p>
        </w:tc>
        <w:tc>
          <w:tcPr>
            <w:tcW w:w="2506" w:type="dxa"/>
            <w:tcBorders>
              <w:top w:val="nil"/>
              <w:left w:val="nil"/>
              <w:bottom w:val="single" w:sz="8" w:space="0" w:color="4D446C"/>
              <w:right w:val="nil"/>
            </w:tcBorders>
            <w:shd w:val="clear" w:color="auto" w:fill="auto"/>
            <w:noWrap/>
            <w:hideMark/>
          </w:tcPr>
          <w:p w14:paraId="0833AB97" w14:textId="4314C475" w:rsidR="007A16A9" w:rsidRPr="006C7B74" w:rsidRDefault="007A16A9" w:rsidP="007A16A9">
            <w:pPr>
              <w:jc w:val="center"/>
              <w:rPr>
                <w:rFonts w:cstheme="minorHAnsi"/>
                <w:color w:val="363534"/>
                <w:sz w:val="18"/>
                <w:szCs w:val="18"/>
                <w:lang w:eastAsia="en-GB"/>
              </w:rPr>
            </w:pPr>
            <w:r w:rsidRPr="006C7B74">
              <w:rPr>
                <w:rFonts w:cstheme="minorHAnsi"/>
                <w:sz w:val="18"/>
                <w:szCs w:val="18"/>
              </w:rPr>
              <w:t>3,718.6</w:t>
            </w:r>
          </w:p>
        </w:tc>
        <w:tc>
          <w:tcPr>
            <w:tcW w:w="1310" w:type="dxa"/>
            <w:tcBorders>
              <w:top w:val="nil"/>
              <w:left w:val="nil"/>
              <w:bottom w:val="single" w:sz="8" w:space="0" w:color="4D446C"/>
              <w:right w:val="nil"/>
            </w:tcBorders>
            <w:shd w:val="clear" w:color="auto" w:fill="auto"/>
            <w:noWrap/>
            <w:hideMark/>
          </w:tcPr>
          <w:p w14:paraId="414A72BB" w14:textId="0EC1A688" w:rsidR="007A16A9" w:rsidRPr="006C7B74" w:rsidRDefault="007A16A9" w:rsidP="007A16A9">
            <w:pPr>
              <w:jc w:val="center"/>
              <w:rPr>
                <w:rFonts w:cstheme="minorHAnsi"/>
                <w:color w:val="363534"/>
                <w:sz w:val="18"/>
                <w:szCs w:val="18"/>
                <w:lang w:eastAsia="en-GB"/>
              </w:rPr>
            </w:pPr>
            <w:r w:rsidRPr="006C7B74">
              <w:rPr>
                <w:rFonts w:cstheme="minorHAnsi"/>
                <w:sz w:val="18"/>
                <w:szCs w:val="18"/>
              </w:rPr>
              <w:t>1,241.2</w:t>
            </w:r>
          </w:p>
        </w:tc>
        <w:tc>
          <w:tcPr>
            <w:tcW w:w="1373" w:type="dxa"/>
            <w:tcBorders>
              <w:top w:val="nil"/>
              <w:left w:val="nil"/>
              <w:bottom w:val="single" w:sz="8" w:space="0" w:color="4D446C"/>
              <w:right w:val="nil"/>
            </w:tcBorders>
            <w:shd w:val="clear" w:color="auto" w:fill="auto"/>
            <w:noWrap/>
            <w:hideMark/>
          </w:tcPr>
          <w:p w14:paraId="60205695" w14:textId="361E63B5" w:rsidR="007A16A9" w:rsidRPr="006C7B74" w:rsidRDefault="007A16A9" w:rsidP="007A16A9">
            <w:pPr>
              <w:jc w:val="center"/>
              <w:rPr>
                <w:rFonts w:cstheme="minorHAnsi"/>
                <w:color w:val="363534"/>
                <w:sz w:val="18"/>
                <w:szCs w:val="18"/>
                <w:lang w:eastAsia="en-GB"/>
              </w:rPr>
            </w:pPr>
            <w:r w:rsidRPr="006C7B74">
              <w:rPr>
                <w:sz w:val="18"/>
                <w:szCs w:val="18"/>
              </w:rPr>
              <w:t>2,8</w:t>
            </w:r>
            <w:r w:rsidR="00C715E6" w:rsidRPr="006C7B74">
              <w:rPr>
                <w:sz w:val="18"/>
                <w:szCs w:val="18"/>
              </w:rPr>
              <w:t>66.9</w:t>
            </w:r>
          </w:p>
        </w:tc>
        <w:tc>
          <w:tcPr>
            <w:tcW w:w="1491" w:type="dxa"/>
            <w:tcBorders>
              <w:top w:val="nil"/>
              <w:left w:val="nil"/>
              <w:bottom w:val="single" w:sz="8" w:space="0" w:color="4D446C"/>
              <w:right w:val="nil"/>
            </w:tcBorders>
            <w:shd w:val="clear" w:color="auto" w:fill="auto"/>
            <w:noWrap/>
            <w:hideMark/>
          </w:tcPr>
          <w:p w14:paraId="53A68C7C" w14:textId="3055971E" w:rsidR="007A16A9" w:rsidRPr="006C7B74" w:rsidRDefault="007A16A9" w:rsidP="007A16A9">
            <w:pPr>
              <w:jc w:val="center"/>
              <w:rPr>
                <w:sz w:val="18"/>
                <w:szCs w:val="18"/>
              </w:rPr>
            </w:pPr>
            <w:r w:rsidRPr="006C7B74">
              <w:rPr>
                <w:sz w:val="18"/>
                <w:szCs w:val="18"/>
              </w:rPr>
              <w:t>4,1</w:t>
            </w:r>
            <w:r w:rsidR="00C715E6" w:rsidRPr="006C7B74">
              <w:rPr>
                <w:sz w:val="18"/>
                <w:szCs w:val="18"/>
              </w:rPr>
              <w:t>08.1</w:t>
            </w:r>
          </w:p>
        </w:tc>
      </w:tr>
      <w:tr w:rsidR="007A16A9" w:rsidRPr="006C7B74" w14:paraId="067BB961" w14:textId="77777777" w:rsidTr="006C7B74">
        <w:trPr>
          <w:trHeight w:val="338"/>
        </w:trPr>
        <w:tc>
          <w:tcPr>
            <w:tcW w:w="2340" w:type="dxa"/>
            <w:tcBorders>
              <w:top w:val="nil"/>
              <w:left w:val="nil"/>
              <w:bottom w:val="single" w:sz="8" w:space="0" w:color="4D446C"/>
              <w:right w:val="nil"/>
            </w:tcBorders>
            <w:shd w:val="clear" w:color="auto" w:fill="auto"/>
            <w:noWrap/>
            <w:vAlign w:val="center"/>
            <w:hideMark/>
          </w:tcPr>
          <w:p w14:paraId="3A9CEF24" w14:textId="0B708BA3" w:rsidR="007A16A9" w:rsidRPr="006C7B74" w:rsidRDefault="007A16A9" w:rsidP="007A16A9">
            <w:pPr>
              <w:rPr>
                <w:rFonts w:ascii="Calibri" w:hAnsi="Calibri" w:cs="Calibri"/>
                <w:i/>
                <w:color w:val="363534"/>
                <w:sz w:val="18"/>
                <w:szCs w:val="18"/>
                <w:lang w:eastAsia="en-GB"/>
              </w:rPr>
            </w:pPr>
            <w:r w:rsidRPr="006C7B74">
              <w:rPr>
                <w:rFonts w:ascii="Calibri" w:hAnsi="Calibri" w:cs="Calibri"/>
                <w:i/>
                <w:color w:val="363534"/>
                <w:sz w:val="18"/>
                <w:szCs w:val="18"/>
                <w:lang w:eastAsia="en-GB"/>
              </w:rPr>
              <w:t xml:space="preserve">   Northern SSIP</w:t>
            </w:r>
          </w:p>
        </w:tc>
        <w:tc>
          <w:tcPr>
            <w:tcW w:w="2506" w:type="dxa"/>
            <w:tcBorders>
              <w:top w:val="nil"/>
              <w:left w:val="nil"/>
              <w:bottom w:val="single" w:sz="8" w:space="0" w:color="4D446C"/>
              <w:right w:val="nil"/>
            </w:tcBorders>
            <w:shd w:val="clear" w:color="auto" w:fill="auto"/>
            <w:noWrap/>
            <w:hideMark/>
          </w:tcPr>
          <w:p w14:paraId="318F0F72" w14:textId="5E932C3E" w:rsidR="007A16A9" w:rsidRPr="006C7B74" w:rsidRDefault="007A16A9" w:rsidP="007A16A9">
            <w:pPr>
              <w:jc w:val="center"/>
              <w:rPr>
                <w:rFonts w:cstheme="minorHAnsi"/>
                <w:i/>
                <w:color w:val="363534"/>
                <w:sz w:val="18"/>
                <w:szCs w:val="18"/>
                <w:lang w:eastAsia="en-GB"/>
              </w:rPr>
            </w:pPr>
            <w:r w:rsidRPr="006C7B74">
              <w:rPr>
                <w:rFonts w:cstheme="minorHAnsi"/>
                <w:i/>
                <w:sz w:val="18"/>
                <w:szCs w:val="18"/>
              </w:rPr>
              <w:t>2,400.7</w:t>
            </w:r>
          </w:p>
        </w:tc>
        <w:tc>
          <w:tcPr>
            <w:tcW w:w="1310" w:type="dxa"/>
            <w:tcBorders>
              <w:top w:val="nil"/>
              <w:left w:val="nil"/>
              <w:bottom w:val="single" w:sz="8" w:space="0" w:color="4D446C"/>
              <w:right w:val="nil"/>
            </w:tcBorders>
            <w:shd w:val="clear" w:color="auto" w:fill="auto"/>
            <w:noWrap/>
            <w:hideMark/>
          </w:tcPr>
          <w:p w14:paraId="58505A4F" w14:textId="4F153844" w:rsidR="007A16A9" w:rsidRPr="006C7B74" w:rsidRDefault="007A16A9" w:rsidP="007A16A9">
            <w:pPr>
              <w:jc w:val="center"/>
              <w:rPr>
                <w:rFonts w:cstheme="minorHAnsi"/>
                <w:i/>
                <w:color w:val="363534"/>
                <w:sz w:val="18"/>
                <w:szCs w:val="18"/>
                <w:lang w:eastAsia="en-GB"/>
              </w:rPr>
            </w:pPr>
            <w:r w:rsidRPr="006C7B74">
              <w:rPr>
                <w:rFonts w:cstheme="minorHAnsi"/>
                <w:i/>
                <w:sz w:val="18"/>
                <w:szCs w:val="18"/>
              </w:rPr>
              <w:t>978.2</w:t>
            </w:r>
          </w:p>
        </w:tc>
        <w:tc>
          <w:tcPr>
            <w:tcW w:w="1373" w:type="dxa"/>
            <w:tcBorders>
              <w:top w:val="nil"/>
              <w:left w:val="nil"/>
              <w:bottom w:val="single" w:sz="8" w:space="0" w:color="4D446C"/>
              <w:right w:val="nil"/>
            </w:tcBorders>
            <w:shd w:val="clear" w:color="auto" w:fill="auto"/>
            <w:noWrap/>
            <w:hideMark/>
          </w:tcPr>
          <w:p w14:paraId="1DA576FF" w14:textId="7C1C5833" w:rsidR="007A16A9" w:rsidRPr="006C7B74" w:rsidRDefault="007A16A9" w:rsidP="007A16A9">
            <w:pPr>
              <w:jc w:val="center"/>
              <w:rPr>
                <w:rFonts w:cstheme="minorHAnsi"/>
                <w:i/>
                <w:color w:val="363534"/>
                <w:sz w:val="18"/>
                <w:szCs w:val="18"/>
                <w:lang w:eastAsia="en-GB"/>
              </w:rPr>
            </w:pPr>
            <w:r w:rsidRPr="006C7B74">
              <w:rPr>
                <w:i/>
                <w:sz w:val="18"/>
                <w:szCs w:val="18"/>
              </w:rPr>
              <w:t>2,</w:t>
            </w:r>
            <w:r w:rsidR="00C715E6" w:rsidRPr="006C7B74">
              <w:rPr>
                <w:i/>
                <w:sz w:val="18"/>
                <w:szCs w:val="18"/>
              </w:rPr>
              <w:t>393.7</w:t>
            </w:r>
          </w:p>
        </w:tc>
        <w:tc>
          <w:tcPr>
            <w:tcW w:w="1491" w:type="dxa"/>
            <w:tcBorders>
              <w:top w:val="nil"/>
              <w:left w:val="nil"/>
              <w:bottom w:val="single" w:sz="8" w:space="0" w:color="4D446C"/>
              <w:right w:val="nil"/>
            </w:tcBorders>
            <w:shd w:val="clear" w:color="auto" w:fill="auto"/>
            <w:noWrap/>
            <w:hideMark/>
          </w:tcPr>
          <w:p w14:paraId="6FD2D67F" w14:textId="079E761A" w:rsidR="007A16A9" w:rsidRPr="006C7B74" w:rsidRDefault="007A16A9" w:rsidP="007A16A9">
            <w:pPr>
              <w:jc w:val="center"/>
              <w:rPr>
                <w:i/>
                <w:sz w:val="18"/>
                <w:szCs w:val="18"/>
              </w:rPr>
            </w:pPr>
            <w:r w:rsidRPr="006C7B74">
              <w:rPr>
                <w:i/>
                <w:sz w:val="18"/>
                <w:szCs w:val="18"/>
              </w:rPr>
              <w:t>3,3</w:t>
            </w:r>
            <w:r w:rsidR="004F3B46" w:rsidRPr="006C7B74">
              <w:rPr>
                <w:i/>
                <w:sz w:val="18"/>
                <w:szCs w:val="18"/>
              </w:rPr>
              <w:t>71.9</w:t>
            </w:r>
          </w:p>
        </w:tc>
      </w:tr>
      <w:tr w:rsidR="007A16A9" w:rsidRPr="006C7B74" w14:paraId="10502BBA" w14:textId="77777777" w:rsidTr="006C7B74">
        <w:trPr>
          <w:trHeight w:val="338"/>
        </w:trPr>
        <w:tc>
          <w:tcPr>
            <w:tcW w:w="2340" w:type="dxa"/>
            <w:tcBorders>
              <w:top w:val="nil"/>
              <w:left w:val="nil"/>
              <w:bottom w:val="single" w:sz="8" w:space="0" w:color="4D446C"/>
              <w:right w:val="nil"/>
            </w:tcBorders>
            <w:shd w:val="clear" w:color="auto" w:fill="auto"/>
            <w:noWrap/>
            <w:vAlign w:val="center"/>
            <w:hideMark/>
          </w:tcPr>
          <w:p w14:paraId="53837FCD" w14:textId="0685E2E6" w:rsidR="007A16A9" w:rsidRPr="006C7B74" w:rsidRDefault="007A16A9" w:rsidP="007A16A9">
            <w:pPr>
              <w:rPr>
                <w:rFonts w:ascii="Calibri" w:hAnsi="Calibri" w:cs="Calibri"/>
                <w:color w:val="363534"/>
                <w:sz w:val="18"/>
                <w:szCs w:val="18"/>
                <w:lang w:eastAsia="en-GB"/>
              </w:rPr>
            </w:pPr>
            <w:r w:rsidRPr="006C7B74">
              <w:rPr>
                <w:rFonts w:ascii="Calibri" w:hAnsi="Calibri" w:cs="Calibri"/>
                <w:color w:val="363534"/>
                <w:sz w:val="18"/>
                <w:szCs w:val="18"/>
                <w:lang w:eastAsia="en-GB"/>
              </w:rPr>
              <w:t>Eastern Region</w:t>
            </w:r>
          </w:p>
        </w:tc>
        <w:tc>
          <w:tcPr>
            <w:tcW w:w="2506" w:type="dxa"/>
            <w:tcBorders>
              <w:top w:val="nil"/>
              <w:left w:val="nil"/>
              <w:bottom w:val="single" w:sz="8" w:space="0" w:color="4D446C"/>
              <w:right w:val="nil"/>
            </w:tcBorders>
            <w:shd w:val="clear" w:color="auto" w:fill="auto"/>
            <w:noWrap/>
            <w:hideMark/>
          </w:tcPr>
          <w:p w14:paraId="76CAB2D6" w14:textId="65258455" w:rsidR="007A16A9" w:rsidRPr="006C7B74" w:rsidRDefault="007A16A9" w:rsidP="007A16A9">
            <w:pPr>
              <w:jc w:val="center"/>
              <w:rPr>
                <w:rFonts w:cstheme="minorHAnsi"/>
                <w:color w:val="363534"/>
                <w:sz w:val="18"/>
                <w:szCs w:val="18"/>
                <w:lang w:eastAsia="en-GB"/>
              </w:rPr>
            </w:pPr>
            <w:r w:rsidRPr="006C7B74">
              <w:rPr>
                <w:rFonts w:cstheme="minorHAnsi"/>
                <w:sz w:val="18"/>
                <w:szCs w:val="18"/>
              </w:rPr>
              <w:t>2,435.0</w:t>
            </w:r>
          </w:p>
        </w:tc>
        <w:tc>
          <w:tcPr>
            <w:tcW w:w="1310" w:type="dxa"/>
            <w:tcBorders>
              <w:top w:val="nil"/>
              <w:left w:val="nil"/>
              <w:bottom w:val="single" w:sz="8" w:space="0" w:color="4D446C"/>
              <w:right w:val="nil"/>
            </w:tcBorders>
            <w:shd w:val="clear" w:color="auto" w:fill="auto"/>
            <w:noWrap/>
            <w:hideMark/>
          </w:tcPr>
          <w:p w14:paraId="593BB400" w14:textId="6B529641" w:rsidR="007A16A9" w:rsidRPr="006C7B74" w:rsidRDefault="007A16A9" w:rsidP="007A16A9">
            <w:pPr>
              <w:jc w:val="center"/>
              <w:rPr>
                <w:rFonts w:cstheme="minorHAnsi"/>
                <w:color w:val="363534"/>
                <w:sz w:val="18"/>
                <w:szCs w:val="18"/>
                <w:lang w:eastAsia="en-GB"/>
              </w:rPr>
            </w:pPr>
            <w:r w:rsidRPr="006C7B74">
              <w:rPr>
                <w:rFonts w:cstheme="minorHAnsi"/>
                <w:sz w:val="18"/>
                <w:szCs w:val="18"/>
              </w:rPr>
              <w:t>135.1</w:t>
            </w:r>
          </w:p>
        </w:tc>
        <w:tc>
          <w:tcPr>
            <w:tcW w:w="1373" w:type="dxa"/>
            <w:tcBorders>
              <w:top w:val="nil"/>
              <w:left w:val="nil"/>
              <w:bottom w:val="single" w:sz="8" w:space="0" w:color="4D446C"/>
              <w:right w:val="nil"/>
            </w:tcBorders>
            <w:shd w:val="clear" w:color="auto" w:fill="auto"/>
            <w:noWrap/>
            <w:hideMark/>
          </w:tcPr>
          <w:p w14:paraId="6275525E" w14:textId="5A5B3299" w:rsidR="007A16A9" w:rsidRPr="006C7B74" w:rsidRDefault="007A16A9" w:rsidP="007A16A9">
            <w:pPr>
              <w:jc w:val="center"/>
              <w:rPr>
                <w:rFonts w:cstheme="minorHAnsi"/>
                <w:color w:val="363534"/>
                <w:sz w:val="18"/>
                <w:szCs w:val="18"/>
                <w:lang w:eastAsia="en-GB"/>
              </w:rPr>
            </w:pPr>
            <w:r w:rsidRPr="006C7B74">
              <w:rPr>
                <w:sz w:val="18"/>
                <w:szCs w:val="18"/>
              </w:rPr>
              <w:t>0.0</w:t>
            </w:r>
          </w:p>
        </w:tc>
        <w:tc>
          <w:tcPr>
            <w:tcW w:w="1491" w:type="dxa"/>
            <w:tcBorders>
              <w:top w:val="nil"/>
              <w:left w:val="nil"/>
              <w:bottom w:val="single" w:sz="8" w:space="0" w:color="4D446C"/>
              <w:right w:val="nil"/>
            </w:tcBorders>
            <w:shd w:val="clear" w:color="auto" w:fill="auto"/>
            <w:noWrap/>
            <w:hideMark/>
          </w:tcPr>
          <w:p w14:paraId="49E5CF57" w14:textId="77B10280" w:rsidR="007A16A9" w:rsidRPr="006C7B74" w:rsidRDefault="007A16A9" w:rsidP="007A16A9">
            <w:pPr>
              <w:jc w:val="center"/>
              <w:rPr>
                <w:sz w:val="18"/>
                <w:szCs w:val="18"/>
              </w:rPr>
            </w:pPr>
            <w:r w:rsidRPr="006C7B74">
              <w:rPr>
                <w:sz w:val="18"/>
                <w:szCs w:val="18"/>
              </w:rPr>
              <w:t>135.1</w:t>
            </w:r>
          </w:p>
        </w:tc>
      </w:tr>
      <w:tr w:rsidR="007A16A9" w:rsidRPr="006C7B74" w14:paraId="656D5572" w14:textId="77777777" w:rsidTr="006C7B74">
        <w:trPr>
          <w:trHeight w:val="338"/>
        </w:trPr>
        <w:tc>
          <w:tcPr>
            <w:tcW w:w="2340" w:type="dxa"/>
            <w:tcBorders>
              <w:top w:val="nil"/>
              <w:left w:val="nil"/>
              <w:bottom w:val="single" w:sz="8" w:space="0" w:color="4D446C"/>
              <w:right w:val="nil"/>
            </w:tcBorders>
            <w:shd w:val="clear" w:color="auto" w:fill="auto"/>
            <w:noWrap/>
            <w:vAlign w:val="center"/>
            <w:hideMark/>
          </w:tcPr>
          <w:p w14:paraId="6EAA405B" w14:textId="1381F370" w:rsidR="007A16A9" w:rsidRPr="006C7B74" w:rsidRDefault="007A16A9" w:rsidP="007A16A9">
            <w:pPr>
              <w:rPr>
                <w:rFonts w:ascii="Calibri" w:hAnsi="Calibri" w:cs="Calibri"/>
                <w:color w:val="363534"/>
                <w:sz w:val="18"/>
                <w:szCs w:val="18"/>
                <w:lang w:eastAsia="en-GB"/>
              </w:rPr>
            </w:pPr>
            <w:r w:rsidRPr="006C7B74">
              <w:rPr>
                <w:rFonts w:ascii="Calibri" w:hAnsi="Calibri" w:cs="Calibri"/>
                <w:color w:val="363534"/>
                <w:sz w:val="18"/>
                <w:szCs w:val="18"/>
                <w:lang w:eastAsia="en-GB"/>
              </w:rPr>
              <w:t>Southern Region</w:t>
            </w:r>
          </w:p>
        </w:tc>
        <w:tc>
          <w:tcPr>
            <w:tcW w:w="2506" w:type="dxa"/>
            <w:tcBorders>
              <w:top w:val="nil"/>
              <w:left w:val="nil"/>
              <w:bottom w:val="single" w:sz="8" w:space="0" w:color="4D446C"/>
              <w:right w:val="nil"/>
            </w:tcBorders>
            <w:shd w:val="clear" w:color="auto" w:fill="auto"/>
            <w:noWrap/>
            <w:hideMark/>
          </w:tcPr>
          <w:p w14:paraId="1473CF55" w14:textId="5CB9F06B" w:rsidR="007A16A9" w:rsidRPr="006C7B74" w:rsidRDefault="007A16A9" w:rsidP="007A16A9">
            <w:pPr>
              <w:jc w:val="center"/>
              <w:rPr>
                <w:rFonts w:cstheme="minorHAnsi"/>
                <w:color w:val="363534"/>
                <w:sz w:val="18"/>
                <w:szCs w:val="18"/>
                <w:lang w:eastAsia="en-GB"/>
              </w:rPr>
            </w:pPr>
            <w:r w:rsidRPr="006C7B74">
              <w:rPr>
                <w:rFonts w:cstheme="minorHAnsi"/>
                <w:sz w:val="18"/>
                <w:szCs w:val="18"/>
              </w:rPr>
              <w:t>7,270.3</w:t>
            </w:r>
          </w:p>
        </w:tc>
        <w:tc>
          <w:tcPr>
            <w:tcW w:w="1310" w:type="dxa"/>
            <w:tcBorders>
              <w:top w:val="nil"/>
              <w:left w:val="nil"/>
              <w:bottom w:val="single" w:sz="8" w:space="0" w:color="4D446C"/>
              <w:right w:val="nil"/>
            </w:tcBorders>
            <w:shd w:val="clear" w:color="auto" w:fill="auto"/>
            <w:noWrap/>
            <w:hideMark/>
          </w:tcPr>
          <w:p w14:paraId="39E5B57D" w14:textId="644925E4" w:rsidR="007A16A9" w:rsidRPr="006C7B74" w:rsidRDefault="007A16A9" w:rsidP="007A16A9">
            <w:pPr>
              <w:jc w:val="center"/>
              <w:rPr>
                <w:rFonts w:cstheme="minorHAnsi"/>
                <w:color w:val="363534"/>
                <w:sz w:val="18"/>
                <w:szCs w:val="18"/>
                <w:lang w:eastAsia="en-GB"/>
              </w:rPr>
            </w:pPr>
            <w:r w:rsidRPr="006C7B74">
              <w:rPr>
                <w:rFonts w:cstheme="minorHAnsi"/>
                <w:sz w:val="18"/>
                <w:szCs w:val="18"/>
              </w:rPr>
              <w:t>2,3</w:t>
            </w:r>
            <w:r w:rsidR="006A4621" w:rsidRPr="006C7B74">
              <w:rPr>
                <w:rFonts w:cstheme="minorHAnsi"/>
                <w:sz w:val="18"/>
                <w:szCs w:val="18"/>
              </w:rPr>
              <w:t>37</w:t>
            </w:r>
            <w:r w:rsidRPr="006C7B74">
              <w:rPr>
                <w:rFonts w:cstheme="minorHAnsi"/>
                <w:sz w:val="18"/>
                <w:szCs w:val="18"/>
              </w:rPr>
              <w:t>.</w:t>
            </w:r>
            <w:r w:rsidR="006A4621" w:rsidRPr="006C7B74">
              <w:rPr>
                <w:rFonts w:cstheme="minorHAnsi"/>
                <w:sz w:val="18"/>
                <w:szCs w:val="18"/>
              </w:rPr>
              <w:t>5</w:t>
            </w:r>
          </w:p>
        </w:tc>
        <w:tc>
          <w:tcPr>
            <w:tcW w:w="1373" w:type="dxa"/>
            <w:tcBorders>
              <w:top w:val="nil"/>
              <w:left w:val="nil"/>
              <w:bottom w:val="single" w:sz="8" w:space="0" w:color="4D446C"/>
              <w:right w:val="nil"/>
            </w:tcBorders>
            <w:shd w:val="clear" w:color="auto" w:fill="auto"/>
            <w:noWrap/>
            <w:hideMark/>
          </w:tcPr>
          <w:p w14:paraId="3C704C6F" w14:textId="653F80AE" w:rsidR="007A16A9" w:rsidRPr="006C7B74" w:rsidRDefault="007A16A9" w:rsidP="007A16A9">
            <w:pPr>
              <w:jc w:val="center"/>
              <w:rPr>
                <w:rFonts w:cstheme="minorHAnsi"/>
                <w:color w:val="363534"/>
                <w:sz w:val="18"/>
                <w:szCs w:val="18"/>
                <w:lang w:eastAsia="en-GB"/>
              </w:rPr>
            </w:pPr>
            <w:r w:rsidRPr="006C7B74">
              <w:rPr>
                <w:sz w:val="18"/>
                <w:szCs w:val="18"/>
              </w:rPr>
              <w:t>1,183.5</w:t>
            </w:r>
          </w:p>
        </w:tc>
        <w:tc>
          <w:tcPr>
            <w:tcW w:w="1491" w:type="dxa"/>
            <w:tcBorders>
              <w:top w:val="nil"/>
              <w:left w:val="nil"/>
              <w:bottom w:val="single" w:sz="8" w:space="0" w:color="4D446C"/>
              <w:right w:val="nil"/>
            </w:tcBorders>
            <w:shd w:val="clear" w:color="auto" w:fill="auto"/>
            <w:noWrap/>
            <w:hideMark/>
          </w:tcPr>
          <w:p w14:paraId="3B3117DD" w14:textId="50387FC8" w:rsidR="007A16A9" w:rsidRPr="006C7B74" w:rsidRDefault="007A16A9" w:rsidP="007A16A9">
            <w:pPr>
              <w:jc w:val="center"/>
              <w:rPr>
                <w:sz w:val="18"/>
                <w:szCs w:val="18"/>
              </w:rPr>
            </w:pPr>
            <w:r w:rsidRPr="006C7B74">
              <w:rPr>
                <w:sz w:val="18"/>
                <w:szCs w:val="18"/>
              </w:rPr>
              <w:t>3,</w:t>
            </w:r>
            <w:r w:rsidR="004F3B46" w:rsidRPr="006C7B74">
              <w:rPr>
                <w:sz w:val="18"/>
                <w:szCs w:val="18"/>
              </w:rPr>
              <w:t>521.0</w:t>
            </w:r>
          </w:p>
        </w:tc>
      </w:tr>
      <w:tr w:rsidR="007A16A9" w:rsidRPr="006C7B74" w14:paraId="7E2D6B28" w14:textId="77777777" w:rsidTr="006C7B74">
        <w:trPr>
          <w:trHeight w:val="338"/>
        </w:trPr>
        <w:tc>
          <w:tcPr>
            <w:tcW w:w="2340" w:type="dxa"/>
            <w:tcBorders>
              <w:top w:val="nil"/>
              <w:left w:val="nil"/>
              <w:bottom w:val="single" w:sz="8" w:space="0" w:color="4D446C"/>
              <w:right w:val="nil"/>
            </w:tcBorders>
            <w:shd w:val="clear" w:color="auto" w:fill="auto"/>
            <w:noWrap/>
            <w:vAlign w:val="center"/>
            <w:hideMark/>
          </w:tcPr>
          <w:p w14:paraId="2E73E04A" w14:textId="69E9F6A0" w:rsidR="007A16A9" w:rsidRPr="006C7B74" w:rsidRDefault="007A16A9" w:rsidP="007A16A9">
            <w:pPr>
              <w:rPr>
                <w:rFonts w:ascii="Calibri" w:hAnsi="Calibri" w:cs="Calibri"/>
                <w:i/>
                <w:color w:val="363534"/>
                <w:sz w:val="18"/>
                <w:szCs w:val="18"/>
                <w:lang w:eastAsia="en-GB"/>
              </w:rPr>
            </w:pPr>
            <w:r w:rsidRPr="006C7B74">
              <w:rPr>
                <w:rFonts w:ascii="Calibri" w:hAnsi="Calibri" w:cs="Calibri"/>
                <w:i/>
                <w:color w:val="363534"/>
                <w:sz w:val="18"/>
                <w:szCs w:val="18"/>
                <w:lang w:eastAsia="en-GB"/>
              </w:rPr>
              <w:t xml:space="preserve">   Southern SSIP</w:t>
            </w:r>
          </w:p>
        </w:tc>
        <w:tc>
          <w:tcPr>
            <w:tcW w:w="2506" w:type="dxa"/>
            <w:tcBorders>
              <w:top w:val="nil"/>
              <w:left w:val="nil"/>
              <w:bottom w:val="single" w:sz="8" w:space="0" w:color="4D446C"/>
              <w:right w:val="nil"/>
            </w:tcBorders>
            <w:shd w:val="clear" w:color="auto" w:fill="auto"/>
            <w:noWrap/>
            <w:hideMark/>
          </w:tcPr>
          <w:p w14:paraId="2E70439C" w14:textId="228AFD11" w:rsidR="007A16A9" w:rsidRPr="006C7B74" w:rsidRDefault="007A16A9" w:rsidP="007A16A9">
            <w:pPr>
              <w:jc w:val="center"/>
              <w:rPr>
                <w:rFonts w:cstheme="minorHAnsi"/>
                <w:i/>
                <w:color w:val="363534"/>
                <w:sz w:val="18"/>
                <w:szCs w:val="18"/>
                <w:lang w:eastAsia="en-GB"/>
              </w:rPr>
            </w:pPr>
            <w:r w:rsidRPr="006C7B74">
              <w:rPr>
                <w:rFonts w:cstheme="minorHAnsi"/>
                <w:i/>
                <w:sz w:val="18"/>
                <w:szCs w:val="18"/>
              </w:rPr>
              <w:t>2,454.4</w:t>
            </w:r>
          </w:p>
        </w:tc>
        <w:tc>
          <w:tcPr>
            <w:tcW w:w="1310" w:type="dxa"/>
            <w:tcBorders>
              <w:top w:val="nil"/>
              <w:left w:val="nil"/>
              <w:bottom w:val="single" w:sz="8" w:space="0" w:color="4D446C"/>
              <w:right w:val="nil"/>
            </w:tcBorders>
            <w:shd w:val="clear" w:color="auto" w:fill="auto"/>
            <w:noWrap/>
            <w:hideMark/>
          </w:tcPr>
          <w:p w14:paraId="23DE9183" w14:textId="491B2DBF" w:rsidR="007A16A9" w:rsidRPr="006C7B74" w:rsidRDefault="007A16A9" w:rsidP="007A16A9">
            <w:pPr>
              <w:jc w:val="center"/>
              <w:rPr>
                <w:rFonts w:cstheme="minorHAnsi"/>
                <w:i/>
                <w:color w:val="363534"/>
                <w:sz w:val="18"/>
                <w:szCs w:val="18"/>
                <w:lang w:eastAsia="en-GB"/>
              </w:rPr>
            </w:pPr>
            <w:r w:rsidRPr="006C7B74">
              <w:rPr>
                <w:rFonts w:cstheme="minorHAnsi"/>
                <w:i/>
                <w:sz w:val="18"/>
                <w:szCs w:val="18"/>
              </w:rPr>
              <w:t>502.6</w:t>
            </w:r>
          </w:p>
        </w:tc>
        <w:tc>
          <w:tcPr>
            <w:tcW w:w="1373" w:type="dxa"/>
            <w:tcBorders>
              <w:top w:val="nil"/>
              <w:left w:val="nil"/>
              <w:bottom w:val="single" w:sz="8" w:space="0" w:color="4D446C"/>
              <w:right w:val="nil"/>
            </w:tcBorders>
            <w:shd w:val="clear" w:color="auto" w:fill="auto"/>
            <w:noWrap/>
            <w:hideMark/>
          </w:tcPr>
          <w:p w14:paraId="2C812043" w14:textId="32B6D78C" w:rsidR="007A16A9" w:rsidRPr="006C7B74" w:rsidRDefault="007A16A9" w:rsidP="007A16A9">
            <w:pPr>
              <w:jc w:val="center"/>
              <w:rPr>
                <w:rFonts w:cstheme="minorHAnsi"/>
                <w:i/>
                <w:color w:val="363534"/>
                <w:sz w:val="18"/>
                <w:szCs w:val="18"/>
                <w:lang w:eastAsia="en-GB"/>
              </w:rPr>
            </w:pPr>
            <w:r w:rsidRPr="006C7B74">
              <w:rPr>
                <w:i/>
                <w:sz w:val="18"/>
                <w:szCs w:val="18"/>
              </w:rPr>
              <w:t>0.0</w:t>
            </w:r>
          </w:p>
        </w:tc>
        <w:tc>
          <w:tcPr>
            <w:tcW w:w="1491" w:type="dxa"/>
            <w:tcBorders>
              <w:top w:val="nil"/>
              <w:left w:val="nil"/>
              <w:bottom w:val="single" w:sz="8" w:space="0" w:color="4D446C"/>
              <w:right w:val="nil"/>
            </w:tcBorders>
            <w:shd w:val="clear" w:color="auto" w:fill="auto"/>
            <w:noWrap/>
            <w:hideMark/>
          </w:tcPr>
          <w:p w14:paraId="70BF83BA" w14:textId="2B77E390" w:rsidR="007A16A9" w:rsidRPr="006C7B74" w:rsidRDefault="007A16A9" w:rsidP="007A16A9">
            <w:pPr>
              <w:jc w:val="center"/>
              <w:rPr>
                <w:i/>
                <w:sz w:val="18"/>
                <w:szCs w:val="18"/>
              </w:rPr>
            </w:pPr>
            <w:r w:rsidRPr="006C7B74">
              <w:rPr>
                <w:i/>
                <w:sz w:val="18"/>
                <w:szCs w:val="18"/>
              </w:rPr>
              <w:t>502.6</w:t>
            </w:r>
          </w:p>
        </w:tc>
      </w:tr>
      <w:tr w:rsidR="007A16A9" w:rsidRPr="006C7B74" w14:paraId="6CB5E0E1" w14:textId="77777777" w:rsidTr="006C7B74">
        <w:trPr>
          <w:trHeight w:val="338"/>
        </w:trPr>
        <w:tc>
          <w:tcPr>
            <w:tcW w:w="2340" w:type="dxa"/>
            <w:tcBorders>
              <w:top w:val="nil"/>
              <w:left w:val="nil"/>
              <w:bottom w:val="single" w:sz="8" w:space="0" w:color="4D446C"/>
              <w:right w:val="nil"/>
            </w:tcBorders>
            <w:shd w:val="clear" w:color="auto" w:fill="auto"/>
            <w:noWrap/>
            <w:vAlign w:val="center"/>
            <w:hideMark/>
          </w:tcPr>
          <w:p w14:paraId="2F74CFA6" w14:textId="293493AC" w:rsidR="007A16A9" w:rsidRPr="006C7B74" w:rsidRDefault="007A16A9" w:rsidP="007A16A9">
            <w:pPr>
              <w:rPr>
                <w:rFonts w:ascii="Calibri" w:hAnsi="Calibri" w:cs="Calibri"/>
                <w:i/>
                <w:color w:val="363534"/>
                <w:sz w:val="18"/>
                <w:szCs w:val="18"/>
                <w:lang w:eastAsia="en-GB"/>
              </w:rPr>
            </w:pPr>
            <w:r w:rsidRPr="006C7B74">
              <w:rPr>
                <w:rFonts w:ascii="Calibri" w:hAnsi="Calibri" w:cs="Calibri"/>
                <w:i/>
                <w:color w:val="363534"/>
                <w:sz w:val="18"/>
                <w:szCs w:val="18"/>
                <w:lang w:eastAsia="en-GB"/>
              </w:rPr>
              <w:t xml:space="preserve">   Officer-Pakenham SSIP</w:t>
            </w:r>
          </w:p>
        </w:tc>
        <w:tc>
          <w:tcPr>
            <w:tcW w:w="2506" w:type="dxa"/>
            <w:tcBorders>
              <w:top w:val="nil"/>
              <w:left w:val="nil"/>
              <w:bottom w:val="single" w:sz="8" w:space="0" w:color="4D446C"/>
              <w:right w:val="nil"/>
            </w:tcBorders>
            <w:shd w:val="clear" w:color="auto" w:fill="auto"/>
            <w:noWrap/>
            <w:hideMark/>
          </w:tcPr>
          <w:p w14:paraId="2F4EDF5C" w14:textId="3161CCA7" w:rsidR="007A16A9" w:rsidRPr="006C7B74" w:rsidRDefault="007A16A9" w:rsidP="007A16A9">
            <w:pPr>
              <w:jc w:val="center"/>
              <w:rPr>
                <w:rFonts w:cstheme="minorHAnsi"/>
                <w:i/>
                <w:color w:val="363534"/>
                <w:sz w:val="18"/>
                <w:szCs w:val="18"/>
                <w:lang w:eastAsia="en-GB"/>
              </w:rPr>
            </w:pPr>
            <w:r w:rsidRPr="006C7B74">
              <w:rPr>
                <w:rFonts w:cstheme="minorHAnsi"/>
                <w:i/>
                <w:sz w:val="18"/>
                <w:szCs w:val="18"/>
              </w:rPr>
              <w:t>317.7</w:t>
            </w:r>
          </w:p>
        </w:tc>
        <w:tc>
          <w:tcPr>
            <w:tcW w:w="1310" w:type="dxa"/>
            <w:tcBorders>
              <w:top w:val="nil"/>
              <w:left w:val="nil"/>
              <w:bottom w:val="single" w:sz="8" w:space="0" w:color="4D446C"/>
              <w:right w:val="nil"/>
            </w:tcBorders>
            <w:shd w:val="clear" w:color="auto" w:fill="auto"/>
            <w:noWrap/>
            <w:hideMark/>
          </w:tcPr>
          <w:p w14:paraId="7FDB8DE8" w14:textId="0FF4E522" w:rsidR="007A16A9" w:rsidRPr="006C7B74" w:rsidRDefault="007A16A9" w:rsidP="007A16A9">
            <w:pPr>
              <w:jc w:val="center"/>
              <w:rPr>
                <w:rFonts w:cstheme="minorHAnsi"/>
                <w:i/>
                <w:color w:val="363534"/>
                <w:sz w:val="18"/>
                <w:szCs w:val="18"/>
                <w:lang w:eastAsia="en-GB"/>
              </w:rPr>
            </w:pPr>
            <w:r w:rsidRPr="006C7B74">
              <w:rPr>
                <w:rFonts w:cstheme="minorHAnsi"/>
                <w:i/>
                <w:sz w:val="18"/>
                <w:szCs w:val="18"/>
              </w:rPr>
              <w:t>323.8</w:t>
            </w:r>
          </w:p>
        </w:tc>
        <w:tc>
          <w:tcPr>
            <w:tcW w:w="1373" w:type="dxa"/>
            <w:tcBorders>
              <w:top w:val="nil"/>
              <w:left w:val="nil"/>
              <w:bottom w:val="single" w:sz="8" w:space="0" w:color="4D446C"/>
              <w:right w:val="nil"/>
            </w:tcBorders>
            <w:shd w:val="clear" w:color="auto" w:fill="auto"/>
            <w:noWrap/>
            <w:hideMark/>
          </w:tcPr>
          <w:p w14:paraId="24DFF40B" w14:textId="41070140" w:rsidR="007A16A9" w:rsidRPr="006C7B74" w:rsidRDefault="007A16A9" w:rsidP="007A16A9">
            <w:pPr>
              <w:jc w:val="center"/>
              <w:rPr>
                <w:rFonts w:cstheme="minorHAnsi"/>
                <w:i/>
                <w:color w:val="363534"/>
                <w:sz w:val="18"/>
                <w:szCs w:val="18"/>
                <w:lang w:eastAsia="en-GB"/>
              </w:rPr>
            </w:pPr>
            <w:r w:rsidRPr="006C7B74">
              <w:rPr>
                <w:i/>
                <w:sz w:val="18"/>
                <w:szCs w:val="18"/>
              </w:rPr>
              <w:t>938.3</w:t>
            </w:r>
          </w:p>
        </w:tc>
        <w:tc>
          <w:tcPr>
            <w:tcW w:w="1491" w:type="dxa"/>
            <w:tcBorders>
              <w:top w:val="nil"/>
              <w:left w:val="nil"/>
              <w:bottom w:val="single" w:sz="8" w:space="0" w:color="4D446C"/>
              <w:right w:val="nil"/>
            </w:tcBorders>
            <w:shd w:val="clear" w:color="auto" w:fill="auto"/>
            <w:noWrap/>
            <w:hideMark/>
          </w:tcPr>
          <w:p w14:paraId="3EA22017" w14:textId="3D5FFAE0" w:rsidR="007A16A9" w:rsidRPr="006C7B74" w:rsidRDefault="007A16A9" w:rsidP="007A16A9">
            <w:pPr>
              <w:jc w:val="center"/>
              <w:rPr>
                <w:i/>
                <w:sz w:val="18"/>
                <w:szCs w:val="18"/>
              </w:rPr>
            </w:pPr>
            <w:r w:rsidRPr="006C7B74">
              <w:rPr>
                <w:i/>
                <w:sz w:val="18"/>
                <w:szCs w:val="18"/>
              </w:rPr>
              <w:t>1,262.1</w:t>
            </w:r>
          </w:p>
        </w:tc>
      </w:tr>
      <w:tr w:rsidR="007A16A9" w:rsidRPr="006C7B74" w14:paraId="14DD392D" w14:textId="77777777" w:rsidTr="006C7B74">
        <w:trPr>
          <w:trHeight w:val="338"/>
        </w:trPr>
        <w:tc>
          <w:tcPr>
            <w:tcW w:w="2340" w:type="dxa"/>
            <w:tcBorders>
              <w:top w:val="nil"/>
              <w:left w:val="nil"/>
              <w:bottom w:val="single" w:sz="8" w:space="0" w:color="4D446C"/>
              <w:right w:val="nil"/>
            </w:tcBorders>
            <w:shd w:val="clear" w:color="auto" w:fill="auto"/>
            <w:noWrap/>
            <w:vAlign w:val="center"/>
            <w:hideMark/>
          </w:tcPr>
          <w:p w14:paraId="1880FF5E" w14:textId="5B7EE346" w:rsidR="007A16A9" w:rsidRPr="006C7B74" w:rsidRDefault="007A16A9" w:rsidP="007A16A9">
            <w:pPr>
              <w:rPr>
                <w:rFonts w:ascii="Calibri" w:hAnsi="Calibri" w:cs="Calibri"/>
                <w:i/>
                <w:color w:val="363534"/>
                <w:sz w:val="18"/>
                <w:szCs w:val="18"/>
                <w:lang w:eastAsia="en-GB"/>
              </w:rPr>
            </w:pPr>
            <w:r w:rsidRPr="006C7B74">
              <w:rPr>
                <w:rFonts w:ascii="Calibri" w:hAnsi="Calibri" w:cs="Calibri"/>
                <w:i/>
                <w:color w:val="363534"/>
                <w:sz w:val="18"/>
                <w:szCs w:val="18"/>
                <w:lang w:eastAsia="en-GB"/>
              </w:rPr>
              <w:t xml:space="preserve">   Hastings SSIP</w:t>
            </w:r>
          </w:p>
        </w:tc>
        <w:tc>
          <w:tcPr>
            <w:tcW w:w="2506" w:type="dxa"/>
            <w:tcBorders>
              <w:top w:val="nil"/>
              <w:left w:val="nil"/>
              <w:bottom w:val="single" w:sz="8" w:space="0" w:color="4D446C"/>
              <w:right w:val="nil"/>
            </w:tcBorders>
            <w:shd w:val="clear" w:color="auto" w:fill="auto"/>
            <w:noWrap/>
            <w:hideMark/>
          </w:tcPr>
          <w:p w14:paraId="27D174B8" w14:textId="262847B5" w:rsidR="007A16A9" w:rsidRPr="006C7B74" w:rsidRDefault="007A16A9" w:rsidP="007A16A9">
            <w:pPr>
              <w:jc w:val="center"/>
              <w:rPr>
                <w:rFonts w:cstheme="minorHAnsi"/>
                <w:i/>
                <w:color w:val="363534"/>
                <w:sz w:val="18"/>
                <w:szCs w:val="18"/>
                <w:lang w:eastAsia="en-GB"/>
              </w:rPr>
            </w:pPr>
            <w:r w:rsidRPr="006C7B74">
              <w:rPr>
                <w:rFonts w:cstheme="minorHAnsi"/>
                <w:i/>
                <w:sz w:val="18"/>
                <w:szCs w:val="18"/>
              </w:rPr>
              <w:t>814.1</w:t>
            </w:r>
          </w:p>
        </w:tc>
        <w:tc>
          <w:tcPr>
            <w:tcW w:w="1310" w:type="dxa"/>
            <w:tcBorders>
              <w:top w:val="nil"/>
              <w:left w:val="nil"/>
              <w:bottom w:val="single" w:sz="8" w:space="0" w:color="4D446C"/>
              <w:right w:val="nil"/>
            </w:tcBorders>
            <w:shd w:val="clear" w:color="auto" w:fill="auto"/>
            <w:noWrap/>
            <w:hideMark/>
          </w:tcPr>
          <w:p w14:paraId="297779D5" w14:textId="7253A68B" w:rsidR="007A16A9" w:rsidRPr="006C7B74" w:rsidRDefault="007A16A9" w:rsidP="007A16A9">
            <w:pPr>
              <w:jc w:val="center"/>
              <w:rPr>
                <w:rFonts w:cstheme="minorHAnsi"/>
                <w:i/>
                <w:color w:val="363534"/>
                <w:sz w:val="18"/>
                <w:szCs w:val="18"/>
                <w:lang w:eastAsia="en-GB"/>
              </w:rPr>
            </w:pPr>
            <w:r w:rsidRPr="006C7B74">
              <w:rPr>
                <w:rFonts w:cstheme="minorHAnsi"/>
                <w:i/>
                <w:sz w:val="18"/>
                <w:szCs w:val="18"/>
              </w:rPr>
              <w:t>578.1</w:t>
            </w:r>
          </w:p>
        </w:tc>
        <w:tc>
          <w:tcPr>
            <w:tcW w:w="1373" w:type="dxa"/>
            <w:tcBorders>
              <w:top w:val="nil"/>
              <w:left w:val="nil"/>
              <w:bottom w:val="single" w:sz="8" w:space="0" w:color="4D446C"/>
              <w:right w:val="nil"/>
            </w:tcBorders>
            <w:shd w:val="clear" w:color="auto" w:fill="auto"/>
            <w:noWrap/>
            <w:hideMark/>
          </w:tcPr>
          <w:p w14:paraId="6789A2B0" w14:textId="0E2920C1" w:rsidR="007A16A9" w:rsidRPr="006C7B74" w:rsidRDefault="007A16A9" w:rsidP="007A16A9">
            <w:pPr>
              <w:jc w:val="center"/>
              <w:rPr>
                <w:rFonts w:cstheme="minorHAnsi"/>
                <w:i/>
                <w:color w:val="363534"/>
                <w:sz w:val="18"/>
                <w:szCs w:val="18"/>
                <w:lang w:eastAsia="en-GB"/>
              </w:rPr>
            </w:pPr>
            <w:r w:rsidRPr="006C7B74">
              <w:rPr>
                <w:i/>
                <w:sz w:val="18"/>
                <w:szCs w:val="18"/>
              </w:rPr>
              <w:t>0.0</w:t>
            </w:r>
          </w:p>
        </w:tc>
        <w:tc>
          <w:tcPr>
            <w:tcW w:w="1491" w:type="dxa"/>
            <w:tcBorders>
              <w:top w:val="nil"/>
              <w:left w:val="nil"/>
              <w:bottom w:val="single" w:sz="8" w:space="0" w:color="4D446C"/>
              <w:right w:val="nil"/>
            </w:tcBorders>
            <w:shd w:val="clear" w:color="auto" w:fill="auto"/>
            <w:noWrap/>
            <w:hideMark/>
          </w:tcPr>
          <w:p w14:paraId="263330A0" w14:textId="5ADA4223" w:rsidR="007A16A9" w:rsidRPr="006C7B74" w:rsidRDefault="007A16A9" w:rsidP="007A16A9">
            <w:pPr>
              <w:jc w:val="center"/>
              <w:rPr>
                <w:i/>
                <w:sz w:val="18"/>
                <w:szCs w:val="18"/>
              </w:rPr>
            </w:pPr>
            <w:r w:rsidRPr="006C7B74">
              <w:rPr>
                <w:i/>
                <w:sz w:val="18"/>
                <w:szCs w:val="18"/>
              </w:rPr>
              <w:t>578.1</w:t>
            </w:r>
          </w:p>
        </w:tc>
      </w:tr>
      <w:tr w:rsidR="007A16A9" w:rsidRPr="006C7B74" w14:paraId="644E451F" w14:textId="77777777" w:rsidTr="006C7B74">
        <w:trPr>
          <w:trHeight w:val="338"/>
        </w:trPr>
        <w:tc>
          <w:tcPr>
            <w:tcW w:w="2340" w:type="dxa"/>
            <w:tcBorders>
              <w:top w:val="nil"/>
              <w:left w:val="nil"/>
              <w:bottom w:val="single" w:sz="8" w:space="0" w:color="4D446C"/>
              <w:right w:val="nil"/>
            </w:tcBorders>
            <w:shd w:val="clear" w:color="auto" w:fill="auto"/>
            <w:noWrap/>
            <w:vAlign w:val="center"/>
            <w:hideMark/>
          </w:tcPr>
          <w:p w14:paraId="05E73F07" w14:textId="386C10FB" w:rsidR="007A16A9" w:rsidRPr="006C7B74" w:rsidRDefault="007A16A9" w:rsidP="007A16A9">
            <w:pPr>
              <w:rPr>
                <w:rFonts w:ascii="Calibri" w:hAnsi="Calibri" w:cs="Calibri"/>
                <w:color w:val="363534"/>
                <w:sz w:val="18"/>
                <w:szCs w:val="18"/>
                <w:lang w:eastAsia="en-GB"/>
              </w:rPr>
            </w:pPr>
            <w:r w:rsidRPr="006C7B74">
              <w:rPr>
                <w:rFonts w:ascii="Calibri" w:hAnsi="Calibri" w:cs="Calibri"/>
                <w:color w:val="363534"/>
                <w:sz w:val="18"/>
                <w:szCs w:val="18"/>
                <w:lang w:eastAsia="en-GB"/>
              </w:rPr>
              <w:t>Inner South East Region</w:t>
            </w:r>
          </w:p>
        </w:tc>
        <w:tc>
          <w:tcPr>
            <w:tcW w:w="2506" w:type="dxa"/>
            <w:tcBorders>
              <w:top w:val="nil"/>
              <w:left w:val="nil"/>
              <w:bottom w:val="single" w:sz="8" w:space="0" w:color="4D446C"/>
              <w:right w:val="nil"/>
            </w:tcBorders>
            <w:shd w:val="clear" w:color="auto" w:fill="auto"/>
            <w:noWrap/>
            <w:hideMark/>
          </w:tcPr>
          <w:p w14:paraId="1369B48E" w14:textId="02281122" w:rsidR="007A16A9" w:rsidRPr="006C7B74" w:rsidRDefault="007A16A9" w:rsidP="007A16A9">
            <w:pPr>
              <w:jc w:val="center"/>
              <w:rPr>
                <w:rFonts w:cstheme="minorHAnsi"/>
                <w:color w:val="363534"/>
                <w:sz w:val="18"/>
                <w:szCs w:val="18"/>
                <w:lang w:eastAsia="en-GB"/>
              </w:rPr>
            </w:pPr>
            <w:r w:rsidRPr="006C7B74">
              <w:rPr>
                <w:rFonts w:cstheme="minorHAnsi"/>
                <w:sz w:val="18"/>
                <w:szCs w:val="18"/>
              </w:rPr>
              <w:t>140.7</w:t>
            </w:r>
          </w:p>
        </w:tc>
        <w:tc>
          <w:tcPr>
            <w:tcW w:w="1310" w:type="dxa"/>
            <w:tcBorders>
              <w:top w:val="nil"/>
              <w:left w:val="nil"/>
              <w:bottom w:val="single" w:sz="8" w:space="0" w:color="4D446C"/>
              <w:right w:val="nil"/>
            </w:tcBorders>
            <w:shd w:val="clear" w:color="auto" w:fill="auto"/>
            <w:noWrap/>
            <w:hideMark/>
          </w:tcPr>
          <w:p w14:paraId="59406A3A" w14:textId="562605B7" w:rsidR="007A16A9" w:rsidRPr="006C7B74" w:rsidRDefault="007A16A9" w:rsidP="007A16A9">
            <w:pPr>
              <w:jc w:val="center"/>
              <w:rPr>
                <w:rFonts w:cstheme="minorHAnsi"/>
                <w:color w:val="363534"/>
                <w:sz w:val="18"/>
                <w:szCs w:val="18"/>
                <w:lang w:eastAsia="en-GB"/>
              </w:rPr>
            </w:pPr>
            <w:r w:rsidRPr="006C7B74">
              <w:rPr>
                <w:rFonts w:cstheme="minorHAnsi"/>
                <w:sz w:val="18"/>
                <w:szCs w:val="18"/>
              </w:rPr>
              <w:t>2.3</w:t>
            </w:r>
          </w:p>
        </w:tc>
        <w:tc>
          <w:tcPr>
            <w:tcW w:w="1373" w:type="dxa"/>
            <w:tcBorders>
              <w:top w:val="nil"/>
              <w:left w:val="nil"/>
              <w:bottom w:val="single" w:sz="8" w:space="0" w:color="4D446C"/>
              <w:right w:val="nil"/>
            </w:tcBorders>
            <w:shd w:val="clear" w:color="auto" w:fill="auto"/>
            <w:noWrap/>
            <w:hideMark/>
          </w:tcPr>
          <w:p w14:paraId="17380738" w14:textId="0BB61873" w:rsidR="007A16A9" w:rsidRPr="006C7B74" w:rsidRDefault="007A16A9" w:rsidP="007A16A9">
            <w:pPr>
              <w:jc w:val="center"/>
              <w:rPr>
                <w:rFonts w:cstheme="minorHAnsi"/>
                <w:color w:val="363534"/>
                <w:sz w:val="18"/>
                <w:szCs w:val="18"/>
                <w:lang w:eastAsia="en-GB"/>
              </w:rPr>
            </w:pPr>
            <w:r w:rsidRPr="006C7B74">
              <w:rPr>
                <w:sz w:val="18"/>
                <w:szCs w:val="18"/>
              </w:rPr>
              <w:t>0.0</w:t>
            </w:r>
          </w:p>
        </w:tc>
        <w:tc>
          <w:tcPr>
            <w:tcW w:w="1491" w:type="dxa"/>
            <w:tcBorders>
              <w:top w:val="nil"/>
              <w:left w:val="nil"/>
              <w:bottom w:val="single" w:sz="8" w:space="0" w:color="4D446C"/>
              <w:right w:val="nil"/>
            </w:tcBorders>
            <w:shd w:val="clear" w:color="auto" w:fill="auto"/>
            <w:noWrap/>
            <w:hideMark/>
          </w:tcPr>
          <w:p w14:paraId="5B79A225" w14:textId="63D4AB86" w:rsidR="007A16A9" w:rsidRPr="006C7B74" w:rsidRDefault="007A16A9" w:rsidP="007A16A9">
            <w:pPr>
              <w:jc w:val="center"/>
              <w:rPr>
                <w:sz w:val="18"/>
                <w:szCs w:val="18"/>
              </w:rPr>
            </w:pPr>
            <w:r w:rsidRPr="006C7B74">
              <w:rPr>
                <w:sz w:val="18"/>
                <w:szCs w:val="18"/>
              </w:rPr>
              <w:t>2.3</w:t>
            </w:r>
          </w:p>
        </w:tc>
      </w:tr>
      <w:tr w:rsidR="007A16A9" w:rsidRPr="006C7B74" w14:paraId="4B9F2232" w14:textId="77777777" w:rsidTr="006C7B74">
        <w:trPr>
          <w:trHeight w:val="338"/>
        </w:trPr>
        <w:tc>
          <w:tcPr>
            <w:tcW w:w="2340" w:type="dxa"/>
            <w:tcBorders>
              <w:top w:val="nil"/>
              <w:left w:val="nil"/>
              <w:bottom w:val="single" w:sz="8" w:space="0" w:color="4D446C"/>
              <w:right w:val="nil"/>
            </w:tcBorders>
            <w:shd w:val="clear" w:color="auto" w:fill="auto"/>
            <w:noWrap/>
            <w:vAlign w:val="center"/>
            <w:hideMark/>
          </w:tcPr>
          <w:p w14:paraId="29BEB4BE" w14:textId="77777777" w:rsidR="007A16A9" w:rsidRPr="006C7B74" w:rsidRDefault="007A16A9" w:rsidP="007A16A9">
            <w:pPr>
              <w:rPr>
                <w:rFonts w:ascii="Calibri" w:hAnsi="Calibri" w:cs="Calibri"/>
                <w:b/>
                <w:color w:val="000000"/>
                <w:sz w:val="18"/>
                <w:szCs w:val="18"/>
                <w:lang w:eastAsia="en-GB"/>
              </w:rPr>
            </w:pPr>
            <w:r w:rsidRPr="006C7B74">
              <w:rPr>
                <w:rFonts w:ascii="Calibri" w:hAnsi="Calibri" w:cs="Calibri"/>
                <w:b/>
                <w:color w:val="000000"/>
                <w:sz w:val="18"/>
                <w:szCs w:val="18"/>
                <w:lang w:eastAsia="en-GB"/>
              </w:rPr>
              <w:t>Total</w:t>
            </w:r>
          </w:p>
        </w:tc>
        <w:tc>
          <w:tcPr>
            <w:tcW w:w="2506" w:type="dxa"/>
            <w:tcBorders>
              <w:top w:val="nil"/>
              <w:left w:val="nil"/>
              <w:bottom w:val="single" w:sz="8" w:space="0" w:color="4D446C"/>
              <w:right w:val="nil"/>
            </w:tcBorders>
            <w:shd w:val="clear" w:color="auto" w:fill="auto"/>
            <w:noWrap/>
            <w:hideMark/>
          </w:tcPr>
          <w:p w14:paraId="1428A7E1" w14:textId="70C512E9" w:rsidR="007A16A9" w:rsidRPr="006C7B74" w:rsidRDefault="007A16A9" w:rsidP="007A16A9">
            <w:pPr>
              <w:jc w:val="center"/>
              <w:rPr>
                <w:rFonts w:cstheme="minorHAnsi"/>
                <w:b/>
                <w:color w:val="363534"/>
                <w:sz w:val="18"/>
                <w:szCs w:val="18"/>
                <w:lang w:eastAsia="en-GB"/>
              </w:rPr>
            </w:pPr>
            <w:r w:rsidRPr="006C7B74">
              <w:rPr>
                <w:rFonts w:cstheme="minorHAnsi"/>
                <w:b/>
                <w:sz w:val="18"/>
                <w:szCs w:val="18"/>
              </w:rPr>
              <w:t>19,843.2</w:t>
            </w:r>
          </w:p>
        </w:tc>
        <w:tc>
          <w:tcPr>
            <w:tcW w:w="1310" w:type="dxa"/>
            <w:tcBorders>
              <w:top w:val="nil"/>
              <w:left w:val="nil"/>
              <w:bottom w:val="single" w:sz="8" w:space="0" w:color="4D446C"/>
              <w:right w:val="nil"/>
            </w:tcBorders>
            <w:shd w:val="clear" w:color="auto" w:fill="auto"/>
            <w:noWrap/>
            <w:hideMark/>
          </w:tcPr>
          <w:p w14:paraId="76BD27D2" w14:textId="4AB1B58A" w:rsidR="007A16A9" w:rsidRPr="006C7B74" w:rsidRDefault="007A16A9" w:rsidP="007A16A9">
            <w:pPr>
              <w:jc w:val="center"/>
              <w:rPr>
                <w:rFonts w:cstheme="minorHAnsi"/>
                <w:b/>
                <w:color w:val="363534"/>
                <w:sz w:val="18"/>
                <w:szCs w:val="18"/>
                <w:lang w:eastAsia="en-GB"/>
              </w:rPr>
            </w:pPr>
            <w:r w:rsidRPr="006C7B74">
              <w:rPr>
                <w:rFonts w:cstheme="minorHAnsi"/>
                <w:b/>
                <w:sz w:val="18"/>
                <w:szCs w:val="18"/>
              </w:rPr>
              <w:t>6,5</w:t>
            </w:r>
            <w:r w:rsidR="006A4621" w:rsidRPr="006C7B74">
              <w:rPr>
                <w:rFonts w:cstheme="minorHAnsi"/>
                <w:b/>
                <w:sz w:val="18"/>
                <w:szCs w:val="18"/>
              </w:rPr>
              <w:t>62</w:t>
            </w:r>
            <w:r w:rsidRPr="006C7B74">
              <w:rPr>
                <w:rFonts w:cstheme="minorHAnsi"/>
                <w:b/>
                <w:sz w:val="18"/>
                <w:szCs w:val="18"/>
              </w:rPr>
              <w:t>.</w:t>
            </w:r>
            <w:r w:rsidR="006A4621" w:rsidRPr="006C7B74">
              <w:rPr>
                <w:rFonts w:cstheme="minorHAnsi"/>
                <w:b/>
                <w:sz w:val="18"/>
                <w:szCs w:val="18"/>
              </w:rPr>
              <w:t>5</w:t>
            </w:r>
          </w:p>
        </w:tc>
        <w:tc>
          <w:tcPr>
            <w:tcW w:w="1373" w:type="dxa"/>
            <w:tcBorders>
              <w:top w:val="nil"/>
              <w:left w:val="nil"/>
              <w:bottom w:val="single" w:sz="8" w:space="0" w:color="4D446C"/>
              <w:right w:val="nil"/>
            </w:tcBorders>
            <w:shd w:val="clear" w:color="auto" w:fill="auto"/>
            <w:noWrap/>
            <w:hideMark/>
          </w:tcPr>
          <w:p w14:paraId="51AD8F43" w14:textId="1E8E41A2" w:rsidR="007A16A9" w:rsidRPr="006C7B74" w:rsidRDefault="007A16A9" w:rsidP="007A16A9">
            <w:pPr>
              <w:jc w:val="center"/>
              <w:rPr>
                <w:rFonts w:cstheme="minorHAnsi"/>
                <w:b/>
                <w:color w:val="363534"/>
                <w:sz w:val="18"/>
                <w:szCs w:val="18"/>
                <w:lang w:eastAsia="en-GB"/>
              </w:rPr>
            </w:pPr>
            <w:r w:rsidRPr="006C7B74">
              <w:rPr>
                <w:b/>
                <w:sz w:val="18"/>
                <w:szCs w:val="18"/>
              </w:rPr>
              <w:t>6,9</w:t>
            </w:r>
            <w:r w:rsidR="006A4621" w:rsidRPr="006C7B74">
              <w:rPr>
                <w:b/>
                <w:sz w:val="18"/>
                <w:szCs w:val="18"/>
              </w:rPr>
              <w:t>31</w:t>
            </w:r>
            <w:r w:rsidRPr="006C7B74">
              <w:rPr>
                <w:b/>
                <w:sz w:val="18"/>
                <w:szCs w:val="18"/>
              </w:rPr>
              <w:t>.</w:t>
            </w:r>
            <w:r w:rsidR="006A4621" w:rsidRPr="006C7B74">
              <w:rPr>
                <w:b/>
                <w:sz w:val="18"/>
                <w:szCs w:val="18"/>
              </w:rPr>
              <w:t>7</w:t>
            </w:r>
          </w:p>
        </w:tc>
        <w:tc>
          <w:tcPr>
            <w:tcW w:w="1491" w:type="dxa"/>
            <w:tcBorders>
              <w:top w:val="nil"/>
              <w:left w:val="nil"/>
              <w:bottom w:val="single" w:sz="8" w:space="0" w:color="4D446C"/>
              <w:right w:val="nil"/>
            </w:tcBorders>
            <w:shd w:val="clear" w:color="auto" w:fill="auto"/>
            <w:noWrap/>
            <w:hideMark/>
          </w:tcPr>
          <w:p w14:paraId="0A5DCD71" w14:textId="527896CD" w:rsidR="007A16A9" w:rsidRPr="006C7B74" w:rsidRDefault="007A16A9" w:rsidP="007A16A9">
            <w:pPr>
              <w:jc w:val="center"/>
              <w:rPr>
                <w:b/>
                <w:sz w:val="18"/>
                <w:szCs w:val="18"/>
              </w:rPr>
            </w:pPr>
            <w:r w:rsidRPr="006C7B74">
              <w:rPr>
                <w:b/>
                <w:sz w:val="18"/>
                <w:szCs w:val="18"/>
              </w:rPr>
              <w:t>13,49</w:t>
            </w:r>
            <w:r w:rsidR="006A4621" w:rsidRPr="006C7B74">
              <w:rPr>
                <w:b/>
                <w:sz w:val="18"/>
                <w:szCs w:val="18"/>
              </w:rPr>
              <w:t>4</w:t>
            </w:r>
            <w:r w:rsidRPr="006C7B74">
              <w:rPr>
                <w:b/>
                <w:sz w:val="18"/>
                <w:szCs w:val="18"/>
              </w:rPr>
              <w:t>.</w:t>
            </w:r>
            <w:r w:rsidR="006A4621" w:rsidRPr="006C7B74">
              <w:rPr>
                <w:b/>
                <w:sz w:val="18"/>
                <w:szCs w:val="18"/>
              </w:rPr>
              <w:t>2</w:t>
            </w:r>
          </w:p>
        </w:tc>
      </w:tr>
    </w:tbl>
    <w:p w14:paraId="32EFB035" w14:textId="63D519D0" w:rsidR="00892599" w:rsidRPr="006C7B74" w:rsidRDefault="00892599" w:rsidP="00652302">
      <w:pPr>
        <w:pStyle w:val="Quote"/>
        <w:rPr>
          <w:color w:val="auto"/>
          <w:sz w:val="24"/>
        </w:rPr>
      </w:pPr>
      <w:r w:rsidRPr="006C7B74">
        <w:t>Source: Department of Environment, Land, Water and Planning, Urban Development Program – Melbourne Metropolitan Industrial 2018 </w:t>
      </w:r>
      <w:r w:rsidR="008F32C6" w:rsidRPr="006C7B74">
        <w:t>and internal analysis</w:t>
      </w:r>
    </w:p>
    <w:p w14:paraId="3047A524" w14:textId="77777777" w:rsidR="00892599" w:rsidRPr="006C7B74" w:rsidRDefault="00892599" w:rsidP="00892599">
      <w:pPr>
        <w:pStyle w:val="BodyText"/>
        <w:spacing w:before="0" w:line="240" w:lineRule="auto"/>
      </w:pPr>
    </w:p>
    <w:p w14:paraId="0B97F8C2" w14:textId="77777777" w:rsidR="00892599" w:rsidRPr="006C7B74" w:rsidRDefault="00892599" w:rsidP="00892599">
      <w:pPr>
        <w:pStyle w:val="BodyText"/>
        <w:spacing w:before="0" w:line="240" w:lineRule="auto"/>
      </w:pPr>
      <w:r w:rsidRPr="006C7B74">
        <w:t xml:space="preserve">Industrial land consumption across metropolitan Melbourne over the period 2015-16 to 2017-18 averaged just over 280 hectares per annum. Approximately 80 per cent of the industrial land consumed during this period across Melbourne was in the Western, Northern, Southern or Officer-Pakenham SSIPs, with the greatest level of consumption in the Western SSIP. </w:t>
      </w:r>
    </w:p>
    <w:p w14:paraId="602ED7A8" w14:textId="3BE79EF9" w:rsidR="00892599" w:rsidRPr="006C7B74" w:rsidRDefault="00892599" w:rsidP="00892599">
      <w:pPr>
        <w:pStyle w:val="BodyText"/>
        <w:spacing w:before="0" w:line="240" w:lineRule="auto"/>
      </w:pPr>
      <w:r w:rsidRPr="006C7B74">
        <w:t>Based on these levels of supply and consumption, metropolitan Melbourne as a whole is estimated to have approximately 2</w:t>
      </w:r>
      <w:r w:rsidR="00E04021" w:rsidRPr="006C7B74">
        <w:t>3</w:t>
      </w:r>
      <w:r w:rsidRPr="006C7B74">
        <w:t xml:space="preserve"> years supply of zoned industrial land available and approximately </w:t>
      </w:r>
      <w:r w:rsidR="00680C86" w:rsidRPr="006C7B74">
        <w:t xml:space="preserve">17 </w:t>
      </w:r>
      <w:r w:rsidRPr="006C7B74">
        <w:t xml:space="preserve">years supply of unzoned land that has been identified as future supply for industrial purposes. </w:t>
      </w:r>
    </w:p>
    <w:p w14:paraId="0014362E" w14:textId="0C5153C0" w:rsidR="00892599" w:rsidRPr="006C7B74" w:rsidRDefault="00892599" w:rsidP="00892599">
      <w:pPr>
        <w:pStyle w:val="BodyText"/>
        <w:spacing w:before="0" w:line="240" w:lineRule="auto"/>
      </w:pPr>
      <w:r w:rsidRPr="006C7B74">
        <w:t>While this may seem reasonable, there are distinct supply constraints at regional and local levels. The Southern SSIP is likely to exhaust all supply by the mid-2020s</w:t>
      </w:r>
      <w:r w:rsidR="007916AC" w:rsidRPr="006C7B74">
        <w:t xml:space="preserve">. </w:t>
      </w:r>
      <w:r w:rsidR="00686C03" w:rsidRPr="006C7B74">
        <w:t xml:space="preserve">The Western SSIP has approximately 15 years supply of zoned land and only </w:t>
      </w:r>
      <w:r w:rsidR="00855571" w:rsidRPr="006C7B74">
        <w:t>6</w:t>
      </w:r>
      <w:r w:rsidR="00686C03" w:rsidRPr="006C7B74">
        <w:t xml:space="preserve"> </w:t>
      </w:r>
      <w:proofErr w:type="spellStart"/>
      <w:r w:rsidR="00686C03" w:rsidRPr="006C7B74">
        <w:t>years</w:t>
      </w:r>
      <w:proofErr w:type="spellEnd"/>
      <w:r w:rsidR="00686C03" w:rsidRPr="006C7B74">
        <w:t xml:space="preserve"> supply of unzoned land.</w:t>
      </w:r>
    </w:p>
    <w:p w14:paraId="226F36A3" w14:textId="77777777" w:rsidR="00892599" w:rsidRPr="006C7B74" w:rsidRDefault="00892599" w:rsidP="00892599">
      <w:pPr>
        <w:pStyle w:val="BodyText"/>
        <w:spacing w:before="0" w:line="240" w:lineRule="auto"/>
      </w:pPr>
      <w:r w:rsidRPr="006C7B74">
        <w:t>With little opportunity available for additional industrial land in these locations, their ongoing protection and retention for industrial uses will be critical, as will retaining other key industrial areas that can accommodate industry needs for land into the future.</w:t>
      </w:r>
    </w:p>
    <w:p w14:paraId="1F8FE056" w14:textId="77777777" w:rsidR="00892599" w:rsidRPr="006C7B74" w:rsidRDefault="00892599" w:rsidP="00892599">
      <w:pPr>
        <w:pStyle w:val="BodyText"/>
        <w:spacing w:before="0" w:line="240" w:lineRule="auto"/>
      </w:pPr>
    </w:p>
    <w:p w14:paraId="0829E2F5" w14:textId="6E79EC43" w:rsidR="00670F7F" w:rsidRPr="006C7B74" w:rsidRDefault="00892599" w:rsidP="00BF6B16">
      <w:pPr>
        <w:pStyle w:val="Heading2-Contenttable"/>
      </w:pPr>
      <w:r w:rsidRPr="006C7B74">
        <w:t xml:space="preserve">Supply and demand for commercial land </w:t>
      </w:r>
      <w:bookmarkStart w:id="3" w:name="_Toc12960603"/>
    </w:p>
    <w:p w14:paraId="49F48694" w14:textId="1A314070" w:rsidR="00670F7F" w:rsidRPr="006C7B74" w:rsidRDefault="00670F7F" w:rsidP="00670F7F">
      <w:pPr>
        <w:pStyle w:val="BodyText"/>
        <w:spacing w:before="0" w:line="240" w:lineRule="auto"/>
      </w:pPr>
      <w:r w:rsidRPr="006C7B74">
        <w:t>As the population of Victoria continues to grow and the economy become</w:t>
      </w:r>
      <w:r w:rsidR="00BC08B8" w:rsidRPr="006C7B74">
        <w:t>s</w:t>
      </w:r>
      <w:r w:rsidRPr="006C7B74">
        <w:t xml:space="preserve"> more service based, it is expected there will be </w:t>
      </w:r>
      <w:r w:rsidR="00892599" w:rsidRPr="006C7B74">
        <w:t>strong demand</w:t>
      </w:r>
      <w:r w:rsidRPr="006C7B74">
        <w:t xml:space="preserve"> for commercial </w:t>
      </w:r>
      <w:r w:rsidR="00892599" w:rsidRPr="006C7B74">
        <w:t>floorspace. Commercial land</w:t>
      </w:r>
      <w:r w:rsidRPr="006C7B74">
        <w:t xml:space="preserve"> and </w:t>
      </w:r>
      <w:r w:rsidR="00892599" w:rsidRPr="006C7B74">
        <w:t xml:space="preserve">corresponding floorspace can be occupied by a range of </w:t>
      </w:r>
      <w:r w:rsidRPr="006C7B74">
        <w:t>office</w:t>
      </w:r>
      <w:r w:rsidR="00892599" w:rsidRPr="006C7B74">
        <w:t>, retail, entertainment, food and accommodation uses. It can include floorspace both at the ground level and any level above.</w:t>
      </w:r>
    </w:p>
    <w:p w14:paraId="67C13033" w14:textId="46BBA5E8" w:rsidR="00892599" w:rsidRPr="006C7B74" w:rsidRDefault="00892599" w:rsidP="00892599">
      <w:pPr>
        <w:pStyle w:val="BodyText"/>
        <w:spacing w:before="0" w:line="240" w:lineRule="auto"/>
      </w:pPr>
      <w:r w:rsidRPr="006C7B74">
        <w:lastRenderedPageBreak/>
        <w:t xml:space="preserve">Almost </w:t>
      </w:r>
      <w:r w:rsidR="00C84785" w:rsidRPr="006C7B74">
        <w:t>5,300</w:t>
      </w:r>
      <w:r w:rsidRPr="006C7B74">
        <w:t xml:space="preserve"> hectares of land has been identified across metropolitan Melbourne that is zoned predominantly for commercial purposes. On this land, it is estimated that there is approximately </w:t>
      </w:r>
      <w:r w:rsidR="0092264F" w:rsidRPr="006C7B74">
        <w:t>24.2</w:t>
      </w:r>
      <w:r w:rsidRPr="006C7B74">
        <w:t xml:space="preserve"> million square metres of floorspace used for, or available for, commercial purposes. Approximately </w:t>
      </w:r>
      <w:r w:rsidR="00430A9A" w:rsidRPr="006C7B74">
        <w:t>3</w:t>
      </w:r>
      <w:r w:rsidR="00430A9A">
        <w:t>8</w:t>
      </w:r>
      <w:r w:rsidR="00430A9A" w:rsidRPr="006C7B74">
        <w:t xml:space="preserve"> </w:t>
      </w:r>
      <w:r w:rsidRPr="006C7B74">
        <w:t>per cent of this floorspace is located within the Inner Metro Region, of which 80 per cent is within the City of Melbourne.</w:t>
      </w:r>
    </w:p>
    <w:p w14:paraId="17150DDB" w14:textId="2988F7EC" w:rsidR="00ED008E" w:rsidRPr="006C7B74" w:rsidDel="00885B75" w:rsidRDefault="00892599" w:rsidP="00892599">
      <w:pPr>
        <w:pStyle w:val="BodyText"/>
        <w:spacing w:before="0" w:line="240" w:lineRule="auto"/>
      </w:pPr>
      <w:r w:rsidRPr="006C7B74">
        <w:t>Beyond the Central City, m</w:t>
      </w:r>
      <w:r w:rsidRPr="006C7B74" w:rsidDel="00885B75">
        <w:t xml:space="preserve">etropolitan Melbourne hosts a range of centres providing retail, entertainment and local professional services. Excluding the City of Melbourne, there is approximately </w:t>
      </w:r>
      <w:r w:rsidR="00F34120" w:rsidRPr="006C7B74">
        <w:t>17</w:t>
      </w:r>
      <w:r w:rsidRPr="006C7B74" w:rsidDel="00885B75">
        <w:t xml:space="preserve"> million square metres of commercial floorspace </w:t>
      </w:r>
      <w:r w:rsidRPr="006C7B74">
        <w:t xml:space="preserve">that has been identified </w:t>
      </w:r>
      <w:r w:rsidRPr="006C7B74" w:rsidDel="00885B75">
        <w:t xml:space="preserve">across the metropolitan area </w:t>
      </w:r>
      <w:r w:rsidRPr="006C7B74">
        <w:t>in over</w:t>
      </w:r>
      <w:r w:rsidRPr="006C7B74" w:rsidDel="00885B75">
        <w:t xml:space="preserve"> 1,100 centres</w:t>
      </w:r>
      <w:r w:rsidRPr="006C7B74">
        <w:t xml:space="preserve">. These </w:t>
      </w:r>
      <w:r w:rsidRPr="006C7B74" w:rsidDel="00885B75">
        <w:t>rang</w:t>
      </w:r>
      <w:r w:rsidRPr="006C7B74">
        <w:t>e</w:t>
      </w:r>
      <w:r w:rsidRPr="006C7B74" w:rsidDel="00885B75">
        <w:t xml:space="preserve"> from smaller local convenience centres to </w:t>
      </w:r>
      <w:r w:rsidRPr="006C7B74">
        <w:t xml:space="preserve">larger </w:t>
      </w:r>
      <w:r w:rsidRPr="006C7B74" w:rsidDel="00885B75">
        <w:t xml:space="preserve">freestanding </w:t>
      </w:r>
      <w:r w:rsidRPr="006C7B74">
        <w:t xml:space="preserve">shopping </w:t>
      </w:r>
      <w:r w:rsidRPr="006C7B74" w:rsidDel="00885B75">
        <w:t xml:space="preserve">centres and </w:t>
      </w:r>
      <w:r w:rsidR="00671277" w:rsidRPr="006C7B74">
        <w:t>m</w:t>
      </w:r>
      <w:r w:rsidRPr="006C7B74" w:rsidDel="00885B75">
        <w:t xml:space="preserve">etropolitan </w:t>
      </w:r>
      <w:r w:rsidR="00E339CA" w:rsidRPr="006C7B74">
        <w:t>a</w:t>
      </w:r>
      <w:r w:rsidRPr="006C7B74" w:rsidDel="00885B75">
        <w:t xml:space="preserve">ctivity </w:t>
      </w:r>
      <w:r w:rsidR="00E339CA" w:rsidRPr="006C7B74">
        <w:t>c</w:t>
      </w:r>
      <w:r w:rsidRPr="006C7B74" w:rsidDel="00885B75">
        <w:t xml:space="preserve">entres. </w:t>
      </w:r>
    </w:p>
    <w:p w14:paraId="647BF104" w14:textId="775E8114" w:rsidR="00892599" w:rsidRPr="006C7B74" w:rsidRDefault="00892599" w:rsidP="00BF6B16">
      <w:pPr>
        <w:pStyle w:val="Heading3"/>
      </w:pPr>
      <w:r w:rsidRPr="006C7B74">
        <w:t xml:space="preserve">Table ES2: Commercial </w:t>
      </w:r>
      <w:r w:rsidR="00E777B0">
        <w:t>floorspace</w:t>
      </w:r>
    </w:p>
    <w:tbl>
      <w:tblPr>
        <w:tblW w:w="5000" w:type="pct"/>
        <w:tblLook w:val="04A0" w:firstRow="1" w:lastRow="0" w:firstColumn="1" w:lastColumn="0" w:noHBand="0" w:noVBand="1"/>
      </w:tblPr>
      <w:tblGrid>
        <w:gridCol w:w="3208"/>
        <w:gridCol w:w="2603"/>
        <w:gridCol w:w="3209"/>
      </w:tblGrid>
      <w:tr w:rsidR="00337899" w:rsidRPr="00337899" w14:paraId="49BBF0F9" w14:textId="77777777" w:rsidTr="001C785B">
        <w:trPr>
          <w:trHeight w:val="630"/>
        </w:trPr>
        <w:tc>
          <w:tcPr>
            <w:tcW w:w="1778" w:type="pct"/>
            <w:tcBorders>
              <w:top w:val="nil"/>
              <w:left w:val="nil"/>
              <w:bottom w:val="nil"/>
              <w:right w:val="nil"/>
            </w:tcBorders>
            <w:shd w:val="clear" w:color="000000" w:fill="4D446C"/>
            <w:vAlign w:val="center"/>
            <w:hideMark/>
          </w:tcPr>
          <w:p w14:paraId="01DA0DEF" w14:textId="77777777" w:rsidR="00892599" w:rsidRPr="00337899" w:rsidRDefault="00892599" w:rsidP="00357E88">
            <w:pPr>
              <w:pStyle w:val="Heading5"/>
              <w:rPr>
                <w:color w:val="FFFFFF" w:themeColor="background1"/>
                <w:szCs w:val="18"/>
                <w:lang w:eastAsia="en-AU"/>
              </w:rPr>
            </w:pPr>
            <w:r w:rsidRPr="00337899">
              <w:rPr>
                <w:color w:val="FFFFFF" w:themeColor="background1"/>
              </w:rPr>
              <w:t>Region</w:t>
            </w:r>
          </w:p>
        </w:tc>
        <w:tc>
          <w:tcPr>
            <w:tcW w:w="1443" w:type="pct"/>
            <w:tcBorders>
              <w:top w:val="nil"/>
              <w:left w:val="nil"/>
              <w:bottom w:val="nil"/>
              <w:right w:val="nil"/>
            </w:tcBorders>
            <w:shd w:val="clear" w:color="000000" w:fill="4D446C"/>
            <w:vAlign w:val="center"/>
            <w:hideMark/>
          </w:tcPr>
          <w:p w14:paraId="25553762" w14:textId="255A6EEB" w:rsidR="00892599" w:rsidRPr="00337899" w:rsidRDefault="00892599" w:rsidP="00055B56">
            <w:pPr>
              <w:pStyle w:val="Heading5"/>
              <w:jc w:val="center"/>
              <w:rPr>
                <w:color w:val="FFFFFF" w:themeColor="background1"/>
                <w:szCs w:val="18"/>
                <w:lang w:eastAsia="en-AU"/>
              </w:rPr>
            </w:pPr>
            <w:r w:rsidRPr="00337899">
              <w:rPr>
                <w:color w:val="FFFFFF" w:themeColor="background1"/>
              </w:rPr>
              <w:t>Existing floorspace</w:t>
            </w:r>
            <w:r w:rsidRPr="00337899">
              <w:rPr>
                <w:color w:val="FFFFFF" w:themeColor="background1"/>
              </w:rPr>
              <w:br/>
              <w:t>2018 (m</w:t>
            </w:r>
            <w:r w:rsidRPr="00337899">
              <w:rPr>
                <w:color w:val="FFFFFF" w:themeColor="background1"/>
                <w:vertAlign w:val="superscript"/>
              </w:rPr>
              <w:t>2</w:t>
            </w:r>
            <w:r w:rsidRPr="00337899">
              <w:rPr>
                <w:color w:val="FFFFFF" w:themeColor="background1"/>
              </w:rPr>
              <w:t>)</w:t>
            </w:r>
          </w:p>
        </w:tc>
        <w:tc>
          <w:tcPr>
            <w:tcW w:w="1779" w:type="pct"/>
            <w:tcBorders>
              <w:top w:val="nil"/>
              <w:left w:val="nil"/>
              <w:bottom w:val="nil"/>
              <w:right w:val="nil"/>
            </w:tcBorders>
            <w:shd w:val="clear" w:color="000000" w:fill="4D446C"/>
            <w:vAlign w:val="center"/>
            <w:hideMark/>
          </w:tcPr>
          <w:p w14:paraId="7C198834" w14:textId="77777777" w:rsidR="00466295" w:rsidRPr="006C7B74" w:rsidRDefault="00466295" w:rsidP="00466295">
            <w:pPr>
              <w:pStyle w:val="TableHeaderRow"/>
              <w:jc w:val="center"/>
            </w:pPr>
            <w:r>
              <w:t>Estimated a</w:t>
            </w:r>
            <w:r w:rsidRPr="006C7B74">
              <w:t>dditional commercial floorspace</w:t>
            </w:r>
          </w:p>
          <w:p w14:paraId="513A6EDD" w14:textId="7835730A" w:rsidR="00892599" w:rsidRPr="00337899" w:rsidRDefault="00466295" w:rsidP="00466295">
            <w:pPr>
              <w:pStyle w:val="Heading5"/>
              <w:jc w:val="center"/>
              <w:rPr>
                <w:color w:val="FFFFFF" w:themeColor="background1"/>
                <w:szCs w:val="18"/>
                <w:lang w:eastAsia="en-AU"/>
              </w:rPr>
            </w:pPr>
            <w:r w:rsidRPr="006C7B74">
              <w:t>2016 to 2031 (m</w:t>
            </w:r>
            <w:r w:rsidRPr="006C7B74">
              <w:rPr>
                <w:vertAlign w:val="superscript"/>
              </w:rPr>
              <w:t>2</w:t>
            </w:r>
            <w:r w:rsidRPr="006C7B74">
              <w:t>)</w:t>
            </w:r>
          </w:p>
        </w:tc>
      </w:tr>
      <w:tr w:rsidR="00784C76" w:rsidRPr="006C7B74" w14:paraId="3F708ED8" w14:textId="77777777" w:rsidTr="006C7B74">
        <w:trPr>
          <w:trHeight w:val="315"/>
        </w:trPr>
        <w:tc>
          <w:tcPr>
            <w:tcW w:w="1778" w:type="pct"/>
            <w:tcBorders>
              <w:top w:val="nil"/>
              <w:left w:val="nil"/>
              <w:bottom w:val="single" w:sz="8" w:space="0" w:color="44546A"/>
              <w:right w:val="nil"/>
            </w:tcBorders>
            <w:shd w:val="clear" w:color="auto" w:fill="auto"/>
            <w:vAlign w:val="center"/>
            <w:hideMark/>
          </w:tcPr>
          <w:p w14:paraId="4A184E62" w14:textId="77777777" w:rsidR="00784C76" w:rsidRPr="006C7B74" w:rsidRDefault="00784C76" w:rsidP="00784C76">
            <w:pPr>
              <w:rPr>
                <w:rFonts w:ascii="Calibri" w:hAnsi="Calibri" w:cs="Calibri"/>
                <w:color w:val="000000"/>
                <w:sz w:val="18"/>
                <w:szCs w:val="18"/>
                <w:lang w:eastAsia="en-AU"/>
              </w:rPr>
            </w:pPr>
            <w:r w:rsidRPr="006C7B74">
              <w:rPr>
                <w:rFonts w:ascii="Calibri" w:hAnsi="Calibri" w:cs="Calibri"/>
                <w:color w:val="000000"/>
                <w:sz w:val="18"/>
                <w:szCs w:val="18"/>
                <w:lang w:eastAsia="en-AU"/>
              </w:rPr>
              <w:t>Inner Metro</w:t>
            </w:r>
          </w:p>
        </w:tc>
        <w:tc>
          <w:tcPr>
            <w:tcW w:w="1443" w:type="pct"/>
            <w:tcBorders>
              <w:top w:val="nil"/>
              <w:left w:val="nil"/>
              <w:bottom w:val="single" w:sz="8" w:space="0" w:color="44546A"/>
              <w:right w:val="nil"/>
            </w:tcBorders>
            <w:shd w:val="clear" w:color="auto" w:fill="auto"/>
            <w:hideMark/>
          </w:tcPr>
          <w:p w14:paraId="2183DBD9" w14:textId="3B9FE19E" w:rsidR="00784C76" w:rsidRPr="006C7B74" w:rsidRDefault="00784C76" w:rsidP="00784C76">
            <w:pPr>
              <w:jc w:val="center"/>
              <w:rPr>
                <w:rFonts w:ascii="Calibri" w:hAnsi="Calibri" w:cs="Calibri"/>
                <w:color w:val="000000"/>
                <w:sz w:val="18"/>
                <w:szCs w:val="18"/>
                <w:lang w:eastAsia="en-AU"/>
              </w:rPr>
            </w:pPr>
            <w:r w:rsidRPr="006C7B74">
              <w:rPr>
                <w:sz w:val="18"/>
                <w:szCs w:val="18"/>
              </w:rPr>
              <w:t>9,</w:t>
            </w:r>
            <w:r w:rsidR="00B0704C" w:rsidRPr="006C7B74">
              <w:rPr>
                <w:sz w:val="18"/>
                <w:szCs w:val="18"/>
              </w:rPr>
              <w:t>067,350</w:t>
            </w:r>
          </w:p>
        </w:tc>
        <w:tc>
          <w:tcPr>
            <w:tcW w:w="1779" w:type="pct"/>
            <w:tcBorders>
              <w:top w:val="nil"/>
              <w:left w:val="nil"/>
              <w:bottom w:val="single" w:sz="8" w:space="0" w:color="44546A"/>
              <w:right w:val="nil"/>
            </w:tcBorders>
            <w:shd w:val="clear" w:color="auto" w:fill="auto"/>
            <w:vAlign w:val="center"/>
            <w:hideMark/>
          </w:tcPr>
          <w:p w14:paraId="5A95C9EE" w14:textId="7F9F4CDA" w:rsidR="00784C76" w:rsidRPr="006C7B74" w:rsidRDefault="00674599" w:rsidP="00784C76">
            <w:pPr>
              <w:jc w:val="center"/>
              <w:rPr>
                <w:rFonts w:ascii="Calibri" w:hAnsi="Calibri" w:cs="Calibri"/>
                <w:color w:val="000000"/>
                <w:sz w:val="18"/>
                <w:szCs w:val="18"/>
                <w:lang w:eastAsia="en-AU"/>
              </w:rPr>
            </w:pPr>
            <w:r w:rsidRPr="006C7B74">
              <w:rPr>
                <w:rFonts w:ascii="Calibri" w:hAnsi="Calibri" w:cs="Calibri"/>
                <w:color w:val="000000"/>
                <w:sz w:val="18"/>
                <w:szCs w:val="18"/>
                <w:lang w:eastAsia="en-AU"/>
              </w:rPr>
              <w:t>4,007,000</w:t>
            </w:r>
          </w:p>
        </w:tc>
      </w:tr>
      <w:tr w:rsidR="00784C76" w:rsidRPr="006C7B74" w14:paraId="2510A2DE" w14:textId="77777777" w:rsidTr="006C7B74">
        <w:trPr>
          <w:trHeight w:val="315"/>
        </w:trPr>
        <w:tc>
          <w:tcPr>
            <w:tcW w:w="1778" w:type="pct"/>
            <w:tcBorders>
              <w:top w:val="nil"/>
              <w:left w:val="nil"/>
              <w:bottom w:val="single" w:sz="8" w:space="0" w:color="44546A"/>
              <w:right w:val="nil"/>
            </w:tcBorders>
            <w:shd w:val="clear" w:color="auto" w:fill="auto"/>
            <w:vAlign w:val="center"/>
            <w:hideMark/>
          </w:tcPr>
          <w:p w14:paraId="5C24D713" w14:textId="77777777" w:rsidR="00784C76" w:rsidRPr="006C7B74" w:rsidRDefault="00784C76" w:rsidP="00784C76">
            <w:pPr>
              <w:rPr>
                <w:rFonts w:ascii="Calibri" w:hAnsi="Calibri" w:cs="Calibri"/>
                <w:color w:val="000000"/>
                <w:sz w:val="18"/>
                <w:szCs w:val="18"/>
                <w:lang w:eastAsia="en-AU"/>
              </w:rPr>
            </w:pPr>
            <w:r w:rsidRPr="006C7B74">
              <w:rPr>
                <w:rFonts w:ascii="Calibri" w:hAnsi="Calibri" w:cs="Calibri"/>
                <w:color w:val="000000"/>
                <w:sz w:val="18"/>
                <w:szCs w:val="18"/>
                <w:lang w:eastAsia="en-AU"/>
              </w:rPr>
              <w:t>Western</w:t>
            </w:r>
          </w:p>
        </w:tc>
        <w:tc>
          <w:tcPr>
            <w:tcW w:w="1443" w:type="pct"/>
            <w:tcBorders>
              <w:top w:val="nil"/>
              <w:left w:val="nil"/>
              <w:bottom w:val="single" w:sz="8" w:space="0" w:color="44546A"/>
              <w:right w:val="nil"/>
            </w:tcBorders>
            <w:shd w:val="clear" w:color="auto" w:fill="auto"/>
            <w:hideMark/>
          </w:tcPr>
          <w:p w14:paraId="0C5BCF3E" w14:textId="1D543AF6" w:rsidR="00784C76" w:rsidRPr="006C7B74" w:rsidRDefault="00784C76" w:rsidP="00784C76">
            <w:pPr>
              <w:jc w:val="center"/>
              <w:rPr>
                <w:rFonts w:ascii="Calibri" w:hAnsi="Calibri" w:cs="Calibri"/>
                <w:color w:val="000000"/>
                <w:sz w:val="18"/>
                <w:szCs w:val="18"/>
                <w:lang w:eastAsia="en-AU"/>
              </w:rPr>
            </w:pPr>
            <w:r w:rsidRPr="006C7B74">
              <w:rPr>
                <w:sz w:val="18"/>
                <w:szCs w:val="18"/>
              </w:rPr>
              <w:t>2,909,700</w:t>
            </w:r>
          </w:p>
        </w:tc>
        <w:tc>
          <w:tcPr>
            <w:tcW w:w="1779" w:type="pct"/>
            <w:tcBorders>
              <w:top w:val="nil"/>
              <w:left w:val="nil"/>
              <w:bottom w:val="single" w:sz="8" w:space="0" w:color="44546A"/>
              <w:right w:val="nil"/>
            </w:tcBorders>
            <w:shd w:val="clear" w:color="auto" w:fill="auto"/>
            <w:vAlign w:val="center"/>
            <w:hideMark/>
          </w:tcPr>
          <w:p w14:paraId="392A411C" w14:textId="4366BB45" w:rsidR="00784C76" w:rsidRPr="006C7B74" w:rsidRDefault="00954F14" w:rsidP="00784C76">
            <w:pPr>
              <w:jc w:val="center"/>
              <w:rPr>
                <w:rFonts w:ascii="Calibri" w:hAnsi="Calibri" w:cs="Calibri"/>
                <w:color w:val="000000"/>
                <w:sz w:val="18"/>
                <w:szCs w:val="18"/>
                <w:lang w:eastAsia="en-AU"/>
              </w:rPr>
            </w:pPr>
            <w:r w:rsidRPr="006C7B74">
              <w:rPr>
                <w:rFonts w:ascii="Calibri" w:hAnsi="Calibri" w:cs="Calibri"/>
                <w:color w:val="000000"/>
                <w:sz w:val="18"/>
                <w:szCs w:val="18"/>
                <w:lang w:eastAsia="en-AU"/>
              </w:rPr>
              <w:t>1,548,000</w:t>
            </w:r>
          </w:p>
        </w:tc>
      </w:tr>
      <w:tr w:rsidR="00784C76" w:rsidRPr="006C7B74" w14:paraId="614982E3" w14:textId="77777777" w:rsidTr="006C7B74">
        <w:trPr>
          <w:trHeight w:val="315"/>
        </w:trPr>
        <w:tc>
          <w:tcPr>
            <w:tcW w:w="1778" w:type="pct"/>
            <w:tcBorders>
              <w:top w:val="nil"/>
              <w:left w:val="nil"/>
              <w:bottom w:val="single" w:sz="8" w:space="0" w:color="44546A"/>
              <w:right w:val="nil"/>
            </w:tcBorders>
            <w:shd w:val="clear" w:color="auto" w:fill="auto"/>
            <w:vAlign w:val="center"/>
            <w:hideMark/>
          </w:tcPr>
          <w:p w14:paraId="0A44F45F" w14:textId="77777777" w:rsidR="00784C76" w:rsidRPr="006C7B74" w:rsidRDefault="00784C76" w:rsidP="00784C76">
            <w:pPr>
              <w:rPr>
                <w:rFonts w:ascii="Calibri" w:hAnsi="Calibri" w:cs="Calibri"/>
                <w:color w:val="000000"/>
                <w:sz w:val="18"/>
                <w:szCs w:val="18"/>
                <w:lang w:eastAsia="en-AU"/>
              </w:rPr>
            </w:pPr>
            <w:r w:rsidRPr="006C7B74">
              <w:rPr>
                <w:rFonts w:ascii="Calibri" w:hAnsi="Calibri" w:cs="Calibri"/>
                <w:color w:val="000000"/>
                <w:sz w:val="18"/>
                <w:szCs w:val="18"/>
                <w:lang w:eastAsia="en-AU"/>
              </w:rPr>
              <w:t>Northern</w:t>
            </w:r>
          </w:p>
        </w:tc>
        <w:tc>
          <w:tcPr>
            <w:tcW w:w="1443" w:type="pct"/>
            <w:tcBorders>
              <w:top w:val="nil"/>
              <w:left w:val="nil"/>
              <w:bottom w:val="single" w:sz="8" w:space="0" w:color="44546A"/>
              <w:right w:val="nil"/>
            </w:tcBorders>
            <w:shd w:val="clear" w:color="auto" w:fill="auto"/>
            <w:hideMark/>
          </w:tcPr>
          <w:p w14:paraId="125F8C33" w14:textId="572B1FFB" w:rsidR="00784C76" w:rsidRPr="006C7B74" w:rsidRDefault="00784C76" w:rsidP="00784C76">
            <w:pPr>
              <w:jc w:val="center"/>
              <w:rPr>
                <w:rFonts w:ascii="Calibri" w:hAnsi="Calibri" w:cs="Calibri"/>
                <w:color w:val="000000"/>
                <w:sz w:val="18"/>
                <w:szCs w:val="18"/>
                <w:lang w:eastAsia="en-AU"/>
              </w:rPr>
            </w:pPr>
            <w:r w:rsidRPr="006C7B74">
              <w:rPr>
                <w:sz w:val="18"/>
                <w:szCs w:val="18"/>
              </w:rPr>
              <w:t>3,239,150</w:t>
            </w:r>
          </w:p>
        </w:tc>
        <w:tc>
          <w:tcPr>
            <w:tcW w:w="1779" w:type="pct"/>
            <w:tcBorders>
              <w:top w:val="nil"/>
              <w:left w:val="nil"/>
              <w:bottom w:val="single" w:sz="8" w:space="0" w:color="44546A"/>
              <w:right w:val="nil"/>
            </w:tcBorders>
            <w:shd w:val="clear" w:color="auto" w:fill="auto"/>
            <w:vAlign w:val="center"/>
            <w:hideMark/>
          </w:tcPr>
          <w:p w14:paraId="76923007" w14:textId="2C76B8D3" w:rsidR="00784C76" w:rsidRPr="006C7B74" w:rsidRDefault="00C2721C" w:rsidP="00784C76">
            <w:pPr>
              <w:jc w:val="center"/>
              <w:rPr>
                <w:rFonts w:ascii="Calibri" w:hAnsi="Calibri" w:cs="Calibri"/>
                <w:color w:val="000000"/>
                <w:sz w:val="18"/>
                <w:szCs w:val="18"/>
                <w:lang w:eastAsia="en-AU"/>
              </w:rPr>
            </w:pPr>
            <w:r w:rsidRPr="006C7B74">
              <w:rPr>
                <w:rFonts w:ascii="Calibri" w:hAnsi="Calibri" w:cs="Calibri"/>
                <w:color w:val="000000"/>
                <w:sz w:val="18"/>
                <w:szCs w:val="18"/>
                <w:lang w:eastAsia="en-AU"/>
              </w:rPr>
              <w:t>1,414,000</w:t>
            </w:r>
          </w:p>
        </w:tc>
      </w:tr>
      <w:tr w:rsidR="00784C76" w:rsidRPr="006C7B74" w14:paraId="20B54C18" w14:textId="77777777" w:rsidTr="006C7B74">
        <w:trPr>
          <w:trHeight w:val="315"/>
        </w:trPr>
        <w:tc>
          <w:tcPr>
            <w:tcW w:w="1778" w:type="pct"/>
            <w:tcBorders>
              <w:top w:val="nil"/>
              <w:left w:val="nil"/>
              <w:bottom w:val="single" w:sz="8" w:space="0" w:color="44546A"/>
              <w:right w:val="nil"/>
            </w:tcBorders>
            <w:shd w:val="clear" w:color="auto" w:fill="auto"/>
            <w:vAlign w:val="center"/>
            <w:hideMark/>
          </w:tcPr>
          <w:p w14:paraId="5C2F3287" w14:textId="77777777" w:rsidR="00784C76" w:rsidRPr="006C7B74" w:rsidRDefault="00784C76" w:rsidP="00784C76">
            <w:pPr>
              <w:rPr>
                <w:rFonts w:ascii="Calibri" w:hAnsi="Calibri" w:cs="Calibri"/>
                <w:color w:val="000000"/>
                <w:sz w:val="18"/>
                <w:szCs w:val="18"/>
                <w:lang w:eastAsia="en-AU"/>
              </w:rPr>
            </w:pPr>
            <w:r w:rsidRPr="006C7B74">
              <w:rPr>
                <w:rFonts w:ascii="Calibri" w:hAnsi="Calibri" w:cs="Calibri"/>
                <w:color w:val="000000"/>
                <w:sz w:val="18"/>
                <w:szCs w:val="18"/>
                <w:lang w:eastAsia="en-AU"/>
              </w:rPr>
              <w:t>Eastern</w:t>
            </w:r>
          </w:p>
        </w:tc>
        <w:tc>
          <w:tcPr>
            <w:tcW w:w="1443" w:type="pct"/>
            <w:tcBorders>
              <w:top w:val="nil"/>
              <w:left w:val="nil"/>
              <w:bottom w:val="single" w:sz="8" w:space="0" w:color="44546A"/>
              <w:right w:val="nil"/>
            </w:tcBorders>
            <w:shd w:val="clear" w:color="auto" w:fill="auto"/>
            <w:hideMark/>
          </w:tcPr>
          <w:p w14:paraId="19B24CBF" w14:textId="619D4BEB" w:rsidR="00784C76" w:rsidRPr="006C7B74" w:rsidRDefault="00784C76" w:rsidP="00784C76">
            <w:pPr>
              <w:jc w:val="center"/>
              <w:rPr>
                <w:rFonts w:ascii="Calibri" w:hAnsi="Calibri" w:cs="Calibri"/>
                <w:color w:val="000000"/>
                <w:sz w:val="18"/>
                <w:szCs w:val="18"/>
                <w:lang w:eastAsia="en-AU"/>
              </w:rPr>
            </w:pPr>
            <w:r w:rsidRPr="006C7B74">
              <w:rPr>
                <w:sz w:val="18"/>
                <w:szCs w:val="18"/>
              </w:rPr>
              <w:t>2,817,650</w:t>
            </w:r>
          </w:p>
        </w:tc>
        <w:tc>
          <w:tcPr>
            <w:tcW w:w="1779" w:type="pct"/>
            <w:tcBorders>
              <w:top w:val="nil"/>
              <w:left w:val="nil"/>
              <w:bottom w:val="single" w:sz="8" w:space="0" w:color="44546A"/>
              <w:right w:val="nil"/>
            </w:tcBorders>
            <w:shd w:val="clear" w:color="auto" w:fill="auto"/>
            <w:vAlign w:val="center"/>
            <w:hideMark/>
          </w:tcPr>
          <w:p w14:paraId="6836FDD9" w14:textId="6A766B55" w:rsidR="00784C76" w:rsidRPr="006C7B74" w:rsidRDefault="00C2721C" w:rsidP="00784C76">
            <w:pPr>
              <w:jc w:val="center"/>
              <w:rPr>
                <w:rFonts w:ascii="Calibri" w:hAnsi="Calibri" w:cs="Calibri"/>
                <w:color w:val="000000"/>
                <w:sz w:val="18"/>
                <w:szCs w:val="18"/>
                <w:lang w:eastAsia="en-AU"/>
              </w:rPr>
            </w:pPr>
            <w:r w:rsidRPr="006C7B74">
              <w:rPr>
                <w:rFonts w:ascii="Calibri" w:hAnsi="Calibri" w:cs="Calibri"/>
                <w:color w:val="000000"/>
                <w:sz w:val="18"/>
                <w:szCs w:val="18"/>
                <w:lang w:eastAsia="en-AU"/>
              </w:rPr>
              <w:t>837,000</w:t>
            </w:r>
          </w:p>
        </w:tc>
      </w:tr>
      <w:tr w:rsidR="00784C76" w:rsidRPr="006C7B74" w14:paraId="36BBA8E4" w14:textId="77777777" w:rsidTr="006C7B74">
        <w:trPr>
          <w:trHeight w:val="315"/>
        </w:trPr>
        <w:tc>
          <w:tcPr>
            <w:tcW w:w="1778" w:type="pct"/>
            <w:tcBorders>
              <w:top w:val="nil"/>
              <w:left w:val="nil"/>
              <w:bottom w:val="single" w:sz="8" w:space="0" w:color="44546A"/>
              <w:right w:val="nil"/>
            </w:tcBorders>
            <w:shd w:val="clear" w:color="auto" w:fill="auto"/>
            <w:vAlign w:val="center"/>
            <w:hideMark/>
          </w:tcPr>
          <w:p w14:paraId="6634FB86" w14:textId="77777777" w:rsidR="00784C76" w:rsidRPr="006C7B74" w:rsidRDefault="00784C76" w:rsidP="00784C76">
            <w:pPr>
              <w:rPr>
                <w:rFonts w:ascii="Calibri" w:hAnsi="Calibri" w:cs="Calibri"/>
                <w:color w:val="000000"/>
                <w:sz w:val="18"/>
                <w:szCs w:val="18"/>
                <w:lang w:eastAsia="en-AU"/>
              </w:rPr>
            </w:pPr>
            <w:r w:rsidRPr="006C7B74">
              <w:rPr>
                <w:rFonts w:ascii="Calibri" w:hAnsi="Calibri" w:cs="Calibri"/>
                <w:color w:val="000000"/>
                <w:sz w:val="18"/>
                <w:szCs w:val="18"/>
                <w:lang w:eastAsia="en-AU"/>
              </w:rPr>
              <w:t>Southern</w:t>
            </w:r>
          </w:p>
        </w:tc>
        <w:tc>
          <w:tcPr>
            <w:tcW w:w="1443" w:type="pct"/>
            <w:tcBorders>
              <w:top w:val="nil"/>
              <w:left w:val="nil"/>
              <w:bottom w:val="single" w:sz="8" w:space="0" w:color="44546A"/>
              <w:right w:val="nil"/>
            </w:tcBorders>
            <w:shd w:val="clear" w:color="auto" w:fill="auto"/>
            <w:hideMark/>
          </w:tcPr>
          <w:p w14:paraId="19A23679" w14:textId="5C008A79" w:rsidR="00784C76" w:rsidRPr="006C7B74" w:rsidRDefault="00784C76" w:rsidP="00784C76">
            <w:pPr>
              <w:jc w:val="center"/>
              <w:rPr>
                <w:rFonts w:ascii="Calibri" w:hAnsi="Calibri" w:cs="Calibri"/>
                <w:color w:val="000000"/>
                <w:sz w:val="18"/>
                <w:szCs w:val="18"/>
                <w:lang w:eastAsia="en-AU"/>
              </w:rPr>
            </w:pPr>
            <w:r w:rsidRPr="006C7B74">
              <w:rPr>
                <w:sz w:val="18"/>
                <w:szCs w:val="18"/>
              </w:rPr>
              <w:t>3,166,750</w:t>
            </w:r>
          </w:p>
        </w:tc>
        <w:tc>
          <w:tcPr>
            <w:tcW w:w="1779" w:type="pct"/>
            <w:tcBorders>
              <w:top w:val="nil"/>
              <w:left w:val="nil"/>
              <w:bottom w:val="single" w:sz="8" w:space="0" w:color="44546A"/>
              <w:right w:val="nil"/>
            </w:tcBorders>
            <w:shd w:val="clear" w:color="auto" w:fill="auto"/>
            <w:vAlign w:val="center"/>
            <w:hideMark/>
          </w:tcPr>
          <w:p w14:paraId="7F107DEB" w14:textId="1BCD21B2" w:rsidR="00784C76" w:rsidRPr="006C7B74" w:rsidRDefault="00674599" w:rsidP="00784C76">
            <w:pPr>
              <w:jc w:val="center"/>
              <w:rPr>
                <w:rFonts w:ascii="Calibri" w:hAnsi="Calibri" w:cs="Calibri"/>
                <w:color w:val="000000"/>
                <w:sz w:val="18"/>
                <w:szCs w:val="18"/>
                <w:lang w:eastAsia="en-AU"/>
              </w:rPr>
            </w:pPr>
            <w:r w:rsidRPr="006C7B74">
              <w:rPr>
                <w:rFonts w:ascii="Calibri" w:hAnsi="Calibri" w:cs="Calibri"/>
                <w:color w:val="000000"/>
                <w:sz w:val="18"/>
                <w:szCs w:val="18"/>
                <w:lang w:eastAsia="en-AU"/>
              </w:rPr>
              <w:t>1,371,000</w:t>
            </w:r>
          </w:p>
        </w:tc>
      </w:tr>
      <w:tr w:rsidR="00784C76" w:rsidRPr="006C7B74" w14:paraId="57538E13" w14:textId="77777777" w:rsidTr="006C7B74">
        <w:trPr>
          <w:trHeight w:val="315"/>
        </w:trPr>
        <w:tc>
          <w:tcPr>
            <w:tcW w:w="1778" w:type="pct"/>
            <w:tcBorders>
              <w:top w:val="nil"/>
              <w:left w:val="nil"/>
              <w:bottom w:val="single" w:sz="8" w:space="0" w:color="44546A"/>
              <w:right w:val="nil"/>
            </w:tcBorders>
            <w:shd w:val="clear" w:color="auto" w:fill="auto"/>
            <w:vAlign w:val="center"/>
            <w:hideMark/>
          </w:tcPr>
          <w:p w14:paraId="584B0ADE" w14:textId="77777777" w:rsidR="00784C76" w:rsidRPr="006C7B74" w:rsidRDefault="00784C76" w:rsidP="00784C76">
            <w:pPr>
              <w:rPr>
                <w:rFonts w:ascii="Calibri" w:hAnsi="Calibri" w:cs="Calibri"/>
                <w:color w:val="000000"/>
                <w:sz w:val="18"/>
                <w:szCs w:val="18"/>
                <w:lang w:eastAsia="en-AU"/>
              </w:rPr>
            </w:pPr>
            <w:r w:rsidRPr="006C7B74">
              <w:rPr>
                <w:rFonts w:ascii="Calibri" w:hAnsi="Calibri" w:cs="Calibri"/>
                <w:color w:val="000000"/>
                <w:sz w:val="18"/>
                <w:szCs w:val="18"/>
                <w:lang w:eastAsia="en-AU"/>
              </w:rPr>
              <w:t>Inner South East</w:t>
            </w:r>
          </w:p>
        </w:tc>
        <w:tc>
          <w:tcPr>
            <w:tcW w:w="1443" w:type="pct"/>
            <w:tcBorders>
              <w:top w:val="nil"/>
              <w:left w:val="nil"/>
              <w:bottom w:val="single" w:sz="8" w:space="0" w:color="44546A"/>
              <w:right w:val="nil"/>
            </w:tcBorders>
            <w:shd w:val="clear" w:color="auto" w:fill="auto"/>
            <w:hideMark/>
          </w:tcPr>
          <w:p w14:paraId="51ECD0E5" w14:textId="3662105C" w:rsidR="00784C76" w:rsidRPr="006C7B74" w:rsidRDefault="00B0704C" w:rsidP="00784C76">
            <w:pPr>
              <w:jc w:val="center"/>
              <w:rPr>
                <w:rFonts w:ascii="Calibri" w:hAnsi="Calibri" w:cs="Calibri"/>
                <w:color w:val="000000"/>
                <w:sz w:val="18"/>
                <w:szCs w:val="18"/>
                <w:lang w:eastAsia="en-AU"/>
              </w:rPr>
            </w:pPr>
            <w:r w:rsidRPr="006C7B74">
              <w:rPr>
                <w:sz w:val="18"/>
                <w:szCs w:val="18"/>
              </w:rPr>
              <w:t>2,991,200</w:t>
            </w:r>
          </w:p>
        </w:tc>
        <w:tc>
          <w:tcPr>
            <w:tcW w:w="1779" w:type="pct"/>
            <w:tcBorders>
              <w:top w:val="nil"/>
              <w:left w:val="nil"/>
              <w:bottom w:val="single" w:sz="8" w:space="0" w:color="44546A"/>
              <w:right w:val="nil"/>
            </w:tcBorders>
            <w:shd w:val="clear" w:color="auto" w:fill="auto"/>
            <w:vAlign w:val="center"/>
            <w:hideMark/>
          </w:tcPr>
          <w:p w14:paraId="0516D0C3" w14:textId="6B1A7B20" w:rsidR="00784C76" w:rsidRPr="006C7B74" w:rsidRDefault="00674599" w:rsidP="00784C76">
            <w:pPr>
              <w:jc w:val="center"/>
              <w:rPr>
                <w:rFonts w:ascii="Calibri" w:hAnsi="Calibri" w:cs="Calibri"/>
                <w:color w:val="000000"/>
                <w:sz w:val="18"/>
                <w:szCs w:val="18"/>
                <w:lang w:eastAsia="en-AU"/>
              </w:rPr>
            </w:pPr>
            <w:r w:rsidRPr="006C7B74">
              <w:rPr>
                <w:rFonts w:ascii="Calibri" w:hAnsi="Calibri" w:cs="Calibri"/>
                <w:color w:val="000000"/>
                <w:sz w:val="18"/>
                <w:szCs w:val="18"/>
                <w:lang w:eastAsia="en-AU"/>
              </w:rPr>
              <w:t>783,000</w:t>
            </w:r>
          </w:p>
        </w:tc>
      </w:tr>
      <w:tr w:rsidR="00784C76" w:rsidRPr="006C7B74" w14:paraId="7008C65A" w14:textId="77777777" w:rsidTr="006C7B74">
        <w:trPr>
          <w:trHeight w:val="315"/>
        </w:trPr>
        <w:tc>
          <w:tcPr>
            <w:tcW w:w="1778" w:type="pct"/>
            <w:tcBorders>
              <w:top w:val="nil"/>
              <w:left w:val="nil"/>
              <w:bottom w:val="single" w:sz="8" w:space="0" w:color="44546A"/>
              <w:right w:val="nil"/>
            </w:tcBorders>
            <w:shd w:val="clear" w:color="auto" w:fill="auto"/>
            <w:vAlign w:val="center"/>
            <w:hideMark/>
          </w:tcPr>
          <w:p w14:paraId="3B7E4273" w14:textId="77777777" w:rsidR="00784C76" w:rsidRPr="006C7B74" w:rsidRDefault="00784C76" w:rsidP="00784C76">
            <w:pPr>
              <w:rPr>
                <w:rFonts w:ascii="Calibri" w:hAnsi="Calibri" w:cs="Calibri"/>
                <w:b/>
                <w:bCs/>
                <w:color w:val="000000"/>
                <w:sz w:val="18"/>
                <w:szCs w:val="18"/>
                <w:lang w:eastAsia="en-AU"/>
              </w:rPr>
            </w:pPr>
            <w:r w:rsidRPr="006C7B74">
              <w:rPr>
                <w:rFonts w:ascii="Calibri" w:hAnsi="Calibri" w:cs="Calibri"/>
                <w:b/>
                <w:bCs/>
                <w:color w:val="000000"/>
                <w:sz w:val="18"/>
                <w:szCs w:val="18"/>
                <w:lang w:eastAsia="en-AU"/>
              </w:rPr>
              <w:t>Total</w:t>
            </w:r>
          </w:p>
        </w:tc>
        <w:tc>
          <w:tcPr>
            <w:tcW w:w="1443" w:type="pct"/>
            <w:tcBorders>
              <w:top w:val="nil"/>
              <w:left w:val="nil"/>
              <w:bottom w:val="single" w:sz="8" w:space="0" w:color="44546A"/>
              <w:right w:val="nil"/>
            </w:tcBorders>
            <w:shd w:val="clear" w:color="auto" w:fill="auto"/>
            <w:hideMark/>
          </w:tcPr>
          <w:p w14:paraId="75C7FD8E" w14:textId="7D8FF212" w:rsidR="00784C76" w:rsidRPr="006C7B74" w:rsidRDefault="00784C76" w:rsidP="00784C76">
            <w:pPr>
              <w:jc w:val="center"/>
              <w:rPr>
                <w:rFonts w:ascii="Calibri" w:hAnsi="Calibri" w:cs="Calibri"/>
                <w:b/>
                <w:color w:val="000000"/>
                <w:sz w:val="18"/>
                <w:szCs w:val="18"/>
                <w:lang w:eastAsia="en-AU"/>
              </w:rPr>
            </w:pPr>
            <w:r w:rsidRPr="006C7B74">
              <w:rPr>
                <w:b/>
                <w:sz w:val="18"/>
                <w:szCs w:val="18"/>
              </w:rPr>
              <w:t>24,</w:t>
            </w:r>
            <w:r w:rsidR="00B0704C" w:rsidRPr="006C7B74">
              <w:rPr>
                <w:b/>
                <w:sz w:val="18"/>
                <w:szCs w:val="18"/>
              </w:rPr>
              <w:t>191,800</w:t>
            </w:r>
          </w:p>
        </w:tc>
        <w:tc>
          <w:tcPr>
            <w:tcW w:w="1779" w:type="pct"/>
            <w:tcBorders>
              <w:top w:val="nil"/>
              <w:left w:val="nil"/>
              <w:bottom w:val="single" w:sz="8" w:space="0" w:color="44546A"/>
              <w:right w:val="nil"/>
            </w:tcBorders>
            <w:shd w:val="clear" w:color="auto" w:fill="auto"/>
            <w:vAlign w:val="center"/>
            <w:hideMark/>
          </w:tcPr>
          <w:p w14:paraId="1457313E" w14:textId="16469926" w:rsidR="00784C76" w:rsidRPr="006C7B74" w:rsidRDefault="002B0096" w:rsidP="00784C76">
            <w:pPr>
              <w:jc w:val="center"/>
              <w:rPr>
                <w:rFonts w:ascii="Calibri" w:hAnsi="Calibri" w:cs="Calibri"/>
                <w:b/>
                <w:color w:val="000000"/>
                <w:sz w:val="18"/>
                <w:szCs w:val="18"/>
                <w:lang w:eastAsia="en-AU"/>
              </w:rPr>
            </w:pPr>
            <w:r w:rsidRPr="006C7B74">
              <w:rPr>
                <w:rFonts w:ascii="Calibri" w:hAnsi="Calibri" w:cs="Calibri"/>
                <w:b/>
                <w:color w:val="000000"/>
                <w:sz w:val="18"/>
                <w:szCs w:val="18"/>
                <w:lang w:eastAsia="en-AU"/>
              </w:rPr>
              <w:t xml:space="preserve">9,960,000 </w:t>
            </w:r>
          </w:p>
        </w:tc>
      </w:tr>
    </w:tbl>
    <w:p w14:paraId="0A8D4AA8" w14:textId="069BD86D" w:rsidR="00892599" w:rsidRPr="00AD7153" w:rsidRDefault="00892599" w:rsidP="00AD7153">
      <w:pPr>
        <w:pStyle w:val="Quote"/>
        <w:rPr>
          <w:rFonts w:cstheme="minorHAnsi"/>
        </w:rPr>
      </w:pPr>
      <w:r w:rsidRPr="006C7B74">
        <w:t>Source: Department of Environment, Land, Water and Planning, unpublished data (20</w:t>
      </w:r>
      <w:r w:rsidR="00E777B0">
        <w:t>20</w:t>
      </w:r>
      <w:r w:rsidRPr="006C7B74">
        <w:t>)</w:t>
      </w:r>
    </w:p>
    <w:p w14:paraId="6975C607" w14:textId="2351BEF9" w:rsidR="00892599" w:rsidRPr="006C7B74" w:rsidRDefault="00892599" w:rsidP="00892599">
      <w:pPr>
        <w:pStyle w:val="BodyText"/>
        <w:spacing w:before="0" w:line="240" w:lineRule="auto"/>
      </w:pPr>
      <w:r w:rsidRPr="006C7B74">
        <w:t xml:space="preserve">Between 2016 and 2031 it is estimated that approximately </w:t>
      </w:r>
      <w:r w:rsidR="00E351B3" w:rsidRPr="006C7B74">
        <w:t>10</w:t>
      </w:r>
      <w:r w:rsidRPr="006C7B74">
        <w:t xml:space="preserve"> million square metres of additional commercial floorspace </w:t>
      </w:r>
      <w:r w:rsidR="00060744">
        <w:t>is likely to</w:t>
      </w:r>
      <w:r w:rsidRPr="006C7B74">
        <w:t xml:space="preserve"> be required across metropolitan Melbourne to meet projected demand. Of the total additional floorspace estimated to be required, </w:t>
      </w:r>
      <w:r w:rsidR="00DC3DB5" w:rsidRPr="006C7B74">
        <w:t xml:space="preserve">70 </w:t>
      </w:r>
      <w:r w:rsidRPr="006C7B74">
        <w:t xml:space="preserve">per cent of it </w:t>
      </w:r>
      <w:r w:rsidR="004862F1">
        <w:t xml:space="preserve">is </w:t>
      </w:r>
      <w:r w:rsidR="006C27CF">
        <w:t>anticipated</w:t>
      </w:r>
      <w:r w:rsidR="004862F1">
        <w:t xml:space="preserve"> to be </w:t>
      </w:r>
      <w:r w:rsidRPr="006C7B74">
        <w:t xml:space="preserve">for office </w:t>
      </w:r>
      <w:r w:rsidR="00B80019" w:rsidRPr="006C7B74">
        <w:t>uses</w:t>
      </w:r>
      <w:r w:rsidRPr="006C7B74">
        <w:t>.</w:t>
      </w:r>
    </w:p>
    <w:p w14:paraId="5E83ECBB" w14:textId="42D3FE5F" w:rsidR="00670F7F" w:rsidRPr="006C7B74" w:rsidRDefault="00670F7F" w:rsidP="00670F7F">
      <w:pPr>
        <w:pStyle w:val="BodyText"/>
        <w:spacing w:before="0" w:line="240" w:lineRule="auto"/>
      </w:pPr>
      <w:r w:rsidRPr="006C7B74">
        <w:t xml:space="preserve">The Inner Metro Region, and particularly the City of Melbourne, will continue to be a key focus for growth, with the region anticipated to need almost 40 per cent (approximately 4 million square metres) of the total metropolitan commercial floorspace </w:t>
      </w:r>
      <w:r w:rsidR="00E67D49">
        <w:t>project</w:t>
      </w:r>
      <w:r w:rsidR="00E67D49" w:rsidRPr="006C7B74">
        <w:t xml:space="preserve">ed </w:t>
      </w:r>
      <w:r w:rsidRPr="006C7B74">
        <w:t xml:space="preserve">by 2031. Almost </w:t>
      </w:r>
      <w:r w:rsidR="00E81483" w:rsidRPr="006C7B74">
        <w:t xml:space="preserve">83 </w:t>
      </w:r>
      <w:r w:rsidRPr="006C7B74">
        <w:t xml:space="preserve">per cent of this demand will be </w:t>
      </w:r>
      <w:r w:rsidR="00E67D49">
        <w:t>made up of</w:t>
      </w:r>
      <w:r w:rsidRPr="006C7B74">
        <w:t xml:space="preserve"> office floorspace.</w:t>
      </w:r>
    </w:p>
    <w:p w14:paraId="7BCFAFCD" w14:textId="763B3D20" w:rsidR="00892599" w:rsidRPr="006C7B74" w:rsidRDefault="00892599" w:rsidP="00892599">
      <w:pPr>
        <w:pStyle w:val="BodyText"/>
        <w:spacing w:before="0" w:line="240" w:lineRule="auto"/>
        <w:rPr>
          <w:color w:val="auto"/>
        </w:rPr>
      </w:pPr>
      <w:r w:rsidRPr="006C7B74">
        <w:t xml:space="preserve">Projected demand for commercial floorspace in other regions of metropolitan Melbourne, while </w:t>
      </w:r>
      <w:r w:rsidR="00BE01DE">
        <w:t>not as great</w:t>
      </w:r>
      <w:r w:rsidRPr="006C7B74">
        <w:t xml:space="preserve"> as the Inner Metro Region, is still significant at approximately </w:t>
      </w:r>
      <w:r w:rsidR="00BE4F0F" w:rsidRPr="006C7B74">
        <w:t>6</w:t>
      </w:r>
      <w:r w:rsidRPr="006C7B74">
        <w:t xml:space="preserve"> million square metres. </w:t>
      </w:r>
      <w:r w:rsidR="00A83BED" w:rsidRPr="006C7B74">
        <w:t>A</w:t>
      </w:r>
      <w:r w:rsidR="00E95F1B" w:rsidRPr="006C7B74">
        <w:t xml:space="preserve">round </w:t>
      </w:r>
      <w:r w:rsidR="00AD71DC">
        <w:rPr>
          <w:color w:val="auto"/>
        </w:rPr>
        <w:t>60</w:t>
      </w:r>
      <w:r w:rsidR="006C2432" w:rsidRPr="006C7B74">
        <w:rPr>
          <w:color w:val="auto"/>
        </w:rPr>
        <w:t xml:space="preserve"> </w:t>
      </w:r>
      <w:r w:rsidRPr="006C7B74">
        <w:rPr>
          <w:color w:val="auto"/>
        </w:rPr>
        <w:t xml:space="preserve">per cent of this demand will be for </w:t>
      </w:r>
      <w:r w:rsidR="00AD71DC">
        <w:rPr>
          <w:color w:val="auto"/>
        </w:rPr>
        <w:t>office</w:t>
      </w:r>
      <w:r w:rsidR="00AD71DC" w:rsidRPr="006C7B74">
        <w:rPr>
          <w:color w:val="auto"/>
        </w:rPr>
        <w:t xml:space="preserve"> </w:t>
      </w:r>
      <w:r w:rsidRPr="006C7B74">
        <w:rPr>
          <w:color w:val="auto"/>
        </w:rPr>
        <w:t>floorspace.</w:t>
      </w:r>
    </w:p>
    <w:p w14:paraId="699851AB" w14:textId="54608D48" w:rsidR="00892599" w:rsidRPr="006C7B74" w:rsidRDefault="00892599" w:rsidP="00892599">
      <w:pPr>
        <w:pStyle w:val="BodyText"/>
        <w:spacing w:before="0" w:line="240" w:lineRule="auto"/>
      </w:pPr>
      <w:r w:rsidRPr="006C7B74">
        <w:t xml:space="preserve">There is expected to be significant commercial floorspace required in the Western, Southern and Northern Regions, with each of these regions anticipated to require upward of a </w:t>
      </w:r>
      <w:r w:rsidR="0022164C" w:rsidRPr="006C7B74">
        <w:t>4</w:t>
      </w:r>
      <w:r w:rsidRPr="006C7B74">
        <w:t xml:space="preserve">0 per cent increase in their supply of commercial floorspace. Much of this </w:t>
      </w:r>
      <w:r w:rsidR="004C3C2F">
        <w:t>additional floorspace</w:t>
      </w:r>
      <w:r w:rsidR="004C3C2F" w:rsidRPr="006C7B74">
        <w:t xml:space="preserve"> </w:t>
      </w:r>
      <w:r w:rsidRPr="006C7B74">
        <w:t xml:space="preserve">will be </w:t>
      </w:r>
      <w:r w:rsidR="0093069A">
        <w:t xml:space="preserve">needed </w:t>
      </w:r>
      <w:r w:rsidRPr="006C7B74">
        <w:t>in the growth area municipalities.</w:t>
      </w:r>
    </w:p>
    <w:p w14:paraId="38A63DBC" w14:textId="164C2E1D" w:rsidR="00CF699B" w:rsidRPr="006C7B74" w:rsidRDefault="00750101" w:rsidP="00892599">
      <w:pPr>
        <w:pStyle w:val="BodyText"/>
        <w:spacing w:before="0" w:line="240" w:lineRule="auto"/>
      </w:pPr>
      <w:bookmarkStart w:id="4" w:name="_Toc12960605"/>
      <w:r>
        <w:t>J</w:t>
      </w:r>
      <w:r w:rsidR="00CF699B" w:rsidRPr="006C7B74">
        <w:t>ust over 1,</w:t>
      </w:r>
      <w:r w:rsidR="00B45DCF">
        <w:t>320</w:t>
      </w:r>
      <w:r w:rsidR="0064656D">
        <w:t xml:space="preserve"> </w:t>
      </w:r>
      <w:r w:rsidR="00CF699B" w:rsidRPr="006C7B74">
        <w:t>hectares of land ha</w:t>
      </w:r>
      <w:r w:rsidR="0089099D">
        <w:t>s</w:t>
      </w:r>
      <w:r w:rsidR="00CF699B" w:rsidRPr="006C7B74">
        <w:t xml:space="preserve"> been identified for future commercial purposes through Growth Corridor Plans and PSPs. </w:t>
      </w:r>
      <w:r w:rsidR="003A75D4">
        <w:t>Nearly</w:t>
      </w:r>
      <w:r w:rsidR="004136D1">
        <w:t xml:space="preserve"> </w:t>
      </w:r>
      <w:r w:rsidR="0064656D">
        <w:t>85</w:t>
      </w:r>
      <w:r w:rsidR="000B705D">
        <w:t xml:space="preserve"> per cent</w:t>
      </w:r>
      <w:r w:rsidR="003878C2" w:rsidRPr="006C7B74">
        <w:t xml:space="preserve"> of this </w:t>
      </w:r>
      <w:r w:rsidR="00CF699B" w:rsidRPr="006C7B74">
        <w:t xml:space="preserve">land is located in </w:t>
      </w:r>
      <w:r w:rsidR="00FF34BE" w:rsidRPr="006C7B74">
        <w:t xml:space="preserve">the </w:t>
      </w:r>
      <w:r w:rsidR="00CF699B" w:rsidRPr="006C7B74">
        <w:t xml:space="preserve">Western and Southern </w:t>
      </w:r>
      <w:r w:rsidR="00C47CB3">
        <w:t>regions</w:t>
      </w:r>
      <w:r w:rsidR="00FF34BE" w:rsidRPr="006C7B74">
        <w:t>.</w:t>
      </w:r>
    </w:p>
    <w:p w14:paraId="7B5DA7D4" w14:textId="77777777" w:rsidR="00892599" w:rsidRPr="006C7B74" w:rsidRDefault="00892599" w:rsidP="00892599">
      <w:pPr>
        <w:pStyle w:val="BodyText"/>
        <w:spacing w:before="0" w:line="240" w:lineRule="auto"/>
      </w:pPr>
      <w:r w:rsidRPr="006C7B74">
        <w:t>Options to accommodate projected demand for commercial floorspace in other locations will need to be identified within existing commercial areas, as well as considering areas that could accommodate future floorspace requirements through rezoning.</w:t>
      </w:r>
    </w:p>
    <w:p w14:paraId="35CC4FBC" w14:textId="6F42DA64" w:rsidR="00892599" w:rsidRPr="006C7B74" w:rsidRDefault="00892599" w:rsidP="00BF6B16">
      <w:pPr>
        <w:pStyle w:val="Heading2-Contenttable"/>
      </w:pPr>
      <w:r w:rsidRPr="006C7B74">
        <w:t xml:space="preserve">Approach to </w:t>
      </w:r>
      <w:r w:rsidR="00D6372A" w:rsidRPr="006C7B74">
        <w:t>p</w:t>
      </w:r>
      <w:r w:rsidRPr="006C7B74">
        <w:t xml:space="preserve">lanning for </w:t>
      </w:r>
      <w:r w:rsidR="00D6372A" w:rsidRPr="006C7B74">
        <w:t>i</w:t>
      </w:r>
      <w:r w:rsidRPr="006C7B74">
        <w:t xml:space="preserve">ndustrial and </w:t>
      </w:r>
      <w:r w:rsidR="00D6372A" w:rsidRPr="006C7B74">
        <w:t>c</w:t>
      </w:r>
      <w:r w:rsidRPr="006C7B74">
        <w:t xml:space="preserve">ommercial </w:t>
      </w:r>
      <w:r w:rsidR="00D6372A" w:rsidRPr="006C7B74">
        <w:t>l</w:t>
      </w:r>
      <w:r w:rsidRPr="006C7B74">
        <w:t>and</w:t>
      </w:r>
      <w:bookmarkEnd w:id="4"/>
    </w:p>
    <w:p w14:paraId="7A1BAFEB" w14:textId="77777777" w:rsidR="00892599" w:rsidRPr="006C7B74" w:rsidRDefault="00892599" w:rsidP="00892599">
      <w:pPr>
        <w:pStyle w:val="BodyText"/>
        <w:spacing w:before="0" w:line="240" w:lineRule="auto"/>
      </w:pPr>
      <w:r w:rsidRPr="006C7B74">
        <w:t xml:space="preserve">Ensuring there is enough industrial and commercial land to meet future demand for economic activity and employment purposes, will help to support Victoria’s competitive advantage in attracting investment. </w:t>
      </w:r>
    </w:p>
    <w:p w14:paraId="1338B54C" w14:textId="77777777" w:rsidR="00892599" w:rsidRPr="006C7B74" w:rsidRDefault="00892599" w:rsidP="00892599">
      <w:pPr>
        <w:pStyle w:val="BodyText"/>
      </w:pPr>
      <w:r w:rsidRPr="006C7B74">
        <w:t xml:space="preserve">To ensure industrial and commercial areas are able to operate efficiently and effectively and remain viable, there is a need for clarity and certainty around how these areas are planned. To support planning for industrial and commercial land, a number of principles have been developed. These principles are supported by strategies and have been developed to guide future planning for industrial and commercial areas across metropolitan Melbourne. </w:t>
      </w:r>
    </w:p>
    <w:p w14:paraId="387C936B" w14:textId="77777777" w:rsidR="00BF6B16" w:rsidRPr="00EA4092" w:rsidRDefault="00BF6B16" w:rsidP="00BF6B16">
      <w:pPr>
        <w:pStyle w:val="Heading4"/>
      </w:pPr>
      <w:r w:rsidRPr="00EA4092">
        <w:lastRenderedPageBreak/>
        <w:t>Principles to guide future planning for industrial and commercial land</w:t>
      </w:r>
    </w:p>
    <w:p w14:paraId="1E305015" w14:textId="77777777" w:rsidR="00BF6B16" w:rsidRDefault="00BF6B16" w:rsidP="00BF6B16">
      <w:pPr>
        <w:pStyle w:val="BodyText"/>
      </w:pPr>
      <w:r w:rsidRPr="00EA4092">
        <w:rPr>
          <w:b/>
          <w:bCs/>
        </w:rPr>
        <w:t>Principle 1</w:t>
      </w:r>
      <w:r>
        <w:t xml:space="preserve">: </w:t>
      </w:r>
      <w:r w:rsidRPr="00BD133F">
        <w:t>Adequate long-term commercial and industrial land supply will be identified and set aside to support future industry and business growth.</w:t>
      </w:r>
    </w:p>
    <w:p w14:paraId="3E7CF1CC" w14:textId="77777777" w:rsidR="00BF6B16" w:rsidRPr="00C31ECA" w:rsidRDefault="00BF6B16" w:rsidP="00BF6B16">
      <w:pPr>
        <w:pStyle w:val="BodyText"/>
      </w:pPr>
      <w:r w:rsidRPr="00EA4092">
        <w:rPr>
          <w:b/>
          <w:bCs/>
        </w:rPr>
        <w:t>Principle 2</w:t>
      </w:r>
      <w:r>
        <w:t>: I</w:t>
      </w:r>
      <w:r w:rsidRPr="003E5591">
        <w:t xml:space="preserve">ndustrial and commercial areas </w:t>
      </w:r>
      <w:r>
        <w:t>that provide an ongoing</w:t>
      </w:r>
      <w:r w:rsidRPr="003E5591">
        <w:t xml:space="preserve"> economic</w:t>
      </w:r>
      <w:r>
        <w:t>, urban servicing</w:t>
      </w:r>
      <w:r w:rsidRPr="003E5591">
        <w:t xml:space="preserve"> </w:t>
      </w:r>
      <w:r>
        <w:t>or</w:t>
      </w:r>
      <w:r w:rsidRPr="003E5591">
        <w:t xml:space="preserve"> employment contribution to local communities, regions and the </w:t>
      </w:r>
      <w:r>
        <w:t>s</w:t>
      </w:r>
      <w:r w:rsidRPr="003E5591">
        <w:t>tate</w:t>
      </w:r>
      <w:r>
        <w:t xml:space="preserve"> will be recognised and retained as a critical economic resource</w:t>
      </w:r>
      <w:r w:rsidRPr="003E5591">
        <w:t>.</w:t>
      </w:r>
    </w:p>
    <w:p w14:paraId="5A54F37A" w14:textId="77777777" w:rsidR="00BF6B16" w:rsidRPr="00C31ECA" w:rsidRDefault="00BF6B16" w:rsidP="00BF6B16">
      <w:pPr>
        <w:pStyle w:val="BodyText"/>
      </w:pPr>
      <w:r w:rsidRPr="00EA4092">
        <w:rPr>
          <w:b/>
          <w:bCs/>
        </w:rPr>
        <w:t>Principle 3</w:t>
      </w:r>
      <w:r>
        <w:t xml:space="preserve">: </w:t>
      </w:r>
      <w:r w:rsidRPr="003E5591">
        <w:t xml:space="preserve">Planning for industrial and commercial land </w:t>
      </w:r>
      <w:r>
        <w:t>will</w:t>
      </w:r>
      <w:r w:rsidRPr="003E5591">
        <w:t xml:space="preserve"> provide clarity and certainty about how and where industry and business can grow over time to support and guide long term investment and locational decisions.</w:t>
      </w:r>
    </w:p>
    <w:p w14:paraId="080D7D65" w14:textId="77777777" w:rsidR="00BF6B16" w:rsidRPr="00EA4092" w:rsidRDefault="00BF6B16" w:rsidP="00BF6B16">
      <w:pPr>
        <w:pStyle w:val="BodyText"/>
      </w:pPr>
      <w:r w:rsidRPr="00EA4092">
        <w:rPr>
          <w:b/>
          <w:bCs/>
        </w:rPr>
        <w:t>Principle 4</w:t>
      </w:r>
      <w:r>
        <w:t>: Planning will support i</w:t>
      </w:r>
      <w:r w:rsidRPr="003E5591">
        <w:t xml:space="preserve">ndustry and business to innovate and </w:t>
      </w:r>
      <w:r>
        <w:t xml:space="preserve">grow </w:t>
      </w:r>
      <w:r w:rsidRPr="003E5591">
        <w:t>in areas identified for these purposes.</w:t>
      </w:r>
    </w:p>
    <w:p w14:paraId="37F0449F" w14:textId="69A322AA" w:rsidR="00892599" w:rsidRPr="006C7B74" w:rsidRDefault="00892599" w:rsidP="00892599">
      <w:pPr>
        <w:pStyle w:val="BodyText"/>
      </w:pPr>
      <w:r w:rsidRPr="006C7B74">
        <w:t xml:space="preserve">To further support how we plan for industrial and commercial land a classification system </w:t>
      </w:r>
      <w:r w:rsidR="00D81986" w:rsidRPr="006C7B74">
        <w:t>will be</w:t>
      </w:r>
      <w:r w:rsidRPr="006C7B74">
        <w:t xml:space="preserve"> </w:t>
      </w:r>
      <w:r w:rsidR="00D81986" w:rsidRPr="006C7B74">
        <w:t xml:space="preserve">put in place to </w:t>
      </w:r>
      <w:r w:rsidRPr="006C7B74">
        <w:t xml:space="preserve">assist how these areas are planned for. Industrial and commercial land </w:t>
      </w:r>
      <w:r w:rsidR="00D30906" w:rsidRPr="006C7B74">
        <w:t xml:space="preserve">will </w:t>
      </w:r>
      <w:r w:rsidRPr="006C7B74">
        <w:t xml:space="preserve">be categorised as being either of state, regional or local significance. This will assist with identifying land </w:t>
      </w:r>
      <w:r w:rsidR="00906107" w:rsidRPr="006C7B74">
        <w:t xml:space="preserve">that </w:t>
      </w:r>
      <w:r w:rsidRPr="006C7B74">
        <w:t xml:space="preserve">should be retained or considered primarily for industrial or </w:t>
      </w:r>
      <w:r w:rsidR="00B47E67" w:rsidRPr="006C7B74">
        <w:t xml:space="preserve">other business or </w:t>
      </w:r>
      <w:r w:rsidRPr="006C7B74">
        <w:t xml:space="preserve">employment </w:t>
      </w:r>
      <w:r w:rsidR="00B47E67" w:rsidRPr="006C7B74">
        <w:t xml:space="preserve">focussed </w:t>
      </w:r>
      <w:r w:rsidRPr="006C7B74">
        <w:t xml:space="preserve">purposes, and land </w:t>
      </w:r>
      <w:r w:rsidR="0093591F" w:rsidRPr="006C7B74">
        <w:t xml:space="preserve">that </w:t>
      </w:r>
      <w:r w:rsidRPr="006C7B74">
        <w:t xml:space="preserve">could be considered for alternative uses. </w:t>
      </w:r>
    </w:p>
    <w:p w14:paraId="17854D30" w14:textId="3275B577" w:rsidR="00892599" w:rsidRPr="006C7B74" w:rsidRDefault="00892599" w:rsidP="00892599">
      <w:pPr>
        <w:pStyle w:val="BodyText"/>
      </w:pPr>
      <w:r w:rsidRPr="006C7B74">
        <w:t xml:space="preserve">For industrial land, the following framework </w:t>
      </w:r>
      <w:r w:rsidR="00EF142B" w:rsidRPr="006C7B74">
        <w:t>will be put into place</w:t>
      </w:r>
      <w:r w:rsidRPr="006C7B74">
        <w:t>.</w:t>
      </w:r>
    </w:p>
    <w:p w14:paraId="6FEED5E5" w14:textId="72C117AD" w:rsidR="00892599" w:rsidRPr="006C7B74" w:rsidRDefault="00892599" w:rsidP="00892599">
      <w:pPr>
        <w:pStyle w:val="BodyText"/>
        <w:numPr>
          <w:ilvl w:val="0"/>
          <w:numId w:val="78"/>
        </w:numPr>
      </w:pPr>
      <w:r w:rsidRPr="006C7B74">
        <w:rPr>
          <w:b/>
          <w:bCs/>
        </w:rPr>
        <w:t>State-significant industrial precincts</w:t>
      </w:r>
      <w:r w:rsidRPr="006C7B74">
        <w:t>: These are identified in the Metropolitan Planning Strategy – Plan Melbourne. They provide strategically located land for major industrial development linked to the Principal Freight Network and transport gateways. It is state policy that these areas are to be protected from incompatible land uses to allow continual growth in freight, logistics and manufacturing investment.</w:t>
      </w:r>
    </w:p>
    <w:p w14:paraId="38909985" w14:textId="5A27D1E0" w:rsidR="00892599" w:rsidRPr="006C7B74" w:rsidRDefault="00892599" w:rsidP="00892599">
      <w:pPr>
        <w:pStyle w:val="BodyText"/>
        <w:numPr>
          <w:ilvl w:val="0"/>
          <w:numId w:val="78"/>
        </w:numPr>
      </w:pPr>
      <w:proofErr w:type="gramStart"/>
      <w:r w:rsidRPr="006C7B74">
        <w:rPr>
          <w:b/>
          <w:bCs/>
        </w:rPr>
        <w:t>Regionally-significant</w:t>
      </w:r>
      <w:proofErr w:type="gramEnd"/>
      <w:r w:rsidRPr="006C7B74">
        <w:rPr>
          <w:b/>
          <w:bCs/>
        </w:rPr>
        <w:t xml:space="preserve"> industrial precincts</w:t>
      </w:r>
      <w:r w:rsidRPr="006C7B74">
        <w:t xml:space="preserve">: These are key industrial areas that contribute significantly to local and regional economies. Some of these areas are well established and support a range of industrial uses while others are transitioning and supporting new uses. They include future employment areas identified through </w:t>
      </w:r>
      <w:r w:rsidR="00065271" w:rsidRPr="006C7B74">
        <w:t>G</w:t>
      </w:r>
      <w:r w:rsidRPr="006C7B74">
        <w:t xml:space="preserve">rowth </w:t>
      </w:r>
      <w:r w:rsidR="00065271" w:rsidRPr="006C7B74">
        <w:t>C</w:t>
      </w:r>
      <w:r w:rsidRPr="006C7B74">
        <w:t>orridor</w:t>
      </w:r>
      <w:r w:rsidR="00B80019" w:rsidRPr="006C7B74">
        <w:t xml:space="preserve"> </w:t>
      </w:r>
      <w:r w:rsidR="00065271" w:rsidRPr="006C7B74">
        <w:t>P</w:t>
      </w:r>
      <w:r w:rsidR="00B80019" w:rsidRPr="006C7B74">
        <w:t>lan</w:t>
      </w:r>
      <w:r w:rsidR="004A1695" w:rsidRPr="006C7B74">
        <w:t>s</w:t>
      </w:r>
      <w:r w:rsidRPr="006C7B74">
        <w:t>. These areas need to be planned for and retained either as key industrial areas or locations that can transition to a broader range of employment opportunities. Criteria has been developed as a basis for identifying these locations.</w:t>
      </w:r>
    </w:p>
    <w:p w14:paraId="1E5E4960" w14:textId="44AB6B78" w:rsidR="00892599" w:rsidRPr="006C7B74" w:rsidRDefault="00892599" w:rsidP="00892599">
      <w:pPr>
        <w:pStyle w:val="BodyText"/>
        <w:numPr>
          <w:ilvl w:val="0"/>
          <w:numId w:val="78"/>
        </w:numPr>
      </w:pPr>
      <w:r w:rsidRPr="006C7B74">
        <w:rPr>
          <w:b/>
          <w:bCs/>
        </w:rPr>
        <w:t>Local industrial precincts</w:t>
      </w:r>
      <w:r w:rsidRPr="006C7B74">
        <w:t>: If an area is not identified as being of state or regional</w:t>
      </w:r>
      <w:r w:rsidR="003D4A76" w:rsidRPr="006C7B74">
        <w:t xml:space="preserve"> </w:t>
      </w:r>
      <w:r w:rsidRPr="006C7B74">
        <w:t xml:space="preserve">significance, then it is of local significance. Councils are best placed to determine how these industrial areas are to be planned for. This could include identifying when industrial land should be retained, when it could transition to other employment generating uses, or if it is no longer required, when it could transition to other uses. </w:t>
      </w:r>
    </w:p>
    <w:p w14:paraId="2231BB59" w14:textId="16316061" w:rsidR="00892599" w:rsidRPr="006C7B74" w:rsidRDefault="00892599" w:rsidP="00892599">
      <w:pPr>
        <w:pStyle w:val="BodyText"/>
      </w:pPr>
      <w:r w:rsidRPr="006C7B74">
        <w:t xml:space="preserve">To support councils to plan for industrial areas, </w:t>
      </w:r>
      <w:r w:rsidR="00427197">
        <w:t xml:space="preserve">draft </w:t>
      </w:r>
      <w:r w:rsidRPr="006C7B74">
        <w:t>guidance for the development of local industrial land use strategies has been developed</w:t>
      </w:r>
      <w:r w:rsidR="00614A1B" w:rsidRPr="006C7B74">
        <w:t xml:space="preserve"> (</w:t>
      </w:r>
      <w:r w:rsidR="00304013" w:rsidRPr="006C7B74">
        <w:t>Appendix 2</w:t>
      </w:r>
      <w:r w:rsidR="00614A1B" w:rsidRPr="006C7B74">
        <w:t>)</w:t>
      </w:r>
      <w:r w:rsidRPr="006C7B74">
        <w:t>.</w:t>
      </w:r>
      <w:r w:rsidR="00427197" w:rsidRPr="00427197">
        <w:t xml:space="preserve"> </w:t>
      </w:r>
      <w:r w:rsidR="00427197">
        <w:t>This will be further developed into a practice note to assist councils in undertaking this strategic work, including criteria for considering changes of land use</w:t>
      </w:r>
      <w:r w:rsidR="00836F1E">
        <w:t>.</w:t>
      </w:r>
    </w:p>
    <w:p w14:paraId="68ED0625" w14:textId="77777777" w:rsidR="00892599" w:rsidRPr="006C7B74" w:rsidRDefault="00892599" w:rsidP="00892599">
      <w:pPr>
        <w:pStyle w:val="BodyText"/>
      </w:pPr>
    </w:p>
    <w:p w14:paraId="681197D9" w14:textId="68BF6AAC" w:rsidR="00892599" w:rsidRPr="006C7B74" w:rsidRDefault="00892599" w:rsidP="00892599">
      <w:pPr>
        <w:pStyle w:val="BodyText"/>
      </w:pPr>
      <w:r w:rsidRPr="006C7B74">
        <w:t xml:space="preserve">For commercial land, the following framework </w:t>
      </w:r>
      <w:r w:rsidR="00EF142B" w:rsidRPr="006C7B74">
        <w:t>will be put into place</w:t>
      </w:r>
      <w:r w:rsidRPr="006C7B74">
        <w:t>.</w:t>
      </w:r>
    </w:p>
    <w:p w14:paraId="05FB5AF1" w14:textId="236270F0" w:rsidR="00892599" w:rsidRPr="006C7B74" w:rsidRDefault="00892599" w:rsidP="00892599">
      <w:pPr>
        <w:pStyle w:val="BodyText"/>
        <w:numPr>
          <w:ilvl w:val="0"/>
          <w:numId w:val="78"/>
        </w:numPr>
      </w:pPr>
      <w:r w:rsidRPr="006C7B74">
        <w:rPr>
          <w:b/>
          <w:bCs/>
        </w:rPr>
        <w:t>State-significant commercial areas</w:t>
      </w:r>
      <w:r w:rsidRPr="006C7B74">
        <w:t>: These are commercial areas and places identified in Plan Melbourne as being of state significance. Included is the Central City which provide</w:t>
      </w:r>
      <w:r w:rsidR="00B80019" w:rsidRPr="006C7B74">
        <w:t>s</w:t>
      </w:r>
      <w:r w:rsidRPr="006C7B74">
        <w:t xml:space="preserve"> for growth of knowledge-intensive and high-skilled firms while continuing to be a major area for tourism, retail, residential, entertainment, sporting and cultural activities. Also included are </w:t>
      </w:r>
      <w:r w:rsidR="00671277" w:rsidRPr="006C7B74">
        <w:t>m</w:t>
      </w:r>
      <w:r w:rsidRPr="006C7B74">
        <w:t xml:space="preserve">etropolitan </w:t>
      </w:r>
      <w:r w:rsidR="00E339CA" w:rsidRPr="006C7B74">
        <w:t>a</w:t>
      </w:r>
      <w:r w:rsidRPr="006C7B74">
        <w:t xml:space="preserve">ctivity </w:t>
      </w:r>
      <w:r w:rsidR="00E339CA" w:rsidRPr="006C7B74">
        <w:t>c</w:t>
      </w:r>
      <w:r w:rsidRPr="006C7B74">
        <w:t xml:space="preserve">entres identified in Plan Melbourne to provide a diverse range of jobs and play a major role in providing for retail and commercial opportunities. </w:t>
      </w:r>
    </w:p>
    <w:p w14:paraId="16DC93BD" w14:textId="64438F2D" w:rsidR="00892599" w:rsidRPr="006C7B74" w:rsidRDefault="00892599" w:rsidP="00892599">
      <w:pPr>
        <w:pStyle w:val="BodyText"/>
        <w:numPr>
          <w:ilvl w:val="0"/>
          <w:numId w:val="78"/>
        </w:numPr>
      </w:pPr>
      <w:proofErr w:type="gramStart"/>
      <w:r w:rsidRPr="006C7B74">
        <w:rPr>
          <w:b/>
          <w:bCs/>
        </w:rPr>
        <w:t>Regionally</w:t>
      </w:r>
      <w:r w:rsidR="00CF0E20" w:rsidRPr="006C7B74">
        <w:rPr>
          <w:b/>
          <w:bCs/>
        </w:rPr>
        <w:t>-</w:t>
      </w:r>
      <w:r w:rsidRPr="006C7B74">
        <w:rPr>
          <w:b/>
          <w:bCs/>
        </w:rPr>
        <w:t>significant</w:t>
      </w:r>
      <w:proofErr w:type="gramEnd"/>
      <w:r w:rsidRPr="006C7B74">
        <w:rPr>
          <w:b/>
          <w:bCs/>
        </w:rPr>
        <w:t xml:space="preserve"> commercial areas</w:t>
      </w:r>
      <w:r w:rsidRPr="006C7B74">
        <w:t xml:space="preserve">: These include commercial areas and places identified in Plan Melbourne as </w:t>
      </w:r>
      <w:r w:rsidR="00D75009" w:rsidRPr="006C7B74">
        <w:t>m</w:t>
      </w:r>
      <w:r w:rsidRPr="006C7B74">
        <w:t xml:space="preserve">ajor </w:t>
      </w:r>
      <w:r w:rsidR="00D75009" w:rsidRPr="006C7B74">
        <w:t>a</w:t>
      </w:r>
      <w:r w:rsidRPr="006C7B74">
        <w:t xml:space="preserve">ctivity </w:t>
      </w:r>
      <w:r w:rsidR="00D75009" w:rsidRPr="006C7B74">
        <w:t>c</w:t>
      </w:r>
      <w:r w:rsidRPr="006C7B74">
        <w:t xml:space="preserve">entres as well as </w:t>
      </w:r>
      <w:r w:rsidR="00473895" w:rsidRPr="006C7B74">
        <w:t>g</w:t>
      </w:r>
      <w:r w:rsidRPr="006C7B74">
        <w:t xml:space="preserve">rowth </w:t>
      </w:r>
      <w:r w:rsidR="00473895" w:rsidRPr="006C7B74">
        <w:t>a</w:t>
      </w:r>
      <w:r w:rsidRPr="006C7B74">
        <w:t xml:space="preserve">rea </w:t>
      </w:r>
      <w:r w:rsidR="00473895" w:rsidRPr="006C7B74">
        <w:t>b</w:t>
      </w:r>
      <w:r w:rsidRPr="006C7B74">
        <w:t xml:space="preserve">usiness </w:t>
      </w:r>
      <w:r w:rsidR="005E5329" w:rsidRPr="006C7B74">
        <w:t xml:space="preserve">with residential </w:t>
      </w:r>
      <w:r w:rsidR="00473895" w:rsidRPr="006C7B74">
        <w:t>p</w:t>
      </w:r>
      <w:r w:rsidRPr="006C7B74">
        <w:t xml:space="preserve">recincts identified in </w:t>
      </w:r>
      <w:r w:rsidR="00065271" w:rsidRPr="006C7B74">
        <w:t>G</w:t>
      </w:r>
      <w:r w:rsidRPr="006C7B74">
        <w:t xml:space="preserve">rowth </w:t>
      </w:r>
      <w:r w:rsidR="00065271" w:rsidRPr="006C7B74">
        <w:t>C</w:t>
      </w:r>
      <w:r w:rsidRPr="006C7B74">
        <w:t xml:space="preserve">orridor </w:t>
      </w:r>
      <w:r w:rsidR="00065271" w:rsidRPr="006C7B74">
        <w:t>P</w:t>
      </w:r>
      <w:r w:rsidRPr="006C7B74">
        <w:t xml:space="preserve">lans. They should provide for and support access to a wide range of goods and services, including office and retail development, and provide for a wide range of employment opportunities. They are expected to deliver more intensive forms of employment uses including office and commercial activity. </w:t>
      </w:r>
    </w:p>
    <w:p w14:paraId="271C7861" w14:textId="2E8CE48B" w:rsidR="00892599" w:rsidRPr="006C7B74" w:rsidRDefault="00892599" w:rsidP="00892599">
      <w:pPr>
        <w:pStyle w:val="BodyText"/>
        <w:numPr>
          <w:ilvl w:val="0"/>
          <w:numId w:val="78"/>
        </w:numPr>
      </w:pPr>
      <w:r w:rsidRPr="006C7B74">
        <w:rPr>
          <w:b/>
          <w:bCs/>
        </w:rPr>
        <w:t>Local</w:t>
      </w:r>
      <w:r w:rsidR="00A107D6" w:rsidRPr="006C7B74">
        <w:rPr>
          <w:b/>
          <w:bCs/>
        </w:rPr>
        <w:t xml:space="preserve"> </w:t>
      </w:r>
      <w:r w:rsidRPr="006C7B74">
        <w:rPr>
          <w:b/>
          <w:bCs/>
        </w:rPr>
        <w:t>commercial areas</w:t>
      </w:r>
      <w:r w:rsidRPr="006C7B74">
        <w:t xml:space="preserve">: These include </w:t>
      </w:r>
      <w:r w:rsidR="001A5674" w:rsidRPr="006C7B74">
        <w:t>n</w:t>
      </w:r>
      <w:r w:rsidRPr="006C7B74">
        <w:t xml:space="preserve">eighbourhood </w:t>
      </w:r>
      <w:r w:rsidR="001A5674" w:rsidRPr="006C7B74">
        <w:t>a</w:t>
      </w:r>
      <w:r w:rsidRPr="006C7B74">
        <w:t xml:space="preserve">ctivity </w:t>
      </w:r>
      <w:r w:rsidR="001A5674" w:rsidRPr="006C7B74">
        <w:t>c</w:t>
      </w:r>
      <w:r w:rsidRPr="006C7B74">
        <w:t xml:space="preserve">entres and other small local centres that provide access to local goods, services and employment opportunities and serve the needs of the local </w:t>
      </w:r>
      <w:r w:rsidRPr="006C7B74">
        <w:lastRenderedPageBreak/>
        <w:t xml:space="preserve">and surrounding community. Planning for these areas should create opportunities for local businesses and new </w:t>
      </w:r>
      <w:r w:rsidR="00860470" w:rsidRPr="006C7B74">
        <w:t>jobs and</w:t>
      </w:r>
      <w:r w:rsidRPr="006C7B74">
        <w:t xml:space="preserve"> deliver better access to local services and facilities. </w:t>
      </w:r>
    </w:p>
    <w:p w14:paraId="0A42D5FE" w14:textId="77777777" w:rsidR="00892599" w:rsidRPr="006C7B74" w:rsidRDefault="00892599" w:rsidP="00EA717B">
      <w:pPr>
        <w:pStyle w:val="BodyText"/>
        <w:spacing w:before="0" w:line="240" w:lineRule="auto"/>
      </w:pPr>
      <w:r w:rsidRPr="006C7B74">
        <w:t xml:space="preserve">To support councils to plan for commercial areas a range of practice notes and guidance material is available. </w:t>
      </w:r>
    </w:p>
    <w:p w14:paraId="6F87E65F" w14:textId="77777777" w:rsidR="00892599" w:rsidRPr="006C7B74" w:rsidRDefault="00892599" w:rsidP="00892599">
      <w:pPr>
        <w:pStyle w:val="BodyText"/>
      </w:pPr>
    </w:p>
    <w:p w14:paraId="4B9DB7D5" w14:textId="126C3D87" w:rsidR="00892599" w:rsidRPr="006C7B74" w:rsidRDefault="00AF397F" w:rsidP="00BF6B16">
      <w:pPr>
        <w:pStyle w:val="Heading2-Contenttable"/>
      </w:pPr>
      <w:r w:rsidRPr="006C7B74">
        <w:t>Implementation</w:t>
      </w:r>
    </w:p>
    <w:p w14:paraId="735E56FF" w14:textId="355E3B8E" w:rsidR="00CE2EA0" w:rsidRPr="006C7B74" w:rsidRDefault="00830999" w:rsidP="00CE2EA0">
      <w:pPr>
        <w:pStyle w:val="BodyText"/>
        <w:spacing w:before="0" w:line="240" w:lineRule="auto"/>
      </w:pPr>
      <w:r>
        <w:t xml:space="preserve">In addition to the metropolitan </w:t>
      </w:r>
      <w:r w:rsidR="008806F5">
        <w:t>w</w:t>
      </w:r>
      <w:r>
        <w:t>ide framework to be put in place</w:t>
      </w:r>
      <w:r w:rsidR="00A93427">
        <w:t>, t</w:t>
      </w:r>
      <w:r w:rsidR="00CE2EA0" w:rsidRPr="006C7B74">
        <w:t>h</w:t>
      </w:r>
      <w:r w:rsidR="00382DC5">
        <w:t>is</w:t>
      </w:r>
      <w:r w:rsidR="00CE2EA0" w:rsidRPr="006C7B74">
        <w:t xml:space="preserve"> report also examines the six metropolitan regions across Melbourne and for each provides:</w:t>
      </w:r>
    </w:p>
    <w:p w14:paraId="053C7C56" w14:textId="77777777" w:rsidR="00CE2EA0" w:rsidRPr="006C7B74" w:rsidRDefault="00CE2EA0" w:rsidP="00CE2EA0">
      <w:pPr>
        <w:pStyle w:val="BodyText"/>
        <w:numPr>
          <w:ilvl w:val="0"/>
          <w:numId w:val="78"/>
        </w:numPr>
      </w:pPr>
      <w:r w:rsidRPr="006C7B74">
        <w:t>a snapshot of the region</w:t>
      </w:r>
    </w:p>
    <w:p w14:paraId="7C7AA0EB" w14:textId="77777777" w:rsidR="00CE2EA0" w:rsidRPr="006C7B74" w:rsidRDefault="00CE2EA0" w:rsidP="00CE2EA0">
      <w:pPr>
        <w:pStyle w:val="BodyText"/>
        <w:numPr>
          <w:ilvl w:val="0"/>
          <w:numId w:val="78"/>
        </w:numPr>
      </w:pPr>
      <w:r w:rsidRPr="006C7B74">
        <w:t>an overview of the key industrial and commercial precincts</w:t>
      </w:r>
    </w:p>
    <w:p w14:paraId="077C41A0" w14:textId="77777777" w:rsidR="00CE2EA0" w:rsidRPr="006C7B74" w:rsidRDefault="00CE2EA0" w:rsidP="00CE2EA0">
      <w:pPr>
        <w:pStyle w:val="BodyText"/>
        <w:numPr>
          <w:ilvl w:val="0"/>
          <w:numId w:val="78"/>
        </w:numPr>
      </w:pPr>
      <w:r w:rsidRPr="006C7B74">
        <w:t>an analysis of supply and demand for industrial land and commercial floorspace</w:t>
      </w:r>
    </w:p>
    <w:p w14:paraId="44EE3A1E" w14:textId="77777777" w:rsidR="00CE2EA0" w:rsidRPr="006C7B74" w:rsidRDefault="00CE2EA0" w:rsidP="00CE2EA0">
      <w:pPr>
        <w:pStyle w:val="BodyText"/>
        <w:numPr>
          <w:ilvl w:val="0"/>
          <w:numId w:val="78"/>
        </w:numPr>
      </w:pPr>
      <w:r w:rsidRPr="006C7B74">
        <w:t>a planning framework outlining specific planning approaches that should be pursued</w:t>
      </w:r>
    </w:p>
    <w:p w14:paraId="02386413" w14:textId="375E4B85" w:rsidR="00CE2EA0" w:rsidRPr="006C7B74" w:rsidRDefault="00CE2EA0" w:rsidP="00CE2EA0">
      <w:pPr>
        <w:pStyle w:val="BodyText"/>
        <w:numPr>
          <w:ilvl w:val="0"/>
          <w:numId w:val="78"/>
        </w:numPr>
      </w:pPr>
      <w:r w:rsidRPr="006C7B74">
        <w:t>map</w:t>
      </w:r>
      <w:r w:rsidR="0057485F">
        <w:t>s</w:t>
      </w:r>
      <w:r w:rsidRPr="006C7B74">
        <w:t xml:space="preserve"> for industrial and commercial land. </w:t>
      </w:r>
    </w:p>
    <w:p w14:paraId="48963117" w14:textId="77777777" w:rsidR="00346319" w:rsidRDefault="00346319" w:rsidP="00491F39">
      <w:pPr>
        <w:spacing w:after="120"/>
        <w:rPr>
          <w:rFonts w:cstheme="minorHAnsi"/>
          <w:sz w:val="20"/>
          <w:szCs w:val="20"/>
        </w:rPr>
      </w:pPr>
    </w:p>
    <w:p w14:paraId="32EF793F" w14:textId="37840DFA" w:rsidR="00491F39" w:rsidRPr="006C7B74" w:rsidRDefault="00491F39" w:rsidP="00491F39">
      <w:pPr>
        <w:spacing w:after="120"/>
        <w:rPr>
          <w:rFonts w:cstheme="minorHAnsi"/>
          <w:sz w:val="20"/>
          <w:szCs w:val="20"/>
        </w:rPr>
      </w:pPr>
      <w:r w:rsidRPr="006C7B74">
        <w:rPr>
          <w:rFonts w:cstheme="minorHAnsi"/>
          <w:sz w:val="20"/>
          <w:szCs w:val="20"/>
        </w:rPr>
        <w:t>To support planning for industrial and commercial land</w:t>
      </w:r>
      <w:r w:rsidR="009D2C31">
        <w:rPr>
          <w:rFonts w:cstheme="minorHAnsi"/>
          <w:sz w:val="20"/>
          <w:szCs w:val="20"/>
        </w:rPr>
        <w:t xml:space="preserve"> t</w:t>
      </w:r>
      <w:r w:rsidR="009D2C31" w:rsidRPr="006C7B74">
        <w:rPr>
          <w:rFonts w:cstheme="minorHAnsi"/>
          <w:sz w:val="20"/>
          <w:szCs w:val="20"/>
        </w:rPr>
        <w:t>he following actions will be undertaken</w:t>
      </w:r>
      <w:r w:rsidRPr="006C7B74">
        <w:rPr>
          <w:rFonts w:cstheme="minorHAnsi"/>
          <w:sz w:val="20"/>
          <w:szCs w:val="20"/>
        </w:rPr>
        <w:t xml:space="preserve">. </w:t>
      </w:r>
    </w:p>
    <w:p w14:paraId="2D4EB9A9" w14:textId="2841AA2A" w:rsidR="009B0B64" w:rsidRPr="006C7B74" w:rsidRDefault="009B0B64" w:rsidP="009B0B64">
      <w:pPr>
        <w:pStyle w:val="BodyText"/>
      </w:pPr>
      <w:r w:rsidRPr="006C7B74">
        <w:rPr>
          <w:b/>
          <w:bCs/>
        </w:rPr>
        <w:t>Action 1:</w:t>
      </w:r>
      <w:r w:rsidR="00FA18C5" w:rsidRPr="006C7B74">
        <w:rPr>
          <w:b/>
          <w:bCs/>
        </w:rPr>
        <w:t xml:space="preserve"> </w:t>
      </w:r>
      <w:r w:rsidRPr="006C7B74">
        <w:t xml:space="preserve">The Department of Environment, Land, Water and Planning (DELWP) will implement new and updated policy into the Victoria Planning Provisions to support state and </w:t>
      </w:r>
      <w:proofErr w:type="gramStart"/>
      <w:r w:rsidRPr="006C7B74">
        <w:t>regionally-significant</w:t>
      </w:r>
      <w:proofErr w:type="gramEnd"/>
      <w:r w:rsidRPr="006C7B74">
        <w:t xml:space="preserve"> industrial and commercial precincts based on the Melbourne Industrial and Commercial Land Use Plan.</w:t>
      </w:r>
    </w:p>
    <w:p w14:paraId="5A3D40E8" w14:textId="0A32B6D5" w:rsidR="009B0B64" w:rsidRPr="006C7B74" w:rsidRDefault="009B0B64" w:rsidP="009B0B64">
      <w:pPr>
        <w:pStyle w:val="BodyText"/>
      </w:pPr>
      <w:r w:rsidRPr="006C7B74">
        <w:rPr>
          <w:b/>
          <w:bCs/>
        </w:rPr>
        <w:t>Action 2:</w:t>
      </w:r>
      <w:r w:rsidR="00FA18C5" w:rsidRPr="006C7B74">
        <w:rPr>
          <w:b/>
          <w:bCs/>
        </w:rPr>
        <w:t xml:space="preserve"> </w:t>
      </w:r>
      <w:r w:rsidRPr="006C7B74">
        <w:t xml:space="preserve">In consultation with key stakeholders, DELWP will develop and implement a more sophisticated methodology and approach to assess future supply and demand for industrial land taking into account business needs and land use requirements. </w:t>
      </w:r>
    </w:p>
    <w:p w14:paraId="615C8396" w14:textId="129E15C3" w:rsidR="009B0B64" w:rsidRPr="006C7B74" w:rsidRDefault="009B0B64" w:rsidP="009B0B64">
      <w:pPr>
        <w:pStyle w:val="BodyText"/>
      </w:pPr>
      <w:r w:rsidRPr="006C7B74">
        <w:rPr>
          <w:b/>
          <w:bCs/>
        </w:rPr>
        <w:t>Action 3:</w:t>
      </w:r>
      <w:r w:rsidR="00FA18C5" w:rsidRPr="006C7B74">
        <w:rPr>
          <w:b/>
          <w:bCs/>
        </w:rPr>
        <w:t xml:space="preserve"> </w:t>
      </w:r>
      <w:r w:rsidRPr="006C7B74">
        <w:t>DELWP will expand the Urban Development Program to include updates to the commercial floorspace estimates into the future and will explore the appropriate timing and updating cycle for this work.</w:t>
      </w:r>
    </w:p>
    <w:p w14:paraId="3064F1B1" w14:textId="74A36B74" w:rsidR="009B0B64" w:rsidRPr="006C7B74" w:rsidRDefault="009B0B64" w:rsidP="009B0B64">
      <w:pPr>
        <w:pStyle w:val="BodyText"/>
      </w:pPr>
      <w:r w:rsidRPr="006C7B74">
        <w:rPr>
          <w:b/>
          <w:bCs/>
        </w:rPr>
        <w:t>Action 4:</w:t>
      </w:r>
      <w:r w:rsidR="00FA18C5" w:rsidRPr="006C7B74">
        <w:rPr>
          <w:b/>
          <w:bCs/>
        </w:rPr>
        <w:t xml:space="preserve"> </w:t>
      </w:r>
      <w:r w:rsidRPr="006C7B74">
        <w:t>DELWP will review the commercial and industrial zones to better understand how they are applied and operating. In particular consideration will be given to the role and function of dwellings as a section 1 use in the Commercial 1 Zone and the role and purpose of the Commercial 2 Zone and how it applies and operates, particularly in industrial locations. Consideration will also be given to the range of uses permitted within industrial zones, and in particular, non-industrial focussed uses.</w:t>
      </w:r>
    </w:p>
    <w:p w14:paraId="218135C6" w14:textId="17CEBDF2" w:rsidR="009B0B64" w:rsidRPr="006C7B74" w:rsidRDefault="009B0B64" w:rsidP="009B0B64">
      <w:pPr>
        <w:pStyle w:val="BodyText"/>
      </w:pPr>
      <w:r w:rsidRPr="006C7B74">
        <w:rPr>
          <w:b/>
          <w:bCs/>
        </w:rPr>
        <w:t>Action 5:</w:t>
      </w:r>
      <w:r w:rsidR="00FA18C5" w:rsidRPr="006C7B74">
        <w:rPr>
          <w:b/>
          <w:bCs/>
        </w:rPr>
        <w:t xml:space="preserve"> </w:t>
      </w:r>
      <w:r w:rsidRPr="006C7B74">
        <w:t>Councils should prepare and implement municipal-wide industrial land use strategies and activity centre strategies, or similar strategic work for precincts, to guide future development of industrial and commercial land.</w:t>
      </w:r>
    </w:p>
    <w:p w14:paraId="0475E1B2" w14:textId="272F76BB" w:rsidR="009B0B64" w:rsidRPr="006C7B74" w:rsidRDefault="009B0B64" w:rsidP="009B0B64">
      <w:pPr>
        <w:pStyle w:val="BodyText"/>
      </w:pPr>
      <w:r w:rsidRPr="006C7B74">
        <w:rPr>
          <w:b/>
          <w:bCs/>
        </w:rPr>
        <w:t>Action 6:</w:t>
      </w:r>
      <w:r w:rsidR="00FA18C5" w:rsidRPr="006C7B74">
        <w:rPr>
          <w:b/>
          <w:bCs/>
        </w:rPr>
        <w:t xml:space="preserve"> </w:t>
      </w:r>
      <w:r w:rsidRPr="006C7B74">
        <w:t>Building on the guidance included at Appendix 2, DELWP will work with local councils to develop a practice note to support the development of local industrial strategies.</w:t>
      </w:r>
    </w:p>
    <w:p w14:paraId="3522D895" w14:textId="37A65755" w:rsidR="009B0B64" w:rsidRPr="006C7B74" w:rsidRDefault="009B0B64" w:rsidP="009B0B64">
      <w:pPr>
        <w:pStyle w:val="BodyText"/>
      </w:pPr>
      <w:r w:rsidRPr="006C7B74">
        <w:rPr>
          <w:b/>
        </w:rPr>
        <w:t>Action 7:</w:t>
      </w:r>
      <w:r w:rsidR="00FA18C5" w:rsidRPr="006C7B74">
        <w:rPr>
          <w:b/>
        </w:rPr>
        <w:t xml:space="preserve"> </w:t>
      </w:r>
      <w:r w:rsidRPr="006C7B74">
        <w:t xml:space="preserve">The </w:t>
      </w:r>
      <w:r w:rsidR="00386701">
        <w:t>s</w:t>
      </w:r>
      <w:r w:rsidRPr="006C7B74">
        <w:t xml:space="preserve">tate </w:t>
      </w:r>
      <w:r w:rsidR="00386701">
        <w:t>g</w:t>
      </w:r>
      <w:r w:rsidRPr="006C7B74">
        <w:t>overnment will investigate options available to preserve and create affordable workspace in inner Melbourne and other strategic locations.</w:t>
      </w:r>
    </w:p>
    <w:p w14:paraId="4741C65F" w14:textId="262BCCEF" w:rsidR="009B0B64" w:rsidRPr="006C7B74" w:rsidRDefault="009B0B64" w:rsidP="009B0B64">
      <w:pPr>
        <w:pStyle w:val="BodyText"/>
      </w:pPr>
      <w:r w:rsidRPr="006C7B74">
        <w:rPr>
          <w:b/>
          <w:bCs/>
        </w:rPr>
        <w:t>Action 8:</w:t>
      </w:r>
      <w:r w:rsidR="00FA18C5" w:rsidRPr="006C7B74">
        <w:rPr>
          <w:b/>
          <w:bCs/>
        </w:rPr>
        <w:t xml:space="preserve"> </w:t>
      </w:r>
      <w:r w:rsidRPr="006C7B74">
        <w:t xml:space="preserve">The </w:t>
      </w:r>
      <w:r w:rsidR="00386701">
        <w:t>s</w:t>
      </w:r>
      <w:r w:rsidRPr="006C7B74">
        <w:t xml:space="preserve">tate </w:t>
      </w:r>
      <w:r w:rsidR="00386701">
        <w:t>g</w:t>
      </w:r>
      <w:r w:rsidRPr="006C7B74">
        <w:t>overnment will work with local councils to look at future opportunities for industry in the Brooklyn, Tottenham and West Footscray area, including improving connectivity. This will look at ways that state-significant industrial land could regenerate and support industry into the future.</w:t>
      </w:r>
    </w:p>
    <w:bookmarkEnd w:id="3"/>
    <w:p w14:paraId="5403E413" w14:textId="77777777" w:rsidR="00E65766" w:rsidRPr="006C7B74" w:rsidRDefault="00E65766" w:rsidP="00BF6B16">
      <w:pPr>
        <w:pStyle w:val="Heading2-Contenttable"/>
      </w:pPr>
      <w:r w:rsidRPr="006C7B74">
        <w:t>Engagement</w:t>
      </w:r>
    </w:p>
    <w:p w14:paraId="34518E16" w14:textId="77777777" w:rsidR="00E65766" w:rsidRDefault="00E65766" w:rsidP="00E65766">
      <w:pPr>
        <w:pStyle w:val="ListNumber3"/>
        <w:tabs>
          <w:tab w:val="clear" w:pos="1049"/>
        </w:tabs>
        <w:spacing w:before="60"/>
        <w:ind w:left="0" w:firstLine="0"/>
      </w:pPr>
      <w:r>
        <w:t xml:space="preserve">The draft </w:t>
      </w:r>
      <w:r w:rsidRPr="76F34C8F">
        <w:rPr>
          <w:i/>
          <w:iCs/>
        </w:rPr>
        <w:t>Melbourne Industrial and Commercial Land Use Plan</w:t>
      </w:r>
      <w:r>
        <w:t xml:space="preserve"> was made available for public comment and feedback on the Engage Victoria web page for a two-month period from 1 November 2019 to.31 December 2019. A total of 107 submission were received. A separate report – </w:t>
      </w:r>
      <w:r w:rsidRPr="76F34C8F">
        <w:rPr>
          <w:i/>
          <w:iCs/>
        </w:rPr>
        <w:t>Melbourne Industrial and Commercial Land Use Plan Summary of Submissions</w:t>
      </w:r>
      <w:r>
        <w:t xml:space="preserve"> – summarises what was heard through the engagement process.</w:t>
      </w:r>
    </w:p>
    <w:p w14:paraId="37C4AC06" w14:textId="089038A7" w:rsidR="00E65766" w:rsidRPr="006C7B74" w:rsidRDefault="00EB5634" w:rsidP="00BF6B16">
      <w:pPr>
        <w:pStyle w:val="ListNumber3"/>
        <w:tabs>
          <w:tab w:val="clear" w:pos="1049"/>
        </w:tabs>
        <w:spacing w:before="60"/>
        <w:ind w:left="0" w:firstLine="0"/>
      </w:pPr>
      <w:r>
        <w:t>This report has been updated to take account</w:t>
      </w:r>
      <w:r w:rsidR="0060566E">
        <w:t xml:space="preserve"> of the feedback provided through the engagement period.</w:t>
      </w:r>
    </w:p>
    <w:p w14:paraId="2F096BD0" w14:textId="77777777" w:rsidR="006A2031" w:rsidRPr="006C7B74" w:rsidRDefault="006A2031" w:rsidP="00BF6B16">
      <w:pPr>
        <w:pStyle w:val="Heading1"/>
        <w:spacing w:before="0"/>
        <w:sectPr w:rsidR="006A2031" w:rsidRPr="006C7B74" w:rsidSect="00A70919">
          <w:pgSz w:w="11900" w:h="16840"/>
          <w:pgMar w:top="1440" w:right="1440" w:bottom="1440" w:left="1440" w:header="454" w:footer="624" w:gutter="0"/>
          <w:pgNumType w:fmt="lowerRoman"/>
          <w:cols w:space="708"/>
          <w:docGrid w:linePitch="360"/>
        </w:sectPr>
      </w:pPr>
    </w:p>
    <w:p w14:paraId="521303AB" w14:textId="77BBE94B" w:rsidR="00EA5F8E" w:rsidRPr="00BF6B16" w:rsidRDefault="00EA5F8E" w:rsidP="00BF6B16">
      <w:pPr>
        <w:pStyle w:val="Heading1"/>
      </w:pPr>
      <w:bookmarkStart w:id="5" w:name="_Toc21694792"/>
      <w:r w:rsidRPr="00BF6B16">
        <w:lastRenderedPageBreak/>
        <w:t>Introduction</w:t>
      </w:r>
      <w:bookmarkEnd w:id="5"/>
    </w:p>
    <w:p w14:paraId="1942F47B" w14:textId="273C465E" w:rsidR="004A1BBC" w:rsidRPr="006C7B74" w:rsidRDefault="006C2407" w:rsidP="00D23280">
      <w:pPr>
        <w:spacing w:after="120"/>
        <w:rPr>
          <w:rFonts w:cstheme="minorHAnsi"/>
          <w:sz w:val="20"/>
          <w:szCs w:val="20"/>
        </w:rPr>
      </w:pPr>
      <w:r w:rsidRPr="006C7B74">
        <w:rPr>
          <w:rFonts w:cstheme="minorHAnsi"/>
          <w:sz w:val="20"/>
          <w:szCs w:val="20"/>
        </w:rPr>
        <w:t>Victoria’s competitive advantage in attracting economic investment</w:t>
      </w:r>
      <w:r w:rsidR="002751D3" w:rsidRPr="006C7B74">
        <w:rPr>
          <w:rFonts w:cstheme="minorHAnsi"/>
          <w:sz w:val="20"/>
          <w:szCs w:val="20"/>
        </w:rPr>
        <w:t xml:space="preserve"> and employment relies in part on there being sufficient industrial and commercial land supply across metropolitan Melbourne to meet future demand.</w:t>
      </w:r>
    </w:p>
    <w:p w14:paraId="16105A2C" w14:textId="611A6D08" w:rsidR="00F91D2A" w:rsidRPr="006C7B74" w:rsidRDefault="00F91D2A" w:rsidP="00934C4D">
      <w:pPr>
        <w:pStyle w:val="BodyText"/>
        <w:spacing w:before="0" w:line="240" w:lineRule="auto"/>
      </w:pPr>
      <w:r w:rsidRPr="006C7B74">
        <w:t xml:space="preserve">The global and Melbourne economies have been transformed over the past two decades by influences including globalisation, reduced trade barriers and the technological revolution incorporating the increased use of automation and artificial intelligence. </w:t>
      </w:r>
      <w:r w:rsidR="008E4C4D" w:rsidRPr="006C7B74">
        <w:t>While</w:t>
      </w:r>
      <w:r w:rsidR="007B22A0" w:rsidRPr="006C7B74">
        <w:t xml:space="preserve"> Melbourne still</w:t>
      </w:r>
      <w:r w:rsidR="003C7D47" w:rsidRPr="006C7B74">
        <w:t xml:space="preserve"> </w:t>
      </w:r>
      <w:r w:rsidR="0034045A" w:rsidRPr="006C7B74">
        <w:t>maintai</w:t>
      </w:r>
      <w:r w:rsidR="00A753E2" w:rsidRPr="006C7B74">
        <w:t>n</w:t>
      </w:r>
      <w:r w:rsidR="007B22A0" w:rsidRPr="006C7B74">
        <w:t>s</w:t>
      </w:r>
      <w:r w:rsidR="001C0A75" w:rsidRPr="006C7B74">
        <w:t xml:space="preserve"> </w:t>
      </w:r>
      <w:r w:rsidR="00AF73F9" w:rsidRPr="006C7B74">
        <w:t xml:space="preserve">a significant industry sector, </w:t>
      </w:r>
      <w:r w:rsidR="007B22A0" w:rsidRPr="006C7B74">
        <w:t xml:space="preserve">the </w:t>
      </w:r>
      <w:r w:rsidRPr="006C7B74">
        <w:t>economy has experienced a broad decline in the relative importance of large-scale manufacturing</w:t>
      </w:r>
      <w:r w:rsidR="00AF73F9" w:rsidRPr="006C7B74">
        <w:t>. There has been</w:t>
      </w:r>
      <w:r w:rsidRPr="006C7B74">
        <w:t xml:space="preserve"> strong growth</w:t>
      </w:r>
      <w:r w:rsidR="002613F0" w:rsidRPr="006C7B74">
        <w:t xml:space="preserve"> however</w:t>
      </w:r>
      <w:r w:rsidRPr="006C7B74">
        <w:t xml:space="preserve"> in knowledge </w:t>
      </w:r>
      <w:r w:rsidR="00AF73F9" w:rsidRPr="006C7B74">
        <w:t xml:space="preserve">and service-based </w:t>
      </w:r>
      <w:r w:rsidR="00F549DE" w:rsidRPr="006C7B74">
        <w:t>industries</w:t>
      </w:r>
      <w:r w:rsidRPr="006C7B74">
        <w:t xml:space="preserve"> </w:t>
      </w:r>
      <w:r w:rsidR="00AF73F9" w:rsidRPr="006C7B74">
        <w:t>and sectors such as construction</w:t>
      </w:r>
      <w:r w:rsidR="005531D6" w:rsidRPr="006C7B74">
        <w:t>,</w:t>
      </w:r>
      <w:r w:rsidR="00AF73F9" w:rsidRPr="006C7B74">
        <w:t xml:space="preserve"> freight and logistics are increasing in importance to serve our growing population</w:t>
      </w:r>
      <w:r w:rsidRPr="006C7B74">
        <w:t xml:space="preserve">. </w:t>
      </w:r>
    </w:p>
    <w:p w14:paraId="7023A5D0" w14:textId="13432809" w:rsidR="004615DA" w:rsidRPr="006C7B74" w:rsidRDefault="00DB14F3" w:rsidP="000C6BC9">
      <w:pPr>
        <w:pStyle w:val="BodyText"/>
        <w:spacing w:before="0" w:line="240" w:lineRule="auto"/>
      </w:pPr>
      <w:r w:rsidRPr="006C7B74">
        <w:t>Ensuring there is sufficient</w:t>
      </w:r>
      <w:r w:rsidR="00E40554" w:rsidRPr="006C7B74">
        <w:t xml:space="preserve"> </w:t>
      </w:r>
      <w:r w:rsidRPr="006C7B74">
        <w:t>land</w:t>
      </w:r>
      <w:r w:rsidR="00E40554" w:rsidRPr="006C7B74">
        <w:t xml:space="preserve"> </w:t>
      </w:r>
      <w:r w:rsidRPr="006C7B74">
        <w:t xml:space="preserve">to meet future demand for </w:t>
      </w:r>
      <w:r w:rsidR="00FB775E" w:rsidRPr="006C7B74">
        <w:t xml:space="preserve">a range of </w:t>
      </w:r>
      <w:r w:rsidR="00E91CF1" w:rsidRPr="006C7B74">
        <w:t>existing</w:t>
      </w:r>
      <w:r w:rsidR="00103A85" w:rsidRPr="006C7B74">
        <w:t xml:space="preserve"> and emerging </w:t>
      </w:r>
      <w:r w:rsidR="004C67C8" w:rsidRPr="006C7B74">
        <w:t xml:space="preserve">business and </w:t>
      </w:r>
      <w:r w:rsidRPr="006C7B74">
        <w:t>employment purposes</w:t>
      </w:r>
      <w:r w:rsidR="00E40554" w:rsidRPr="006C7B74">
        <w:t xml:space="preserve"> </w:t>
      </w:r>
      <w:r w:rsidR="00422F95" w:rsidRPr="006C7B74">
        <w:t xml:space="preserve">will set </w:t>
      </w:r>
      <w:r w:rsidR="000137B7" w:rsidRPr="006C7B74">
        <w:t>favourable economic conditions</w:t>
      </w:r>
      <w:r w:rsidRPr="006C7B74">
        <w:t xml:space="preserve"> </w:t>
      </w:r>
      <w:r w:rsidR="00422F95" w:rsidRPr="006C7B74">
        <w:t xml:space="preserve">and </w:t>
      </w:r>
      <w:r w:rsidRPr="006C7B74">
        <w:t>help support Victoria’s competitive advantage in attracting economic investment</w:t>
      </w:r>
      <w:r w:rsidR="00970561" w:rsidRPr="006C7B74">
        <w:t>.</w:t>
      </w:r>
      <w:r w:rsidR="00D55130" w:rsidRPr="006C7B74">
        <w:t xml:space="preserve"> </w:t>
      </w:r>
    </w:p>
    <w:p w14:paraId="48A9DA70" w14:textId="77777777" w:rsidR="004615DA" w:rsidRPr="006C7B74" w:rsidRDefault="004615DA" w:rsidP="000C6BC9">
      <w:pPr>
        <w:pStyle w:val="BodyText"/>
        <w:spacing w:before="0" w:line="240" w:lineRule="auto"/>
      </w:pPr>
    </w:p>
    <w:p w14:paraId="046E3AF7" w14:textId="2CB8A86B" w:rsidR="00FD0108" w:rsidRPr="006C7B74" w:rsidRDefault="00FD0108" w:rsidP="00BF6B16">
      <w:pPr>
        <w:pStyle w:val="Heading2-Contenttable"/>
      </w:pPr>
      <w:r w:rsidRPr="006C7B74">
        <w:t>Purpose of this report</w:t>
      </w:r>
    </w:p>
    <w:p w14:paraId="641B0C7D" w14:textId="6F398532" w:rsidR="005E0F01" w:rsidRPr="006C7B74" w:rsidRDefault="00C71E1B" w:rsidP="00934C4D">
      <w:pPr>
        <w:pStyle w:val="BodyText"/>
        <w:spacing w:before="0" w:line="240" w:lineRule="auto"/>
      </w:pPr>
      <w:r w:rsidRPr="006C7B74">
        <w:t>The</w:t>
      </w:r>
      <w:r w:rsidR="00557985" w:rsidRPr="006C7B74">
        <w:t xml:space="preserve"> </w:t>
      </w:r>
      <w:r w:rsidR="005E0F01" w:rsidRPr="006C7B74">
        <w:rPr>
          <w:i/>
        </w:rPr>
        <w:t xml:space="preserve">Melbourne Industrial and Commercial Land Use </w:t>
      </w:r>
      <w:r w:rsidR="003E56F9" w:rsidRPr="006C7B74">
        <w:rPr>
          <w:i/>
        </w:rPr>
        <w:t>Plan</w:t>
      </w:r>
      <w:r w:rsidR="005E0F01" w:rsidRPr="006C7B74">
        <w:t xml:space="preserve"> build</w:t>
      </w:r>
      <w:r w:rsidR="00401353" w:rsidRPr="006C7B74">
        <w:t>s</w:t>
      </w:r>
      <w:r w:rsidR="005E0F01" w:rsidRPr="006C7B74">
        <w:t xml:space="preserve"> on the relevant </w:t>
      </w:r>
      <w:r w:rsidR="00B22CC6" w:rsidRPr="006C7B74">
        <w:t xml:space="preserve">policies and </w:t>
      </w:r>
      <w:r w:rsidR="005E0F01" w:rsidRPr="006C7B74">
        <w:t xml:space="preserve">actions of </w:t>
      </w:r>
      <w:r w:rsidR="00B22CC6" w:rsidRPr="006C7B74">
        <w:rPr>
          <w:i/>
          <w:iCs/>
        </w:rPr>
        <w:t>Plan Melbourne 2017-2050</w:t>
      </w:r>
      <w:r w:rsidR="00B22CC6" w:rsidRPr="006C7B74">
        <w:t xml:space="preserve"> (Plan Melbourne) and the associated </w:t>
      </w:r>
      <w:r w:rsidR="00B22CC6" w:rsidRPr="006C7B74">
        <w:rPr>
          <w:i/>
          <w:iCs/>
        </w:rPr>
        <w:t>Plan Melbourne 2017-2050 Five-Year Implementation Plan</w:t>
      </w:r>
      <w:r w:rsidR="00B22CC6" w:rsidRPr="006C7B74">
        <w:t xml:space="preserve"> (Plan Melbourne Implementation Plan). It provides an overview of current and future needs for industrial and commercial land across metropolitan Melbourne and put</w:t>
      </w:r>
      <w:r w:rsidR="00E2789A" w:rsidRPr="006C7B74">
        <w:t>s</w:t>
      </w:r>
      <w:r w:rsidR="00B22CC6" w:rsidRPr="006C7B74">
        <w:t xml:space="preserve"> in place </w:t>
      </w:r>
      <w:r w:rsidR="005E0F01" w:rsidRPr="006C7B74">
        <w:t xml:space="preserve">a </w:t>
      </w:r>
      <w:r w:rsidR="0040354D" w:rsidRPr="006C7B74">
        <w:t xml:space="preserve">planning </w:t>
      </w:r>
      <w:r w:rsidR="005E0F01" w:rsidRPr="006C7B74">
        <w:t xml:space="preserve">framework that </w:t>
      </w:r>
      <w:r w:rsidR="00B22CC6" w:rsidRPr="006C7B74">
        <w:t xml:space="preserve">will enable state and local government to </w:t>
      </w:r>
      <w:r w:rsidR="005E0F01" w:rsidRPr="006C7B74">
        <w:t>more effectively plan for future employment and industry needs, and better inform strategic directions.</w:t>
      </w:r>
    </w:p>
    <w:p w14:paraId="387FA27A" w14:textId="7F4E00EA" w:rsidR="00691645" w:rsidRPr="006C7B74" w:rsidRDefault="00F30F2B" w:rsidP="00934C4D">
      <w:pPr>
        <w:pStyle w:val="BodyText"/>
        <w:spacing w:before="0" w:line="240" w:lineRule="auto"/>
      </w:pPr>
      <w:r w:rsidRPr="006C7B74">
        <w:t xml:space="preserve">To assist in providing an </w:t>
      </w:r>
      <w:r w:rsidR="00EB0D5A" w:rsidRPr="006C7B74">
        <w:t xml:space="preserve">improved </w:t>
      </w:r>
      <w:r w:rsidRPr="006C7B74">
        <w:t>approach</w:t>
      </w:r>
      <w:r w:rsidR="00EB0D5A" w:rsidRPr="006C7B74">
        <w:t xml:space="preserve"> for the planning of industrial and commercial land</w:t>
      </w:r>
      <w:r w:rsidRPr="006C7B74">
        <w:t xml:space="preserve">, </w:t>
      </w:r>
      <w:r w:rsidR="00691645" w:rsidRPr="006C7B74">
        <w:t xml:space="preserve">the </w:t>
      </w:r>
      <w:r w:rsidRPr="006C7B74">
        <w:t xml:space="preserve">objectives of the </w:t>
      </w:r>
      <w:r w:rsidR="00164697" w:rsidRPr="006C7B74">
        <w:rPr>
          <w:i/>
        </w:rPr>
        <w:t>Melbourne Industrial and Commercial Land Use Plan</w:t>
      </w:r>
      <w:r w:rsidR="00164697" w:rsidRPr="006C7B74">
        <w:t xml:space="preserve"> </w:t>
      </w:r>
      <w:r w:rsidR="00C71E1B" w:rsidRPr="006C7B74">
        <w:t>are</w:t>
      </w:r>
      <w:r w:rsidR="00691645" w:rsidRPr="006C7B74">
        <w:t xml:space="preserve"> to:</w:t>
      </w:r>
    </w:p>
    <w:p w14:paraId="13890035" w14:textId="77777777" w:rsidR="00691645" w:rsidRPr="006C7B74" w:rsidRDefault="001417DA" w:rsidP="00934C4D">
      <w:pPr>
        <w:pStyle w:val="BodyText"/>
        <w:numPr>
          <w:ilvl w:val="0"/>
          <w:numId w:val="3"/>
        </w:numPr>
        <w:spacing w:before="0" w:line="240" w:lineRule="auto"/>
      </w:pPr>
      <w:r w:rsidRPr="006C7B74">
        <w:t>D</w:t>
      </w:r>
      <w:r w:rsidR="00691645" w:rsidRPr="006C7B74">
        <w:t>evelop an understanding of the demand for</w:t>
      </w:r>
      <w:r w:rsidR="005E0F01" w:rsidRPr="006C7B74">
        <w:t>,</w:t>
      </w:r>
      <w:r w:rsidR="00691645" w:rsidRPr="006C7B74">
        <w:t xml:space="preserve"> and take-up</w:t>
      </w:r>
      <w:r w:rsidR="005E0F01" w:rsidRPr="006C7B74">
        <w:t>,</w:t>
      </w:r>
      <w:r w:rsidR="00691645" w:rsidRPr="006C7B74">
        <w:t xml:space="preserve"> of industrial and commercial land across metropolitan Melbourne</w:t>
      </w:r>
      <w:r w:rsidRPr="006C7B74">
        <w:t>.</w:t>
      </w:r>
    </w:p>
    <w:p w14:paraId="09D9BB96" w14:textId="120A168C" w:rsidR="00691645" w:rsidRPr="006C7B74" w:rsidRDefault="001417DA" w:rsidP="00934C4D">
      <w:pPr>
        <w:pStyle w:val="BodyText"/>
        <w:numPr>
          <w:ilvl w:val="0"/>
          <w:numId w:val="3"/>
        </w:numPr>
        <w:spacing w:before="0" w:line="240" w:lineRule="auto"/>
      </w:pPr>
      <w:r w:rsidRPr="006C7B74">
        <w:t>A</w:t>
      </w:r>
      <w:r w:rsidR="00691645" w:rsidRPr="006C7B74">
        <w:t>ssess whether there is adequate supply and opportunity</w:t>
      </w:r>
      <w:r w:rsidR="004A408A" w:rsidRPr="006C7B74">
        <w:t>,</w:t>
      </w:r>
      <w:r w:rsidR="00691645" w:rsidRPr="006C7B74">
        <w:t xml:space="preserve"> both existing and </w:t>
      </w:r>
      <w:r w:rsidR="004A408A" w:rsidRPr="006C7B74">
        <w:t xml:space="preserve">in the </w:t>
      </w:r>
      <w:r w:rsidR="00691645" w:rsidRPr="006C7B74">
        <w:t>future</w:t>
      </w:r>
      <w:r w:rsidR="004A408A" w:rsidRPr="006C7B74">
        <w:t>,</w:t>
      </w:r>
      <w:r w:rsidR="00691645" w:rsidRPr="006C7B74">
        <w:t xml:space="preserve"> in the right locations to support the city’s economic growth</w:t>
      </w:r>
      <w:r w:rsidRPr="006C7B74">
        <w:t>.</w:t>
      </w:r>
    </w:p>
    <w:p w14:paraId="00FE242A" w14:textId="3C81C2AB" w:rsidR="00691645" w:rsidRPr="006C7B74" w:rsidRDefault="001417DA" w:rsidP="00934C4D">
      <w:pPr>
        <w:pStyle w:val="BodyText"/>
        <w:numPr>
          <w:ilvl w:val="0"/>
          <w:numId w:val="3"/>
        </w:numPr>
        <w:spacing w:before="0" w:line="240" w:lineRule="auto"/>
      </w:pPr>
      <w:r w:rsidRPr="006C7B74">
        <w:t>I</w:t>
      </w:r>
      <w:r w:rsidR="00691645" w:rsidRPr="006C7B74">
        <w:t>dentify ways in which industrial and commercial land should be planned for and protected</w:t>
      </w:r>
      <w:r w:rsidR="009C1998" w:rsidRPr="006C7B74">
        <w:t xml:space="preserve"> </w:t>
      </w:r>
      <w:r w:rsidR="00691645" w:rsidRPr="006C7B74">
        <w:t>for employment purposes</w:t>
      </w:r>
      <w:r w:rsidR="005531D6" w:rsidRPr="006C7B74">
        <w:t>,</w:t>
      </w:r>
      <w:r w:rsidR="007304C4" w:rsidRPr="006C7B74">
        <w:t xml:space="preserve"> to ensure an appropriate supply of industrial and </w:t>
      </w:r>
      <w:r w:rsidR="005E5A05" w:rsidRPr="006C7B74">
        <w:t>commercial land to serve the needs of metropolitan Melbourne</w:t>
      </w:r>
      <w:r w:rsidRPr="006C7B74">
        <w:t>.</w:t>
      </w:r>
    </w:p>
    <w:p w14:paraId="30BE1B5A" w14:textId="77777777" w:rsidR="00691645" w:rsidRPr="006C7B74" w:rsidRDefault="001417DA" w:rsidP="00934C4D">
      <w:pPr>
        <w:pStyle w:val="BodyText"/>
        <w:numPr>
          <w:ilvl w:val="0"/>
          <w:numId w:val="3"/>
        </w:numPr>
        <w:spacing w:before="0" w:line="240" w:lineRule="auto"/>
      </w:pPr>
      <w:r w:rsidRPr="006C7B74">
        <w:t>I</w:t>
      </w:r>
      <w:r w:rsidR="00691645" w:rsidRPr="006C7B74">
        <w:t xml:space="preserve">dentify where there are opportunities for new industries </w:t>
      </w:r>
      <w:r w:rsidR="005E5A05" w:rsidRPr="006C7B74">
        <w:t xml:space="preserve">and commerce </w:t>
      </w:r>
      <w:r w:rsidRPr="006C7B74">
        <w:t>to emerge and grow.</w:t>
      </w:r>
    </w:p>
    <w:p w14:paraId="082C191A" w14:textId="047F65E0" w:rsidR="00691645" w:rsidRPr="006C7B74" w:rsidRDefault="001417DA" w:rsidP="00934C4D">
      <w:pPr>
        <w:pStyle w:val="BodyText"/>
        <w:numPr>
          <w:ilvl w:val="0"/>
          <w:numId w:val="3"/>
        </w:numPr>
        <w:spacing w:before="0" w:line="240" w:lineRule="auto"/>
      </w:pPr>
      <w:r w:rsidRPr="006C7B74">
        <w:t>B</w:t>
      </w:r>
      <w:r w:rsidR="00691645" w:rsidRPr="006C7B74">
        <w:t xml:space="preserve">etter understand </w:t>
      </w:r>
      <w:r w:rsidR="005531D6" w:rsidRPr="006C7B74">
        <w:t xml:space="preserve">the </w:t>
      </w:r>
      <w:r w:rsidR="00691645" w:rsidRPr="006C7B74">
        <w:t>circumstances</w:t>
      </w:r>
      <w:r w:rsidR="005531D6" w:rsidRPr="006C7B74">
        <w:t xml:space="preserve"> in which</w:t>
      </w:r>
      <w:r w:rsidR="00691645" w:rsidRPr="006C7B74">
        <w:t xml:space="preserve"> industrial or commercial land could be considered for alternate uses, such as </w:t>
      </w:r>
      <w:r w:rsidR="00A06647" w:rsidRPr="006C7B74">
        <w:t>mixed</w:t>
      </w:r>
      <w:r w:rsidR="00834346" w:rsidRPr="006C7B74">
        <w:t>-</w:t>
      </w:r>
      <w:r w:rsidR="00A06647" w:rsidRPr="006C7B74">
        <w:t>use</w:t>
      </w:r>
      <w:r w:rsidR="00691645" w:rsidRPr="006C7B74">
        <w:t xml:space="preserve"> or residential</w:t>
      </w:r>
      <w:r w:rsidR="0040354D" w:rsidRPr="006C7B74">
        <w:t>,</w:t>
      </w:r>
      <w:r w:rsidR="009E03BD" w:rsidRPr="006C7B74">
        <w:t xml:space="preserve"> based on applying strategic principles and criteria</w:t>
      </w:r>
      <w:r w:rsidR="007470B4" w:rsidRPr="006C7B74">
        <w:t xml:space="preserve"> and a clear planning framework</w:t>
      </w:r>
      <w:r w:rsidR="00691645" w:rsidRPr="006C7B74">
        <w:t>.</w:t>
      </w:r>
    </w:p>
    <w:p w14:paraId="1ECBAB6A" w14:textId="29867726" w:rsidR="00D92C57" w:rsidRPr="006C7B74" w:rsidRDefault="00D92C57" w:rsidP="00934C4D">
      <w:pPr>
        <w:pStyle w:val="BodyText"/>
        <w:spacing w:before="0" w:line="240" w:lineRule="auto"/>
      </w:pPr>
      <w:r w:rsidRPr="006C7B74">
        <w:t xml:space="preserve">This </w:t>
      </w:r>
      <w:r w:rsidR="003E56F9" w:rsidRPr="006C7B74">
        <w:t>plan</w:t>
      </w:r>
      <w:r w:rsidRPr="006C7B74">
        <w:t xml:space="preserve"> will play an important role </w:t>
      </w:r>
      <w:r w:rsidR="00730749" w:rsidRPr="006C7B74">
        <w:t>in supporting</w:t>
      </w:r>
      <w:r w:rsidRPr="006C7B74">
        <w:t xml:space="preserve"> Melbourne’s industrial and commercial areas </w:t>
      </w:r>
      <w:r w:rsidR="00730749" w:rsidRPr="006C7B74">
        <w:t>to</w:t>
      </w:r>
      <w:r w:rsidRPr="006C7B74">
        <w:t xml:space="preserve"> thrive and </w:t>
      </w:r>
      <w:r w:rsidR="00AD5895" w:rsidRPr="006C7B74">
        <w:t xml:space="preserve">will </w:t>
      </w:r>
      <w:r w:rsidRPr="006C7B74">
        <w:t>help</w:t>
      </w:r>
      <w:r w:rsidR="00AD5895" w:rsidRPr="006C7B74">
        <w:t xml:space="preserve"> to</w:t>
      </w:r>
      <w:r w:rsidRPr="006C7B74">
        <w:t xml:space="preserve"> facilitate a more diverse industrial and commercial base</w:t>
      </w:r>
      <w:r w:rsidR="00B83D22" w:rsidRPr="006C7B74">
        <w:t>,</w:t>
      </w:r>
      <w:r w:rsidR="009E2D58" w:rsidRPr="006C7B74">
        <w:t xml:space="preserve"> while also</w:t>
      </w:r>
      <w:r w:rsidRPr="006C7B74">
        <w:t xml:space="preserve"> provid</w:t>
      </w:r>
      <w:r w:rsidR="00D81B50" w:rsidRPr="006C7B74">
        <w:t>ing</w:t>
      </w:r>
      <w:r w:rsidRPr="006C7B74">
        <w:t xml:space="preserve"> long</w:t>
      </w:r>
      <w:r w:rsidR="00B23C83" w:rsidRPr="006C7B74">
        <w:t>-</w:t>
      </w:r>
      <w:r w:rsidRPr="006C7B74">
        <w:t xml:space="preserve">term </w:t>
      </w:r>
      <w:r w:rsidR="2913E2E9" w:rsidRPr="006C7B74">
        <w:t xml:space="preserve">business and </w:t>
      </w:r>
      <w:r w:rsidRPr="006C7B74">
        <w:t xml:space="preserve">employment opportunities. It encourages and </w:t>
      </w:r>
      <w:r w:rsidR="008D6533" w:rsidRPr="006C7B74">
        <w:t>promot</w:t>
      </w:r>
      <w:r w:rsidRPr="006C7B74">
        <w:t>es investment and renewal by establishing a planning framework, principles</w:t>
      </w:r>
      <w:r w:rsidR="009E03BD" w:rsidRPr="006C7B74">
        <w:t xml:space="preserve"> </w:t>
      </w:r>
      <w:r w:rsidR="00D81B50" w:rsidRPr="006C7B74">
        <w:t>and criteria</w:t>
      </w:r>
      <w:r w:rsidRPr="006C7B74">
        <w:t xml:space="preserve"> </w:t>
      </w:r>
      <w:r w:rsidR="00D81B50" w:rsidRPr="006C7B74">
        <w:t>to be applied</w:t>
      </w:r>
      <w:r w:rsidRPr="006C7B74">
        <w:t xml:space="preserve"> by planning authorities</w:t>
      </w:r>
      <w:r w:rsidR="008D6533" w:rsidRPr="006C7B74">
        <w:t xml:space="preserve"> in regions across</w:t>
      </w:r>
      <w:r w:rsidR="00A11129" w:rsidRPr="006C7B74">
        <w:t xml:space="preserve"> metropolitan Melbourne</w:t>
      </w:r>
      <w:r w:rsidRPr="006C7B74">
        <w:t>.</w:t>
      </w:r>
    </w:p>
    <w:p w14:paraId="7D228475" w14:textId="77777777" w:rsidR="00616B68" w:rsidRDefault="00616B68">
      <w:pPr>
        <w:rPr>
          <w:rFonts w:cstheme="minorHAnsi"/>
          <w:b/>
          <w:sz w:val="20"/>
          <w:szCs w:val="18"/>
        </w:rPr>
      </w:pPr>
      <w:r>
        <w:rPr>
          <w:b/>
          <w:szCs w:val="18"/>
        </w:rPr>
        <w:br w:type="page"/>
      </w:r>
    </w:p>
    <w:p w14:paraId="5F181334" w14:textId="77777777" w:rsidR="0052312F" w:rsidRPr="006C7B74" w:rsidRDefault="0052312F" w:rsidP="00BF6B16">
      <w:pPr>
        <w:pStyle w:val="Heading3"/>
      </w:pPr>
      <w:r w:rsidRPr="006C7B74">
        <w:lastRenderedPageBreak/>
        <w:t>Implementing Plan Melbourne</w:t>
      </w:r>
    </w:p>
    <w:p w14:paraId="39A5886F" w14:textId="77777777" w:rsidR="0052312F" w:rsidRPr="006C7B74" w:rsidRDefault="0052312F" w:rsidP="0052312F">
      <w:pPr>
        <w:pStyle w:val="BodyText"/>
      </w:pPr>
      <w:r w:rsidRPr="006C7B74">
        <w:t xml:space="preserve">The Plan Melbourne Implementation Plan contains two key actions relating to planning for industrial and commercial land and future employment needs across metropolitan Melbourne. </w:t>
      </w:r>
    </w:p>
    <w:p w14:paraId="1E6FDC4C" w14:textId="77777777" w:rsidR="0052312F" w:rsidRPr="006C7B74" w:rsidRDefault="0052312F" w:rsidP="0052312F">
      <w:pPr>
        <w:pStyle w:val="BodyText"/>
        <w:rPr>
          <w:b/>
          <w:i/>
        </w:rPr>
      </w:pPr>
      <w:r w:rsidRPr="006C7B74">
        <w:rPr>
          <w:b/>
          <w:i/>
        </w:rPr>
        <w:t>Action 8 Significant industrial precincts</w:t>
      </w:r>
    </w:p>
    <w:p w14:paraId="44631E82" w14:textId="77777777" w:rsidR="0052312F" w:rsidRPr="006C7B74" w:rsidRDefault="0052312F" w:rsidP="0052312F">
      <w:pPr>
        <w:pStyle w:val="BodyText"/>
      </w:pPr>
      <w:r w:rsidRPr="006C7B74">
        <w:t xml:space="preserve">Work with local government to strengthen </w:t>
      </w:r>
      <w:proofErr w:type="gramStart"/>
      <w:r w:rsidRPr="006C7B74">
        <w:t>regionally-significant</w:t>
      </w:r>
      <w:proofErr w:type="gramEnd"/>
      <w:r w:rsidRPr="006C7B74">
        <w:t xml:space="preserve"> industrial precincts in established urban areas for employment-generating activities by:</w:t>
      </w:r>
    </w:p>
    <w:p w14:paraId="29964555" w14:textId="77777777" w:rsidR="0052312F" w:rsidRPr="006C7B74" w:rsidRDefault="0052312F" w:rsidP="0052312F">
      <w:pPr>
        <w:pStyle w:val="BodyText"/>
        <w:numPr>
          <w:ilvl w:val="0"/>
          <w:numId w:val="5"/>
        </w:numPr>
      </w:pPr>
      <w:r w:rsidRPr="006C7B74">
        <w:t>Ensuring that sufficient land is zoned for employment purposes and that sensitive land uses such as housing are not permitted to be established in them.</w:t>
      </w:r>
    </w:p>
    <w:p w14:paraId="04EE9B22" w14:textId="77777777" w:rsidR="0052312F" w:rsidRPr="006C7B74" w:rsidRDefault="0052312F" w:rsidP="0052312F">
      <w:pPr>
        <w:pStyle w:val="BodyText"/>
        <w:numPr>
          <w:ilvl w:val="0"/>
          <w:numId w:val="5"/>
        </w:numPr>
      </w:pPr>
      <w:r w:rsidRPr="006C7B74">
        <w:t>Retaining larger industrial precincts for local manufacturing, service industries, warehousing and distribution.</w:t>
      </w:r>
    </w:p>
    <w:p w14:paraId="50C2253E" w14:textId="77777777" w:rsidR="0052312F" w:rsidRPr="006C7B74" w:rsidRDefault="0052312F" w:rsidP="0052312F">
      <w:pPr>
        <w:pStyle w:val="BodyText"/>
        <w:numPr>
          <w:ilvl w:val="0"/>
          <w:numId w:val="5"/>
        </w:numPr>
      </w:pPr>
      <w:r w:rsidRPr="006C7B74">
        <w:t xml:space="preserve">Promoting the renewal of older industrial areas that are no longer well suited to industrial activities. </w:t>
      </w:r>
    </w:p>
    <w:p w14:paraId="431B96B6" w14:textId="77777777" w:rsidR="0052312F" w:rsidRPr="006C7B74" w:rsidRDefault="0052312F" w:rsidP="0052312F">
      <w:pPr>
        <w:pStyle w:val="BodyText"/>
        <w:numPr>
          <w:ilvl w:val="0"/>
          <w:numId w:val="5"/>
        </w:numPr>
      </w:pPr>
      <w:r w:rsidRPr="006C7B74">
        <w:t>Facilitating improved information and communications technology infrastructure, access and amenity within these areas.</w:t>
      </w:r>
    </w:p>
    <w:p w14:paraId="1471A022" w14:textId="77777777" w:rsidR="0052312F" w:rsidRPr="006C7B74" w:rsidRDefault="0052312F" w:rsidP="0052312F">
      <w:pPr>
        <w:pStyle w:val="BodyText"/>
        <w:numPr>
          <w:ilvl w:val="0"/>
          <w:numId w:val="5"/>
        </w:numPr>
      </w:pPr>
      <w:r w:rsidRPr="006C7B74">
        <w:t>Reviewing planning, building and environmental regulations to ensure that these are not barriers to the affordable conversion of designated areas for alternative employment-generating activities.</w:t>
      </w:r>
    </w:p>
    <w:p w14:paraId="6618EDEC" w14:textId="77777777" w:rsidR="0052312F" w:rsidRPr="006C7B74" w:rsidRDefault="0052312F" w:rsidP="0052312F">
      <w:pPr>
        <w:pStyle w:val="BodyText"/>
        <w:numPr>
          <w:ilvl w:val="0"/>
          <w:numId w:val="5"/>
        </w:numPr>
      </w:pPr>
      <w:r w:rsidRPr="006C7B74">
        <w:t>Identifying areas no longer required for employment activities.</w:t>
      </w:r>
    </w:p>
    <w:p w14:paraId="656C7210" w14:textId="77777777" w:rsidR="0052312F" w:rsidRPr="006C7B74" w:rsidRDefault="0052312F" w:rsidP="0052312F">
      <w:pPr>
        <w:pStyle w:val="BodyText"/>
        <w:rPr>
          <w:b/>
          <w:i/>
        </w:rPr>
      </w:pPr>
      <w:r w:rsidRPr="006C7B74">
        <w:rPr>
          <w:b/>
          <w:i/>
        </w:rPr>
        <w:t>Action 12 Planning for future employment growth</w:t>
      </w:r>
    </w:p>
    <w:p w14:paraId="0C60CF45" w14:textId="77777777" w:rsidR="0052312F" w:rsidRPr="006C7B74" w:rsidRDefault="0052312F" w:rsidP="0052312F">
      <w:pPr>
        <w:pStyle w:val="BodyText"/>
      </w:pPr>
      <w:r w:rsidRPr="006C7B74">
        <w:t>Assist councils to plan for future employment needs by:</w:t>
      </w:r>
    </w:p>
    <w:p w14:paraId="78FC3C6A" w14:textId="77777777" w:rsidR="0052312F" w:rsidRPr="006C7B74" w:rsidRDefault="0052312F" w:rsidP="0052312F">
      <w:pPr>
        <w:pStyle w:val="BodyText"/>
        <w:numPr>
          <w:ilvl w:val="0"/>
          <w:numId w:val="5"/>
        </w:numPr>
      </w:pPr>
      <w:r w:rsidRPr="006C7B74">
        <w:t>Addressing how metropolitan regional employment demand forecasts can be translated into floorspace requirement, land-use and zoning frameworks.</w:t>
      </w:r>
    </w:p>
    <w:p w14:paraId="7FA6B11B" w14:textId="77777777" w:rsidR="0052312F" w:rsidRPr="006C7B74" w:rsidRDefault="0052312F" w:rsidP="0052312F">
      <w:pPr>
        <w:pStyle w:val="BodyText"/>
        <w:numPr>
          <w:ilvl w:val="0"/>
          <w:numId w:val="5"/>
        </w:numPr>
      </w:pPr>
      <w:r w:rsidRPr="006C7B74">
        <w:t>Providing direction for assessing the ongoing suitability of established industrial and commercial areas for different types of employment purposes.</w:t>
      </w:r>
    </w:p>
    <w:p w14:paraId="38E549BA" w14:textId="77777777" w:rsidR="0052312F" w:rsidRPr="006C7B74" w:rsidRDefault="0052312F" w:rsidP="0052312F">
      <w:pPr>
        <w:pStyle w:val="BodyText"/>
        <w:numPr>
          <w:ilvl w:val="0"/>
          <w:numId w:val="5"/>
        </w:numPr>
      </w:pPr>
      <w:r w:rsidRPr="006C7B74">
        <w:t>Providing direction about when such areas should be retained for employment purposes and when they should be considered for rezoning to mixed-use or residential.</w:t>
      </w:r>
    </w:p>
    <w:p w14:paraId="2098B561" w14:textId="4EA65BAE" w:rsidR="00B22CC6" w:rsidRPr="006C7B74" w:rsidRDefault="00B22CC6" w:rsidP="00934C4D">
      <w:pPr>
        <w:pStyle w:val="BodyText"/>
        <w:spacing w:before="0" w:line="240" w:lineRule="auto"/>
      </w:pPr>
    </w:p>
    <w:p w14:paraId="7F0CFAE7" w14:textId="1149A9F5" w:rsidR="00772743" w:rsidRPr="006C7B74" w:rsidRDefault="00772743" w:rsidP="00BF6B16">
      <w:pPr>
        <w:pStyle w:val="Heading2-Contenttable"/>
      </w:pPr>
      <w:r w:rsidRPr="006C7B74">
        <w:t>Structure of this report</w:t>
      </w:r>
    </w:p>
    <w:p w14:paraId="7375DFE9" w14:textId="26E206B7" w:rsidR="00A936CD" w:rsidRPr="006C7B74" w:rsidRDefault="00A936CD" w:rsidP="00F020BA">
      <w:pPr>
        <w:pStyle w:val="BodyText"/>
        <w:spacing w:before="0" w:line="240" w:lineRule="auto"/>
      </w:pPr>
      <w:r w:rsidRPr="006C7B74">
        <w:t>The</w:t>
      </w:r>
      <w:r w:rsidR="00557985" w:rsidRPr="006C7B74">
        <w:t xml:space="preserve"> </w:t>
      </w:r>
      <w:r w:rsidRPr="006C7B74">
        <w:rPr>
          <w:i/>
        </w:rPr>
        <w:t>Melbourne Industrial and Commercial Land Use Plan</w:t>
      </w:r>
      <w:r w:rsidRPr="006C7B74">
        <w:t xml:space="preserve"> is divided into two parts.</w:t>
      </w:r>
    </w:p>
    <w:p w14:paraId="0C1BE383" w14:textId="0EBFFDA9" w:rsidR="00A936CD" w:rsidRPr="006C7B74" w:rsidRDefault="00A936CD" w:rsidP="00F020BA">
      <w:pPr>
        <w:pStyle w:val="BodyText"/>
        <w:spacing w:before="0" w:line="240" w:lineRule="auto"/>
      </w:pPr>
      <w:r w:rsidRPr="006C7B74">
        <w:rPr>
          <w:b/>
          <w:bCs/>
        </w:rPr>
        <w:t>Part A</w:t>
      </w:r>
      <w:r w:rsidRPr="006C7B74">
        <w:t xml:space="preserve"> provides an overview of industrial and commercial land supply and demand </w:t>
      </w:r>
      <w:r w:rsidR="00693902" w:rsidRPr="006C7B74">
        <w:t xml:space="preserve">across </w:t>
      </w:r>
      <w:r w:rsidRPr="006C7B74">
        <w:t xml:space="preserve">Melbourne, examining the drivers of economic growth and development in a state-wide context, the relationship to population growth and the need to plan for </w:t>
      </w:r>
      <w:r w:rsidR="00693902" w:rsidRPr="006C7B74">
        <w:t>industrial and commercial land</w:t>
      </w:r>
      <w:r w:rsidRPr="006C7B74">
        <w:t xml:space="preserve">. This section identifies the overarching principles and strategies to guide the planning framework and the strategic planning process to achieve this at a </w:t>
      </w:r>
      <w:r w:rsidR="00693902" w:rsidRPr="006C7B74">
        <w:t xml:space="preserve">metropolitan </w:t>
      </w:r>
      <w:r w:rsidRPr="006C7B74">
        <w:t xml:space="preserve">and regional level. </w:t>
      </w:r>
    </w:p>
    <w:p w14:paraId="36504C36" w14:textId="123C5B34" w:rsidR="00A936CD" w:rsidRPr="006C7B74" w:rsidRDefault="00A936CD" w:rsidP="00F020BA">
      <w:pPr>
        <w:pStyle w:val="BodyText"/>
        <w:spacing w:before="0" w:line="240" w:lineRule="auto"/>
      </w:pPr>
      <w:r w:rsidRPr="006C7B74">
        <w:rPr>
          <w:b/>
          <w:bCs/>
        </w:rPr>
        <w:t>Part B</w:t>
      </w:r>
      <w:r w:rsidRPr="006C7B74">
        <w:t xml:space="preserve"> examines each of the six metropolitan regions </w:t>
      </w:r>
      <w:r w:rsidR="00693902" w:rsidRPr="006C7B74">
        <w:t xml:space="preserve">across Melbourne </w:t>
      </w:r>
      <w:r w:rsidRPr="006C7B74">
        <w:t xml:space="preserve">in </w:t>
      </w:r>
      <w:r w:rsidR="00693902" w:rsidRPr="006C7B74">
        <w:t xml:space="preserve">more </w:t>
      </w:r>
      <w:r w:rsidRPr="006C7B74">
        <w:t>detail</w:t>
      </w:r>
      <w:r w:rsidR="00693902" w:rsidRPr="006C7B74">
        <w:t>. For each region a</w:t>
      </w:r>
      <w:r w:rsidRPr="006C7B74">
        <w:t xml:space="preserve">n overview provides an understanding of locational context, economic drivers, </w:t>
      </w:r>
      <w:r w:rsidR="00693902" w:rsidRPr="006C7B74">
        <w:t>and projected population and employment growth</w:t>
      </w:r>
      <w:r w:rsidRPr="006C7B74">
        <w:t xml:space="preserve">. The role and function of key industrial and commercial precincts is </w:t>
      </w:r>
      <w:r w:rsidR="00693902" w:rsidRPr="006C7B74">
        <w:t>outlined</w:t>
      </w:r>
      <w:r w:rsidRPr="006C7B74">
        <w:t xml:space="preserve"> together with an analysis of supply and demand for industrial land and commercial floorspace. A planning framework identifies key challenges and opportunities and specific </w:t>
      </w:r>
      <w:r w:rsidR="00693902" w:rsidRPr="006C7B74">
        <w:t xml:space="preserve">planning approaches that should be </w:t>
      </w:r>
      <w:r w:rsidR="001F125C" w:rsidRPr="006C7B74">
        <w:t>pursued.</w:t>
      </w:r>
      <w:r w:rsidRPr="006C7B74">
        <w:t xml:space="preserve"> Future directions for industrial and commercial land have been mapped for each region. </w:t>
      </w:r>
    </w:p>
    <w:p w14:paraId="418896BF" w14:textId="15169780" w:rsidR="00A936CD" w:rsidRPr="006C7B74" w:rsidRDefault="00F020BA" w:rsidP="00F020BA">
      <w:pPr>
        <w:pStyle w:val="BodyText"/>
        <w:spacing w:before="0" w:line="240" w:lineRule="auto"/>
      </w:pPr>
      <w:r w:rsidRPr="006C7B74">
        <w:rPr>
          <w:b/>
          <w:bCs/>
        </w:rPr>
        <w:t>A</w:t>
      </w:r>
      <w:r w:rsidR="00A936CD" w:rsidRPr="006C7B74">
        <w:rPr>
          <w:b/>
          <w:bCs/>
        </w:rPr>
        <w:t>ppendices</w:t>
      </w:r>
      <w:r w:rsidRPr="006C7B74">
        <w:t xml:space="preserve"> to the report include an</w:t>
      </w:r>
      <w:r w:rsidR="00A936CD" w:rsidRPr="006C7B74">
        <w:t xml:space="preserve"> approach to developing a </w:t>
      </w:r>
      <w:r w:rsidR="00345250" w:rsidRPr="006C7B74">
        <w:t>l</w:t>
      </w:r>
      <w:r w:rsidR="00A936CD" w:rsidRPr="006C7B74">
        <w:t xml:space="preserve">ocal </w:t>
      </w:r>
      <w:r w:rsidR="00345250" w:rsidRPr="006C7B74">
        <w:t>i</w:t>
      </w:r>
      <w:r w:rsidRPr="006C7B74">
        <w:t xml:space="preserve">ndustrial </w:t>
      </w:r>
      <w:r w:rsidR="00345250" w:rsidRPr="006C7B74">
        <w:t>l</w:t>
      </w:r>
      <w:r w:rsidR="00A936CD" w:rsidRPr="006C7B74">
        <w:t xml:space="preserve">and </w:t>
      </w:r>
      <w:r w:rsidR="00345250" w:rsidRPr="006C7B74">
        <w:t>u</w:t>
      </w:r>
      <w:r w:rsidR="00A936CD" w:rsidRPr="006C7B74">
        <w:t xml:space="preserve">se </w:t>
      </w:r>
      <w:r w:rsidR="00345250" w:rsidRPr="006C7B74">
        <w:t>strategy</w:t>
      </w:r>
      <w:r w:rsidR="00A936CD" w:rsidRPr="006C7B74">
        <w:t xml:space="preserve">, </w:t>
      </w:r>
      <w:r w:rsidR="00345250" w:rsidRPr="006C7B74">
        <w:t>m</w:t>
      </w:r>
      <w:r w:rsidR="00A936CD" w:rsidRPr="006C7B74">
        <w:t xml:space="preserve">ethodology and </w:t>
      </w:r>
      <w:r w:rsidRPr="006C7B74">
        <w:t>a</w:t>
      </w:r>
      <w:r w:rsidR="00A936CD" w:rsidRPr="006C7B74">
        <w:t xml:space="preserve"> </w:t>
      </w:r>
      <w:r w:rsidR="00345250" w:rsidRPr="006C7B74">
        <w:t>g</w:t>
      </w:r>
      <w:r w:rsidR="00A936CD" w:rsidRPr="006C7B74">
        <w:t>lossary.</w:t>
      </w:r>
    </w:p>
    <w:p w14:paraId="067BBCBE" w14:textId="1B4589B3" w:rsidR="00CC5CB6" w:rsidRPr="006C7B74" w:rsidRDefault="00CC5CB6" w:rsidP="00934C4D">
      <w:pPr>
        <w:spacing w:after="120"/>
        <w:rPr>
          <w:rFonts w:eastAsiaTheme="majorEastAsia" w:cstheme="minorHAnsi"/>
          <w:b/>
          <w:color w:val="4EBAC5" w:themeColor="accent1" w:themeShade="BF"/>
          <w:sz w:val="32"/>
          <w:szCs w:val="32"/>
        </w:rPr>
      </w:pPr>
      <w:r w:rsidRPr="006C7B74">
        <w:rPr>
          <w:rFonts w:cstheme="minorHAnsi"/>
        </w:rPr>
        <w:br w:type="page"/>
      </w:r>
    </w:p>
    <w:p w14:paraId="0BDECDD5" w14:textId="7D8B0CE9" w:rsidR="004A3D1C" w:rsidRPr="006C7B74" w:rsidRDefault="004A3D1C" w:rsidP="004A3D1C"/>
    <w:p w14:paraId="5A7B511C" w14:textId="3EA1119E" w:rsidR="004A3D1C" w:rsidRPr="006C7B74" w:rsidRDefault="004A3D1C" w:rsidP="004A3D1C"/>
    <w:p w14:paraId="442DB669" w14:textId="11E2C7F2" w:rsidR="004A3D1C" w:rsidRPr="006C7B74" w:rsidRDefault="004A3D1C" w:rsidP="004A3D1C"/>
    <w:p w14:paraId="441D5439" w14:textId="7FFC37CF" w:rsidR="004A3D1C" w:rsidRPr="006C7B74" w:rsidRDefault="004A3D1C" w:rsidP="004A3D1C"/>
    <w:p w14:paraId="09F5F850" w14:textId="6B45499A" w:rsidR="004A3D1C" w:rsidRPr="006C7B74" w:rsidRDefault="004A3D1C" w:rsidP="004A3D1C"/>
    <w:p w14:paraId="5C258823" w14:textId="1835CB51" w:rsidR="004A3D1C" w:rsidRPr="006C7B74" w:rsidRDefault="004A3D1C" w:rsidP="004A3D1C"/>
    <w:p w14:paraId="62C5A7F5" w14:textId="1D6221FB" w:rsidR="004A3D1C" w:rsidRPr="006C7B74" w:rsidRDefault="004A3D1C" w:rsidP="004A3D1C"/>
    <w:p w14:paraId="58BE614A" w14:textId="77777777" w:rsidR="004A3D1C" w:rsidRPr="006C7B74" w:rsidRDefault="004A3D1C" w:rsidP="004A3D1C"/>
    <w:p w14:paraId="1AE31876" w14:textId="777C6BA6" w:rsidR="00DD3EBE" w:rsidRPr="006C7B74" w:rsidRDefault="00DD3EBE" w:rsidP="00B76FAC">
      <w:pPr>
        <w:pStyle w:val="Heading1"/>
      </w:pPr>
      <w:bookmarkStart w:id="6" w:name="_Toc21694793"/>
      <w:r w:rsidRPr="006C7B74">
        <w:t>PART A: OVERVIEW OF INDUSTRIAL AND COMMERCIAL LAND ACROSS MELBOURNE</w:t>
      </w:r>
      <w:bookmarkEnd w:id="6"/>
    </w:p>
    <w:p w14:paraId="7C8E23E4" w14:textId="77777777" w:rsidR="00DD3EBE" w:rsidRPr="006C7B74" w:rsidRDefault="00DD3EBE" w:rsidP="00DD3EBE"/>
    <w:p w14:paraId="2655DFBF" w14:textId="77777777" w:rsidR="00DD3EBE" w:rsidRPr="006C7B74" w:rsidRDefault="00DD3EBE" w:rsidP="00DD3EBE"/>
    <w:p w14:paraId="259E492B" w14:textId="77777777" w:rsidR="00DD3EBE" w:rsidRPr="006C7B74" w:rsidRDefault="00DD3EBE">
      <w:pPr>
        <w:rPr>
          <w:rFonts w:asciiTheme="majorHAnsi" w:eastAsiaTheme="majorEastAsia" w:hAnsiTheme="majorHAnsi" w:cstheme="majorBidi"/>
          <w:b/>
          <w:color w:val="201547"/>
          <w:sz w:val="32"/>
          <w:szCs w:val="32"/>
        </w:rPr>
      </w:pPr>
      <w:r w:rsidRPr="006C7B74">
        <w:br w:type="page"/>
      </w:r>
    </w:p>
    <w:p w14:paraId="54047BD5" w14:textId="152E206A" w:rsidR="0001591D" w:rsidRPr="006C7B74" w:rsidRDefault="00A64B78" w:rsidP="00934C4D">
      <w:pPr>
        <w:pStyle w:val="Heading1"/>
        <w:spacing w:before="0"/>
        <w:ind w:left="357" w:hanging="357"/>
      </w:pPr>
      <w:bookmarkStart w:id="7" w:name="_Toc21694794"/>
      <w:r w:rsidRPr="006C7B74">
        <w:lastRenderedPageBreak/>
        <w:t>A changing economy</w:t>
      </w:r>
      <w:bookmarkEnd w:id="7"/>
    </w:p>
    <w:p w14:paraId="7197914A" w14:textId="03DBC38D" w:rsidR="00597BE6" w:rsidRPr="00BF6B16" w:rsidRDefault="006E417D" w:rsidP="00BF6B16">
      <w:pPr>
        <w:pStyle w:val="Heading2-Contenttable"/>
      </w:pPr>
      <w:bookmarkStart w:id="8" w:name="_Toc21694795"/>
      <w:r w:rsidRPr="00BF6B16">
        <w:t xml:space="preserve">Victoria and </w:t>
      </w:r>
      <w:r w:rsidR="00597BE6" w:rsidRPr="00BF6B16">
        <w:t xml:space="preserve">Melbourne’s </w:t>
      </w:r>
      <w:r w:rsidR="00520735" w:rsidRPr="00BF6B16">
        <w:t xml:space="preserve">economy, </w:t>
      </w:r>
      <w:r w:rsidR="00773E27" w:rsidRPr="00BF6B16">
        <w:t>i</w:t>
      </w:r>
      <w:r w:rsidR="00597BE6" w:rsidRPr="00BF6B16">
        <w:t xml:space="preserve">ndustry </w:t>
      </w:r>
      <w:r w:rsidR="00773E27" w:rsidRPr="00BF6B16">
        <w:t>s</w:t>
      </w:r>
      <w:r w:rsidR="00597BE6" w:rsidRPr="00BF6B16">
        <w:t xml:space="preserve">tructure and </w:t>
      </w:r>
      <w:r w:rsidR="00773E27" w:rsidRPr="00BF6B16">
        <w:t>workforce</w:t>
      </w:r>
      <w:bookmarkEnd w:id="8"/>
    </w:p>
    <w:p w14:paraId="5EADC8E1" w14:textId="5B01D252" w:rsidR="00597BE6" w:rsidRPr="006C7B74" w:rsidRDefault="00597BE6" w:rsidP="00870C56">
      <w:pPr>
        <w:pStyle w:val="BodyText"/>
        <w:spacing w:before="0" w:line="240" w:lineRule="auto"/>
      </w:pPr>
      <w:r w:rsidRPr="006C7B74">
        <w:t>Victoria has a diverse economy and the second highest Gross State Product (GSP) of all Australian states and territories. With GSP at $</w:t>
      </w:r>
      <w:r w:rsidR="00783C96" w:rsidRPr="006C7B74">
        <w:t>424</w:t>
      </w:r>
      <w:r w:rsidRPr="006C7B74">
        <w:t xml:space="preserve"> billion in 201</w:t>
      </w:r>
      <w:r w:rsidR="00D67B46" w:rsidRPr="006C7B74">
        <w:t>7</w:t>
      </w:r>
      <w:r w:rsidRPr="006C7B74">
        <w:t>-1</w:t>
      </w:r>
      <w:r w:rsidR="00D67B46" w:rsidRPr="006C7B74">
        <w:t>8</w:t>
      </w:r>
      <w:r w:rsidRPr="006C7B74">
        <w:t>, it accounts for over 2</w:t>
      </w:r>
      <w:r w:rsidR="00870C56" w:rsidRPr="006C7B74">
        <w:t>3</w:t>
      </w:r>
      <w:r w:rsidRPr="006C7B74">
        <w:t xml:space="preserve"> per cent of the national economy.</w:t>
      </w:r>
    </w:p>
    <w:p w14:paraId="029E12B0" w14:textId="6F7C962C" w:rsidR="000027E9" w:rsidRPr="006C7B74" w:rsidRDefault="00597BE6" w:rsidP="00934C4D">
      <w:pPr>
        <w:pStyle w:val="BodyText"/>
        <w:spacing w:before="0" w:line="240" w:lineRule="auto"/>
      </w:pPr>
      <w:r w:rsidRPr="006C7B74">
        <w:t xml:space="preserve">The Victorian economy has undergone </w:t>
      </w:r>
      <w:r w:rsidR="00AA460F" w:rsidRPr="006C7B74">
        <w:t xml:space="preserve">significant </w:t>
      </w:r>
      <w:r w:rsidRPr="006C7B74">
        <w:t xml:space="preserve">structural change since the </w:t>
      </w:r>
      <w:r w:rsidR="00E240F4" w:rsidRPr="006C7B74">
        <w:t>late 1980s</w:t>
      </w:r>
      <w:r w:rsidR="00AA460F" w:rsidRPr="006C7B74">
        <w:t>.</w:t>
      </w:r>
      <w:r w:rsidRPr="006C7B74">
        <w:t xml:space="preserve"> </w:t>
      </w:r>
      <w:r w:rsidR="00AA460F" w:rsidRPr="006C7B74">
        <w:t>While manufacturing’s output ($</w:t>
      </w:r>
      <w:r w:rsidR="00513C4C" w:rsidRPr="006C7B74">
        <w:t xml:space="preserve"> </w:t>
      </w:r>
      <w:r w:rsidR="00AA460F" w:rsidRPr="006C7B74">
        <w:t xml:space="preserve">millions) </w:t>
      </w:r>
      <w:r w:rsidR="00E240F4" w:rsidRPr="006C7B74">
        <w:t xml:space="preserve">remains similar to what it was </w:t>
      </w:r>
      <w:r w:rsidR="00AA460F" w:rsidRPr="006C7B74">
        <w:t>25 years</w:t>
      </w:r>
      <w:r w:rsidR="00E240F4" w:rsidRPr="006C7B74">
        <w:t xml:space="preserve"> ago</w:t>
      </w:r>
      <w:r w:rsidR="00AA460F" w:rsidRPr="006C7B74">
        <w:t xml:space="preserve">, </w:t>
      </w:r>
      <w:r w:rsidR="000027E9" w:rsidRPr="006C7B74">
        <w:t>other industry sectors have</w:t>
      </w:r>
      <w:r w:rsidR="00AA460F" w:rsidRPr="006C7B74">
        <w:t xml:space="preserve"> grown</w:t>
      </w:r>
      <w:r w:rsidR="00E240F4" w:rsidRPr="006C7B74">
        <w:t xml:space="preserve"> significantly</w:t>
      </w:r>
      <w:r w:rsidR="00AA460F" w:rsidRPr="006C7B74">
        <w:t>. I</w:t>
      </w:r>
      <w:r w:rsidR="00E240F4" w:rsidRPr="006C7B74">
        <w:t xml:space="preserve">n particular, </w:t>
      </w:r>
      <w:r w:rsidR="00CB1700" w:rsidRPr="006C7B74">
        <w:t>the</w:t>
      </w:r>
      <w:r w:rsidR="00B155DF" w:rsidRPr="006C7B74">
        <w:t xml:space="preserve"> contribution of the</w:t>
      </w:r>
      <w:r w:rsidR="00AA460F" w:rsidRPr="006C7B74">
        <w:t xml:space="preserve"> </w:t>
      </w:r>
      <w:r w:rsidRPr="006C7B74">
        <w:t>financial</w:t>
      </w:r>
      <w:r w:rsidR="00CB1700" w:rsidRPr="006C7B74">
        <w:t xml:space="preserve"> </w:t>
      </w:r>
      <w:r w:rsidRPr="006C7B74">
        <w:t xml:space="preserve">and professional services </w:t>
      </w:r>
      <w:r w:rsidR="00CB1700" w:rsidRPr="006C7B74">
        <w:t>sectors</w:t>
      </w:r>
      <w:r w:rsidR="00E240F4" w:rsidRPr="006C7B74">
        <w:t xml:space="preserve"> to the state’s GSP ha</w:t>
      </w:r>
      <w:r w:rsidR="000027E9" w:rsidRPr="006C7B74">
        <w:t>ve</w:t>
      </w:r>
      <w:r w:rsidR="00E240F4" w:rsidRPr="006C7B74">
        <w:t xml:space="preserve"> </w:t>
      </w:r>
      <w:r w:rsidRPr="006C7B74">
        <w:t>increas</w:t>
      </w:r>
      <w:r w:rsidR="00E240F4" w:rsidRPr="006C7B74">
        <w:t>ed significantly since the late 1980s</w:t>
      </w:r>
      <w:r w:rsidR="00BB499A" w:rsidRPr="006C7B74">
        <w:t>,</w:t>
      </w:r>
      <w:r w:rsidR="00E240F4" w:rsidRPr="006C7B74">
        <w:t xml:space="preserve"> as the economy</w:t>
      </w:r>
      <w:r w:rsidRPr="006C7B74">
        <w:t xml:space="preserve"> </w:t>
      </w:r>
      <w:r w:rsidR="00E240F4" w:rsidRPr="006C7B74">
        <w:t xml:space="preserve">has </w:t>
      </w:r>
      <w:r w:rsidRPr="006C7B74">
        <w:t>transition</w:t>
      </w:r>
      <w:r w:rsidR="00E240F4" w:rsidRPr="006C7B74">
        <w:t>ed</w:t>
      </w:r>
      <w:r w:rsidRPr="006C7B74">
        <w:t xml:space="preserve"> to a more service and knowledge-based </w:t>
      </w:r>
      <w:r w:rsidR="00E240F4" w:rsidRPr="006C7B74">
        <w:t>one</w:t>
      </w:r>
      <w:r w:rsidRPr="006C7B74">
        <w:t xml:space="preserve">. </w:t>
      </w:r>
      <w:r w:rsidR="00E240F4" w:rsidRPr="006C7B74">
        <w:t>H</w:t>
      </w:r>
      <w:r w:rsidRPr="006C7B74">
        <w:t>ealth</w:t>
      </w:r>
      <w:r w:rsidR="00E240F4" w:rsidRPr="006C7B74">
        <w:t xml:space="preserve"> care and social assistance</w:t>
      </w:r>
      <w:r w:rsidRPr="006C7B74">
        <w:t xml:space="preserve"> has also </w:t>
      </w:r>
      <w:r w:rsidR="000027E9" w:rsidRPr="006C7B74">
        <w:t>increased</w:t>
      </w:r>
      <w:r w:rsidRPr="006C7B74">
        <w:t xml:space="preserve"> </w:t>
      </w:r>
      <w:r w:rsidR="007F20BB" w:rsidRPr="006C7B74">
        <w:t xml:space="preserve">significantly </w:t>
      </w:r>
      <w:r w:rsidRPr="006C7B74">
        <w:t xml:space="preserve">as the population grows and ages and expectations of care increase. </w:t>
      </w:r>
    </w:p>
    <w:p w14:paraId="672A75AC" w14:textId="199A0482" w:rsidR="00CB1700" w:rsidRPr="006C7B74" w:rsidRDefault="00597BE6" w:rsidP="00934C4D">
      <w:pPr>
        <w:pStyle w:val="BodyText"/>
        <w:spacing w:before="0" w:line="240" w:lineRule="auto"/>
      </w:pPr>
      <w:r w:rsidRPr="006C7B74">
        <w:t xml:space="preserve">This </w:t>
      </w:r>
      <w:r w:rsidR="003F48B5" w:rsidRPr="006C7B74">
        <w:t>has resulted in</w:t>
      </w:r>
      <w:r w:rsidRPr="006C7B74">
        <w:t xml:space="preserve"> a decline in manufacturing’s share of the economy as a whole</w:t>
      </w:r>
      <w:r w:rsidR="00513C4C" w:rsidRPr="006C7B74">
        <w:t>,</w:t>
      </w:r>
      <w:r w:rsidRPr="006C7B74">
        <w:t xml:space="preserve"> from around 14</w:t>
      </w:r>
      <w:r w:rsidR="009E62B1" w:rsidRPr="006C7B74">
        <w:t xml:space="preserve"> </w:t>
      </w:r>
      <w:r w:rsidR="00A35BF3" w:rsidRPr="006C7B74">
        <w:t>per cent</w:t>
      </w:r>
      <w:r w:rsidRPr="006C7B74">
        <w:t xml:space="preserve"> in the early 1990s to around 7</w:t>
      </w:r>
      <w:r w:rsidR="00153C76" w:rsidRPr="006C7B74">
        <w:t xml:space="preserve"> </w:t>
      </w:r>
      <w:r w:rsidR="00F772F9" w:rsidRPr="006C7B74">
        <w:t>per cent</w:t>
      </w:r>
      <w:r w:rsidRPr="006C7B74">
        <w:t xml:space="preserve"> in 2016.</w:t>
      </w:r>
    </w:p>
    <w:p w14:paraId="420F1905" w14:textId="77777777" w:rsidR="00597BE6" w:rsidRPr="006C7B74" w:rsidRDefault="00597BE6" w:rsidP="00934C4D">
      <w:pPr>
        <w:pStyle w:val="BodyText"/>
        <w:spacing w:before="0" w:line="240" w:lineRule="auto"/>
      </w:pPr>
    </w:p>
    <w:p w14:paraId="583FB6E5" w14:textId="7E74FBF8" w:rsidR="00597BE6" w:rsidRPr="006C7B74" w:rsidRDefault="00597BE6" w:rsidP="00BF6B16">
      <w:pPr>
        <w:pStyle w:val="Heading3"/>
      </w:pPr>
      <w:r w:rsidRPr="006C7B74">
        <w:t xml:space="preserve">Figure 1: Victorian Gross State Product, </w:t>
      </w:r>
      <w:r w:rsidR="00FE50E8" w:rsidRPr="006C7B74">
        <w:t>s</w:t>
      </w:r>
      <w:r w:rsidRPr="006C7B74">
        <w:t xml:space="preserve">elected </w:t>
      </w:r>
      <w:r w:rsidR="009E62B1" w:rsidRPr="006C7B74">
        <w:t>i</w:t>
      </w:r>
      <w:r w:rsidRPr="006C7B74">
        <w:t>ndustries</w:t>
      </w:r>
      <w:r w:rsidR="00FE50E8" w:rsidRPr="006C7B74">
        <w:t>, 19</w:t>
      </w:r>
      <w:r w:rsidR="00333BE1" w:rsidRPr="006C7B74">
        <w:t>89-</w:t>
      </w:r>
      <w:r w:rsidR="00FE50E8" w:rsidRPr="006C7B74">
        <w:t>90 to 20</w:t>
      </w:r>
      <w:r w:rsidR="00333BE1" w:rsidRPr="006C7B74">
        <w:t>17-</w:t>
      </w:r>
      <w:r w:rsidR="00FE50E8" w:rsidRPr="006C7B74">
        <w:t>1</w:t>
      </w:r>
      <w:r w:rsidR="0028404E" w:rsidRPr="006C7B74">
        <w:t>8</w:t>
      </w:r>
    </w:p>
    <w:p w14:paraId="1F58667B" w14:textId="0EDC71F3" w:rsidR="00597BE6" w:rsidRPr="006C7B74" w:rsidRDefault="00292A0E" w:rsidP="00934C4D">
      <w:pPr>
        <w:spacing w:after="120"/>
        <w:rPr>
          <w:rFonts w:cstheme="minorHAnsi"/>
        </w:rPr>
      </w:pPr>
      <w:r w:rsidRPr="006C7B74">
        <w:rPr>
          <w:noProof/>
        </w:rPr>
        <w:drawing>
          <wp:inline distT="0" distB="0" distL="0" distR="0" wp14:anchorId="3A0C1E3E" wp14:editId="13C5B36F">
            <wp:extent cx="5593675" cy="3425375"/>
            <wp:effectExtent l="0" t="0" r="0" b="0"/>
            <wp:docPr id="1984355072" name="Chart 1984355072" descr="Bar graph showing Victorian Gross State Product, selected industries, 1989-90 to 2017-18">
              <a:extLst xmlns:a="http://schemas.openxmlformats.org/drawingml/2006/main">
                <a:ext uri="{FF2B5EF4-FFF2-40B4-BE49-F238E27FC236}">
                  <a16:creationId xmlns:a16="http://schemas.microsoft.com/office/drawing/2014/main" id="{FB3A9D3B-1538-48FC-8A42-EB14D5C35D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D6036C1" w14:textId="422BF5E4" w:rsidR="00597BE6" w:rsidRPr="006C7B74" w:rsidRDefault="00597BE6" w:rsidP="00652302">
      <w:pPr>
        <w:pStyle w:val="Quote"/>
      </w:pPr>
      <w:r w:rsidRPr="006C7B74">
        <w:t xml:space="preserve">Source: </w:t>
      </w:r>
      <w:r w:rsidR="00AD59D3" w:rsidRPr="006C7B74">
        <w:t>ABS catalogue number 5220.0 (2018)</w:t>
      </w:r>
    </w:p>
    <w:p w14:paraId="71C7130C" w14:textId="77777777" w:rsidR="00C1557E" w:rsidRPr="006C7B74" w:rsidRDefault="00C1557E" w:rsidP="00934C4D">
      <w:pPr>
        <w:spacing w:after="120"/>
        <w:rPr>
          <w:rFonts w:cstheme="minorHAnsi"/>
          <w:b/>
          <w:sz w:val="20"/>
          <w:szCs w:val="20"/>
        </w:rPr>
      </w:pPr>
      <w:r w:rsidRPr="006C7B74">
        <w:rPr>
          <w:rFonts w:cstheme="minorHAnsi"/>
          <w:b/>
          <w:sz w:val="20"/>
          <w:szCs w:val="20"/>
        </w:rPr>
        <w:br w:type="page"/>
      </w:r>
    </w:p>
    <w:p w14:paraId="0F215B30" w14:textId="5B526E27" w:rsidR="00597BE6" w:rsidRPr="006C7B74" w:rsidRDefault="00597BE6" w:rsidP="00035EC8">
      <w:pPr>
        <w:pStyle w:val="Heading5"/>
      </w:pPr>
      <w:r w:rsidRPr="006C7B74">
        <w:lastRenderedPageBreak/>
        <w:t xml:space="preserve">Figure 2: Share of Victorian Gross State Product, </w:t>
      </w:r>
      <w:r w:rsidR="00FE50E8" w:rsidRPr="006C7B74">
        <w:t xml:space="preserve">selected </w:t>
      </w:r>
      <w:r w:rsidR="009E62B1" w:rsidRPr="006C7B74">
        <w:t>i</w:t>
      </w:r>
      <w:r w:rsidR="00FE50E8" w:rsidRPr="006C7B74">
        <w:t>ndustries, 19</w:t>
      </w:r>
      <w:r w:rsidR="004243F1" w:rsidRPr="006C7B74">
        <w:t>89-</w:t>
      </w:r>
      <w:r w:rsidR="00FE50E8" w:rsidRPr="006C7B74">
        <w:t>90 to 20</w:t>
      </w:r>
      <w:r w:rsidR="004243F1" w:rsidRPr="006C7B74">
        <w:t>17-</w:t>
      </w:r>
      <w:r w:rsidR="00FE50E8" w:rsidRPr="006C7B74">
        <w:t>1</w:t>
      </w:r>
      <w:r w:rsidR="0028404E" w:rsidRPr="006C7B74">
        <w:t>8</w:t>
      </w:r>
    </w:p>
    <w:p w14:paraId="0DB40872" w14:textId="1664ACD3" w:rsidR="00597BE6" w:rsidRPr="006C7B74" w:rsidRDefault="00A62307" w:rsidP="00934C4D">
      <w:pPr>
        <w:spacing w:after="120"/>
        <w:rPr>
          <w:rFonts w:cstheme="minorHAnsi"/>
        </w:rPr>
      </w:pPr>
      <w:bookmarkStart w:id="9" w:name="OLE_LINK1"/>
      <w:bookmarkStart w:id="10" w:name="OLE_LINK2"/>
      <w:r w:rsidRPr="006C7B74">
        <w:rPr>
          <w:noProof/>
        </w:rPr>
        <w:drawing>
          <wp:inline distT="0" distB="0" distL="0" distR="0" wp14:anchorId="656AC4D9" wp14:editId="24C2CCAD">
            <wp:extent cx="5492075" cy="3419025"/>
            <wp:effectExtent l="0" t="0" r="0" b="0"/>
            <wp:docPr id="1984355085" name="Chart 1984355085" descr="Bar graph showing share of Victorian Gross State Product, selected industries, 1989-90 to 2017-18">
              <a:extLst xmlns:a="http://schemas.openxmlformats.org/drawingml/2006/main">
                <a:ext uri="{FF2B5EF4-FFF2-40B4-BE49-F238E27FC236}">
                  <a16:creationId xmlns:a16="http://schemas.microsoft.com/office/drawing/2014/main" id="{6782D8E1-4D54-4FDD-97D4-C42FB4B22F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bookmarkEnd w:id="9"/>
    <w:bookmarkEnd w:id="10"/>
    <w:p w14:paraId="4EB4C63E" w14:textId="2AF8B46B" w:rsidR="00597BE6" w:rsidRPr="006C7B74" w:rsidRDefault="00597BE6" w:rsidP="002C1CD4">
      <w:pPr>
        <w:pStyle w:val="Quote"/>
      </w:pPr>
      <w:r w:rsidRPr="006C7B74">
        <w:t xml:space="preserve">Source: </w:t>
      </w:r>
      <w:r w:rsidR="00AD59D3" w:rsidRPr="006C7B74">
        <w:t>ABS catalogue number 5220.0 (2018)</w:t>
      </w:r>
    </w:p>
    <w:p w14:paraId="7B06B34C" w14:textId="77777777" w:rsidR="00CF4295" w:rsidRPr="006C7B74" w:rsidRDefault="00CF4295" w:rsidP="00934C4D">
      <w:pPr>
        <w:pStyle w:val="BodyText"/>
        <w:spacing w:before="0" w:line="240" w:lineRule="auto"/>
      </w:pPr>
    </w:p>
    <w:p w14:paraId="0CB6441E" w14:textId="53BD5E59" w:rsidR="00581658" w:rsidRPr="006C7B74" w:rsidRDefault="00581658" w:rsidP="00934C4D">
      <w:pPr>
        <w:pStyle w:val="BodyText"/>
        <w:spacing w:before="0" w:line="240" w:lineRule="auto"/>
      </w:pPr>
      <w:r w:rsidRPr="006C7B74">
        <w:t xml:space="preserve">In recent decades Melbourne’s </w:t>
      </w:r>
      <w:r w:rsidR="00773E27" w:rsidRPr="006C7B74">
        <w:t>industry structure</w:t>
      </w:r>
      <w:r w:rsidRPr="006C7B74">
        <w:t xml:space="preserve"> has also undergone significant changes, </w:t>
      </w:r>
      <w:r w:rsidR="00773E27" w:rsidRPr="006C7B74">
        <w:t>transitioning away from its traditional manufacturing base to more service-based and knowledge-based industries, and o</w:t>
      </w:r>
      <w:r w:rsidRPr="006C7B74">
        <w:t xml:space="preserve">ver coming decades is likely to be vastly different from the recent past. </w:t>
      </w:r>
    </w:p>
    <w:p w14:paraId="3527699F" w14:textId="07CB75AD" w:rsidR="00200582" w:rsidRPr="006C7B74" w:rsidRDefault="00A41D50" w:rsidP="00934C4D">
      <w:pPr>
        <w:pStyle w:val="BodyText"/>
        <w:spacing w:before="0" w:line="240" w:lineRule="auto"/>
      </w:pPr>
      <w:r w:rsidRPr="006C7B74">
        <w:t>Between 1996 and 2016 the total number of jobs across metropolitan Melbourne</w:t>
      </w:r>
      <w:r w:rsidR="00730749" w:rsidRPr="006C7B74">
        <w:t xml:space="preserve"> grew by almost 800,000</w:t>
      </w:r>
      <w:r w:rsidR="00861E46" w:rsidRPr="006C7B74">
        <w:t>,</w:t>
      </w:r>
      <w:r w:rsidR="00730749" w:rsidRPr="006C7B74">
        <w:t xml:space="preserve"> </w:t>
      </w:r>
      <w:r w:rsidR="005D4F34" w:rsidRPr="006C7B74">
        <w:t xml:space="preserve">an </w:t>
      </w:r>
      <w:r w:rsidRPr="006C7B74">
        <w:t xml:space="preserve">increase </w:t>
      </w:r>
      <w:r w:rsidR="00684F38" w:rsidRPr="006C7B74">
        <w:t>from around 1.5 million jobs</w:t>
      </w:r>
      <w:r w:rsidR="0021250B" w:rsidRPr="006C7B74">
        <w:t xml:space="preserve"> in 1996</w:t>
      </w:r>
      <w:r w:rsidR="00684F38" w:rsidRPr="006C7B74">
        <w:t xml:space="preserve"> to around 2.3 million jobs</w:t>
      </w:r>
      <w:r w:rsidR="0021250B" w:rsidRPr="006C7B74">
        <w:t xml:space="preserve"> in 2016</w:t>
      </w:r>
      <w:r w:rsidR="00684F38" w:rsidRPr="006C7B74">
        <w:t xml:space="preserve">. </w:t>
      </w:r>
    </w:p>
    <w:p w14:paraId="50069C25" w14:textId="15DAFC85" w:rsidR="00082416" w:rsidRPr="006C7B74" w:rsidRDefault="00082416" w:rsidP="00934C4D">
      <w:pPr>
        <w:pStyle w:val="BodyText"/>
        <w:spacing w:before="0" w:line="240" w:lineRule="auto"/>
      </w:pPr>
      <w:r w:rsidRPr="006C7B74">
        <w:t>Jobs in retail, accommodation and food services now account for around 22 per cent of all jobs, and business services</w:t>
      </w:r>
      <w:r w:rsidR="00132109" w:rsidRPr="006C7B74">
        <w:t xml:space="preserve"> account for</w:t>
      </w:r>
      <w:r w:rsidRPr="006C7B74">
        <w:t xml:space="preserve"> around 28 per cent. </w:t>
      </w:r>
      <w:r w:rsidR="00132109" w:rsidRPr="006C7B74">
        <w:t>T</w:t>
      </w:r>
      <w:r w:rsidRPr="006C7B74">
        <w:t>hese</w:t>
      </w:r>
      <w:r w:rsidR="00132109" w:rsidRPr="006C7B74">
        <w:t xml:space="preserve"> </w:t>
      </w:r>
      <w:r w:rsidRPr="006C7B74">
        <w:t xml:space="preserve">sectors </w:t>
      </w:r>
      <w:r w:rsidR="00132109" w:rsidRPr="006C7B74">
        <w:t>combined</w:t>
      </w:r>
      <w:r w:rsidR="009C34C1" w:rsidRPr="006C7B74">
        <w:t>,</w:t>
      </w:r>
      <w:r w:rsidR="00132109" w:rsidRPr="006C7B74">
        <w:t xml:space="preserve"> </w:t>
      </w:r>
      <w:r w:rsidR="00D41C93" w:rsidRPr="006C7B74">
        <w:t>now</w:t>
      </w:r>
      <w:r w:rsidR="00537C1B" w:rsidRPr="006C7B74">
        <w:t xml:space="preserve"> </w:t>
      </w:r>
      <w:r w:rsidRPr="006C7B74">
        <w:t>account for 50 per cent of all jobs across metropolitan Melbourne and between 1996 and 2016 the</w:t>
      </w:r>
      <w:r w:rsidR="00132109" w:rsidRPr="006C7B74">
        <w:t>se sectors</w:t>
      </w:r>
      <w:r w:rsidRPr="006C7B74">
        <w:t xml:space="preserve"> experienced almost a 60 per cent increase in job numbers. </w:t>
      </w:r>
    </w:p>
    <w:p w14:paraId="40D896BA" w14:textId="18EB5766" w:rsidR="003B08F4" w:rsidRPr="006C7B74" w:rsidRDefault="003B08F4" w:rsidP="00934C4D">
      <w:pPr>
        <w:pStyle w:val="BodyText"/>
        <w:spacing w:before="0" w:line="240" w:lineRule="auto"/>
      </w:pPr>
      <w:r w:rsidRPr="006C7B74">
        <w:t>While manufacturing jobs decline</w:t>
      </w:r>
      <w:r w:rsidR="00A07955" w:rsidRPr="006C7B74">
        <w:t>d between 1996 and 2016</w:t>
      </w:r>
      <w:r w:rsidR="0041555C" w:rsidRPr="006C7B74">
        <w:t xml:space="preserve"> </w:t>
      </w:r>
      <w:r w:rsidRPr="006C7B74">
        <w:t xml:space="preserve">the transport, postal and warehousing sector </w:t>
      </w:r>
      <w:r w:rsidR="00E22770" w:rsidRPr="006C7B74">
        <w:t>saw</w:t>
      </w:r>
      <w:r w:rsidRPr="006C7B74">
        <w:t xml:space="preserve"> almost </w:t>
      </w:r>
      <w:r w:rsidR="00232E5A" w:rsidRPr="006C7B74">
        <w:t>an</w:t>
      </w:r>
      <w:r w:rsidRPr="006C7B74">
        <w:t xml:space="preserve"> </w:t>
      </w:r>
      <w:r w:rsidR="00D435C8" w:rsidRPr="006C7B74">
        <w:t>80</w:t>
      </w:r>
      <w:r w:rsidRPr="006C7B74">
        <w:t xml:space="preserve"> per cent increase in job</w:t>
      </w:r>
      <w:r w:rsidR="00DF3DF7" w:rsidRPr="006C7B74">
        <w:t xml:space="preserve"> number</w:t>
      </w:r>
      <w:r w:rsidRPr="006C7B74">
        <w:t xml:space="preserve">s, from around </w:t>
      </w:r>
      <w:r w:rsidR="0046148F" w:rsidRPr="006C7B74">
        <w:t>67</w:t>
      </w:r>
      <w:r w:rsidRPr="006C7B74">
        <w:t>,</w:t>
      </w:r>
      <w:r w:rsidR="0046148F" w:rsidRPr="006C7B74">
        <w:t>8</w:t>
      </w:r>
      <w:r w:rsidRPr="006C7B74">
        <w:t>00 jobs in 1996 to 12</w:t>
      </w:r>
      <w:r w:rsidR="0013554C" w:rsidRPr="006C7B74">
        <w:t>1</w:t>
      </w:r>
      <w:r w:rsidRPr="006C7B74">
        <w:t>,</w:t>
      </w:r>
      <w:r w:rsidR="0013554C" w:rsidRPr="006C7B74">
        <w:t>6</w:t>
      </w:r>
      <w:r w:rsidRPr="006C7B74">
        <w:t xml:space="preserve">00 jobs in 2016. </w:t>
      </w:r>
      <w:r w:rsidR="0041555C" w:rsidRPr="006C7B74">
        <w:t>When c</w:t>
      </w:r>
      <w:r w:rsidRPr="006C7B74">
        <w:t>ombined</w:t>
      </w:r>
      <w:r w:rsidR="00620F7B" w:rsidRPr="006C7B74">
        <w:t xml:space="preserve"> with</w:t>
      </w:r>
      <w:r w:rsidRPr="006C7B74">
        <w:t xml:space="preserve"> </w:t>
      </w:r>
      <w:r w:rsidR="00620F7B" w:rsidRPr="006C7B74">
        <w:t xml:space="preserve">other traditional industrial jobs in sectors such as electricity, gas, water and waste services and wholesale trade </w:t>
      </w:r>
      <w:r w:rsidRPr="006C7B74">
        <w:t xml:space="preserve">these sectors account for </w:t>
      </w:r>
      <w:r w:rsidR="00620F7B" w:rsidRPr="006C7B74" w:rsidDel="00E2550A">
        <w:t>over 428,000 jobs</w:t>
      </w:r>
      <w:r w:rsidR="00620F7B" w:rsidRPr="006C7B74">
        <w:t xml:space="preserve"> </w:t>
      </w:r>
      <w:r w:rsidRPr="006C7B74">
        <w:t>across metropolitan Melbourne</w:t>
      </w:r>
      <w:r w:rsidR="007D2D46" w:rsidRPr="006C7B74">
        <w:t xml:space="preserve">, </w:t>
      </w:r>
      <w:r w:rsidR="001B1DFA" w:rsidRPr="006C7B74">
        <w:t>account</w:t>
      </w:r>
      <w:r w:rsidR="007D2D46" w:rsidRPr="006C7B74">
        <w:t>ing</w:t>
      </w:r>
      <w:r w:rsidR="001B1DFA" w:rsidRPr="006C7B74">
        <w:t xml:space="preserve"> for around 20 per cent of all jobs</w:t>
      </w:r>
      <w:r w:rsidR="007D2D46" w:rsidRPr="006C7B74">
        <w:t>,</w:t>
      </w:r>
      <w:r w:rsidR="001B1DFA" w:rsidRPr="006C7B74">
        <w:t xml:space="preserve"> and</w:t>
      </w:r>
      <w:r w:rsidRPr="006C7B74">
        <w:t xml:space="preserve"> continue to drive significant growth in the state’s economy.</w:t>
      </w:r>
    </w:p>
    <w:p w14:paraId="501B3323" w14:textId="2CFC2F02" w:rsidR="003B08F4" w:rsidRPr="006C7B74" w:rsidRDefault="003B08F4" w:rsidP="00934C4D">
      <w:pPr>
        <w:pStyle w:val="BodyText"/>
        <w:spacing w:before="0" w:line="240" w:lineRule="auto"/>
      </w:pPr>
      <w:r w:rsidRPr="006C7B74">
        <w:t xml:space="preserve">While the above sectors are significant in terms of </w:t>
      </w:r>
      <w:r w:rsidR="00DD1B6E" w:rsidRPr="006C7B74">
        <w:t xml:space="preserve">the </w:t>
      </w:r>
      <w:r w:rsidRPr="006C7B74">
        <w:t xml:space="preserve">overall </w:t>
      </w:r>
      <w:r w:rsidR="00DD1B6E" w:rsidRPr="006C7B74">
        <w:t xml:space="preserve">number of </w:t>
      </w:r>
      <w:r w:rsidRPr="006C7B74">
        <w:t>jobs they generate, the industries that experience</w:t>
      </w:r>
      <w:r w:rsidR="00D72E34" w:rsidRPr="006C7B74">
        <w:t>d</w:t>
      </w:r>
      <w:r w:rsidRPr="006C7B74">
        <w:t xml:space="preserve"> the largest growth rates between 1996 and 2016 have been those in community services (94 per cent increase in job numbers) and construction (12</w:t>
      </w:r>
      <w:r w:rsidR="00640010" w:rsidRPr="006C7B74">
        <w:t>6</w:t>
      </w:r>
      <w:r w:rsidRPr="006C7B74">
        <w:t xml:space="preserve"> per cent increase in job numbers). This growth reflects a strong link between population serving industries and population growth, as does the growth in retail, accommodation and food services and business services.</w:t>
      </w:r>
    </w:p>
    <w:p w14:paraId="29C4FF8D" w14:textId="77777777" w:rsidR="003B08F4" w:rsidRPr="006C7B74" w:rsidRDefault="003B08F4" w:rsidP="00934C4D">
      <w:pPr>
        <w:spacing w:after="120"/>
        <w:rPr>
          <w:rFonts w:cstheme="minorHAnsi"/>
          <w:b/>
          <w:sz w:val="20"/>
          <w:szCs w:val="20"/>
        </w:rPr>
      </w:pPr>
      <w:r w:rsidRPr="006C7B74">
        <w:rPr>
          <w:rFonts w:cstheme="minorHAnsi"/>
          <w:b/>
          <w:sz w:val="20"/>
          <w:szCs w:val="20"/>
        </w:rPr>
        <w:br w:type="page"/>
      </w:r>
    </w:p>
    <w:p w14:paraId="154F5C8F" w14:textId="28EE71A6" w:rsidR="00C1557E" w:rsidRPr="006C7B74" w:rsidRDefault="00C1557E" w:rsidP="00035EC8">
      <w:pPr>
        <w:pStyle w:val="Heading5"/>
      </w:pPr>
      <w:r w:rsidRPr="006C7B74">
        <w:lastRenderedPageBreak/>
        <w:t xml:space="preserve">Figure </w:t>
      </w:r>
      <w:r w:rsidR="00A938E1" w:rsidRPr="006C7B74">
        <w:t>3</w:t>
      </w:r>
      <w:r w:rsidRPr="006C7B74">
        <w:t>: Number of jobs, metropolitan Melbourne, 1996</w:t>
      </w:r>
      <w:r w:rsidR="001D40C2" w:rsidRPr="006C7B74">
        <w:t xml:space="preserve"> to </w:t>
      </w:r>
      <w:r w:rsidRPr="006C7B74">
        <w:t>2016</w:t>
      </w:r>
    </w:p>
    <w:p w14:paraId="5E8AC8F1" w14:textId="77777777" w:rsidR="00D77A92" w:rsidRPr="006C7B74" w:rsidRDefault="00D77A92" w:rsidP="00D77A92"/>
    <w:p w14:paraId="209E8BA1" w14:textId="372752EA" w:rsidR="00C1557E" w:rsidRPr="006C7B74" w:rsidRDefault="00835E18" w:rsidP="00934C4D">
      <w:pPr>
        <w:pStyle w:val="BodyText"/>
        <w:spacing w:before="0" w:line="240" w:lineRule="auto"/>
      </w:pPr>
      <w:r w:rsidRPr="006C7B74">
        <w:rPr>
          <w:noProof/>
        </w:rPr>
        <w:drawing>
          <wp:inline distT="0" distB="0" distL="0" distR="0" wp14:anchorId="7AA4ADE0" wp14:editId="714ABC0D">
            <wp:extent cx="5727700" cy="3040380"/>
            <wp:effectExtent l="0" t="0" r="6350" b="0"/>
            <wp:docPr id="1984355086" name="Chart 1984355086" descr="Line graph showing number of jobs, metropolitan Melbourne, 1996 to 2016">
              <a:extLst xmlns:a="http://schemas.openxmlformats.org/drawingml/2006/main">
                <a:ext uri="{FF2B5EF4-FFF2-40B4-BE49-F238E27FC236}">
                  <a16:creationId xmlns:a16="http://schemas.microsoft.com/office/drawing/2014/main" id="{FA775104-D3FA-4DCE-980B-D918C80747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8377B83" w14:textId="73E636C9" w:rsidR="00082416" w:rsidRPr="006C7B74" w:rsidRDefault="00AD59D3" w:rsidP="00934C4D">
      <w:pPr>
        <w:pStyle w:val="BodyText"/>
        <w:spacing w:before="0" w:line="240" w:lineRule="auto"/>
      </w:pPr>
      <w:r w:rsidRPr="006C7B74">
        <w:rPr>
          <w:rFonts w:cs="Times New Roman"/>
          <w:i/>
          <w:iCs/>
          <w:color w:val="404040" w:themeColor="text1" w:themeTint="BF"/>
          <w:sz w:val="18"/>
          <w:szCs w:val="24"/>
        </w:rPr>
        <w:t>Source: Department of Environment, Land, Water and Planning, internal analysis of ABS census 2016 adjusted with ABS Labour Force data (2016)</w:t>
      </w:r>
    </w:p>
    <w:p w14:paraId="58707709" w14:textId="77777777" w:rsidR="0021159B" w:rsidRPr="006C7B74" w:rsidRDefault="0021159B" w:rsidP="00934C4D">
      <w:pPr>
        <w:pStyle w:val="BodyText"/>
        <w:spacing w:before="0" w:line="240" w:lineRule="auto"/>
      </w:pPr>
    </w:p>
    <w:p w14:paraId="2B07BEC6" w14:textId="18037A1D" w:rsidR="000A6DA7" w:rsidRPr="006C7B74" w:rsidRDefault="000A6DA7" w:rsidP="00934C4D">
      <w:pPr>
        <w:pStyle w:val="BodyText"/>
        <w:spacing w:before="0" w:line="240" w:lineRule="auto"/>
      </w:pPr>
      <w:r w:rsidRPr="006C7B74">
        <w:t xml:space="preserve">As was outlined in Plan Melbourne, the distribution of jobs across Melbourne is uneven. There are more jobs in inner areas, and the distribution of jobs is not evenly spread. </w:t>
      </w:r>
      <w:r w:rsidR="00B432DE" w:rsidRPr="006C7B74">
        <w:t xml:space="preserve">These distinctions become even more evident </w:t>
      </w:r>
      <w:r w:rsidRPr="006C7B74">
        <w:t>when specific industry sectors are looked at.</w:t>
      </w:r>
      <w:r w:rsidR="00B432DE" w:rsidRPr="006C7B74">
        <w:t xml:space="preserve"> Business services and manufacturing and industrial jobs are highly concentrated to particular areas, whereas </w:t>
      </w:r>
      <w:r w:rsidR="00426E3E" w:rsidRPr="006C7B74">
        <w:t xml:space="preserve">jobs based in the </w:t>
      </w:r>
      <w:r w:rsidR="00B432DE" w:rsidRPr="006C7B74">
        <w:t>retail, accommodation</w:t>
      </w:r>
      <w:r w:rsidR="00426E3E" w:rsidRPr="006C7B74">
        <w:t xml:space="preserve"> and</w:t>
      </w:r>
      <w:r w:rsidR="00B432DE" w:rsidRPr="006C7B74">
        <w:t xml:space="preserve"> food </w:t>
      </w:r>
      <w:r w:rsidR="00426E3E" w:rsidRPr="006C7B74">
        <w:t>sector</w:t>
      </w:r>
      <w:r w:rsidR="00B432DE" w:rsidRPr="006C7B74">
        <w:t xml:space="preserve"> are more dispersed across the metropolitan area.</w:t>
      </w:r>
    </w:p>
    <w:p w14:paraId="01AEBA20" w14:textId="6E976181" w:rsidR="00F63B74" w:rsidRPr="006C7B74" w:rsidRDefault="00426E3E" w:rsidP="00934C4D">
      <w:pPr>
        <w:pStyle w:val="BodyText"/>
        <w:spacing w:before="0" w:line="240" w:lineRule="auto"/>
      </w:pPr>
      <w:r w:rsidRPr="006C7B74">
        <w:t>M</w:t>
      </w:r>
      <w:r w:rsidR="000A6DA7" w:rsidRPr="006C7B74">
        <w:t xml:space="preserve">anufacturing and </w:t>
      </w:r>
      <w:r w:rsidR="009B4B1B" w:rsidRPr="006C7B74">
        <w:t xml:space="preserve">industrial jobs can </w:t>
      </w:r>
      <w:r w:rsidR="002702DC" w:rsidRPr="006C7B74">
        <w:t xml:space="preserve">generally </w:t>
      </w:r>
      <w:r w:rsidR="009B4B1B" w:rsidRPr="006C7B74">
        <w:t>be seen to locate in state-significant industrial precincts</w:t>
      </w:r>
      <w:r w:rsidR="00C810BA" w:rsidRPr="006C7B74">
        <w:t xml:space="preserve"> (SSIPs)</w:t>
      </w:r>
      <w:r w:rsidR="002702DC" w:rsidRPr="006C7B74">
        <w:t>, however there are</w:t>
      </w:r>
      <w:r w:rsidR="00896F82" w:rsidRPr="006C7B74">
        <w:t xml:space="preserve"> many</w:t>
      </w:r>
      <w:r w:rsidR="00A9238C" w:rsidRPr="006C7B74">
        <w:t xml:space="preserve"> </w:t>
      </w:r>
      <w:r w:rsidR="009B4B1B" w:rsidRPr="006C7B74">
        <w:t>other</w:t>
      </w:r>
      <w:r w:rsidR="00896F82" w:rsidRPr="006C7B74">
        <w:t xml:space="preserve"> significant</w:t>
      </w:r>
      <w:r w:rsidR="009B4B1B" w:rsidRPr="006C7B74">
        <w:t xml:space="preserve"> areas </w:t>
      </w:r>
      <w:r w:rsidR="002702DC" w:rsidRPr="006C7B74">
        <w:t xml:space="preserve">where these jobs are concentrated. These areas include the Melbourne Airport and its surrounds in the Northern and Western </w:t>
      </w:r>
      <w:r w:rsidR="009F2CCE" w:rsidRPr="006C7B74">
        <w:t>R</w:t>
      </w:r>
      <w:r w:rsidR="002702DC" w:rsidRPr="006C7B74">
        <w:t>egions, areas around the Port of Melbourne in the Inner Metro Region, areas around Clayton, Moorabbin, Braeside and Carrum Downs in the Southern Region, and areas around Rowville-Scoresby and Bayswater</w:t>
      </w:r>
      <w:r w:rsidR="000366E5" w:rsidRPr="006C7B74">
        <w:t>-Kilsyth</w:t>
      </w:r>
      <w:r w:rsidR="002702DC" w:rsidRPr="006C7B74">
        <w:t xml:space="preserve"> in the Eastern Region.</w:t>
      </w:r>
    </w:p>
    <w:p w14:paraId="14CAC9BD" w14:textId="57B276D3" w:rsidR="002702DC" w:rsidRPr="006C7B74" w:rsidRDefault="00A9238C" w:rsidP="00934C4D">
      <w:pPr>
        <w:pStyle w:val="BodyText"/>
        <w:spacing w:before="0" w:line="240" w:lineRule="auto"/>
      </w:pPr>
      <w:r w:rsidRPr="006C7B74">
        <w:t>Jobs based in r</w:t>
      </w:r>
      <w:r w:rsidR="002702DC" w:rsidRPr="006C7B74">
        <w:t>etail, accommodation, food and other industries are more dispersed</w:t>
      </w:r>
      <w:r w:rsidR="00426E3E" w:rsidRPr="006C7B74">
        <w:t xml:space="preserve">. While </w:t>
      </w:r>
      <w:r w:rsidR="002702DC" w:rsidRPr="006C7B74">
        <w:t xml:space="preserve">heavily concentrated in the Inner Metro </w:t>
      </w:r>
      <w:r w:rsidRPr="006C7B74">
        <w:t xml:space="preserve">and Inner South East </w:t>
      </w:r>
      <w:r w:rsidR="00961904" w:rsidRPr="006C7B74">
        <w:t>R</w:t>
      </w:r>
      <w:r w:rsidR="002702DC" w:rsidRPr="006C7B74">
        <w:t>egion</w:t>
      </w:r>
      <w:r w:rsidRPr="006C7B74">
        <w:t>s</w:t>
      </w:r>
      <w:r w:rsidR="00426E3E" w:rsidRPr="006C7B74">
        <w:t>, there are many o</w:t>
      </w:r>
      <w:r w:rsidR="00FF0A88" w:rsidRPr="006C7B74">
        <w:t xml:space="preserve">ther </w:t>
      </w:r>
      <w:r w:rsidR="00B3204E" w:rsidRPr="006C7B74">
        <w:t>locations</w:t>
      </w:r>
      <w:r w:rsidR="00FF0A88" w:rsidRPr="006C7B74">
        <w:t xml:space="preserve"> across the metropolitan areas that exhibit high concentrations of these jobs</w:t>
      </w:r>
      <w:r w:rsidR="00426E3E" w:rsidRPr="006C7B74">
        <w:t>. These</w:t>
      </w:r>
      <w:r w:rsidR="00FF0A88" w:rsidRPr="006C7B74">
        <w:t xml:space="preserve"> include </w:t>
      </w:r>
      <w:r w:rsidR="00426E3E" w:rsidRPr="006C7B74">
        <w:t xml:space="preserve">suburbs </w:t>
      </w:r>
      <w:r w:rsidR="00FF0A88" w:rsidRPr="006C7B74">
        <w:t xml:space="preserve">with large free-standing shopping centres such as Werribee, </w:t>
      </w:r>
      <w:r w:rsidR="00C31ECA" w:rsidRPr="006C7B74">
        <w:t>Maribyrnong</w:t>
      </w:r>
      <w:r w:rsidR="00FF0A88" w:rsidRPr="006C7B74">
        <w:t>, Sydenham, Epping, Preston, Doncaster, Ringwood</w:t>
      </w:r>
      <w:r w:rsidR="00947AB9" w:rsidRPr="006C7B74">
        <w:t>, Wantirna, Narre Warren, Cheltenham and Chadstone.</w:t>
      </w:r>
    </w:p>
    <w:p w14:paraId="5CFB6BA3" w14:textId="445CBD96" w:rsidR="00947AB9" w:rsidRPr="006C7B74" w:rsidRDefault="00947AB9" w:rsidP="00934C4D">
      <w:pPr>
        <w:pStyle w:val="BodyText"/>
        <w:spacing w:before="0" w:line="240" w:lineRule="auto"/>
      </w:pPr>
      <w:r w:rsidRPr="006C7B74">
        <w:t>Jobs in the business services sector are very concentrated with the Inner Metro Region and to a lesser extent the northern part of the Inner South East Region. Beyond these locations, these</w:t>
      </w:r>
      <w:r w:rsidR="00B3204E" w:rsidRPr="006C7B74">
        <w:t xml:space="preserve"> types of</w:t>
      </w:r>
      <w:r w:rsidRPr="006C7B74">
        <w:t xml:space="preserve"> jobs are limited to very few locations. The largest concentrations can be noted in the Eastern Region around Doncaster, Box Hill to Ringwood and south to Clayton.</w:t>
      </w:r>
    </w:p>
    <w:p w14:paraId="4A8AA566" w14:textId="77777777" w:rsidR="00A625DA" w:rsidRPr="006C7B74" w:rsidRDefault="00A625DA">
      <w:pPr>
        <w:rPr>
          <w:rFonts w:eastAsiaTheme="majorEastAsia" w:cstheme="majorBidi"/>
          <w:b/>
          <w:color w:val="642667"/>
          <w:sz w:val="20"/>
        </w:rPr>
      </w:pPr>
      <w:r w:rsidRPr="006C7B74">
        <w:br w:type="page"/>
      </w:r>
    </w:p>
    <w:p w14:paraId="68155BFE" w14:textId="0865F592" w:rsidR="00C1557E" w:rsidRPr="006C7B74" w:rsidRDefault="00C1557E" w:rsidP="00035EC8">
      <w:pPr>
        <w:pStyle w:val="Heading5"/>
      </w:pPr>
      <w:r w:rsidRPr="006C7B74">
        <w:lastRenderedPageBreak/>
        <w:t xml:space="preserve">Figure </w:t>
      </w:r>
      <w:r w:rsidR="00A938E1" w:rsidRPr="006C7B74">
        <w:t>4</w:t>
      </w:r>
      <w:r w:rsidRPr="006C7B74">
        <w:t xml:space="preserve">: Jobs across Melbourne </w:t>
      </w:r>
      <w:r w:rsidR="00541B22" w:rsidRPr="006C7B74">
        <w:t>2016</w:t>
      </w:r>
      <w:r w:rsidR="00AF15EB" w:rsidRPr="006C7B74">
        <w:t>,</w:t>
      </w:r>
      <w:r w:rsidRPr="006C7B74">
        <w:t xml:space="preserve"> select industries</w:t>
      </w:r>
      <w:r w:rsidR="003D1166" w:rsidRPr="006C7B74">
        <w:t xml:space="preserve"> *</w:t>
      </w:r>
      <w:r w:rsidR="00A625DA" w:rsidRPr="006C7B74">
        <w:t xml:space="preserve"> </w:t>
      </w:r>
    </w:p>
    <w:p w14:paraId="0F87EF42" w14:textId="77777777" w:rsidR="00A625DA" w:rsidRPr="006C7B74" w:rsidRDefault="00A625DA" w:rsidP="00A625DA"/>
    <w:p w14:paraId="730F67EC" w14:textId="29D9057F" w:rsidR="006A5D02" w:rsidRPr="006C7B74" w:rsidRDefault="00BC2B76" w:rsidP="00934C4D">
      <w:pPr>
        <w:spacing w:after="120"/>
        <w:rPr>
          <w:b/>
          <w:noProof/>
        </w:rPr>
      </w:pPr>
      <w:r w:rsidRPr="006C7B74">
        <w:rPr>
          <w:noProof/>
        </w:rPr>
        <w:drawing>
          <wp:inline distT="0" distB="0" distL="0" distR="0" wp14:anchorId="7931E1BA" wp14:editId="21896475">
            <wp:extent cx="1969571" cy="2051637"/>
            <wp:effectExtent l="0" t="0" r="0" b="6350"/>
            <wp:docPr id="1984355077" name="Picture 1984355077" descr="Heat map showing Manufacturing and Industrial jobs by job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77053" cy="2059431"/>
                    </a:xfrm>
                    <a:prstGeom prst="rect">
                      <a:avLst/>
                    </a:prstGeom>
                  </pic:spPr>
                </pic:pic>
              </a:graphicData>
            </a:graphic>
          </wp:inline>
        </w:drawing>
      </w:r>
      <w:r w:rsidR="006A5D02" w:rsidRPr="006C7B74">
        <w:rPr>
          <w:rFonts w:cstheme="minorBidi"/>
          <w:b/>
          <w:bCs/>
          <w:sz w:val="18"/>
          <w:szCs w:val="18"/>
        </w:rPr>
        <w:t>Manufacturing and industrial</w:t>
      </w:r>
    </w:p>
    <w:p w14:paraId="514BB4FD" w14:textId="1BC68495" w:rsidR="006A5D02" w:rsidRPr="006C7B74" w:rsidRDefault="00DF3FD6" w:rsidP="00934C4D">
      <w:pPr>
        <w:spacing w:after="120"/>
        <w:rPr>
          <w:b/>
          <w:noProof/>
        </w:rPr>
      </w:pPr>
      <w:r w:rsidRPr="006C7B74">
        <w:rPr>
          <w:noProof/>
        </w:rPr>
        <w:drawing>
          <wp:inline distT="0" distB="0" distL="0" distR="0" wp14:anchorId="70D3894D" wp14:editId="724E4869">
            <wp:extent cx="1969135" cy="2051182"/>
            <wp:effectExtent l="0" t="0" r="0" b="6350"/>
            <wp:docPr id="1984355082" name="Picture 1984355082" descr="Heat map showing retail, accommodation, food and other jobs by job den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73760" cy="2055999"/>
                    </a:xfrm>
                    <a:prstGeom prst="rect">
                      <a:avLst/>
                    </a:prstGeom>
                  </pic:spPr>
                </pic:pic>
              </a:graphicData>
            </a:graphic>
          </wp:inline>
        </w:drawing>
      </w:r>
      <w:r w:rsidR="006A5D02" w:rsidRPr="006C7B74">
        <w:rPr>
          <w:rFonts w:cstheme="minorBidi"/>
          <w:b/>
          <w:bCs/>
          <w:sz w:val="18"/>
          <w:szCs w:val="18"/>
        </w:rPr>
        <w:t>Retail, accommodation, food and other</w:t>
      </w:r>
    </w:p>
    <w:p w14:paraId="7DB9FC8B" w14:textId="6BAE60DA" w:rsidR="008962E1" w:rsidRPr="006C7B74" w:rsidRDefault="00C94F1B" w:rsidP="00934C4D">
      <w:pPr>
        <w:spacing w:after="120"/>
        <w:rPr>
          <w:rFonts w:cstheme="minorHAnsi"/>
        </w:rPr>
      </w:pPr>
      <w:r w:rsidRPr="006C7B74">
        <w:rPr>
          <w:noProof/>
        </w:rPr>
        <w:drawing>
          <wp:inline distT="0" distB="0" distL="0" distR="0" wp14:anchorId="040D9696" wp14:editId="71A67D8C">
            <wp:extent cx="1921185" cy="2013217"/>
            <wp:effectExtent l="0" t="0" r="0" b="0"/>
            <wp:docPr id="1984355080" name="Picture 1984355080" descr="Heat map showing business services by job den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1202" cy="2023713"/>
                    </a:xfrm>
                    <a:prstGeom prst="rect">
                      <a:avLst/>
                    </a:prstGeom>
                  </pic:spPr>
                </pic:pic>
              </a:graphicData>
            </a:graphic>
          </wp:inline>
        </w:drawing>
      </w:r>
      <w:r w:rsidR="006A5D02" w:rsidRPr="006C7B74">
        <w:rPr>
          <w:rFonts w:cstheme="minorBidi"/>
          <w:b/>
          <w:bCs/>
          <w:sz w:val="18"/>
          <w:szCs w:val="18"/>
        </w:rPr>
        <w:t>Business services</w:t>
      </w:r>
      <w:r w:rsidR="006A5D02" w:rsidRPr="006C7B74">
        <w:rPr>
          <w:noProof/>
        </w:rPr>
        <w:t xml:space="preserve"> </w:t>
      </w:r>
      <w:r w:rsidR="006A5D02" w:rsidRPr="006C7B74">
        <w:rPr>
          <w:noProof/>
        </w:rPr>
        <w:tab/>
      </w:r>
      <w:r w:rsidR="006A5D02" w:rsidRPr="006C7B74">
        <w:rPr>
          <w:noProof/>
        </w:rPr>
        <w:tab/>
      </w:r>
      <w:r w:rsidR="006A5D02" w:rsidRPr="006C7B74">
        <w:rPr>
          <w:noProof/>
        </w:rPr>
        <w:drawing>
          <wp:inline distT="0" distB="0" distL="0" distR="0" wp14:anchorId="57B5A9A0" wp14:editId="4007849B">
            <wp:extent cx="475488" cy="383606"/>
            <wp:effectExtent l="0" t="0" r="1270" b="0"/>
            <wp:docPr id="1984355078" name="Picture 1984355078" descr="Legend showing blue for low, yellow for medium and red for high job numbers/den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5301" cy="407658"/>
                    </a:xfrm>
                    <a:prstGeom prst="rect">
                      <a:avLst/>
                    </a:prstGeom>
                  </pic:spPr>
                </pic:pic>
              </a:graphicData>
            </a:graphic>
          </wp:inline>
        </w:drawing>
      </w:r>
    </w:p>
    <w:p w14:paraId="631A5A54" w14:textId="736B827C" w:rsidR="008962E1" w:rsidRPr="006C7B74" w:rsidRDefault="008962E1" w:rsidP="00934C4D">
      <w:pPr>
        <w:spacing w:after="120"/>
        <w:rPr>
          <w:rFonts w:cstheme="minorHAnsi"/>
          <w:sz w:val="18"/>
          <w:szCs w:val="18"/>
        </w:rPr>
      </w:pPr>
    </w:p>
    <w:p w14:paraId="4C5D7FA8" w14:textId="5D57155B" w:rsidR="00B05B28" w:rsidRPr="00AD7153" w:rsidRDefault="00B05B28" w:rsidP="00AD7153">
      <w:pPr>
        <w:pStyle w:val="BodyText"/>
      </w:pPr>
      <w:r w:rsidRPr="00AD7153">
        <w:t>* Industrial jobs are depicted by job numbers, whereas office and retail jobs are depicted by job density</w:t>
      </w:r>
      <w:r w:rsidR="00937437" w:rsidRPr="00AD7153">
        <w:t>.</w:t>
      </w:r>
    </w:p>
    <w:p w14:paraId="05335750" w14:textId="75753880" w:rsidR="006A5D02" w:rsidRPr="006C7B74" w:rsidRDefault="00AD59D3" w:rsidP="00AD7153">
      <w:pPr>
        <w:pStyle w:val="Quote"/>
      </w:pPr>
      <w:r w:rsidRPr="006C7B74">
        <w:t>Source: Department of Environment, Land, Water and Planning, internal analysis of ABS census 2016 adjusted with ABS Labour Force data (2016)</w:t>
      </w:r>
      <w:r w:rsidR="006A5D02" w:rsidRPr="006C7B74">
        <w:br w:type="page"/>
      </w:r>
    </w:p>
    <w:p w14:paraId="223D909F" w14:textId="77777777" w:rsidR="0052312F" w:rsidRPr="006C7B74" w:rsidRDefault="0052312F" w:rsidP="0052312F">
      <w:pPr>
        <w:pStyle w:val="Heading4"/>
      </w:pPr>
      <w:r w:rsidRPr="006C7B74">
        <w:lastRenderedPageBreak/>
        <w:t>Our work, workforce and workplaces are changing</w:t>
      </w:r>
    </w:p>
    <w:p w14:paraId="2EE1E7DF" w14:textId="77777777" w:rsidR="0052312F" w:rsidRPr="006C7B74" w:rsidRDefault="0052312F" w:rsidP="0052312F"/>
    <w:p w14:paraId="2B893420" w14:textId="77777777" w:rsidR="0052312F" w:rsidRPr="006C7B74" w:rsidRDefault="0052312F" w:rsidP="0052312F">
      <w:pPr>
        <w:rPr>
          <w:rFonts w:cstheme="minorHAnsi"/>
          <w:sz w:val="20"/>
          <w:szCs w:val="20"/>
        </w:rPr>
      </w:pPr>
      <w:r w:rsidRPr="006C7B74">
        <w:rPr>
          <w:rFonts w:cstheme="minorHAnsi"/>
          <w:sz w:val="20"/>
          <w:szCs w:val="20"/>
        </w:rPr>
        <w:t>Between 2000 and 2016, Victoria’s labour market has exhibited a number of changes to the type of work, the workforce and workplace as follows.</w:t>
      </w:r>
    </w:p>
    <w:p w14:paraId="49A1687F" w14:textId="77777777" w:rsidR="0052312F" w:rsidRPr="006C7B74" w:rsidRDefault="0052312F" w:rsidP="0052312F">
      <w:pPr>
        <w:rPr>
          <w:rFonts w:cstheme="minorHAnsi"/>
          <w:sz w:val="20"/>
          <w:szCs w:val="20"/>
        </w:rPr>
      </w:pPr>
    </w:p>
    <w:p w14:paraId="5032A4CE" w14:textId="77777777" w:rsidR="0052312F" w:rsidRPr="006C7B74" w:rsidRDefault="0052312F" w:rsidP="0052312F">
      <w:pPr>
        <w:rPr>
          <w:rFonts w:cstheme="minorHAnsi"/>
          <w:sz w:val="20"/>
          <w:szCs w:val="20"/>
        </w:rPr>
      </w:pPr>
      <w:r w:rsidRPr="006C7B74">
        <w:rPr>
          <w:rFonts w:cstheme="minorHAnsi"/>
          <w:b/>
          <w:bCs/>
          <w:color w:val="1E1444"/>
          <w:sz w:val="20"/>
          <w:szCs w:val="20"/>
        </w:rPr>
        <w:t>The type of work has changed (industry, occupation, tasks, job contract)</w:t>
      </w:r>
    </w:p>
    <w:p w14:paraId="41E9566A" w14:textId="77777777" w:rsidR="0052312F" w:rsidRPr="006C7B74" w:rsidRDefault="0052312F" w:rsidP="0052312F">
      <w:pPr>
        <w:pStyle w:val="ListParagraph"/>
        <w:numPr>
          <w:ilvl w:val="0"/>
          <w:numId w:val="22"/>
        </w:numPr>
        <w:rPr>
          <w:rFonts w:cstheme="minorHAnsi"/>
          <w:color w:val="1E1444"/>
          <w:sz w:val="20"/>
          <w:szCs w:val="20"/>
        </w:rPr>
      </w:pPr>
      <w:r w:rsidRPr="006C7B74">
        <w:rPr>
          <w:rFonts w:cstheme="minorHAnsi"/>
          <w:color w:val="1E1444"/>
          <w:sz w:val="20"/>
          <w:szCs w:val="20"/>
        </w:rPr>
        <w:t xml:space="preserve">Virtually all jobs growth in service sectors (fewer jobs in manufacturing). </w:t>
      </w:r>
    </w:p>
    <w:p w14:paraId="2FA509B5" w14:textId="77777777" w:rsidR="0052312F" w:rsidRPr="006C7B74" w:rsidRDefault="0052312F" w:rsidP="0052312F">
      <w:pPr>
        <w:pStyle w:val="ListParagraph"/>
        <w:numPr>
          <w:ilvl w:val="0"/>
          <w:numId w:val="22"/>
        </w:numPr>
        <w:rPr>
          <w:rFonts w:cstheme="minorHAnsi"/>
          <w:color w:val="1E1444"/>
          <w:sz w:val="20"/>
          <w:szCs w:val="20"/>
        </w:rPr>
      </w:pPr>
      <w:r w:rsidRPr="006C7B74">
        <w:rPr>
          <w:rFonts w:cstheme="minorHAnsi"/>
          <w:color w:val="1E1444"/>
          <w:sz w:val="20"/>
          <w:szCs w:val="20"/>
        </w:rPr>
        <w:t xml:space="preserve">Decline in routine manual jobs over a number of decades. </w:t>
      </w:r>
    </w:p>
    <w:p w14:paraId="69723F7D" w14:textId="77777777" w:rsidR="0052312F" w:rsidRPr="006C7B74" w:rsidRDefault="0052312F" w:rsidP="0052312F">
      <w:pPr>
        <w:pStyle w:val="ListParagraph"/>
        <w:numPr>
          <w:ilvl w:val="0"/>
          <w:numId w:val="22"/>
        </w:numPr>
        <w:rPr>
          <w:rFonts w:cstheme="minorHAnsi"/>
          <w:color w:val="1E1444"/>
          <w:sz w:val="20"/>
          <w:szCs w:val="20"/>
        </w:rPr>
      </w:pPr>
      <w:r w:rsidRPr="006C7B74">
        <w:rPr>
          <w:rFonts w:cstheme="minorHAnsi"/>
          <w:color w:val="1E1444"/>
          <w:sz w:val="20"/>
          <w:szCs w:val="20"/>
        </w:rPr>
        <w:t xml:space="preserve">Decline in routine cognitive jobs over the past 15 years. </w:t>
      </w:r>
    </w:p>
    <w:p w14:paraId="5EFA9D56" w14:textId="77777777" w:rsidR="0052312F" w:rsidRPr="006C7B74" w:rsidRDefault="0052312F" w:rsidP="0052312F">
      <w:pPr>
        <w:pStyle w:val="ListParagraph"/>
        <w:numPr>
          <w:ilvl w:val="0"/>
          <w:numId w:val="22"/>
        </w:numPr>
        <w:rPr>
          <w:rFonts w:cstheme="minorHAnsi"/>
          <w:color w:val="1E1444"/>
          <w:sz w:val="20"/>
          <w:szCs w:val="20"/>
        </w:rPr>
      </w:pPr>
      <w:r w:rsidRPr="006C7B74">
        <w:rPr>
          <w:rFonts w:cstheme="minorHAnsi"/>
          <w:color w:val="1E1444"/>
          <w:sz w:val="20"/>
          <w:szCs w:val="20"/>
        </w:rPr>
        <w:t xml:space="preserve">Technology is augmenting tasks within occupations and creating new occupations. </w:t>
      </w:r>
    </w:p>
    <w:p w14:paraId="4F72E0E8" w14:textId="77777777" w:rsidR="0052312F" w:rsidRPr="006C7B74" w:rsidRDefault="0052312F" w:rsidP="0052312F">
      <w:pPr>
        <w:pStyle w:val="ListParagraph"/>
        <w:numPr>
          <w:ilvl w:val="0"/>
          <w:numId w:val="22"/>
        </w:numPr>
        <w:rPr>
          <w:rFonts w:cstheme="minorHAnsi"/>
          <w:color w:val="1E1444"/>
          <w:sz w:val="20"/>
          <w:szCs w:val="20"/>
        </w:rPr>
      </w:pPr>
      <w:r w:rsidRPr="006C7B74">
        <w:rPr>
          <w:rFonts w:cstheme="minorHAnsi"/>
          <w:color w:val="1E1444"/>
          <w:sz w:val="20"/>
          <w:szCs w:val="20"/>
        </w:rPr>
        <w:t xml:space="preserve">50 per cent of new jobs have been part-time. </w:t>
      </w:r>
    </w:p>
    <w:p w14:paraId="052AF702" w14:textId="77777777" w:rsidR="0052312F" w:rsidRPr="006C7B74" w:rsidRDefault="0052312F" w:rsidP="0052312F">
      <w:pPr>
        <w:pStyle w:val="ListParagraph"/>
        <w:numPr>
          <w:ilvl w:val="0"/>
          <w:numId w:val="22"/>
        </w:numPr>
        <w:rPr>
          <w:rFonts w:cstheme="minorHAnsi"/>
          <w:color w:val="1E1444"/>
          <w:sz w:val="20"/>
          <w:szCs w:val="20"/>
        </w:rPr>
      </w:pPr>
      <w:r w:rsidRPr="006C7B74">
        <w:rPr>
          <w:rFonts w:cstheme="minorHAnsi"/>
          <w:color w:val="1E1444"/>
          <w:sz w:val="20"/>
          <w:szCs w:val="20"/>
        </w:rPr>
        <w:t>Approximately 20 per cent of jobs are casual, similar to 2001.</w:t>
      </w:r>
    </w:p>
    <w:p w14:paraId="5C52A938" w14:textId="77777777" w:rsidR="0052312F" w:rsidRPr="006C7B74" w:rsidRDefault="0052312F" w:rsidP="0052312F">
      <w:pPr>
        <w:rPr>
          <w:rFonts w:cstheme="minorHAnsi"/>
          <w:color w:val="1E1444"/>
          <w:sz w:val="20"/>
          <w:szCs w:val="20"/>
        </w:rPr>
      </w:pPr>
    </w:p>
    <w:p w14:paraId="6A32AA99" w14:textId="77777777" w:rsidR="0052312F" w:rsidRPr="006C7B74" w:rsidRDefault="0052312F" w:rsidP="0052312F">
      <w:pPr>
        <w:rPr>
          <w:rFonts w:cstheme="minorHAnsi"/>
          <w:b/>
          <w:bCs/>
          <w:color w:val="1E1444"/>
          <w:sz w:val="20"/>
          <w:szCs w:val="20"/>
        </w:rPr>
      </w:pPr>
      <w:r w:rsidRPr="006C7B74">
        <w:rPr>
          <w:rFonts w:cstheme="minorHAnsi"/>
          <w:b/>
          <w:bCs/>
          <w:color w:val="1E1444"/>
          <w:sz w:val="20"/>
          <w:szCs w:val="20"/>
        </w:rPr>
        <w:t>The workforce has changed (supply of labour)</w:t>
      </w:r>
    </w:p>
    <w:p w14:paraId="34C7A6F2" w14:textId="77777777" w:rsidR="0052312F" w:rsidRPr="006C7B74" w:rsidRDefault="0052312F" w:rsidP="0052312F">
      <w:pPr>
        <w:pStyle w:val="ListParagraph"/>
        <w:numPr>
          <w:ilvl w:val="0"/>
          <w:numId w:val="22"/>
        </w:numPr>
        <w:rPr>
          <w:rFonts w:cstheme="minorHAnsi"/>
          <w:color w:val="1E1444"/>
          <w:sz w:val="20"/>
          <w:szCs w:val="20"/>
        </w:rPr>
      </w:pPr>
      <w:r w:rsidRPr="006C7B74">
        <w:rPr>
          <w:rFonts w:cstheme="minorHAnsi"/>
          <w:color w:val="1E1444"/>
          <w:sz w:val="20"/>
          <w:szCs w:val="20"/>
        </w:rPr>
        <w:t xml:space="preserve">Female participation continues to increase, and male participation continues to decline. </w:t>
      </w:r>
    </w:p>
    <w:p w14:paraId="6A5C52F3" w14:textId="77777777" w:rsidR="0052312F" w:rsidRPr="006C7B74" w:rsidRDefault="0052312F" w:rsidP="0052312F">
      <w:pPr>
        <w:pStyle w:val="ListParagraph"/>
        <w:numPr>
          <w:ilvl w:val="0"/>
          <w:numId w:val="22"/>
        </w:numPr>
        <w:rPr>
          <w:rFonts w:cstheme="minorHAnsi"/>
          <w:color w:val="1E1444"/>
          <w:sz w:val="20"/>
          <w:szCs w:val="20"/>
        </w:rPr>
      </w:pPr>
      <w:r w:rsidRPr="006C7B74">
        <w:rPr>
          <w:rFonts w:cstheme="minorHAnsi"/>
          <w:color w:val="1E1444"/>
          <w:sz w:val="20"/>
          <w:szCs w:val="20"/>
        </w:rPr>
        <w:t xml:space="preserve">Victorians are retiring at an older age. </w:t>
      </w:r>
    </w:p>
    <w:p w14:paraId="72E72797" w14:textId="77777777" w:rsidR="0052312F" w:rsidRPr="006C7B74" w:rsidRDefault="0052312F" w:rsidP="0052312F">
      <w:pPr>
        <w:pStyle w:val="ListParagraph"/>
        <w:numPr>
          <w:ilvl w:val="0"/>
          <w:numId w:val="22"/>
        </w:numPr>
        <w:rPr>
          <w:rFonts w:cstheme="minorHAnsi"/>
          <w:color w:val="1E1444"/>
          <w:sz w:val="20"/>
          <w:szCs w:val="20"/>
        </w:rPr>
      </w:pPr>
      <w:r w:rsidRPr="006C7B74">
        <w:rPr>
          <w:rFonts w:cstheme="minorHAnsi"/>
          <w:color w:val="1E1444"/>
          <w:sz w:val="20"/>
          <w:szCs w:val="20"/>
        </w:rPr>
        <w:t xml:space="preserve">More Victorians have a higher qualification. </w:t>
      </w:r>
    </w:p>
    <w:p w14:paraId="28E6BA9A" w14:textId="77777777" w:rsidR="0052312F" w:rsidRPr="006C7B74" w:rsidRDefault="0052312F" w:rsidP="0052312F">
      <w:pPr>
        <w:pStyle w:val="ListParagraph"/>
        <w:numPr>
          <w:ilvl w:val="0"/>
          <w:numId w:val="22"/>
        </w:numPr>
        <w:rPr>
          <w:rFonts w:cstheme="minorHAnsi"/>
          <w:color w:val="1E1444"/>
          <w:sz w:val="20"/>
          <w:szCs w:val="20"/>
        </w:rPr>
      </w:pPr>
      <w:r w:rsidRPr="006C7B74">
        <w:rPr>
          <w:rFonts w:cstheme="minorHAnsi"/>
          <w:color w:val="1E1444"/>
          <w:sz w:val="20"/>
          <w:szCs w:val="20"/>
        </w:rPr>
        <w:t xml:space="preserve">The underutilisation rate has increased (largely explained by youth underemployment). </w:t>
      </w:r>
    </w:p>
    <w:p w14:paraId="36916B68" w14:textId="77777777" w:rsidR="0052312F" w:rsidRPr="006C7B74" w:rsidRDefault="0052312F" w:rsidP="0052312F">
      <w:pPr>
        <w:pStyle w:val="ListParagraph"/>
        <w:numPr>
          <w:ilvl w:val="0"/>
          <w:numId w:val="22"/>
        </w:numPr>
        <w:rPr>
          <w:rFonts w:cstheme="minorHAnsi"/>
          <w:color w:val="1E1444"/>
          <w:sz w:val="20"/>
          <w:szCs w:val="20"/>
        </w:rPr>
      </w:pPr>
      <w:r w:rsidRPr="006C7B74">
        <w:rPr>
          <w:rFonts w:cstheme="minorHAnsi"/>
          <w:color w:val="1E1444"/>
          <w:sz w:val="20"/>
          <w:szCs w:val="20"/>
        </w:rPr>
        <w:t xml:space="preserve">The time taken for </w:t>
      </w:r>
      <w:proofErr w:type="gramStart"/>
      <w:r w:rsidRPr="006C7B74">
        <w:rPr>
          <w:rFonts w:cstheme="minorHAnsi"/>
          <w:color w:val="1E1444"/>
          <w:sz w:val="20"/>
          <w:szCs w:val="20"/>
        </w:rPr>
        <w:t>bachelor</w:t>
      </w:r>
      <w:proofErr w:type="gramEnd"/>
      <w:r w:rsidRPr="006C7B74">
        <w:rPr>
          <w:rFonts w:cstheme="minorHAnsi"/>
          <w:color w:val="1E1444"/>
          <w:sz w:val="20"/>
          <w:szCs w:val="20"/>
        </w:rPr>
        <w:t xml:space="preserve"> degree graduates to find full-time work is increasing. </w:t>
      </w:r>
    </w:p>
    <w:p w14:paraId="03D236DF" w14:textId="77777777" w:rsidR="0052312F" w:rsidRPr="006C7B74" w:rsidRDefault="0052312F" w:rsidP="0052312F">
      <w:pPr>
        <w:rPr>
          <w:rFonts w:cstheme="minorHAnsi"/>
          <w:color w:val="1E1444"/>
          <w:sz w:val="20"/>
          <w:szCs w:val="20"/>
        </w:rPr>
      </w:pPr>
    </w:p>
    <w:p w14:paraId="328FC46E" w14:textId="77777777" w:rsidR="0052312F" w:rsidRPr="006C7B74" w:rsidRDefault="0052312F" w:rsidP="0052312F">
      <w:pPr>
        <w:rPr>
          <w:rFonts w:cstheme="minorHAnsi"/>
          <w:b/>
          <w:bCs/>
          <w:color w:val="1E1444"/>
          <w:sz w:val="20"/>
          <w:szCs w:val="20"/>
        </w:rPr>
      </w:pPr>
      <w:r w:rsidRPr="006C7B74">
        <w:rPr>
          <w:rFonts w:cstheme="minorHAnsi"/>
          <w:b/>
          <w:bCs/>
          <w:color w:val="1E1444"/>
          <w:sz w:val="20"/>
          <w:szCs w:val="20"/>
        </w:rPr>
        <w:t>The workplace has changed (location and structure)</w:t>
      </w:r>
    </w:p>
    <w:p w14:paraId="506F8B5F" w14:textId="77777777" w:rsidR="0052312F" w:rsidRPr="006C7B74" w:rsidRDefault="0052312F" w:rsidP="0052312F">
      <w:pPr>
        <w:pStyle w:val="ListParagraph"/>
        <w:numPr>
          <w:ilvl w:val="0"/>
          <w:numId w:val="22"/>
        </w:numPr>
        <w:rPr>
          <w:rFonts w:cstheme="minorHAnsi"/>
          <w:color w:val="1E1444"/>
          <w:sz w:val="20"/>
          <w:szCs w:val="20"/>
        </w:rPr>
      </w:pPr>
      <w:r w:rsidRPr="006C7B74">
        <w:rPr>
          <w:rFonts w:cstheme="minorHAnsi"/>
          <w:color w:val="1E1444"/>
          <w:sz w:val="20"/>
          <w:szCs w:val="20"/>
        </w:rPr>
        <w:t xml:space="preserve">Many workplaces are increasingly digitised. </w:t>
      </w:r>
    </w:p>
    <w:p w14:paraId="6242AC6D" w14:textId="77777777" w:rsidR="0052312F" w:rsidRPr="006C7B74" w:rsidRDefault="0052312F" w:rsidP="0052312F">
      <w:pPr>
        <w:pStyle w:val="ListParagraph"/>
        <w:numPr>
          <w:ilvl w:val="0"/>
          <w:numId w:val="22"/>
        </w:numPr>
        <w:rPr>
          <w:rFonts w:cstheme="minorHAnsi"/>
          <w:color w:val="1E1444"/>
          <w:sz w:val="20"/>
          <w:szCs w:val="20"/>
        </w:rPr>
      </w:pPr>
      <w:r w:rsidRPr="006C7B74">
        <w:rPr>
          <w:rFonts w:cstheme="minorHAnsi"/>
          <w:color w:val="1E1444"/>
          <w:sz w:val="20"/>
          <w:szCs w:val="20"/>
        </w:rPr>
        <w:t xml:space="preserve">Increase in Melbourne co-working spaces and start-ups. </w:t>
      </w:r>
    </w:p>
    <w:p w14:paraId="32DDC789" w14:textId="77777777" w:rsidR="0052312F" w:rsidRPr="006C7B74" w:rsidRDefault="0052312F" w:rsidP="0052312F">
      <w:pPr>
        <w:pStyle w:val="ListParagraph"/>
        <w:numPr>
          <w:ilvl w:val="0"/>
          <w:numId w:val="22"/>
        </w:numPr>
        <w:rPr>
          <w:rFonts w:cstheme="minorHAnsi"/>
          <w:color w:val="1E1444"/>
          <w:sz w:val="20"/>
          <w:szCs w:val="20"/>
        </w:rPr>
      </w:pPr>
      <w:r w:rsidRPr="006C7B74">
        <w:rPr>
          <w:rFonts w:cstheme="minorHAnsi"/>
          <w:color w:val="1E1444"/>
          <w:sz w:val="20"/>
          <w:szCs w:val="20"/>
        </w:rPr>
        <w:t xml:space="preserve">Location of workplaces have become increasingly concentrated around Melbourne. </w:t>
      </w:r>
    </w:p>
    <w:p w14:paraId="013CA8DE" w14:textId="77777777" w:rsidR="0052312F" w:rsidRPr="006C7B74" w:rsidRDefault="0052312F" w:rsidP="0052312F">
      <w:pPr>
        <w:pStyle w:val="ListParagraph"/>
        <w:numPr>
          <w:ilvl w:val="0"/>
          <w:numId w:val="22"/>
        </w:numPr>
        <w:rPr>
          <w:rFonts w:cstheme="minorHAnsi"/>
          <w:color w:val="1E1444"/>
          <w:sz w:val="20"/>
          <w:szCs w:val="20"/>
        </w:rPr>
      </w:pPr>
      <w:r w:rsidRPr="006C7B74">
        <w:rPr>
          <w:rFonts w:cstheme="minorHAnsi"/>
          <w:color w:val="1E1444"/>
          <w:sz w:val="20"/>
          <w:szCs w:val="20"/>
        </w:rPr>
        <w:t xml:space="preserve">The prevalence of lengthy commutes (&gt;45 mins) has increased. </w:t>
      </w:r>
    </w:p>
    <w:p w14:paraId="0F26F4D0" w14:textId="77777777" w:rsidR="0052312F" w:rsidRPr="006C7B74" w:rsidRDefault="0052312F" w:rsidP="0052312F">
      <w:pPr>
        <w:pStyle w:val="ListParagraph"/>
        <w:numPr>
          <w:ilvl w:val="0"/>
          <w:numId w:val="22"/>
        </w:numPr>
        <w:rPr>
          <w:rFonts w:cstheme="minorHAnsi"/>
          <w:color w:val="1E1444"/>
          <w:sz w:val="20"/>
          <w:szCs w:val="20"/>
        </w:rPr>
      </w:pPr>
      <w:r w:rsidRPr="006C7B74">
        <w:rPr>
          <w:rFonts w:cstheme="minorHAnsi"/>
          <w:color w:val="1E1444"/>
          <w:sz w:val="20"/>
          <w:szCs w:val="20"/>
        </w:rPr>
        <w:t>The production of goods and services are increasingly carried out wherever the required resources are available.</w:t>
      </w:r>
    </w:p>
    <w:p w14:paraId="648A90D3" w14:textId="77777777" w:rsidR="0052312F" w:rsidRPr="006C7B74" w:rsidRDefault="0052312F" w:rsidP="0052312F">
      <w:pPr>
        <w:rPr>
          <w:rFonts w:cstheme="minorHAnsi"/>
          <w:color w:val="1E1444"/>
          <w:sz w:val="20"/>
          <w:szCs w:val="20"/>
        </w:rPr>
      </w:pPr>
    </w:p>
    <w:p w14:paraId="32E2DC03" w14:textId="77777777" w:rsidR="0052312F" w:rsidRPr="006C7B74" w:rsidRDefault="0052312F" w:rsidP="0052312F">
      <w:pPr>
        <w:rPr>
          <w:rFonts w:cstheme="minorHAnsi"/>
          <w:b/>
          <w:bCs/>
          <w:color w:val="1E1444"/>
          <w:sz w:val="20"/>
          <w:szCs w:val="20"/>
        </w:rPr>
      </w:pPr>
      <w:r w:rsidRPr="006C7B74">
        <w:rPr>
          <w:rFonts w:cstheme="minorHAnsi"/>
          <w:b/>
          <w:bCs/>
          <w:color w:val="1E1444"/>
          <w:sz w:val="20"/>
          <w:szCs w:val="20"/>
        </w:rPr>
        <w:t xml:space="preserve">Driven by: </w:t>
      </w:r>
    </w:p>
    <w:p w14:paraId="441F29B8" w14:textId="77777777" w:rsidR="0052312F" w:rsidRPr="006C7B74" w:rsidRDefault="0052312F" w:rsidP="0052312F">
      <w:pPr>
        <w:pStyle w:val="ListParagraph"/>
        <w:numPr>
          <w:ilvl w:val="0"/>
          <w:numId w:val="22"/>
        </w:numPr>
        <w:rPr>
          <w:rFonts w:cstheme="minorHAnsi"/>
          <w:color w:val="1E1444"/>
          <w:sz w:val="20"/>
          <w:szCs w:val="20"/>
        </w:rPr>
      </w:pPr>
      <w:r w:rsidRPr="006C7B74">
        <w:rPr>
          <w:rFonts w:cstheme="minorHAnsi"/>
          <w:color w:val="1E1444"/>
          <w:sz w:val="20"/>
          <w:szCs w:val="20"/>
        </w:rPr>
        <w:t xml:space="preserve">Population growth and ageing. </w:t>
      </w:r>
    </w:p>
    <w:p w14:paraId="7A904E62" w14:textId="77777777" w:rsidR="0052312F" w:rsidRPr="006C7B74" w:rsidRDefault="0052312F" w:rsidP="0052312F">
      <w:pPr>
        <w:pStyle w:val="ListParagraph"/>
        <w:numPr>
          <w:ilvl w:val="0"/>
          <w:numId w:val="22"/>
        </w:numPr>
        <w:rPr>
          <w:rFonts w:cstheme="minorHAnsi"/>
          <w:color w:val="1E1444"/>
          <w:sz w:val="20"/>
          <w:szCs w:val="20"/>
        </w:rPr>
      </w:pPr>
      <w:r w:rsidRPr="006C7B74">
        <w:rPr>
          <w:rFonts w:cstheme="minorHAnsi"/>
          <w:color w:val="1E1444"/>
          <w:sz w:val="20"/>
          <w:szCs w:val="20"/>
        </w:rPr>
        <w:t xml:space="preserve">Global competition (specialisation and offshoring). </w:t>
      </w:r>
    </w:p>
    <w:p w14:paraId="0D1BFDF1" w14:textId="77777777" w:rsidR="0052312F" w:rsidRPr="006C7B74" w:rsidRDefault="0052312F" w:rsidP="0052312F">
      <w:pPr>
        <w:pStyle w:val="ListParagraph"/>
        <w:numPr>
          <w:ilvl w:val="0"/>
          <w:numId w:val="22"/>
        </w:numPr>
        <w:rPr>
          <w:rFonts w:cstheme="minorHAnsi"/>
          <w:color w:val="1E1444"/>
          <w:sz w:val="20"/>
          <w:szCs w:val="20"/>
        </w:rPr>
      </w:pPr>
      <w:r w:rsidRPr="006C7B74">
        <w:rPr>
          <w:rFonts w:cstheme="minorHAnsi"/>
          <w:color w:val="1E1444"/>
          <w:sz w:val="20"/>
          <w:szCs w:val="20"/>
        </w:rPr>
        <w:t>Changing consumption patterns.</w:t>
      </w:r>
    </w:p>
    <w:p w14:paraId="05E9AF3E" w14:textId="77777777" w:rsidR="0052312F" w:rsidRPr="006C7B74" w:rsidRDefault="0052312F" w:rsidP="0052312F">
      <w:pPr>
        <w:pStyle w:val="ListParagraph"/>
        <w:numPr>
          <w:ilvl w:val="0"/>
          <w:numId w:val="22"/>
        </w:numPr>
        <w:rPr>
          <w:rFonts w:cstheme="minorHAnsi"/>
          <w:color w:val="1E1444"/>
          <w:sz w:val="20"/>
          <w:szCs w:val="20"/>
        </w:rPr>
      </w:pPr>
      <w:r w:rsidRPr="006C7B74">
        <w:rPr>
          <w:rFonts w:cstheme="minorHAnsi"/>
          <w:color w:val="1E1444"/>
          <w:sz w:val="20"/>
          <w:szCs w:val="20"/>
        </w:rPr>
        <w:t xml:space="preserve">Technology (including automation). </w:t>
      </w:r>
    </w:p>
    <w:p w14:paraId="70F482D6" w14:textId="77777777" w:rsidR="0052312F" w:rsidRPr="006C7B74" w:rsidRDefault="0052312F" w:rsidP="0052312F">
      <w:pPr>
        <w:pStyle w:val="ListParagraph"/>
        <w:numPr>
          <w:ilvl w:val="0"/>
          <w:numId w:val="22"/>
        </w:numPr>
        <w:rPr>
          <w:rFonts w:cstheme="minorHAnsi"/>
          <w:color w:val="1E1444"/>
          <w:sz w:val="20"/>
          <w:szCs w:val="20"/>
        </w:rPr>
      </w:pPr>
      <w:r w:rsidRPr="006C7B74">
        <w:rPr>
          <w:rFonts w:cstheme="minorHAnsi"/>
          <w:color w:val="1E1444"/>
          <w:sz w:val="20"/>
          <w:szCs w:val="20"/>
        </w:rPr>
        <w:t xml:space="preserve">Greater flexibility for businesses to scale up or down. </w:t>
      </w:r>
    </w:p>
    <w:p w14:paraId="6F4C371D" w14:textId="77777777" w:rsidR="0052312F" w:rsidRPr="006C7B74" w:rsidRDefault="0052312F" w:rsidP="0052312F">
      <w:pPr>
        <w:pStyle w:val="ListParagraph"/>
        <w:numPr>
          <w:ilvl w:val="0"/>
          <w:numId w:val="22"/>
        </w:numPr>
        <w:rPr>
          <w:rFonts w:cstheme="minorHAnsi"/>
          <w:sz w:val="20"/>
          <w:szCs w:val="20"/>
        </w:rPr>
      </w:pPr>
      <w:r w:rsidRPr="006C7B74">
        <w:rPr>
          <w:rFonts w:cstheme="minorHAnsi"/>
          <w:color w:val="1E1444"/>
          <w:sz w:val="20"/>
          <w:szCs w:val="20"/>
        </w:rPr>
        <w:t>Greater flexibility for workers to balance work-life preferences.</w:t>
      </w:r>
    </w:p>
    <w:p w14:paraId="046E21F0" w14:textId="6D604B81" w:rsidR="00DB14F3" w:rsidRPr="006C7B74" w:rsidRDefault="00DB14F3" w:rsidP="00934C4D">
      <w:pPr>
        <w:pStyle w:val="BodyText"/>
        <w:spacing w:before="0" w:line="240" w:lineRule="auto"/>
      </w:pPr>
    </w:p>
    <w:p w14:paraId="49D71E03" w14:textId="77777777" w:rsidR="00CB76E5" w:rsidRPr="006C7B74" w:rsidRDefault="00CB76E5" w:rsidP="00CB76E5">
      <w:pPr>
        <w:pStyle w:val="BodyText"/>
        <w:spacing w:before="0" w:line="240" w:lineRule="auto"/>
      </w:pPr>
    </w:p>
    <w:p w14:paraId="075BA8EA" w14:textId="4FD5CE82" w:rsidR="000D1946" w:rsidRPr="00AD7153" w:rsidRDefault="00845666" w:rsidP="00AD7153">
      <w:pPr>
        <w:pStyle w:val="Heading2-Contenttable"/>
      </w:pPr>
      <w:bookmarkStart w:id="11" w:name="_Toc21694796"/>
      <w:r w:rsidRPr="00AD7153">
        <w:t>Key f</w:t>
      </w:r>
      <w:r w:rsidR="007E5268" w:rsidRPr="00AD7153">
        <w:t>actors that will</w:t>
      </w:r>
      <w:r w:rsidR="000D1946" w:rsidRPr="00AD7153">
        <w:t xml:space="preserve"> change</w:t>
      </w:r>
      <w:r w:rsidR="007E5268" w:rsidRPr="00AD7153">
        <w:t xml:space="preserve"> the future of work</w:t>
      </w:r>
      <w:bookmarkEnd w:id="11"/>
    </w:p>
    <w:p w14:paraId="1AB9499E" w14:textId="77777777" w:rsidR="00F11092" w:rsidRPr="006C7B74" w:rsidRDefault="00C96889" w:rsidP="00934C4D">
      <w:pPr>
        <w:pStyle w:val="BodyText"/>
        <w:spacing w:before="0" w:line="240" w:lineRule="auto"/>
      </w:pPr>
      <w:r w:rsidRPr="006C7B74">
        <w:t xml:space="preserve">To remain competitive there is a need to support growth and innovation across all industries and regions. </w:t>
      </w:r>
    </w:p>
    <w:p w14:paraId="412DDFB6" w14:textId="4480B60E" w:rsidR="00F11092" w:rsidRPr="006C7B74" w:rsidRDefault="00F11092" w:rsidP="00934C4D">
      <w:pPr>
        <w:pStyle w:val="BodyText"/>
        <w:spacing w:before="0" w:line="240" w:lineRule="auto"/>
      </w:pPr>
      <w:r w:rsidRPr="006C7B74">
        <w:t>Rapid advances in technology, globalisation and changing consumer patterns will see businesses and industries disrupted at a faster pace over the next decade. The nature and pace of this change will be difficult to predict</w:t>
      </w:r>
      <w:r w:rsidR="00141EAC" w:rsidRPr="006C7B74">
        <w:t>,</w:t>
      </w:r>
      <w:r w:rsidRPr="006C7B74">
        <w:t xml:space="preserve"> businesses will transform how they operate</w:t>
      </w:r>
      <w:r w:rsidR="00141EAC" w:rsidRPr="006C7B74">
        <w:t>,</w:t>
      </w:r>
      <w:r w:rsidRPr="006C7B74">
        <w:t xml:space="preserve"> people will be employed in occupations that do not yet exist, labour and capital will be (more than ever) globally mobile</w:t>
      </w:r>
      <w:r w:rsidR="00CE5468" w:rsidRPr="006C7B74">
        <w:t xml:space="preserve"> and technology will significantly change occupations, tasks and skill requirements. </w:t>
      </w:r>
    </w:p>
    <w:p w14:paraId="0BF83FC0" w14:textId="0C440AE4" w:rsidR="0021250B" w:rsidRPr="006C7B74" w:rsidRDefault="00CE5468" w:rsidP="00934C4D">
      <w:pPr>
        <w:pStyle w:val="BodyText"/>
        <w:spacing w:before="0" w:line="240" w:lineRule="auto"/>
      </w:pPr>
      <w:r w:rsidRPr="006C7B74">
        <w:t>The nature of work and how business is done</w:t>
      </w:r>
      <w:r w:rsidR="00E3398D" w:rsidRPr="006C7B74">
        <w:t>,</w:t>
      </w:r>
      <w:r w:rsidRPr="006C7B74">
        <w:t xml:space="preserve"> will continue to change in response to global and domestic factors and this will influence how </w:t>
      </w:r>
      <w:r w:rsidR="00651A27" w:rsidRPr="006C7B74">
        <w:t>industrial and commercial</w:t>
      </w:r>
      <w:r w:rsidRPr="006C7B74">
        <w:t xml:space="preserve"> land is </w:t>
      </w:r>
      <w:r w:rsidR="0021250B" w:rsidRPr="006C7B74">
        <w:t xml:space="preserve">used and </w:t>
      </w:r>
      <w:r w:rsidRPr="006C7B74">
        <w:t xml:space="preserve">planned for. </w:t>
      </w:r>
    </w:p>
    <w:p w14:paraId="34186128" w14:textId="71A140B2" w:rsidR="00F37903" w:rsidRPr="006C7B74" w:rsidRDefault="006C67E1" w:rsidP="00934C4D">
      <w:pPr>
        <w:pStyle w:val="BodyText"/>
        <w:spacing w:before="0" w:line="240" w:lineRule="auto"/>
      </w:pPr>
      <w:r w:rsidRPr="006C7B74">
        <w:t xml:space="preserve">These expected changes will present significant new </w:t>
      </w:r>
      <w:r w:rsidR="00CA3509" w:rsidRPr="006C7B74">
        <w:t>employment</w:t>
      </w:r>
      <w:r w:rsidRPr="006C7B74">
        <w:t xml:space="preserve"> and economic opportunities for Victoria, </w:t>
      </w:r>
      <w:r w:rsidR="00651A27" w:rsidRPr="006C7B74">
        <w:t>and</w:t>
      </w:r>
      <w:r w:rsidRPr="006C7B74">
        <w:t xml:space="preserve"> transitional challenges. There are opportunities to anticipate, respond and capitalise on these expected changes in how we plan for our city</w:t>
      </w:r>
      <w:r w:rsidR="00F37903" w:rsidRPr="006C7B74">
        <w:t>.</w:t>
      </w:r>
    </w:p>
    <w:p w14:paraId="085CE39C" w14:textId="42CCFE31" w:rsidR="00FA1BFD" w:rsidRPr="006C7B74" w:rsidRDefault="00FA1BFD" w:rsidP="00FA1BFD">
      <w:pPr>
        <w:autoSpaceDE w:val="0"/>
        <w:autoSpaceDN w:val="0"/>
        <w:adjustRightInd w:val="0"/>
      </w:pPr>
    </w:p>
    <w:p w14:paraId="60F6BA67" w14:textId="77777777" w:rsidR="00A70919" w:rsidRDefault="00A70919">
      <w:pPr>
        <w:rPr>
          <w:rFonts w:asciiTheme="majorHAnsi" w:eastAsiaTheme="majorEastAsia" w:hAnsiTheme="majorHAnsi" w:cstheme="majorBidi"/>
          <w:b/>
          <w:color w:val="642667"/>
          <w:sz w:val="28"/>
        </w:rPr>
      </w:pPr>
      <w:bookmarkStart w:id="12" w:name="_Toc21694797"/>
      <w:r>
        <w:br w:type="page"/>
      </w:r>
    </w:p>
    <w:p w14:paraId="019F9083" w14:textId="44934624" w:rsidR="006C2407" w:rsidRPr="006C7B74" w:rsidRDefault="002261FC" w:rsidP="00AD7153">
      <w:pPr>
        <w:pStyle w:val="Heading2-Contenttable"/>
      </w:pPr>
      <w:r w:rsidRPr="006C7B74">
        <w:lastRenderedPageBreak/>
        <w:t>S</w:t>
      </w:r>
      <w:r w:rsidR="006C0C0A" w:rsidRPr="006C7B74">
        <w:t>upport</w:t>
      </w:r>
      <w:r w:rsidRPr="006C7B74">
        <w:t>ing</w:t>
      </w:r>
      <w:r w:rsidR="006C0C0A" w:rsidRPr="006C7B74">
        <w:t xml:space="preserve"> </w:t>
      </w:r>
      <w:r w:rsidR="008A49DB" w:rsidRPr="006C7B74">
        <w:t xml:space="preserve">Melbourne and Victoria’s </w:t>
      </w:r>
      <w:r w:rsidR="006C0C0A" w:rsidRPr="006C7B74">
        <w:t>economic growth and</w:t>
      </w:r>
      <w:r w:rsidR="00E76D01" w:rsidRPr="006C7B74">
        <w:t xml:space="preserve"> d</w:t>
      </w:r>
      <w:r w:rsidR="006C0C0A" w:rsidRPr="006C7B74">
        <w:t>evelopment</w:t>
      </w:r>
      <w:bookmarkEnd w:id="12"/>
    </w:p>
    <w:p w14:paraId="5B20A5A3" w14:textId="391D7F6A" w:rsidR="002F3E14" w:rsidRPr="006C7B74" w:rsidRDefault="006C0C0A" w:rsidP="00934C4D">
      <w:pPr>
        <w:pStyle w:val="BodyText"/>
        <w:spacing w:before="0" w:line="240" w:lineRule="auto"/>
        <w:rPr>
          <w:lang w:eastAsia="en-AU"/>
        </w:rPr>
      </w:pPr>
      <w:r w:rsidRPr="006C7B74">
        <w:rPr>
          <w:lang w:eastAsia="en-AU"/>
        </w:rPr>
        <w:t xml:space="preserve">The Victorian </w:t>
      </w:r>
      <w:r w:rsidR="00163F19" w:rsidRPr="006C7B74">
        <w:rPr>
          <w:lang w:eastAsia="en-AU"/>
        </w:rPr>
        <w:t>G</w:t>
      </w:r>
      <w:r w:rsidRPr="006C7B74">
        <w:rPr>
          <w:lang w:eastAsia="en-AU"/>
        </w:rPr>
        <w:t>overnment has a range of high</w:t>
      </w:r>
      <w:r w:rsidR="00F37903" w:rsidRPr="006C7B74">
        <w:rPr>
          <w:lang w:eastAsia="en-AU"/>
        </w:rPr>
        <w:t>-</w:t>
      </w:r>
      <w:r w:rsidRPr="006C7B74">
        <w:rPr>
          <w:lang w:eastAsia="en-AU"/>
        </w:rPr>
        <w:t>level policies and strategies in place</w:t>
      </w:r>
      <w:r w:rsidR="00651A27" w:rsidRPr="006C7B74">
        <w:rPr>
          <w:lang w:eastAsia="en-AU"/>
        </w:rPr>
        <w:t xml:space="preserve"> which are</w:t>
      </w:r>
      <w:r w:rsidRPr="006C7B74">
        <w:rPr>
          <w:lang w:eastAsia="en-AU"/>
        </w:rPr>
        <w:t xml:space="preserve"> focussed on improving economic performance and productivity</w:t>
      </w:r>
      <w:r w:rsidR="007E65A0" w:rsidRPr="006C7B74">
        <w:rPr>
          <w:lang w:eastAsia="en-AU"/>
        </w:rPr>
        <w:t>,</w:t>
      </w:r>
      <w:r w:rsidRPr="006C7B74">
        <w:rPr>
          <w:lang w:eastAsia="en-AU"/>
        </w:rPr>
        <w:t xml:space="preserve"> in order to contribute to improved living standards for all Victorians. </w:t>
      </w:r>
    </w:p>
    <w:p w14:paraId="3C190E82" w14:textId="160845E8" w:rsidR="005C0549" w:rsidRPr="006C7B74" w:rsidRDefault="002F3E14" w:rsidP="00934C4D">
      <w:pPr>
        <w:pStyle w:val="BodyText"/>
        <w:spacing w:before="0" w:line="240" w:lineRule="auto"/>
        <w:rPr>
          <w:lang w:eastAsia="en-AU"/>
        </w:rPr>
      </w:pPr>
      <w:r w:rsidRPr="006C7B74">
        <w:rPr>
          <w:i/>
          <w:lang w:eastAsia="en-AU"/>
        </w:rPr>
        <w:t>Economic Building Blocks for Victoria</w:t>
      </w:r>
      <w:r w:rsidRPr="006C7B74">
        <w:rPr>
          <w:lang w:eastAsia="en-AU"/>
        </w:rPr>
        <w:t xml:space="preserve"> is an outcomes-focused strategy based on six building blocks. The aim of this strategy is to create more jobs, especially high-skill, high-wage jobs that people can easily access by a quality transport system. Equity and inclusion are </w:t>
      </w:r>
      <w:r w:rsidR="00F90FCA" w:rsidRPr="006C7B74">
        <w:rPr>
          <w:lang w:eastAsia="en-AU"/>
        </w:rPr>
        <w:t>promoted.</w:t>
      </w:r>
      <w:r w:rsidRPr="006C7B74">
        <w:rPr>
          <w:lang w:eastAsia="en-AU"/>
        </w:rPr>
        <w:t xml:space="preserve"> Maintaining Victoria’s liveability is also encouraged.</w:t>
      </w:r>
      <w:r w:rsidR="005C0549" w:rsidRPr="006C7B74">
        <w:rPr>
          <w:lang w:eastAsia="en-AU"/>
        </w:rPr>
        <w:t xml:space="preserve"> The six building blocks are:</w:t>
      </w:r>
    </w:p>
    <w:p w14:paraId="284E6ED0" w14:textId="5FAF9E47" w:rsidR="005C0549" w:rsidRPr="006C7B74" w:rsidRDefault="005C0549" w:rsidP="00652302">
      <w:pPr>
        <w:pStyle w:val="BodyText"/>
        <w:numPr>
          <w:ilvl w:val="0"/>
          <w:numId w:val="79"/>
        </w:numPr>
      </w:pPr>
      <w:r w:rsidRPr="006C7B74">
        <w:t>Jobs Now - Working to create more opportunities and more jobs</w:t>
      </w:r>
      <w:r w:rsidR="007C1331" w:rsidRPr="006C7B74">
        <w:t>.</w:t>
      </w:r>
    </w:p>
    <w:p w14:paraId="63FDF661" w14:textId="63C51F4F" w:rsidR="005C0549" w:rsidRPr="006C7B74" w:rsidRDefault="005C0549" w:rsidP="00652302">
      <w:pPr>
        <w:pStyle w:val="BodyText"/>
        <w:numPr>
          <w:ilvl w:val="0"/>
          <w:numId w:val="79"/>
        </w:numPr>
      </w:pPr>
      <w:r w:rsidRPr="006C7B74">
        <w:t>Future Jobs - Working to create more high-skill, high wage jobs</w:t>
      </w:r>
      <w:r w:rsidR="007C1331" w:rsidRPr="006C7B74">
        <w:t>.</w:t>
      </w:r>
    </w:p>
    <w:p w14:paraId="20E1D8C2" w14:textId="1C4F0E97" w:rsidR="005C0549" w:rsidRPr="006C7B74" w:rsidRDefault="005C0549" w:rsidP="00652302">
      <w:pPr>
        <w:pStyle w:val="BodyText"/>
        <w:numPr>
          <w:ilvl w:val="0"/>
          <w:numId w:val="79"/>
        </w:numPr>
      </w:pPr>
      <w:r w:rsidRPr="006C7B74">
        <w:t>Quality Transport - Working to deliver transport that works for people</w:t>
      </w:r>
      <w:r w:rsidR="007C1331" w:rsidRPr="006C7B74">
        <w:t>.</w:t>
      </w:r>
    </w:p>
    <w:p w14:paraId="13454513" w14:textId="1FEF781F" w:rsidR="005C0549" w:rsidRPr="006C7B74" w:rsidRDefault="005C0549" w:rsidP="00652302">
      <w:pPr>
        <w:pStyle w:val="BodyText"/>
        <w:numPr>
          <w:ilvl w:val="0"/>
          <w:numId w:val="79"/>
        </w:numPr>
      </w:pPr>
      <w:r w:rsidRPr="006C7B74">
        <w:t>Fairness and Equity - Working to make sure everyone shares in Victoria’s prosperity</w:t>
      </w:r>
      <w:r w:rsidR="007C1331" w:rsidRPr="006C7B74">
        <w:t>.</w:t>
      </w:r>
    </w:p>
    <w:p w14:paraId="63779F06" w14:textId="40DFF8C1" w:rsidR="005C0549" w:rsidRPr="006C7B74" w:rsidRDefault="005C0549" w:rsidP="00652302">
      <w:pPr>
        <w:pStyle w:val="BodyText"/>
        <w:numPr>
          <w:ilvl w:val="0"/>
          <w:numId w:val="79"/>
        </w:numPr>
      </w:pPr>
      <w:r w:rsidRPr="006C7B74">
        <w:t>Thriving Communities - Working to build vibrant and diverse communities</w:t>
      </w:r>
      <w:r w:rsidR="007C1331" w:rsidRPr="006C7B74">
        <w:t>.</w:t>
      </w:r>
    </w:p>
    <w:p w14:paraId="7F1CA110" w14:textId="77777777" w:rsidR="005C0549" w:rsidRPr="006C7B74" w:rsidRDefault="005C0549" w:rsidP="00652302">
      <w:pPr>
        <w:pStyle w:val="BodyText"/>
        <w:numPr>
          <w:ilvl w:val="0"/>
          <w:numId w:val="79"/>
        </w:numPr>
      </w:pPr>
      <w:r w:rsidRPr="006C7B74">
        <w:t>Liveable Places - Working to improve liveability across the state.</w:t>
      </w:r>
    </w:p>
    <w:p w14:paraId="375144AC" w14:textId="77777777" w:rsidR="002F3E14" w:rsidRPr="006C7B74" w:rsidRDefault="002F3E14" w:rsidP="00934C4D">
      <w:pPr>
        <w:pStyle w:val="BodyText"/>
        <w:spacing w:before="0" w:line="240" w:lineRule="auto"/>
        <w:rPr>
          <w:lang w:eastAsia="en-AU"/>
        </w:rPr>
      </w:pPr>
    </w:p>
    <w:p w14:paraId="0F55B7F3" w14:textId="20C42A8E" w:rsidR="00F93315" w:rsidRPr="00AD7153" w:rsidRDefault="00F93315" w:rsidP="00AD7153">
      <w:pPr>
        <w:pStyle w:val="Heading2-Contenttable"/>
      </w:pPr>
      <w:bookmarkStart w:id="13" w:name="_Toc21694798"/>
      <w:r w:rsidRPr="00AD7153">
        <w:t>Industry sector strategies</w:t>
      </w:r>
      <w:bookmarkEnd w:id="13"/>
    </w:p>
    <w:p w14:paraId="58276B06" w14:textId="566E957E" w:rsidR="002F3E14" w:rsidRPr="006C7B74" w:rsidRDefault="002F3E14" w:rsidP="00934C4D">
      <w:pPr>
        <w:pStyle w:val="BodyText"/>
        <w:spacing w:before="0" w:line="240" w:lineRule="auto"/>
      </w:pPr>
      <w:r w:rsidRPr="006C7B74">
        <w:rPr>
          <w:lang w:eastAsia="en-AU"/>
        </w:rPr>
        <w:t>The</w:t>
      </w:r>
      <w:r w:rsidR="00176139" w:rsidRPr="006C7B74">
        <w:rPr>
          <w:lang w:eastAsia="en-AU"/>
        </w:rPr>
        <w:t xml:space="preserve"> Victorian Government</w:t>
      </w:r>
      <w:r w:rsidR="00F26028" w:rsidRPr="006C7B74">
        <w:rPr>
          <w:lang w:eastAsia="en-AU"/>
        </w:rPr>
        <w:t xml:space="preserve"> has </w:t>
      </w:r>
      <w:r w:rsidRPr="006C7B74">
        <w:rPr>
          <w:lang w:eastAsia="en-AU"/>
        </w:rPr>
        <w:t xml:space="preserve">a </w:t>
      </w:r>
      <w:r w:rsidRPr="006C7B74">
        <w:t xml:space="preserve">number </w:t>
      </w:r>
      <w:r w:rsidR="00F26028" w:rsidRPr="006C7B74">
        <w:t>of</w:t>
      </w:r>
      <w:r w:rsidRPr="006C7B74">
        <w:t xml:space="preserve"> strategies focused on key industry sectors </w:t>
      </w:r>
      <w:r w:rsidR="00AA2F44" w:rsidRPr="006C7B74">
        <w:t>with</w:t>
      </w:r>
      <w:r w:rsidRPr="006C7B74">
        <w:t xml:space="preserve"> growth potential and are a target for government’s investment and activity.</w:t>
      </w:r>
    </w:p>
    <w:p w14:paraId="44257993" w14:textId="2B386188" w:rsidR="006C0C0A" w:rsidRPr="006C7B74" w:rsidRDefault="006C0C0A" w:rsidP="00934C4D">
      <w:pPr>
        <w:pStyle w:val="BodyText"/>
        <w:spacing w:before="0" w:line="240" w:lineRule="auto"/>
        <w:rPr>
          <w:lang w:val="en-US"/>
        </w:rPr>
      </w:pPr>
      <w:r w:rsidRPr="006C7B74">
        <w:rPr>
          <w:i/>
          <w:iCs/>
          <w:lang w:val="en-US"/>
        </w:rPr>
        <w:t>Advancing Victoria's Manufacturing: A Blueprint for the Future</w:t>
      </w:r>
      <w:r w:rsidRPr="006C7B74">
        <w:rPr>
          <w:lang w:val="en-US"/>
        </w:rPr>
        <w:t xml:space="preserve"> provides the vision for the Victorian manufacturing industry, focusing on industry growth</w:t>
      </w:r>
      <w:r w:rsidR="007416D0" w:rsidRPr="006C7B74">
        <w:rPr>
          <w:lang w:val="en-US"/>
        </w:rPr>
        <w:t>, preparing Victorians for the jobs of the future, encouraging innovation, building scale, capability and supply chain excellence, and fostering a globally competitive business environment.</w:t>
      </w:r>
      <w:r w:rsidR="001B2142" w:rsidRPr="006C7B74">
        <w:rPr>
          <w:lang w:val="en-US"/>
        </w:rPr>
        <w:t xml:space="preserve"> It identifies that Victoria is </w:t>
      </w:r>
      <w:r w:rsidR="00EB6BED" w:rsidRPr="006C7B74">
        <w:rPr>
          <w:lang w:val="en-US"/>
        </w:rPr>
        <w:t>ideally placed to advance and grow, with a highly skilled workforce, connected supply chains, exceptional design and engineering expertise, world-class infrastructure and leading education and research and development.</w:t>
      </w:r>
    </w:p>
    <w:p w14:paraId="2104CB21" w14:textId="526F1A60" w:rsidR="002F3E14" w:rsidRPr="006C7B74" w:rsidRDefault="002F3E14" w:rsidP="00934C4D">
      <w:pPr>
        <w:pStyle w:val="BodyText"/>
        <w:spacing w:before="0" w:line="240" w:lineRule="auto"/>
        <w:rPr>
          <w:lang w:val="en-US"/>
        </w:rPr>
      </w:pPr>
      <w:r w:rsidRPr="006C7B74">
        <w:rPr>
          <w:i/>
          <w:lang w:val="en-US"/>
        </w:rPr>
        <w:t>Creative State</w:t>
      </w:r>
      <w:r w:rsidRPr="006C7B74">
        <w:rPr>
          <w:lang w:val="en-US"/>
        </w:rPr>
        <w:t xml:space="preserve"> is the </w:t>
      </w:r>
      <w:r w:rsidR="00696604">
        <w:rPr>
          <w:lang w:val="en-US"/>
        </w:rPr>
        <w:t>state g</w:t>
      </w:r>
      <w:r w:rsidRPr="006C7B74">
        <w:rPr>
          <w:lang w:val="en-US"/>
        </w:rPr>
        <w:t>overnment's strategy to strengthen and grow the state's creative industries and the value they bring to Victorians. It contains 40 targeted actions that together provide an integrated plan to grow the state's creative and cultural economy, provide more opportunities for Victorians to embark on creative careers</w:t>
      </w:r>
      <w:r w:rsidR="00E44420" w:rsidRPr="006C7B74">
        <w:rPr>
          <w:lang w:val="en-US"/>
        </w:rPr>
        <w:t xml:space="preserve">, </w:t>
      </w:r>
      <w:r w:rsidRPr="006C7B74">
        <w:rPr>
          <w:lang w:val="en-US"/>
        </w:rPr>
        <w:t xml:space="preserve">enjoy creative experiences and position Victoria as a globally </w:t>
      </w:r>
      <w:proofErr w:type="spellStart"/>
      <w:r w:rsidRPr="006C7B74">
        <w:rPr>
          <w:lang w:val="en-US"/>
        </w:rPr>
        <w:t>recognised</w:t>
      </w:r>
      <w:proofErr w:type="spellEnd"/>
      <w:r w:rsidRPr="006C7B74">
        <w:rPr>
          <w:lang w:val="en-US"/>
        </w:rPr>
        <w:t xml:space="preserve"> creative state.</w:t>
      </w:r>
    </w:p>
    <w:p w14:paraId="5DFB703C" w14:textId="5ABD571B" w:rsidR="002F3E14" w:rsidRPr="006C7B74" w:rsidRDefault="002F3E14" w:rsidP="00934C4D">
      <w:pPr>
        <w:pStyle w:val="BodyText"/>
        <w:spacing w:before="0" w:line="240" w:lineRule="auto"/>
        <w:rPr>
          <w:lang w:val="en-US"/>
        </w:rPr>
      </w:pPr>
      <w:proofErr w:type="gramStart"/>
      <w:r w:rsidRPr="006C7B74">
        <w:rPr>
          <w:i/>
          <w:lang w:val="en-US"/>
        </w:rPr>
        <w:t>Victoria's Health and Medical Research Strategy 2016-2020</w:t>
      </w:r>
      <w:r w:rsidRPr="006C7B74">
        <w:rPr>
          <w:lang w:val="en-US"/>
        </w:rPr>
        <w:t>,</w:t>
      </w:r>
      <w:proofErr w:type="gramEnd"/>
      <w:r w:rsidRPr="006C7B74">
        <w:rPr>
          <w:lang w:val="en-US"/>
        </w:rPr>
        <w:t xml:space="preserve"> outlines the Government's key priorities to support new and evolving fields of world-class medical research such as precision medicine, health services research and big data. The strategy aims to create jobs and deliver economic benefits for Victoria and the nation by investing in areas of excellence and addressing areas in need of further development.</w:t>
      </w:r>
      <w:r w:rsidR="00651A27" w:rsidRPr="006C7B74">
        <w:rPr>
          <w:lang w:val="en-US"/>
        </w:rPr>
        <w:t xml:space="preserve"> </w:t>
      </w:r>
    </w:p>
    <w:p w14:paraId="4708EE57" w14:textId="19853FF9" w:rsidR="001C6BDB" w:rsidRPr="006C7B74" w:rsidRDefault="0072232E" w:rsidP="006C7B74">
      <w:pPr>
        <w:pStyle w:val="BodyText"/>
      </w:pPr>
      <w:r w:rsidRPr="006C7B74">
        <w:rPr>
          <w:i/>
        </w:rPr>
        <w:t xml:space="preserve">Recycling Victoria: A new economy </w:t>
      </w:r>
      <w:r w:rsidRPr="006C7B74">
        <w:t xml:space="preserve">is the Government’s 10-year policy and action plan for waste and recycling, transforming how our economy uses materials and how our state reuses, repairs and recycles. </w:t>
      </w:r>
      <w:r w:rsidR="00FA2F17" w:rsidRPr="006C7B74">
        <w:t>The plan supports the development a circular economy</w:t>
      </w:r>
      <w:r w:rsidR="00BC622A" w:rsidRPr="006C7B74">
        <w:t xml:space="preserve"> to reduce the environmental impacts of production and consumption, while enabling economic growth through more productive use of natural resources. </w:t>
      </w:r>
      <w:r w:rsidR="00403FA5" w:rsidRPr="006C7B74">
        <w:t xml:space="preserve">One of the actions of the plan is to </w:t>
      </w:r>
      <w:r w:rsidR="00652757" w:rsidRPr="006C7B74">
        <w:t xml:space="preserve">plan for waste and resource </w:t>
      </w:r>
      <w:r w:rsidR="00571C01" w:rsidRPr="006C7B74">
        <w:t>recovery</w:t>
      </w:r>
      <w:r w:rsidR="00652757" w:rsidRPr="006C7B74">
        <w:t xml:space="preserve"> infrastructur</w:t>
      </w:r>
      <w:r w:rsidR="00D413E8" w:rsidRPr="006C7B74">
        <w:t>e</w:t>
      </w:r>
      <w:r w:rsidR="00914B10" w:rsidRPr="006C7B74">
        <w:t xml:space="preserve"> over the long term</w:t>
      </w:r>
      <w:r w:rsidR="00D413E8" w:rsidRPr="006C7B74">
        <w:t xml:space="preserve">. This will make sure land use planning systems support </w:t>
      </w:r>
      <w:r w:rsidR="00571C01" w:rsidRPr="006C7B74">
        <w:t xml:space="preserve">important waste and resource recovery infrastructure, including waste to energy </w:t>
      </w:r>
      <w:r w:rsidR="00914B10" w:rsidRPr="006C7B74">
        <w:t>facilities</w:t>
      </w:r>
      <w:r w:rsidR="00571C01" w:rsidRPr="006C7B74">
        <w:t xml:space="preserve">, hazardous waste and recycling </w:t>
      </w:r>
      <w:r w:rsidR="00403FA5" w:rsidRPr="006C7B74">
        <w:t xml:space="preserve"> </w:t>
      </w:r>
    </w:p>
    <w:p w14:paraId="34D68741" w14:textId="1321B88C" w:rsidR="002F3E14" w:rsidRPr="006C7B74" w:rsidRDefault="006C67E1" w:rsidP="00934C4D">
      <w:pPr>
        <w:pStyle w:val="BodyText"/>
        <w:spacing w:before="0" w:line="240" w:lineRule="auto"/>
        <w:rPr>
          <w:lang w:val="en-US"/>
        </w:rPr>
      </w:pPr>
      <w:r w:rsidRPr="006C7B74">
        <w:rPr>
          <w:lang w:eastAsia="en-AU"/>
        </w:rPr>
        <w:t xml:space="preserve">In addition, the </w:t>
      </w:r>
      <w:r w:rsidRPr="006C7B74">
        <w:rPr>
          <w:lang w:val="en-US"/>
        </w:rPr>
        <w:t xml:space="preserve">government has developed a suite of </w:t>
      </w:r>
      <w:r w:rsidR="007C154C" w:rsidRPr="006C7B74">
        <w:rPr>
          <w:lang w:val="en-US"/>
        </w:rPr>
        <w:t>F</w:t>
      </w:r>
      <w:r w:rsidRPr="006C7B74">
        <w:rPr>
          <w:lang w:val="en-US"/>
        </w:rPr>
        <w:t xml:space="preserve">uture </w:t>
      </w:r>
      <w:r w:rsidR="007C154C" w:rsidRPr="006C7B74">
        <w:rPr>
          <w:lang w:val="en-US"/>
        </w:rPr>
        <w:t>I</w:t>
      </w:r>
      <w:r w:rsidRPr="006C7B74">
        <w:rPr>
          <w:lang w:val="en-US"/>
        </w:rPr>
        <w:t>ndustr</w:t>
      </w:r>
      <w:r w:rsidR="007C154C" w:rsidRPr="006C7B74">
        <w:rPr>
          <w:lang w:val="en-US"/>
        </w:rPr>
        <w:t>ies</w:t>
      </w:r>
      <w:r w:rsidRPr="006C7B74">
        <w:rPr>
          <w:lang w:val="en-US"/>
        </w:rPr>
        <w:t xml:space="preserve"> sector strategies. These strategies support investment in high-growth industries through industry excellence and development projects, including establishing collaborative networks and building supply chain readiness capabilities.</w:t>
      </w:r>
      <w:r w:rsidR="0050163A" w:rsidRPr="006C7B74">
        <w:rPr>
          <w:lang w:val="en-US"/>
        </w:rPr>
        <w:t xml:space="preserve"> </w:t>
      </w:r>
    </w:p>
    <w:p w14:paraId="659AD3B5" w14:textId="77777777" w:rsidR="006E34EB" w:rsidRDefault="006E34EB">
      <w:pPr>
        <w:rPr>
          <w:rFonts w:asciiTheme="majorHAnsi" w:eastAsiaTheme="majorEastAsia" w:hAnsiTheme="majorHAnsi" w:cstheme="majorBidi"/>
          <w:b/>
          <w:iCs/>
          <w:sz w:val="20"/>
          <w:szCs w:val="20"/>
          <w:lang w:val="en-US"/>
        </w:rPr>
      </w:pPr>
      <w:r>
        <w:rPr>
          <w:sz w:val="20"/>
          <w:szCs w:val="20"/>
          <w:lang w:val="en-US"/>
        </w:rPr>
        <w:br w:type="page"/>
      </w:r>
    </w:p>
    <w:p w14:paraId="5C37FD41" w14:textId="6B743ED1" w:rsidR="0052312F" w:rsidRPr="006C7B74" w:rsidRDefault="0052312F" w:rsidP="0052312F">
      <w:pPr>
        <w:pStyle w:val="Heading4"/>
        <w:rPr>
          <w:sz w:val="20"/>
          <w:szCs w:val="20"/>
          <w:lang w:val="en-US"/>
        </w:rPr>
      </w:pPr>
      <w:r w:rsidRPr="006C7B74">
        <w:rPr>
          <w:sz w:val="20"/>
          <w:szCs w:val="20"/>
          <w:lang w:val="en-US"/>
        </w:rPr>
        <w:lastRenderedPageBreak/>
        <w:t>Victoria’s Future Industries strategies</w:t>
      </w:r>
    </w:p>
    <w:p w14:paraId="6AFB91AF" w14:textId="77777777" w:rsidR="0052312F" w:rsidRPr="006C7B74" w:rsidRDefault="0052312F" w:rsidP="0052312F">
      <w:pPr>
        <w:pStyle w:val="BodyText"/>
        <w:numPr>
          <w:ilvl w:val="0"/>
          <w:numId w:val="23"/>
        </w:numPr>
        <w:rPr>
          <w:lang w:val="en-US"/>
        </w:rPr>
      </w:pPr>
      <w:r w:rsidRPr="006C7B74">
        <w:rPr>
          <w:b/>
          <w:lang w:val="en-US"/>
        </w:rPr>
        <w:t>Construction technologies</w:t>
      </w:r>
      <w:r w:rsidRPr="006C7B74">
        <w:rPr>
          <w:lang w:val="en-US"/>
        </w:rPr>
        <w:t>: outlines better ways of doing things in construction, including technological improvements such as increased use of digital technologies, improvements in technology in sharing information, off-site construction methods and new construction materials and products.</w:t>
      </w:r>
    </w:p>
    <w:p w14:paraId="5010D611" w14:textId="77777777" w:rsidR="0052312F" w:rsidRPr="006C7B74" w:rsidRDefault="0052312F" w:rsidP="0052312F">
      <w:pPr>
        <w:pStyle w:val="BodyText"/>
        <w:numPr>
          <w:ilvl w:val="0"/>
          <w:numId w:val="23"/>
        </w:numPr>
        <w:rPr>
          <w:lang w:val="en-US"/>
        </w:rPr>
      </w:pPr>
      <w:proofErr w:type="spellStart"/>
      <w:r w:rsidRPr="006C7B74">
        <w:rPr>
          <w:b/>
          <w:lang w:val="en-US"/>
        </w:rPr>
        <w:t>Defence</w:t>
      </w:r>
      <w:proofErr w:type="spellEnd"/>
      <w:r w:rsidRPr="006C7B74">
        <w:rPr>
          <w:b/>
          <w:lang w:val="en-US"/>
        </w:rPr>
        <w:t xml:space="preserve"> technologies</w:t>
      </w:r>
      <w:r w:rsidRPr="006C7B74">
        <w:rPr>
          <w:lang w:val="en-US"/>
        </w:rPr>
        <w:t xml:space="preserve">: focusses on improving </w:t>
      </w:r>
      <w:proofErr w:type="spellStart"/>
      <w:r w:rsidRPr="006C7B74">
        <w:rPr>
          <w:lang w:val="en-US"/>
        </w:rPr>
        <w:t>defence</w:t>
      </w:r>
      <w:proofErr w:type="spellEnd"/>
      <w:r w:rsidRPr="006C7B74">
        <w:rPr>
          <w:lang w:val="en-US"/>
        </w:rPr>
        <w:t xml:space="preserve"> technology, engaging with suppliers (including global suppliers) and winning future </w:t>
      </w:r>
      <w:proofErr w:type="spellStart"/>
      <w:r w:rsidRPr="006C7B74">
        <w:rPr>
          <w:lang w:val="en-US"/>
        </w:rPr>
        <w:t>defence</w:t>
      </w:r>
      <w:proofErr w:type="spellEnd"/>
      <w:r w:rsidRPr="006C7B74">
        <w:rPr>
          <w:lang w:val="en-US"/>
        </w:rPr>
        <w:t xml:space="preserve"> projects.</w:t>
      </w:r>
    </w:p>
    <w:p w14:paraId="30F12ECE" w14:textId="77777777" w:rsidR="0052312F" w:rsidRPr="006C7B74" w:rsidRDefault="0052312F" w:rsidP="0052312F">
      <w:pPr>
        <w:pStyle w:val="BodyText"/>
        <w:numPr>
          <w:ilvl w:val="0"/>
          <w:numId w:val="23"/>
        </w:numPr>
        <w:rPr>
          <w:lang w:val="en-US"/>
        </w:rPr>
      </w:pPr>
      <w:r w:rsidRPr="006C7B74">
        <w:rPr>
          <w:b/>
          <w:lang w:val="en-US"/>
        </w:rPr>
        <w:t xml:space="preserve">Food and </w:t>
      </w:r>
      <w:proofErr w:type="spellStart"/>
      <w:r w:rsidRPr="006C7B74">
        <w:rPr>
          <w:b/>
          <w:lang w:val="en-US"/>
        </w:rPr>
        <w:t>fibre</w:t>
      </w:r>
      <w:proofErr w:type="spellEnd"/>
      <w:r w:rsidRPr="006C7B74">
        <w:rPr>
          <w:lang w:val="en-US"/>
        </w:rPr>
        <w:t xml:space="preserve">: supports an integrated approach, focusing in key areas along the food and </w:t>
      </w:r>
      <w:proofErr w:type="spellStart"/>
      <w:r w:rsidRPr="006C7B74">
        <w:rPr>
          <w:lang w:val="en-US"/>
        </w:rPr>
        <w:t>fibre</w:t>
      </w:r>
      <w:proofErr w:type="spellEnd"/>
      <w:r w:rsidRPr="006C7B74">
        <w:rPr>
          <w:lang w:val="en-US"/>
        </w:rPr>
        <w:t xml:space="preserve"> value chain. It </w:t>
      </w:r>
      <w:proofErr w:type="spellStart"/>
      <w:r w:rsidRPr="006C7B74">
        <w:rPr>
          <w:lang w:val="en-US"/>
        </w:rPr>
        <w:t>emphasises</w:t>
      </w:r>
      <w:proofErr w:type="spellEnd"/>
      <w:r w:rsidRPr="006C7B74">
        <w:rPr>
          <w:lang w:val="en-US"/>
        </w:rPr>
        <w:t xml:space="preserve"> business innovation through technology as well as developing market opportunities and infrastructure. </w:t>
      </w:r>
    </w:p>
    <w:p w14:paraId="2F9D6C81" w14:textId="77777777" w:rsidR="0052312F" w:rsidRPr="006C7B74" w:rsidRDefault="0052312F" w:rsidP="0052312F">
      <w:pPr>
        <w:pStyle w:val="BodyText"/>
        <w:numPr>
          <w:ilvl w:val="0"/>
          <w:numId w:val="23"/>
        </w:numPr>
        <w:rPr>
          <w:lang w:val="en-US"/>
        </w:rPr>
      </w:pPr>
      <w:r w:rsidRPr="006C7B74">
        <w:rPr>
          <w:b/>
          <w:lang w:val="en-US"/>
        </w:rPr>
        <w:t>International education</w:t>
      </w:r>
      <w:r w:rsidRPr="006C7B74">
        <w:rPr>
          <w:lang w:val="en-US"/>
        </w:rPr>
        <w:t>: focusses on improving student experiences, collaborating with a range of stakeholders regarding the broader benefits of international education and marketing a high-quality international education sector to the rest of the world.</w:t>
      </w:r>
    </w:p>
    <w:p w14:paraId="45585845" w14:textId="77777777" w:rsidR="0052312F" w:rsidRPr="006C7B74" w:rsidRDefault="0052312F" w:rsidP="0052312F">
      <w:pPr>
        <w:pStyle w:val="BodyText"/>
        <w:numPr>
          <w:ilvl w:val="0"/>
          <w:numId w:val="23"/>
        </w:numPr>
        <w:rPr>
          <w:lang w:val="en-US"/>
        </w:rPr>
      </w:pPr>
      <w:r w:rsidRPr="006C7B74">
        <w:rPr>
          <w:b/>
          <w:lang w:val="en-US"/>
        </w:rPr>
        <w:t>Medical technologies and pharmaceuticals</w:t>
      </w:r>
      <w:r w:rsidRPr="006C7B74">
        <w:rPr>
          <w:lang w:val="en-US"/>
        </w:rPr>
        <w:t xml:space="preserve">: promote a skilled workforce, health and medical research, building business scale and capabilities to secure and grow the sector in a globally competitive market, creating increased economic activity and jobs. </w:t>
      </w:r>
    </w:p>
    <w:p w14:paraId="693F2CE0" w14:textId="77777777" w:rsidR="0052312F" w:rsidRPr="006C7B74" w:rsidRDefault="0052312F" w:rsidP="0052312F">
      <w:pPr>
        <w:pStyle w:val="BodyText"/>
        <w:numPr>
          <w:ilvl w:val="0"/>
          <w:numId w:val="23"/>
        </w:numPr>
        <w:rPr>
          <w:lang w:val="en-US"/>
        </w:rPr>
      </w:pPr>
      <w:r w:rsidRPr="006C7B74">
        <w:rPr>
          <w:b/>
          <w:lang w:val="en-US"/>
        </w:rPr>
        <w:t xml:space="preserve">New energy </w:t>
      </w:r>
      <w:proofErr w:type="gramStart"/>
      <w:r w:rsidRPr="006C7B74">
        <w:rPr>
          <w:b/>
          <w:lang w:val="en-US"/>
        </w:rPr>
        <w:t>technologies</w:t>
      </w:r>
      <w:r w:rsidRPr="006C7B74">
        <w:rPr>
          <w:lang w:val="en-US"/>
        </w:rPr>
        <w:t>:</w:t>
      </w:r>
      <w:proofErr w:type="gramEnd"/>
      <w:r w:rsidRPr="006C7B74">
        <w:rPr>
          <w:lang w:val="en-US"/>
        </w:rPr>
        <w:t xml:space="preserve"> encourages investment in clean energy generation technology, collaboration with universities, businesses, professionals and potential workers, promoting new consumer-driven markets and expanding potential markets. </w:t>
      </w:r>
    </w:p>
    <w:p w14:paraId="37A9771A" w14:textId="77777777" w:rsidR="0052312F" w:rsidRPr="006C7B74" w:rsidRDefault="0052312F" w:rsidP="0052312F">
      <w:pPr>
        <w:pStyle w:val="BodyText"/>
        <w:numPr>
          <w:ilvl w:val="0"/>
          <w:numId w:val="23"/>
        </w:numPr>
        <w:rPr>
          <w:lang w:val="en-US"/>
        </w:rPr>
      </w:pPr>
      <w:r w:rsidRPr="006C7B74">
        <w:rPr>
          <w:b/>
          <w:lang w:val="en-US"/>
        </w:rPr>
        <w:t>Professional services</w:t>
      </w:r>
      <w:r w:rsidRPr="006C7B74">
        <w:rPr>
          <w:lang w:val="en-US"/>
        </w:rPr>
        <w:t>: focusses on engineering and design (urban design, engineering, environmental technology and mining services) and financial services (financial technology, banking, business advice, superannuation, wealth management, insurance and infrastructure finance) with an emphasis on branding for the sector, attracting international investment, supporting industry networks and streamlining regulations.</w:t>
      </w:r>
    </w:p>
    <w:p w14:paraId="7B4ADF3B" w14:textId="77777777" w:rsidR="0052312F" w:rsidRPr="006C7B74" w:rsidRDefault="0052312F" w:rsidP="0052312F">
      <w:pPr>
        <w:pStyle w:val="BodyText"/>
        <w:numPr>
          <w:ilvl w:val="0"/>
          <w:numId w:val="23"/>
        </w:numPr>
        <w:rPr>
          <w:lang w:val="en-US"/>
        </w:rPr>
      </w:pPr>
      <w:r w:rsidRPr="006C7B74">
        <w:rPr>
          <w:b/>
          <w:lang w:val="en-US"/>
        </w:rPr>
        <w:t>Transport technologies</w:t>
      </w:r>
      <w:r w:rsidRPr="006C7B74">
        <w:rPr>
          <w:lang w:val="en-US"/>
        </w:rPr>
        <w:t>: advocates for the Victorian Government to use Victorian made transport infrastructure, invest in education to build new technologies and networking to expand Victoria’s role in growing markets.</w:t>
      </w:r>
    </w:p>
    <w:p w14:paraId="58CECBC3" w14:textId="2A8F72E8" w:rsidR="0050163A" w:rsidRPr="006C7B74" w:rsidRDefault="0050163A" w:rsidP="00934C4D">
      <w:pPr>
        <w:pStyle w:val="BodyText"/>
        <w:spacing w:before="0" w:line="240" w:lineRule="auto"/>
        <w:rPr>
          <w:lang w:val="en-US"/>
        </w:rPr>
      </w:pPr>
    </w:p>
    <w:p w14:paraId="6E5B5EA9" w14:textId="77777777" w:rsidR="007C68DF" w:rsidRPr="006C7B74" w:rsidRDefault="007C68DF">
      <w:pPr>
        <w:rPr>
          <w:rFonts w:asciiTheme="majorHAnsi" w:eastAsiaTheme="majorEastAsia" w:hAnsiTheme="majorHAnsi" w:cstheme="majorBidi"/>
          <w:b/>
          <w:color w:val="201547"/>
          <w:sz w:val="24"/>
        </w:rPr>
      </w:pPr>
      <w:r w:rsidRPr="006C7B74">
        <w:br w:type="page"/>
      </w:r>
    </w:p>
    <w:p w14:paraId="6CF3D8F2" w14:textId="4E0D46A1" w:rsidR="00F93315" w:rsidRPr="00AD7153" w:rsidRDefault="00F93315" w:rsidP="00AD7153">
      <w:pPr>
        <w:pStyle w:val="Heading2-Contenttable"/>
      </w:pPr>
      <w:bookmarkStart w:id="14" w:name="_Toc21694799"/>
      <w:r w:rsidRPr="00AD7153">
        <w:lastRenderedPageBreak/>
        <w:t>Freight and logistics</w:t>
      </w:r>
      <w:bookmarkEnd w:id="14"/>
    </w:p>
    <w:p w14:paraId="6F0DF38B" w14:textId="0B53AFFE" w:rsidR="008B4C66" w:rsidRPr="006C7B74" w:rsidRDefault="0050163A" w:rsidP="006C7B74">
      <w:pPr>
        <w:pStyle w:val="BodyText"/>
        <w:rPr>
          <w:lang w:eastAsia="en-AU"/>
        </w:rPr>
      </w:pPr>
      <w:r w:rsidRPr="006C7B74">
        <w:rPr>
          <w:lang w:eastAsia="en-AU"/>
        </w:rPr>
        <w:t xml:space="preserve">Victoria’s freight and logistics sector </w:t>
      </w:r>
      <w:proofErr w:type="gramStart"/>
      <w:r w:rsidRPr="006C7B74">
        <w:rPr>
          <w:lang w:eastAsia="en-AU"/>
        </w:rPr>
        <w:t>is</w:t>
      </w:r>
      <w:proofErr w:type="gramEnd"/>
      <w:r w:rsidRPr="006C7B74">
        <w:rPr>
          <w:lang w:eastAsia="en-AU"/>
        </w:rPr>
        <w:t xml:space="preserve"> made up of thousands of Victorian businesses, large and small. These businesses and their employees move </w:t>
      </w:r>
      <w:r w:rsidR="00561B4E" w:rsidRPr="006C7B74">
        <w:rPr>
          <w:lang w:eastAsia="en-AU"/>
        </w:rPr>
        <w:t xml:space="preserve">and distribute </w:t>
      </w:r>
      <w:r w:rsidRPr="006C7B74">
        <w:rPr>
          <w:lang w:eastAsia="en-AU"/>
        </w:rPr>
        <w:t xml:space="preserve">goods </w:t>
      </w:r>
      <w:r w:rsidR="00E07968" w:rsidRPr="006C7B74">
        <w:rPr>
          <w:lang w:eastAsia="en-AU"/>
        </w:rPr>
        <w:t xml:space="preserve">around Victoria and to </w:t>
      </w:r>
      <w:r w:rsidR="00D35A1B">
        <w:rPr>
          <w:lang w:eastAsia="en-AU"/>
        </w:rPr>
        <w:t>interstate</w:t>
      </w:r>
      <w:r w:rsidR="00E07968" w:rsidRPr="006C7B74">
        <w:rPr>
          <w:lang w:eastAsia="en-AU"/>
        </w:rPr>
        <w:t xml:space="preserve"> and international markets</w:t>
      </w:r>
      <w:r w:rsidRPr="006C7B74">
        <w:rPr>
          <w:lang w:eastAsia="en-AU"/>
        </w:rPr>
        <w:t xml:space="preserve">, ready for delivery to their destinations. </w:t>
      </w:r>
      <w:r w:rsidR="003B3FF3" w:rsidRPr="006C7B74">
        <w:rPr>
          <w:lang w:eastAsia="en-AU"/>
        </w:rPr>
        <w:t>In 2017-18 t</w:t>
      </w:r>
      <w:r w:rsidR="007C68DF" w:rsidRPr="006C7B74">
        <w:rPr>
          <w:lang w:eastAsia="en-AU"/>
        </w:rPr>
        <w:t xml:space="preserve">he value of all goods exported from Victoria was $29 billion while $89 billion </w:t>
      </w:r>
      <w:r w:rsidR="003B3FF3" w:rsidRPr="006C7B74">
        <w:rPr>
          <w:lang w:eastAsia="en-AU"/>
        </w:rPr>
        <w:t xml:space="preserve">worth of goods </w:t>
      </w:r>
      <w:r w:rsidR="007C68DF" w:rsidRPr="006C7B74">
        <w:rPr>
          <w:lang w:eastAsia="en-AU"/>
        </w:rPr>
        <w:t xml:space="preserve">were imported. </w:t>
      </w:r>
      <w:r w:rsidR="003B3FF3" w:rsidRPr="006C7B74">
        <w:rPr>
          <w:lang w:eastAsia="en-AU"/>
        </w:rPr>
        <w:t>With increased imports, f</w:t>
      </w:r>
      <w:r w:rsidRPr="006C7B74">
        <w:rPr>
          <w:lang w:eastAsia="en-AU"/>
        </w:rPr>
        <w:t xml:space="preserve">reight volumes are predicted to increase from around 360 million tonnes in 2014 to nearly 900 million tonnes </w:t>
      </w:r>
      <w:r w:rsidR="00114BD9" w:rsidRPr="006C7B74">
        <w:rPr>
          <w:lang w:eastAsia="en-AU"/>
        </w:rPr>
        <w:t>by</w:t>
      </w:r>
      <w:r w:rsidRPr="006C7B74">
        <w:rPr>
          <w:lang w:eastAsia="en-AU"/>
        </w:rPr>
        <w:t xml:space="preserve"> 2051. </w:t>
      </w:r>
    </w:p>
    <w:p w14:paraId="2452E999" w14:textId="147093DA" w:rsidR="003E24F2" w:rsidRPr="006C7B74" w:rsidRDefault="0050163A" w:rsidP="006C7B74">
      <w:pPr>
        <w:pStyle w:val="BodyText"/>
        <w:rPr>
          <w:lang w:eastAsia="en-AU"/>
        </w:rPr>
      </w:pPr>
      <w:r w:rsidRPr="006C7B74">
        <w:rPr>
          <w:lang w:eastAsia="en-AU"/>
        </w:rPr>
        <w:t xml:space="preserve">Supporting goods to move efficiently around our city and state </w:t>
      </w:r>
      <w:r w:rsidR="00864D4D" w:rsidRPr="006C7B74">
        <w:rPr>
          <w:lang w:eastAsia="en-AU"/>
        </w:rPr>
        <w:t>is</w:t>
      </w:r>
      <w:r w:rsidRPr="006C7B74">
        <w:rPr>
          <w:lang w:eastAsia="en-AU"/>
        </w:rPr>
        <w:t xml:space="preserve"> crucial </w:t>
      </w:r>
      <w:r w:rsidR="00864D4D" w:rsidRPr="006C7B74">
        <w:rPr>
          <w:lang w:eastAsia="en-AU"/>
        </w:rPr>
        <w:t>to</w:t>
      </w:r>
      <w:r w:rsidRPr="006C7B74">
        <w:rPr>
          <w:lang w:eastAsia="en-AU"/>
        </w:rPr>
        <w:t xml:space="preserve"> </w:t>
      </w:r>
      <w:r w:rsidR="00651A27" w:rsidRPr="006C7B74">
        <w:rPr>
          <w:lang w:eastAsia="en-AU"/>
        </w:rPr>
        <w:t>enabling</w:t>
      </w:r>
      <w:r w:rsidRPr="006C7B74">
        <w:rPr>
          <w:lang w:eastAsia="en-AU"/>
        </w:rPr>
        <w:t xml:space="preserve"> economic growth</w:t>
      </w:r>
      <w:r w:rsidR="00561B4E" w:rsidRPr="006C7B74">
        <w:rPr>
          <w:lang w:eastAsia="en-AU"/>
        </w:rPr>
        <w:t>.</w:t>
      </w:r>
      <w:r w:rsidR="008B4C66" w:rsidRPr="006C7B74">
        <w:rPr>
          <w:lang w:eastAsia="en-AU"/>
        </w:rPr>
        <w:t xml:space="preserve"> The Principal Freight Network (PFN) is the strategic network of current and recognised future freight places and connecting movement corridors that are of national, state or regional significance and accommodate freight of significant quantity, value or importance</w:t>
      </w:r>
      <w:r w:rsidR="00CE66F7" w:rsidRPr="006C7B74">
        <w:rPr>
          <w:lang w:eastAsia="en-AU"/>
        </w:rPr>
        <w:t>.</w:t>
      </w:r>
      <w:r w:rsidR="00F179C8" w:rsidRPr="006C7B74">
        <w:rPr>
          <w:lang w:eastAsia="en-AU"/>
        </w:rPr>
        <w:t xml:space="preserve"> A review of the PFN is currently underway and </w:t>
      </w:r>
      <w:r w:rsidR="000207D2" w:rsidRPr="006C7B74">
        <w:rPr>
          <w:lang w:eastAsia="en-AU"/>
        </w:rPr>
        <w:t xml:space="preserve">it </w:t>
      </w:r>
      <w:r w:rsidR="00BD1444" w:rsidRPr="006C7B74">
        <w:rPr>
          <w:lang w:eastAsia="en-AU"/>
        </w:rPr>
        <w:t xml:space="preserve">is anticipated to be updated later in </w:t>
      </w:r>
      <w:r w:rsidR="00F179C8" w:rsidRPr="006C7B74">
        <w:rPr>
          <w:lang w:eastAsia="en-AU"/>
        </w:rPr>
        <w:t>2020</w:t>
      </w:r>
      <w:r w:rsidR="00BD1444" w:rsidRPr="006C7B74">
        <w:rPr>
          <w:lang w:eastAsia="en-AU"/>
        </w:rPr>
        <w:t>.</w:t>
      </w:r>
    </w:p>
    <w:p w14:paraId="5B089420" w14:textId="2DDABB6F" w:rsidR="00F93315" w:rsidRDefault="00F93315" w:rsidP="00934C4D">
      <w:pPr>
        <w:pStyle w:val="BodyText"/>
        <w:spacing w:before="0" w:line="240" w:lineRule="auto"/>
        <w:rPr>
          <w:lang w:eastAsia="en-AU"/>
        </w:rPr>
      </w:pPr>
      <w:r w:rsidRPr="006C7B74">
        <w:rPr>
          <w:i/>
          <w:lang w:eastAsia="en-AU"/>
        </w:rPr>
        <w:t>Delivering the Goods</w:t>
      </w:r>
      <w:r w:rsidRPr="006C7B74">
        <w:rPr>
          <w:lang w:eastAsia="en-AU"/>
        </w:rPr>
        <w:t xml:space="preserve"> outlines the initiatives the Victorian Government will take, either on its own, or </w:t>
      </w:r>
      <w:r w:rsidR="00944764" w:rsidRPr="006C7B74">
        <w:rPr>
          <w:lang w:eastAsia="en-AU"/>
        </w:rPr>
        <w:t xml:space="preserve">in partnership </w:t>
      </w:r>
      <w:r w:rsidRPr="006C7B74">
        <w:rPr>
          <w:lang w:eastAsia="en-AU"/>
        </w:rPr>
        <w:t>with</w:t>
      </w:r>
      <w:r w:rsidR="00F03DA5" w:rsidRPr="006C7B74">
        <w:rPr>
          <w:lang w:eastAsia="en-AU"/>
        </w:rPr>
        <w:t xml:space="preserve"> </w:t>
      </w:r>
      <w:r w:rsidRPr="006C7B74">
        <w:rPr>
          <w:lang w:eastAsia="en-AU"/>
        </w:rPr>
        <w:t>industry, other tiers of government or the community, over the next five years</w:t>
      </w:r>
      <w:r w:rsidR="00944764" w:rsidRPr="006C7B74">
        <w:rPr>
          <w:lang w:eastAsia="en-AU"/>
        </w:rPr>
        <w:t>,</w:t>
      </w:r>
      <w:r w:rsidRPr="006C7B74">
        <w:rPr>
          <w:lang w:eastAsia="en-AU"/>
        </w:rPr>
        <w:t xml:space="preserve"> to improve how Victorian goods are moved to their local, interstate and overseas markets. It also sets out longer-term directions for the freight network</w:t>
      </w:r>
      <w:r w:rsidR="00944764" w:rsidRPr="006C7B74">
        <w:rPr>
          <w:lang w:eastAsia="en-AU"/>
        </w:rPr>
        <w:t>,</w:t>
      </w:r>
      <w:r w:rsidRPr="006C7B74">
        <w:rPr>
          <w:lang w:eastAsia="en-AU"/>
        </w:rPr>
        <w:t xml:space="preserve"> in a way that enables Victoria to respond to the pace of change and adapt to circumstances as they arise.</w:t>
      </w:r>
    </w:p>
    <w:p w14:paraId="1CEC8D97" w14:textId="77777777" w:rsidR="00A46458" w:rsidRPr="006C7B74" w:rsidRDefault="00A46458" w:rsidP="00934C4D">
      <w:pPr>
        <w:pStyle w:val="BodyText"/>
        <w:spacing w:before="0" w:line="240" w:lineRule="auto"/>
        <w:rPr>
          <w:lang w:eastAsia="en-AU"/>
        </w:rPr>
      </w:pPr>
    </w:p>
    <w:p w14:paraId="1DEF07D9" w14:textId="6F2D9DD8" w:rsidR="0052312F" w:rsidRPr="006C7B74" w:rsidRDefault="0052312F" w:rsidP="0052312F">
      <w:pPr>
        <w:pStyle w:val="Heading4"/>
        <w:rPr>
          <w:rFonts w:asciiTheme="minorHAnsi" w:hAnsiTheme="minorHAnsi" w:cstheme="minorHAnsi"/>
          <w:sz w:val="20"/>
          <w:szCs w:val="20"/>
          <w:lang w:val="en-US"/>
        </w:rPr>
      </w:pPr>
      <w:r w:rsidRPr="006C7B74">
        <w:rPr>
          <w:rFonts w:asciiTheme="minorHAnsi" w:hAnsiTheme="minorHAnsi" w:cstheme="minorHAnsi"/>
          <w:sz w:val="20"/>
          <w:szCs w:val="20"/>
          <w:lang w:val="en-US"/>
        </w:rPr>
        <w:t>Delivering the Goods</w:t>
      </w:r>
    </w:p>
    <w:p w14:paraId="760CD00B" w14:textId="77777777" w:rsidR="0052312F" w:rsidRPr="006C7B74" w:rsidRDefault="0052312F" w:rsidP="0052312F">
      <w:pPr>
        <w:pStyle w:val="BodyText"/>
        <w:rPr>
          <w:lang w:val="en-US"/>
        </w:rPr>
      </w:pPr>
      <w:r w:rsidRPr="006C7B74">
        <w:rPr>
          <w:i/>
          <w:lang w:val="en-US"/>
        </w:rPr>
        <w:t>Delivering the Goods</w:t>
      </w:r>
      <w:r w:rsidRPr="006C7B74">
        <w:rPr>
          <w:lang w:val="en-US"/>
        </w:rPr>
        <w:t xml:space="preserve"> sets out short, medium and long-term priorities to support the freight and logistics system. It includes a range of initiatives and actions particularly relevant to how we plan for and manage existing and proposed freight corridors and places linked to key industrial areas. </w:t>
      </w:r>
    </w:p>
    <w:p w14:paraId="6FBE8A50" w14:textId="77777777" w:rsidR="0052312F" w:rsidRPr="006C7B74" w:rsidRDefault="0052312F" w:rsidP="006C7B74">
      <w:pPr>
        <w:pStyle w:val="BodyText"/>
        <w:rPr>
          <w:b/>
          <w:color w:val="000000"/>
        </w:rPr>
      </w:pPr>
      <w:r w:rsidRPr="006C7B74">
        <w:rPr>
          <w:b/>
          <w:lang w:val="en-US"/>
        </w:rPr>
        <w:t>Review and enhance the Principal Freight Network (PFN)</w:t>
      </w:r>
    </w:p>
    <w:p w14:paraId="7BCD069C" w14:textId="77777777" w:rsidR="0052312F" w:rsidRPr="006C7B74" w:rsidRDefault="0052312F" w:rsidP="0052312F">
      <w:pPr>
        <w:pStyle w:val="Pa33"/>
        <w:numPr>
          <w:ilvl w:val="0"/>
          <w:numId w:val="25"/>
        </w:numPr>
        <w:spacing w:after="100"/>
        <w:rPr>
          <w:rFonts w:asciiTheme="minorHAnsi" w:hAnsiTheme="minorHAnsi" w:cstheme="minorHAnsi"/>
          <w:color w:val="000000"/>
          <w:sz w:val="20"/>
          <w:szCs w:val="20"/>
        </w:rPr>
      </w:pPr>
      <w:r w:rsidRPr="006C7B74">
        <w:rPr>
          <w:rFonts w:asciiTheme="minorHAnsi" w:hAnsiTheme="minorHAnsi" w:cstheme="minorHAnsi"/>
          <w:color w:val="000000"/>
          <w:sz w:val="20"/>
          <w:szCs w:val="20"/>
        </w:rPr>
        <w:t xml:space="preserve">Review and update the existing PFN to include significant freight places, shipping channels and over-dimensional routes. </w:t>
      </w:r>
    </w:p>
    <w:p w14:paraId="03839014" w14:textId="77777777" w:rsidR="0052312F" w:rsidRPr="006C7B74" w:rsidRDefault="0052312F" w:rsidP="0052312F">
      <w:pPr>
        <w:pStyle w:val="Pa33"/>
        <w:numPr>
          <w:ilvl w:val="0"/>
          <w:numId w:val="25"/>
        </w:numPr>
        <w:spacing w:after="100"/>
        <w:rPr>
          <w:rFonts w:asciiTheme="minorHAnsi" w:hAnsiTheme="minorHAnsi" w:cstheme="minorHAnsi"/>
          <w:color w:val="000000"/>
          <w:sz w:val="20"/>
          <w:szCs w:val="20"/>
        </w:rPr>
      </w:pPr>
      <w:r w:rsidRPr="006C7B74">
        <w:rPr>
          <w:rFonts w:asciiTheme="minorHAnsi" w:hAnsiTheme="minorHAnsi" w:cstheme="minorHAnsi"/>
          <w:color w:val="000000"/>
          <w:sz w:val="20"/>
          <w:szCs w:val="20"/>
        </w:rPr>
        <w:t>Strengthen the protection of the PFN in the relevant planning schemes.</w:t>
      </w:r>
    </w:p>
    <w:p w14:paraId="693AF70D" w14:textId="77777777" w:rsidR="0052312F" w:rsidRPr="006C7B74" w:rsidRDefault="0052312F" w:rsidP="0052312F">
      <w:pPr>
        <w:pStyle w:val="Pa33"/>
        <w:numPr>
          <w:ilvl w:val="0"/>
          <w:numId w:val="25"/>
        </w:numPr>
        <w:spacing w:after="100"/>
        <w:rPr>
          <w:rFonts w:asciiTheme="minorHAnsi" w:hAnsiTheme="minorHAnsi" w:cstheme="minorHAnsi"/>
          <w:color w:val="000000"/>
          <w:sz w:val="20"/>
          <w:szCs w:val="20"/>
        </w:rPr>
      </w:pPr>
      <w:r w:rsidRPr="006C7B74">
        <w:rPr>
          <w:rFonts w:asciiTheme="minorHAnsi" w:hAnsiTheme="minorHAnsi" w:cstheme="minorHAnsi"/>
          <w:color w:val="000000"/>
          <w:sz w:val="20"/>
          <w:szCs w:val="20"/>
        </w:rPr>
        <w:t xml:space="preserve">Assess the long term metropolitan industrial land needs and designate appropriate areas for the future. </w:t>
      </w:r>
    </w:p>
    <w:p w14:paraId="162498DF" w14:textId="77777777" w:rsidR="0052312F" w:rsidRPr="006C7B74" w:rsidRDefault="0052312F" w:rsidP="0052312F">
      <w:pPr>
        <w:pStyle w:val="Pa33"/>
        <w:numPr>
          <w:ilvl w:val="0"/>
          <w:numId w:val="25"/>
        </w:numPr>
        <w:spacing w:after="100"/>
        <w:rPr>
          <w:rFonts w:asciiTheme="minorHAnsi" w:hAnsiTheme="minorHAnsi" w:cstheme="minorHAnsi"/>
          <w:color w:val="000000"/>
          <w:sz w:val="20"/>
          <w:szCs w:val="20"/>
        </w:rPr>
      </w:pPr>
      <w:r w:rsidRPr="006C7B74">
        <w:rPr>
          <w:rFonts w:asciiTheme="minorHAnsi" w:hAnsiTheme="minorHAnsi" w:cstheme="minorHAnsi"/>
          <w:color w:val="000000"/>
          <w:sz w:val="20"/>
          <w:szCs w:val="20"/>
        </w:rPr>
        <w:t>Recognise the existing and planned regional intermodal terminals in the PFN.</w:t>
      </w:r>
    </w:p>
    <w:p w14:paraId="1509731D" w14:textId="77777777" w:rsidR="0052312F" w:rsidRPr="006C7B74" w:rsidRDefault="0052312F" w:rsidP="0052312F">
      <w:pPr>
        <w:pStyle w:val="Pa33"/>
        <w:numPr>
          <w:ilvl w:val="0"/>
          <w:numId w:val="25"/>
        </w:numPr>
        <w:spacing w:after="100"/>
        <w:rPr>
          <w:rFonts w:asciiTheme="minorHAnsi" w:hAnsiTheme="minorHAnsi" w:cstheme="minorHAnsi"/>
          <w:color w:val="000000"/>
          <w:sz w:val="20"/>
          <w:szCs w:val="20"/>
        </w:rPr>
      </w:pPr>
      <w:r w:rsidRPr="006C7B74">
        <w:rPr>
          <w:rFonts w:asciiTheme="minorHAnsi" w:hAnsiTheme="minorHAnsi" w:cstheme="minorHAnsi"/>
          <w:color w:val="000000"/>
          <w:sz w:val="20"/>
          <w:szCs w:val="20"/>
        </w:rPr>
        <w:t>With local councils, review existing, and identify and reserve sites for new freight terminals/precincts.</w:t>
      </w:r>
    </w:p>
    <w:p w14:paraId="2691D9AE" w14:textId="77777777" w:rsidR="0052312F" w:rsidRPr="006C7B74" w:rsidRDefault="0052312F" w:rsidP="0052312F">
      <w:pPr>
        <w:pStyle w:val="Pa33"/>
        <w:numPr>
          <w:ilvl w:val="0"/>
          <w:numId w:val="25"/>
        </w:numPr>
        <w:spacing w:after="100"/>
        <w:rPr>
          <w:rFonts w:asciiTheme="minorHAnsi" w:hAnsiTheme="minorHAnsi" w:cstheme="minorHAnsi"/>
          <w:color w:val="000000"/>
          <w:sz w:val="20"/>
          <w:szCs w:val="20"/>
        </w:rPr>
      </w:pPr>
      <w:r w:rsidRPr="006C7B74">
        <w:rPr>
          <w:rFonts w:asciiTheme="minorHAnsi" w:hAnsiTheme="minorHAnsi" w:cstheme="minorHAnsi"/>
          <w:color w:val="000000"/>
          <w:sz w:val="20"/>
          <w:szCs w:val="20"/>
        </w:rPr>
        <w:t>Reserve land for the locations of Victoria’s new interstate intermodal terminals – the Western Interstate Freight Terminal (WIFT) at Truganina and the Beveridge Interstate Freight Terminal (BIFT), and their connecting transport corridors. Include these land reservations in the new PFN.</w:t>
      </w:r>
    </w:p>
    <w:p w14:paraId="4458C040" w14:textId="77777777" w:rsidR="0052312F" w:rsidRPr="006C7B74" w:rsidRDefault="0052312F" w:rsidP="0052312F">
      <w:pPr>
        <w:pStyle w:val="Pa33"/>
        <w:numPr>
          <w:ilvl w:val="0"/>
          <w:numId w:val="25"/>
        </w:numPr>
        <w:spacing w:after="100"/>
        <w:rPr>
          <w:rFonts w:asciiTheme="minorHAnsi" w:hAnsiTheme="minorHAnsi" w:cstheme="minorHAnsi"/>
          <w:color w:val="000000"/>
          <w:sz w:val="20"/>
          <w:szCs w:val="20"/>
        </w:rPr>
      </w:pPr>
      <w:r w:rsidRPr="006C7B74">
        <w:rPr>
          <w:rFonts w:asciiTheme="minorHAnsi" w:hAnsiTheme="minorHAnsi" w:cstheme="minorHAnsi"/>
          <w:color w:val="000000"/>
          <w:sz w:val="20"/>
          <w:szCs w:val="20"/>
        </w:rPr>
        <w:t>Prepare a business case for the development of WIFT. Subject to the business case outcome, develop WIFT.</w:t>
      </w:r>
    </w:p>
    <w:p w14:paraId="38E194B5" w14:textId="72C7FE76" w:rsidR="0052312F" w:rsidRPr="006C7B74" w:rsidRDefault="0052312F" w:rsidP="0052312F">
      <w:pPr>
        <w:pStyle w:val="Pa33"/>
        <w:numPr>
          <w:ilvl w:val="0"/>
          <w:numId w:val="25"/>
        </w:numPr>
        <w:spacing w:after="100"/>
        <w:rPr>
          <w:rFonts w:asciiTheme="minorHAnsi" w:hAnsiTheme="minorHAnsi" w:cstheme="minorHAnsi"/>
          <w:color w:val="000000"/>
          <w:sz w:val="20"/>
          <w:szCs w:val="20"/>
        </w:rPr>
      </w:pPr>
      <w:r w:rsidRPr="006C7B74">
        <w:rPr>
          <w:rFonts w:asciiTheme="minorHAnsi" w:hAnsiTheme="minorHAnsi" w:cstheme="minorHAnsi"/>
          <w:color w:val="000000"/>
          <w:sz w:val="20"/>
          <w:szCs w:val="20"/>
        </w:rPr>
        <w:t>Protect Webb Dock and the existing and new transport corridor connections to the port under the new PFN.</w:t>
      </w:r>
    </w:p>
    <w:p w14:paraId="4112A8FD" w14:textId="77777777" w:rsidR="0052312F" w:rsidRPr="006C7B74" w:rsidRDefault="0052312F" w:rsidP="006C7B74">
      <w:pPr>
        <w:pStyle w:val="BodyText"/>
        <w:rPr>
          <w:b/>
          <w:color w:val="000000"/>
        </w:rPr>
      </w:pPr>
      <w:r w:rsidRPr="006C7B74">
        <w:rPr>
          <w:b/>
          <w:lang w:val="en-US"/>
        </w:rPr>
        <w:t>Improve landside efficiency around the Port of Melbourne</w:t>
      </w:r>
    </w:p>
    <w:p w14:paraId="03E9C576" w14:textId="77777777" w:rsidR="0052312F" w:rsidRPr="006C7B74" w:rsidRDefault="0052312F" w:rsidP="0052312F">
      <w:pPr>
        <w:pStyle w:val="Pa33"/>
        <w:numPr>
          <w:ilvl w:val="0"/>
          <w:numId w:val="25"/>
        </w:numPr>
        <w:spacing w:after="100"/>
        <w:rPr>
          <w:rFonts w:asciiTheme="minorHAnsi" w:hAnsiTheme="minorHAnsi" w:cstheme="minorHAnsi"/>
          <w:color w:val="000000"/>
          <w:sz w:val="20"/>
          <w:szCs w:val="20"/>
        </w:rPr>
      </w:pPr>
      <w:r w:rsidRPr="006C7B74">
        <w:rPr>
          <w:rFonts w:asciiTheme="minorHAnsi" w:hAnsiTheme="minorHAnsi" w:cstheme="minorHAnsi"/>
          <w:color w:val="000000"/>
          <w:sz w:val="20"/>
          <w:szCs w:val="20"/>
        </w:rPr>
        <w:t xml:space="preserve">Develop the former Melbourne Market site for use for truck marshalling associated with the Port of Melbourne and for improvements in empty container management. </w:t>
      </w:r>
    </w:p>
    <w:p w14:paraId="18F787D0" w14:textId="7A318D1D" w:rsidR="0052312F" w:rsidRPr="006C7B74" w:rsidRDefault="0052312F" w:rsidP="0052312F">
      <w:pPr>
        <w:pStyle w:val="Pa33"/>
        <w:numPr>
          <w:ilvl w:val="0"/>
          <w:numId w:val="25"/>
        </w:numPr>
        <w:spacing w:after="100"/>
        <w:rPr>
          <w:rFonts w:asciiTheme="minorHAnsi" w:hAnsiTheme="minorHAnsi" w:cstheme="minorHAnsi"/>
          <w:color w:val="000000"/>
          <w:sz w:val="20"/>
          <w:szCs w:val="20"/>
        </w:rPr>
      </w:pPr>
      <w:r w:rsidRPr="006C7B74">
        <w:rPr>
          <w:rFonts w:asciiTheme="minorHAnsi" w:hAnsiTheme="minorHAnsi" w:cstheme="minorHAnsi"/>
          <w:color w:val="000000"/>
          <w:sz w:val="20"/>
          <w:szCs w:val="20"/>
        </w:rPr>
        <w:t xml:space="preserve">Undertake the necessary land use and transport network planning and protect the former Melbourne Market and South Dynon precincts for port and urban freight related uses for the long term. </w:t>
      </w:r>
    </w:p>
    <w:p w14:paraId="6B21E551" w14:textId="77777777" w:rsidR="0052312F" w:rsidRPr="006C7B74" w:rsidRDefault="0052312F" w:rsidP="006C7B74">
      <w:pPr>
        <w:pStyle w:val="BodyText"/>
        <w:rPr>
          <w:b/>
          <w:color w:val="000000"/>
        </w:rPr>
      </w:pPr>
      <w:r w:rsidRPr="006C7B74">
        <w:rPr>
          <w:b/>
          <w:lang w:val="en-US"/>
        </w:rPr>
        <w:t>Plan for Bay</w:t>
      </w:r>
      <w:r w:rsidRPr="006C7B74">
        <w:rPr>
          <w:b/>
          <w:color w:val="000000"/>
        </w:rPr>
        <w:t xml:space="preserve"> West as Victoria’s second container port whilst retaining the Port of Hastings as an option in reserve</w:t>
      </w:r>
    </w:p>
    <w:p w14:paraId="0E673B75" w14:textId="77777777" w:rsidR="0052312F" w:rsidRPr="006C7B74" w:rsidRDefault="0052312F" w:rsidP="0052312F">
      <w:pPr>
        <w:pStyle w:val="Pa33"/>
        <w:numPr>
          <w:ilvl w:val="0"/>
          <w:numId w:val="25"/>
        </w:numPr>
        <w:spacing w:after="100"/>
        <w:rPr>
          <w:rFonts w:asciiTheme="minorHAnsi" w:hAnsiTheme="minorHAnsi" w:cstheme="minorHAnsi"/>
          <w:color w:val="000000"/>
          <w:sz w:val="20"/>
          <w:szCs w:val="20"/>
        </w:rPr>
      </w:pPr>
      <w:r w:rsidRPr="006C7B74">
        <w:rPr>
          <w:rFonts w:asciiTheme="minorHAnsi" w:hAnsiTheme="minorHAnsi" w:cstheme="minorHAnsi"/>
          <w:color w:val="000000"/>
          <w:sz w:val="20"/>
          <w:szCs w:val="20"/>
        </w:rPr>
        <w:t xml:space="preserve">Further investigate the feasibility of Bay West as a container port, including: </w:t>
      </w:r>
    </w:p>
    <w:p w14:paraId="2960A1B1" w14:textId="77777777" w:rsidR="0052312F" w:rsidRPr="006C7B74" w:rsidRDefault="0052312F" w:rsidP="0052312F">
      <w:pPr>
        <w:pStyle w:val="Pa33"/>
        <w:numPr>
          <w:ilvl w:val="0"/>
          <w:numId w:val="26"/>
        </w:numPr>
        <w:spacing w:after="100"/>
        <w:rPr>
          <w:rFonts w:asciiTheme="minorHAnsi" w:hAnsiTheme="minorHAnsi" w:cstheme="minorHAnsi"/>
          <w:color w:val="000000"/>
          <w:sz w:val="20"/>
          <w:szCs w:val="20"/>
        </w:rPr>
      </w:pPr>
      <w:r w:rsidRPr="006C7B74">
        <w:rPr>
          <w:rFonts w:asciiTheme="minorHAnsi" w:hAnsiTheme="minorHAnsi" w:cstheme="minorHAnsi"/>
          <w:color w:val="000000"/>
          <w:sz w:val="20"/>
          <w:szCs w:val="20"/>
        </w:rPr>
        <w:t xml:space="preserve">Determining the location of the port site at Bay West. </w:t>
      </w:r>
    </w:p>
    <w:p w14:paraId="7B27C0E3" w14:textId="77777777" w:rsidR="0052312F" w:rsidRPr="006C7B74" w:rsidRDefault="0052312F" w:rsidP="0052312F">
      <w:pPr>
        <w:pStyle w:val="Pa33"/>
        <w:numPr>
          <w:ilvl w:val="0"/>
          <w:numId w:val="26"/>
        </w:numPr>
        <w:spacing w:after="100"/>
        <w:rPr>
          <w:rFonts w:asciiTheme="minorHAnsi" w:hAnsiTheme="minorHAnsi" w:cstheme="minorHAnsi"/>
          <w:color w:val="000000"/>
          <w:sz w:val="20"/>
          <w:szCs w:val="20"/>
        </w:rPr>
      </w:pPr>
      <w:r w:rsidRPr="006C7B74">
        <w:rPr>
          <w:rFonts w:asciiTheme="minorHAnsi" w:hAnsiTheme="minorHAnsi" w:cstheme="minorHAnsi"/>
          <w:color w:val="000000"/>
          <w:sz w:val="20"/>
          <w:szCs w:val="20"/>
        </w:rPr>
        <w:t xml:space="preserve">Identifying preferred land transport corridors and the required land area. </w:t>
      </w:r>
    </w:p>
    <w:p w14:paraId="3F1FD082" w14:textId="77777777" w:rsidR="0052312F" w:rsidRPr="006C7B74" w:rsidRDefault="0052312F" w:rsidP="0052312F">
      <w:pPr>
        <w:pStyle w:val="Pa33"/>
        <w:numPr>
          <w:ilvl w:val="0"/>
          <w:numId w:val="26"/>
        </w:numPr>
        <w:spacing w:after="100"/>
        <w:rPr>
          <w:rFonts w:asciiTheme="minorHAnsi" w:hAnsiTheme="minorHAnsi" w:cstheme="minorHAnsi"/>
          <w:color w:val="000000"/>
          <w:sz w:val="20"/>
          <w:szCs w:val="20"/>
        </w:rPr>
      </w:pPr>
      <w:r w:rsidRPr="006C7B74">
        <w:rPr>
          <w:rFonts w:asciiTheme="minorHAnsi" w:hAnsiTheme="minorHAnsi" w:cstheme="minorHAnsi"/>
          <w:color w:val="000000"/>
          <w:sz w:val="20"/>
          <w:szCs w:val="20"/>
        </w:rPr>
        <w:t xml:space="preserve">Commence a baseline environmental program for the Bay West port site. </w:t>
      </w:r>
    </w:p>
    <w:p w14:paraId="428ED16F" w14:textId="77777777" w:rsidR="0052312F" w:rsidRPr="006C7B74" w:rsidRDefault="0052312F" w:rsidP="0052312F">
      <w:pPr>
        <w:pStyle w:val="Pa33"/>
        <w:numPr>
          <w:ilvl w:val="0"/>
          <w:numId w:val="26"/>
        </w:numPr>
        <w:spacing w:after="100"/>
        <w:rPr>
          <w:rFonts w:asciiTheme="minorHAnsi" w:hAnsiTheme="minorHAnsi" w:cstheme="minorHAnsi"/>
          <w:color w:val="000000"/>
          <w:sz w:val="20"/>
          <w:szCs w:val="20"/>
        </w:rPr>
      </w:pPr>
      <w:r w:rsidRPr="006C7B74">
        <w:rPr>
          <w:rFonts w:asciiTheme="minorHAnsi" w:hAnsiTheme="minorHAnsi" w:cstheme="minorHAnsi"/>
          <w:color w:val="000000"/>
          <w:sz w:val="20"/>
          <w:szCs w:val="20"/>
        </w:rPr>
        <w:lastRenderedPageBreak/>
        <w:t xml:space="preserve">Monitor key indicators to inform future decisions such as the size of container vessels. </w:t>
      </w:r>
    </w:p>
    <w:p w14:paraId="7C0570BA" w14:textId="77777777" w:rsidR="0052312F" w:rsidRDefault="0052312F" w:rsidP="0052312F">
      <w:pPr>
        <w:pStyle w:val="Pa33"/>
        <w:numPr>
          <w:ilvl w:val="0"/>
          <w:numId w:val="25"/>
        </w:numPr>
        <w:spacing w:after="100"/>
        <w:rPr>
          <w:rFonts w:asciiTheme="minorHAnsi" w:hAnsiTheme="minorHAnsi" w:cstheme="minorHAnsi"/>
          <w:color w:val="000000"/>
          <w:sz w:val="20"/>
          <w:szCs w:val="20"/>
        </w:rPr>
      </w:pPr>
      <w:r w:rsidRPr="006C7B74">
        <w:rPr>
          <w:rFonts w:asciiTheme="minorHAnsi" w:hAnsiTheme="minorHAnsi" w:cstheme="minorHAnsi"/>
          <w:color w:val="000000"/>
          <w:sz w:val="20"/>
          <w:szCs w:val="20"/>
        </w:rPr>
        <w:t>Subject to study outcomes, progressively plan, reserve land, and prepare for development of Bay West as a container port.</w:t>
      </w:r>
    </w:p>
    <w:p w14:paraId="5C4F87A8" w14:textId="77777777" w:rsidR="002164CA" w:rsidRPr="002164CA" w:rsidRDefault="002164CA" w:rsidP="002164CA"/>
    <w:p w14:paraId="1666F415" w14:textId="3C722699" w:rsidR="001D1BFE" w:rsidRPr="006C7B74" w:rsidRDefault="00230637" w:rsidP="00AF1F24">
      <w:pPr>
        <w:pStyle w:val="Heading5"/>
      </w:pPr>
      <w:r w:rsidRPr="006C7B74">
        <w:t>Map 1</w:t>
      </w:r>
      <w:r w:rsidR="00F93315" w:rsidRPr="006C7B74">
        <w:t xml:space="preserve">: </w:t>
      </w:r>
      <w:r w:rsidR="00AF1F24">
        <w:t>Showing k</w:t>
      </w:r>
      <w:r w:rsidR="00F93315" w:rsidRPr="006C7B74">
        <w:t xml:space="preserve">ey </w:t>
      </w:r>
      <w:r w:rsidR="00062874" w:rsidRPr="006C7B74">
        <w:t>f</w:t>
      </w:r>
      <w:r w:rsidR="00F93315" w:rsidRPr="006C7B74">
        <w:t xml:space="preserve">reight </w:t>
      </w:r>
      <w:r w:rsidR="00062874" w:rsidRPr="006C7B74">
        <w:t>r</w:t>
      </w:r>
      <w:r w:rsidR="00F93315" w:rsidRPr="006C7B74">
        <w:t xml:space="preserve">outes and </w:t>
      </w:r>
      <w:r w:rsidR="00062874" w:rsidRPr="006C7B74">
        <w:t>f</w:t>
      </w:r>
      <w:r w:rsidR="00F93315" w:rsidRPr="006C7B74">
        <w:t>acilities</w:t>
      </w:r>
    </w:p>
    <w:p w14:paraId="2106FB66" w14:textId="77777777" w:rsidR="00AF1F24" w:rsidRDefault="00BF4A5F" w:rsidP="00AF1F24">
      <w:pPr>
        <w:pStyle w:val="Quote"/>
        <w:rPr>
          <w:rFonts w:cstheme="minorHAnsi"/>
        </w:rPr>
      </w:pPr>
      <w:r w:rsidRPr="006C7B74">
        <w:t>Source: Department of Environment, Land, Water and Planning</w:t>
      </w:r>
      <w:bookmarkStart w:id="15" w:name="_Toc21694800"/>
    </w:p>
    <w:p w14:paraId="79E7AAC3" w14:textId="77777777" w:rsidR="00AF1F24" w:rsidRDefault="00AF1F24" w:rsidP="00AF1F24">
      <w:pPr>
        <w:pStyle w:val="Heading2-Contenttable"/>
      </w:pPr>
    </w:p>
    <w:p w14:paraId="0B2D8848" w14:textId="23E74250" w:rsidR="00F93315" w:rsidRPr="00AF1F24" w:rsidRDefault="00482063" w:rsidP="00AF1F24">
      <w:pPr>
        <w:pStyle w:val="Heading2-Contenttable"/>
        <w:rPr>
          <w:rFonts w:cstheme="minorHAnsi"/>
          <w:color w:val="4EBAC5" w:themeColor="accent1" w:themeShade="BF"/>
        </w:rPr>
      </w:pPr>
      <w:r w:rsidRPr="006C7B74">
        <w:t xml:space="preserve">Enhanced rail </w:t>
      </w:r>
      <w:r w:rsidR="00A91C10" w:rsidRPr="006C7B74">
        <w:t xml:space="preserve">and road </w:t>
      </w:r>
      <w:r w:rsidRPr="006C7B74">
        <w:t>network</w:t>
      </w:r>
      <w:r w:rsidR="00252EF0" w:rsidRPr="006C7B74">
        <w:t>s</w:t>
      </w:r>
      <w:bookmarkEnd w:id="15"/>
    </w:p>
    <w:p w14:paraId="5E4C4F20" w14:textId="7227362A" w:rsidR="009D2367" w:rsidRPr="006C7B74" w:rsidRDefault="00B851B5" w:rsidP="00934C4D">
      <w:pPr>
        <w:pStyle w:val="BodyText"/>
        <w:spacing w:before="0" w:line="240" w:lineRule="auto"/>
        <w:rPr>
          <w:lang w:eastAsia="en-AU"/>
        </w:rPr>
      </w:pPr>
      <w:r w:rsidRPr="006C7B74">
        <w:rPr>
          <w:lang w:eastAsia="en-AU"/>
        </w:rPr>
        <w:t xml:space="preserve">A well-connected and efficient transport network is critical to Melbourne’s liveability, but also to its economic activity, productivity and competitiveness. </w:t>
      </w:r>
      <w:r w:rsidR="009D2367" w:rsidRPr="006C7B74">
        <w:rPr>
          <w:lang w:eastAsia="en-AU"/>
        </w:rPr>
        <w:t xml:space="preserve">Victoria is currently in a transport construction boom with $38 </w:t>
      </w:r>
      <w:proofErr w:type="spellStart"/>
      <w:r w:rsidR="009D2367" w:rsidRPr="006C7B74">
        <w:rPr>
          <w:lang w:eastAsia="en-AU"/>
        </w:rPr>
        <w:t>billion</w:t>
      </w:r>
      <w:proofErr w:type="spellEnd"/>
      <w:r w:rsidR="009D2367" w:rsidRPr="006C7B74">
        <w:rPr>
          <w:lang w:eastAsia="en-AU"/>
        </w:rPr>
        <w:t xml:space="preserve"> of transport projects currently </w:t>
      </w:r>
      <w:r w:rsidR="0005260C" w:rsidRPr="006C7B74">
        <w:rPr>
          <w:lang w:eastAsia="en-AU"/>
        </w:rPr>
        <w:t>under</w:t>
      </w:r>
      <w:r w:rsidR="009D2367" w:rsidRPr="006C7B74">
        <w:rPr>
          <w:lang w:eastAsia="en-AU"/>
        </w:rPr>
        <w:t xml:space="preserve"> construction. Further, there is significant planning underway for a number of </w:t>
      </w:r>
      <w:r w:rsidRPr="006C7B74">
        <w:rPr>
          <w:lang w:eastAsia="en-AU"/>
        </w:rPr>
        <w:t xml:space="preserve">major </w:t>
      </w:r>
      <w:r w:rsidR="009D2367" w:rsidRPr="006C7B74">
        <w:rPr>
          <w:lang w:eastAsia="en-AU"/>
        </w:rPr>
        <w:t xml:space="preserve">projects that are set to further transform the way in which we move around our city. </w:t>
      </w:r>
    </w:p>
    <w:p w14:paraId="6D26D021" w14:textId="6B2EF7E3" w:rsidR="00A91C10" w:rsidRPr="006C7B74" w:rsidRDefault="00252EF0" w:rsidP="00934C4D">
      <w:pPr>
        <w:pStyle w:val="BodyText"/>
        <w:spacing w:before="0" w:line="240" w:lineRule="auto"/>
        <w:rPr>
          <w:lang w:eastAsia="en-AU"/>
        </w:rPr>
      </w:pPr>
      <w:r w:rsidRPr="006C7B74">
        <w:rPr>
          <w:lang w:eastAsia="en-AU"/>
        </w:rPr>
        <w:t xml:space="preserve">The </w:t>
      </w:r>
      <w:r w:rsidRPr="006C7B74">
        <w:rPr>
          <w:b/>
          <w:lang w:eastAsia="en-AU"/>
        </w:rPr>
        <w:t>Level Crossing Removal Project</w:t>
      </w:r>
      <w:r w:rsidRPr="006C7B74">
        <w:rPr>
          <w:lang w:eastAsia="en-AU"/>
        </w:rPr>
        <w:t xml:space="preserve"> was established by the Victorian Government to oversee the largest rail infrastructure project in the state's history.</w:t>
      </w:r>
      <w:r w:rsidR="00A91C10" w:rsidRPr="006C7B74">
        <w:rPr>
          <w:lang w:eastAsia="en-AU"/>
        </w:rPr>
        <w:t xml:space="preserve"> </w:t>
      </w:r>
      <w:r w:rsidRPr="006C7B74">
        <w:rPr>
          <w:lang w:eastAsia="en-AU"/>
        </w:rPr>
        <w:t>Central to the project is the elimination of 75 level crossings across metropolitan Melbourne by 2025, in addition to upgrading or constructing more than 27 train stations, laying many kilometres of new track and making associated rail improvements.</w:t>
      </w:r>
      <w:r w:rsidR="00A91C10" w:rsidRPr="006C7B74">
        <w:rPr>
          <w:lang w:eastAsia="en-AU"/>
        </w:rPr>
        <w:t xml:space="preserve"> Over the past two and a half years, 29 level crossings have been removed and 15 train stations have been rebuilt. </w:t>
      </w:r>
    </w:p>
    <w:p w14:paraId="4E7D2EF2" w14:textId="7F6A0E07" w:rsidR="009D2367" w:rsidRPr="006C7B74" w:rsidRDefault="009D2367" w:rsidP="00934C4D">
      <w:pPr>
        <w:pStyle w:val="BodyText"/>
        <w:spacing w:before="0" w:line="240" w:lineRule="auto"/>
        <w:rPr>
          <w:lang w:eastAsia="en-AU"/>
        </w:rPr>
      </w:pPr>
      <w:r w:rsidRPr="006C7B74">
        <w:rPr>
          <w:lang w:eastAsia="en-AU"/>
        </w:rPr>
        <w:t xml:space="preserve">The $11 billon </w:t>
      </w:r>
      <w:r w:rsidRPr="006C7B74">
        <w:rPr>
          <w:b/>
          <w:lang w:eastAsia="en-AU"/>
        </w:rPr>
        <w:t>Metro Tunnel</w:t>
      </w:r>
      <w:r w:rsidRPr="006C7B74">
        <w:rPr>
          <w:lang w:eastAsia="en-AU"/>
        </w:rPr>
        <w:t xml:space="preserve"> will create a new end-to-end rail line from Sunbury in the west to Cranbourne</w:t>
      </w:r>
      <w:r w:rsidR="0025772D" w:rsidRPr="006C7B74">
        <w:rPr>
          <w:lang w:eastAsia="en-AU"/>
        </w:rPr>
        <w:t xml:space="preserve"> and</w:t>
      </w:r>
      <w:r w:rsidR="0082629A" w:rsidRPr="006C7B74">
        <w:rPr>
          <w:lang w:eastAsia="en-AU"/>
        </w:rPr>
        <w:t xml:space="preserve"> </w:t>
      </w:r>
      <w:r w:rsidRPr="006C7B74">
        <w:rPr>
          <w:lang w:eastAsia="en-AU"/>
        </w:rPr>
        <w:t xml:space="preserve">Pakenham in the south-east, with high capacity trains and five new underground stations. The project will </w:t>
      </w:r>
      <w:r w:rsidR="00272175" w:rsidRPr="006C7B74">
        <w:rPr>
          <w:lang w:eastAsia="en-AU"/>
        </w:rPr>
        <w:t>enable more trains to be able to run more often</w:t>
      </w:r>
      <w:r w:rsidR="00882871" w:rsidRPr="006C7B74">
        <w:rPr>
          <w:lang w:eastAsia="en-AU"/>
        </w:rPr>
        <w:t>,</w:t>
      </w:r>
      <w:r w:rsidR="00272175" w:rsidRPr="006C7B74">
        <w:rPr>
          <w:lang w:eastAsia="en-AU"/>
        </w:rPr>
        <w:t xml:space="preserve"> on five other lines across the metropolitan rail network. It will also </w:t>
      </w:r>
      <w:r w:rsidRPr="006C7B74">
        <w:rPr>
          <w:lang w:eastAsia="en-AU"/>
        </w:rPr>
        <w:t>create capacity on the network</w:t>
      </w:r>
      <w:r w:rsidR="001F0778" w:rsidRPr="006C7B74">
        <w:rPr>
          <w:lang w:eastAsia="en-AU"/>
        </w:rPr>
        <w:t>,</w:t>
      </w:r>
      <w:r w:rsidRPr="006C7B74">
        <w:rPr>
          <w:lang w:eastAsia="en-AU"/>
        </w:rPr>
        <w:t xml:space="preserve"> to enable more than a half a million additional passengers per week across Melbourne’s train network</w:t>
      </w:r>
      <w:r w:rsidR="0044017B" w:rsidRPr="006C7B74">
        <w:rPr>
          <w:lang w:eastAsia="en-AU"/>
        </w:rPr>
        <w:t>,</w:t>
      </w:r>
      <w:r w:rsidRPr="006C7B74">
        <w:rPr>
          <w:lang w:eastAsia="en-AU"/>
        </w:rPr>
        <w:t xml:space="preserve"> to use the rail system during the peak periods.</w:t>
      </w:r>
    </w:p>
    <w:p w14:paraId="12C884B6" w14:textId="0F9EBC0F" w:rsidR="00162870" w:rsidRPr="006C7B74" w:rsidRDefault="00162870" w:rsidP="00934C4D">
      <w:pPr>
        <w:pStyle w:val="BodyText"/>
        <w:spacing w:before="0" w:line="240" w:lineRule="auto"/>
        <w:rPr>
          <w:sz w:val="24"/>
        </w:rPr>
      </w:pPr>
      <w:r w:rsidRPr="006C7B74">
        <w:rPr>
          <w:lang w:eastAsia="en-AU"/>
        </w:rPr>
        <w:t xml:space="preserve">The </w:t>
      </w:r>
      <w:r w:rsidRPr="006C7B74">
        <w:rPr>
          <w:b/>
          <w:lang w:eastAsia="en-AU"/>
        </w:rPr>
        <w:t>West Gate Tunnel Project</w:t>
      </w:r>
      <w:r w:rsidRPr="006C7B74">
        <w:rPr>
          <w:lang w:eastAsia="en-AU"/>
        </w:rPr>
        <w:t xml:space="preserve"> will provide direct access to the port, an alternative to the West Gate Bridge and reduce the need for trucks to travel on congested residential streets in the inner west. It will provide the freight industry with a more direct and efficient route from the west to the port and the rest of Melbourne. </w:t>
      </w:r>
      <w:r w:rsidRPr="006C7B74">
        <w:rPr>
          <w:color w:val="0C0C0C"/>
        </w:rPr>
        <w:t xml:space="preserve">The </w:t>
      </w:r>
      <w:r w:rsidR="00EF666A" w:rsidRPr="006C7B74">
        <w:rPr>
          <w:color w:val="0C0C0C"/>
        </w:rPr>
        <w:t>p</w:t>
      </w:r>
      <w:r w:rsidRPr="006C7B74">
        <w:rPr>
          <w:color w:val="0C0C0C"/>
        </w:rPr>
        <w:t xml:space="preserve">roject will increase opportunities to use High Productivity Freight Vehicles, particularly for trips to and from the port. This will allow greater volumes of freight to be moved with fewer trips, improving productivity and providing operational efficiencies. </w:t>
      </w:r>
    </w:p>
    <w:p w14:paraId="419C39C2" w14:textId="427F8873" w:rsidR="00B851B5" w:rsidRPr="006C7B74" w:rsidRDefault="00162870" w:rsidP="00934C4D">
      <w:pPr>
        <w:pStyle w:val="BodyText"/>
        <w:spacing w:before="0" w:line="240" w:lineRule="auto"/>
        <w:rPr>
          <w:lang w:eastAsia="en-AU"/>
        </w:rPr>
      </w:pPr>
      <w:r w:rsidRPr="006C7B74">
        <w:rPr>
          <w:lang w:eastAsia="en-AU"/>
        </w:rPr>
        <w:t xml:space="preserve">The </w:t>
      </w:r>
      <w:r w:rsidRPr="006C7B74">
        <w:rPr>
          <w:b/>
          <w:lang w:eastAsia="en-AU"/>
        </w:rPr>
        <w:t>North East Link</w:t>
      </w:r>
      <w:r w:rsidRPr="006C7B74">
        <w:rPr>
          <w:lang w:eastAsia="en-AU"/>
        </w:rPr>
        <w:t xml:space="preserve"> will complete the ring road between the Eastern Freeway and the M80 Ring Road, connecting the growing northern and south-eastern suburbs</w:t>
      </w:r>
      <w:r w:rsidR="00EF666A" w:rsidRPr="006C7B74">
        <w:rPr>
          <w:lang w:eastAsia="en-AU"/>
        </w:rPr>
        <w:t xml:space="preserve">. The project has a strong focus on supporting business and jobs growth in Melbourne’s north, east and south east, while also improving cross-city connectivity and helping to address critical traffic, freight and amenity issues. </w:t>
      </w:r>
      <w:r w:rsidR="00B851B5" w:rsidRPr="006C7B74">
        <w:rPr>
          <w:lang w:eastAsia="en-AU"/>
        </w:rPr>
        <w:t>The link will boost the capacity and efficiency of the city’s freight network by creating a continuous freeway-standard road for freight, drawing trucks away from the arterial road network and reducing pressure on the M1 corridor. In addition, it will enhance access to major suburban business and employment centres and improve orbital road connectivity across Melbourne.</w:t>
      </w:r>
    </w:p>
    <w:p w14:paraId="4B29FED3" w14:textId="29BF463D" w:rsidR="00252EF0" w:rsidRPr="006C7B74" w:rsidRDefault="00252EF0" w:rsidP="000D058C">
      <w:pPr>
        <w:pStyle w:val="BodyText"/>
        <w:rPr>
          <w:lang w:eastAsia="en-AU"/>
        </w:rPr>
      </w:pPr>
      <w:r w:rsidRPr="006C7B74">
        <w:rPr>
          <w:lang w:eastAsia="en-AU"/>
        </w:rPr>
        <w:t xml:space="preserve">The </w:t>
      </w:r>
      <w:r w:rsidRPr="006C7B74">
        <w:rPr>
          <w:b/>
          <w:lang w:eastAsia="en-AU"/>
        </w:rPr>
        <w:t>Suburban Rail Loop</w:t>
      </w:r>
      <w:r w:rsidRPr="006C7B74">
        <w:rPr>
          <w:lang w:eastAsia="en-AU"/>
        </w:rPr>
        <w:t xml:space="preserve"> is </w:t>
      </w:r>
      <w:r w:rsidR="002B45AA" w:rsidRPr="006C7B74">
        <w:rPr>
          <w:lang w:eastAsia="en-AU"/>
        </w:rPr>
        <w:t>a new underground rail link connecting Melbourne’s middle suburbs. It will include new stations and connect major railway lines from the Frankston line to the Werribee line via Melbourne Airport. Suburban Rail Loop will connect Melbourne’s middle suburbs to priority growth precincts, and link all Victorians to major health, education and employment centres.</w:t>
      </w:r>
    </w:p>
    <w:p w14:paraId="5EC3D16F" w14:textId="29F65359" w:rsidR="006C67E1" w:rsidRPr="006C7B74" w:rsidRDefault="005C0549" w:rsidP="00934C4D">
      <w:pPr>
        <w:spacing w:after="120"/>
        <w:rPr>
          <w:rFonts w:cstheme="minorHAnsi"/>
          <w:b/>
          <w:sz w:val="20"/>
          <w:szCs w:val="20"/>
        </w:rPr>
      </w:pPr>
      <w:r w:rsidRPr="006C7B74">
        <w:rPr>
          <w:rFonts w:cstheme="minorHAnsi"/>
          <w:b/>
          <w:sz w:val="20"/>
          <w:szCs w:val="20"/>
        </w:rPr>
        <w:br w:type="page"/>
      </w:r>
    </w:p>
    <w:p w14:paraId="23659E26" w14:textId="77777777" w:rsidR="00DD3EBE" w:rsidRPr="006C7B74" w:rsidRDefault="00DD3EBE" w:rsidP="00DD3EBE">
      <w:pPr>
        <w:pStyle w:val="Heading1"/>
        <w:spacing w:before="0"/>
        <w:ind w:left="357" w:hanging="357"/>
      </w:pPr>
      <w:bookmarkStart w:id="16" w:name="_Toc21694801"/>
      <w:bookmarkStart w:id="17" w:name="_Toc508025001"/>
      <w:r w:rsidRPr="006C7B74">
        <w:lastRenderedPageBreak/>
        <w:t>The need to plan for industrial and commercial land</w:t>
      </w:r>
      <w:bookmarkEnd w:id="16"/>
    </w:p>
    <w:p w14:paraId="1EDD5717" w14:textId="3A5AA00D" w:rsidR="00DD3EBE" w:rsidRPr="006C7B74" w:rsidRDefault="00DD3EBE" w:rsidP="00DD3EBE">
      <w:pPr>
        <w:pStyle w:val="Heading2-Contenttable"/>
      </w:pPr>
      <w:bookmarkStart w:id="18" w:name="_Toc21694802"/>
      <w:r w:rsidRPr="006C7B74">
        <w:t xml:space="preserve">Projected </w:t>
      </w:r>
      <w:r w:rsidR="004A4C3C" w:rsidRPr="006C7B74">
        <w:t>p</w:t>
      </w:r>
      <w:r w:rsidRPr="006C7B74">
        <w:t xml:space="preserve">opulation and </w:t>
      </w:r>
      <w:r w:rsidR="004A4C3C" w:rsidRPr="006C7B74">
        <w:t>e</w:t>
      </w:r>
      <w:r w:rsidRPr="006C7B74">
        <w:t xml:space="preserve">mployment </w:t>
      </w:r>
      <w:r w:rsidR="004A4C3C" w:rsidRPr="006C7B74">
        <w:t>g</w:t>
      </w:r>
      <w:r w:rsidRPr="006C7B74">
        <w:t>rowth</w:t>
      </w:r>
      <w:bookmarkEnd w:id="18"/>
    </w:p>
    <w:p w14:paraId="29F1E0B7" w14:textId="69E85838" w:rsidR="00DD3348" w:rsidRPr="006C7B74" w:rsidRDefault="00776C72" w:rsidP="000D058C">
      <w:pPr>
        <w:pStyle w:val="BodyText"/>
        <w:spacing w:before="0" w:line="240" w:lineRule="auto"/>
      </w:pPr>
      <w:r w:rsidRPr="006C7B74">
        <w:t>As the official state projection</w:t>
      </w:r>
      <w:r w:rsidR="00680B61" w:rsidRPr="006C7B74">
        <w:t>s</w:t>
      </w:r>
      <w:r w:rsidRPr="006C7B74">
        <w:t xml:space="preserve">, </w:t>
      </w:r>
      <w:r w:rsidRPr="006C7B74">
        <w:rPr>
          <w:i/>
        </w:rPr>
        <w:t>Victoria in Future</w:t>
      </w:r>
      <w:r w:rsidR="00473FC1" w:rsidRPr="006C7B74">
        <w:t xml:space="preserve">, outlines that </w:t>
      </w:r>
      <w:r w:rsidRPr="006C7B74">
        <w:t>Victoria has grown by a million people</w:t>
      </w:r>
      <w:r w:rsidR="00473FC1" w:rsidRPr="006C7B74">
        <w:t xml:space="preserve"> </w:t>
      </w:r>
      <w:r w:rsidRPr="006C7B74">
        <w:t>since 2011 and is expected to add another million by</w:t>
      </w:r>
      <w:r w:rsidR="00473FC1" w:rsidRPr="006C7B74">
        <w:t xml:space="preserve"> </w:t>
      </w:r>
      <w:r w:rsidRPr="006C7B74">
        <w:t>2026.</w:t>
      </w:r>
    </w:p>
    <w:p w14:paraId="2C62CCD2" w14:textId="67E83B66" w:rsidR="00DD3EBE" w:rsidRPr="006C7B74" w:rsidRDefault="00DD3EBE" w:rsidP="00DD3EBE">
      <w:pPr>
        <w:pStyle w:val="BodyText"/>
        <w:spacing w:before="0" w:line="240" w:lineRule="auto"/>
      </w:pPr>
      <w:r w:rsidRPr="006C7B74">
        <w:t>Between 2016 and 20</w:t>
      </w:r>
      <w:r w:rsidR="005F609C" w:rsidRPr="006C7B74">
        <w:t>3</w:t>
      </w:r>
      <w:r w:rsidRPr="006C7B74">
        <w:t xml:space="preserve">1 Melbourne is projected to grow by around </w:t>
      </w:r>
      <w:r w:rsidR="003F1F64" w:rsidRPr="006C7B74">
        <w:t>1.6</w:t>
      </w:r>
      <w:r w:rsidRPr="006C7B74">
        <w:t xml:space="preserve"> million people</w:t>
      </w:r>
      <w:r w:rsidR="00ED1D3F" w:rsidRPr="006C7B74">
        <w:t>,</w:t>
      </w:r>
      <w:r w:rsidRPr="006C7B74">
        <w:t xml:space="preserve"> from a population of 4.</w:t>
      </w:r>
      <w:r w:rsidR="00B52331" w:rsidRPr="006C7B74">
        <w:t>7</w:t>
      </w:r>
      <w:r w:rsidRPr="006C7B74">
        <w:t xml:space="preserve"> million to around </w:t>
      </w:r>
      <w:r w:rsidR="006A2B8C" w:rsidRPr="006C7B74">
        <w:t>6.3</w:t>
      </w:r>
      <w:r w:rsidRPr="006C7B74">
        <w:t xml:space="preserve"> million. More than half of these new residents will come from interstate or overseas attracted by a range of education and employment opportunities. The largest population increases will occur in the Western, Northern and Southern </w:t>
      </w:r>
      <w:r w:rsidR="00ED1D3F" w:rsidRPr="006C7B74">
        <w:t>R</w:t>
      </w:r>
      <w:r w:rsidRPr="006C7B74">
        <w:t>egions, reflecting the significant capacity in Melbourne’s growth areas.</w:t>
      </w:r>
    </w:p>
    <w:p w14:paraId="6558685B" w14:textId="249351F5" w:rsidR="00DD3EBE" w:rsidRPr="006C7B74" w:rsidRDefault="00DD3EBE" w:rsidP="00DD3EBE">
      <w:pPr>
        <w:pStyle w:val="BodyText"/>
        <w:spacing w:before="0" w:line="240" w:lineRule="auto"/>
      </w:pPr>
      <w:r w:rsidRPr="006C7B74">
        <w:t xml:space="preserve">In 2016 metropolitan Melbourne was home to around 2.3 million jobs. It is estimated that the total number of jobs required to accommodate growth by 2031 will be close to </w:t>
      </w:r>
      <w:r w:rsidR="001E5861" w:rsidRPr="006C7B74">
        <w:t>3.1</w:t>
      </w:r>
      <w:r w:rsidRPr="006C7B74">
        <w:t xml:space="preserve"> million, and by 2051 around </w:t>
      </w:r>
      <w:r w:rsidR="006B59C4" w:rsidRPr="006C7B74">
        <w:t>4.1</w:t>
      </w:r>
      <w:r w:rsidRPr="006C7B74">
        <w:t xml:space="preserve"> million. This will require the provision of another </w:t>
      </w:r>
      <w:r w:rsidR="009F7E43" w:rsidRPr="0073488E">
        <w:t>85</w:t>
      </w:r>
      <w:r w:rsidR="009F7E43" w:rsidRPr="003E3F31">
        <w:t>7</w:t>
      </w:r>
      <w:r w:rsidR="001B1AA3" w:rsidRPr="0073488E">
        <w:t>,000</w:t>
      </w:r>
      <w:r w:rsidRPr="006C7B74">
        <w:t xml:space="preserve"> jobs by 2031 and another 1.</w:t>
      </w:r>
      <w:r w:rsidR="006B59C4" w:rsidRPr="006C7B74">
        <w:t>8</w:t>
      </w:r>
      <w:r w:rsidRPr="006C7B74">
        <w:t xml:space="preserve"> million jobs by 2051. </w:t>
      </w:r>
    </w:p>
    <w:p w14:paraId="0BA8639F" w14:textId="664DE2FB" w:rsidR="00DD3EBE" w:rsidRPr="006C7B74" w:rsidRDefault="00DD3EBE" w:rsidP="00DD3EBE">
      <w:pPr>
        <w:pStyle w:val="BodyText"/>
        <w:spacing w:before="0" w:line="240" w:lineRule="auto"/>
      </w:pPr>
      <w:r w:rsidRPr="006C7B74">
        <w:t xml:space="preserve">The Inner Metro Region will continue to be a key focus for jobs growth accounting for over 30 per cent of all Melbourne’s jobs growth between 2016 and 2031. There is also projected to be strong jobs growth in the Western, Northern and Southern </w:t>
      </w:r>
      <w:r w:rsidR="00206B0B" w:rsidRPr="006C7B74">
        <w:t>R</w:t>
      </w:r>
      <w:r w:rsidRPr="006C7B74">
        <w:t>egions correlating with strong population growth.</w:t>
      </w:r>
    </w:p>
    <w:p w14:paraId="56028834" w14:textId="1413E7F8" w:rsidR="00DD3EBE" w:rsidRPr="006C7B74" w:rsidRDefault="00DD3EBE" w:rsidP="00DD3EBE">
      <w:pPr>
        <w:pStyle w:val="Heading5"/>
      </w:pPr>
      <w:r w:rsidRPr="006C7B74">
        <w:t xml:space="preserve">Table </w:t>
      </w:r>
      <w:r w:rsidRPr="006C7B74">
        <w:rPr>
          <w:noProof/>
        </w:rPr>
        <w:fldChar w:fldCharType="begin"/>
      </w:r>
      <w:r w:rsidRPr="006C7B74">
        <w:rPr>
          <w:noProof/>
        </w:rPr>
        <w:instrText xml:space="preserve"> SEQ Table \* ARABIC </w:instrText>
      </w:r>
      <w:r w:rsidRPr="006C7B74">
        <w:rPr>
          <w:noProof/>
        </w:rPr>
        <w:fldChar w:fldCharType="separate"/>
      </w:r>
      <w:r w:rsidR="00070842" w:rsidRPr="006C7B74">
        <w:rPr>
          <w:noProof/>
        </w:rPr>
        <w:t>1</w:t>
      </w:r>
      <w:r w:rsidRPr="006C7B74">
        <w:rPr>
          <w:noProof/>
        </w:rPr>
        <w:fldChar w:fldCharType="end"/>
      </w:r>
      <w:r w:rsidRPr="006C7B74">
        <w:t>: Employment across metropolitan Melbourne, 2016</w:t>
      </w:r>
    </w:p>
    <w:tbl>
      <w:tblPr>
        <w:tblW w:w="5000" w:type="pct"/>
        <w:tblLook w:val="04A0" w:firstRow="1" w:lastRow="0" w:firstColumn="1" w:lastColumn="0" w:noHBand="0" w:noVBand="1"/>
      </w:tblPr>
      <w:tblGrid>
        <w:gridCol w:w="3008"/>
        <w:gridCol w:w="3007"/>
        <w:gridCol w:w="3005"/>
      </w:tblGrid>
      <w:tr w:rsidR="00DD3EBE" w:rsidRPr="006C7B74" w14:paraId="68D7CD93" w14:textId="77777777" w:rsidTr="00BF4A5F">
        <w:trPr>
          <w:trHeight w:val="283"/>
        </w:trPr>
        <w:tc>
          <w:tcPr>
            <w:tcW w:w="1667" w:type="pct"/>
            <w:tcBorders>
              <w:top w:val="single" w:sz="8" w:space="0" w:color="44546A"/>
              <w:left w:val="nil"/>
              <w:bottom w:val="single" w:sz="8" w:space="0" w:color="44546A"/>
              <w:right w:val="nil"/>
            </w:tcBorders>
            <w:shd w:val="clear" w:color="000000" w:fill="4D446C"/>
            <w:vAlign w:val="center"/>
            <w:hideMark/>
          </w:tcPr>
          <w:p w14:paraId="3A300AA2" w14:textId="77777777" w:rsidR="00DD3EBE" w:rsidRPr="006C7B74" w:rsidRDefault="00DD3EBE" w:rsidP="008510B6">
            <w:pPr>
              <w:pStyle w:val="TableHeaderRow"/>
            </w:pPr>
            <w:r w:rsidRPr="006C7B74">
              <w:t>Region</w:t>
            </w:r>
          </w:p>
        </w:tc>
        <w:tc>
          <w:tcPr>
            <w:tcW w:w="1667" w:type="pct"/>
            <w:tcBorders>
              <w:top w:val="single" w:sz="8" w:space="0" w:color="44546A"/>
              <w:left w:val="nil"/>
              <w:bottom w:val="single" w:sz="8" w:space="0" w:color="44546A"/>
              <w:right w:val="nil"/>
            </w:tcBorders>
            <w:shd w:val="clear" w:color="000000" w:fill="4D446C"/>
            <w:vAlign w:val="center"/>
            <w:hideMark/>
          </w:tcPr>
          <w:p w14:paraId="6014B73A" w14:textId="77777777" w:rsidR="00DD3EBE" w:rsidRPr="006C7B74" w:rsidRDefault="00DD3EBE" w:rsidP="008510B6">
            <w:pPr>
              <w:pStyle w:val="TableHeaderRow"/>
              <w:jc w:val="center"/>
            </w:pPr>
            <w:r w:rsidRPr="006C7B74">
              <w:t>Employment</w:t>
            </w:r>
          </w:p>
        </w:tc>
        <w:tc>
          <w:tcPr>
            <w:tcW w:w="1666" w:type="pct"/>
            <w:tcBorders>
              <w:top w:val="single" w:sz="8" w:space="0" w:color="44546A"/>
              <w:left w:val="nil"/>
              <w:bottom w:val="single" w:sz="8" w:space="0" w:color="44546A"/>
              <w:right w:val="nil"/>
            </w:tcBorders>
            <w:shd w:val="clear" w:color="000000" w:fill="4D446C"/>
            <w:vAlign w:val="center"/>
            <w:hideMark/>
          </w:tcPr>
          <w:p w14:paraId="15C605C3" w14:textId="77777777" w:rsidR="00DD3EBE" w:rsidRPr="006C7B74" w:rsidRDefault="00DD3EBE" w:rsidP="008510B6">
            <w:pPr>
              <w:pStyle w:val="TableHeaderRow"/>
              <w:jc w:val="center"/>
            </w:pPr>
            <w:r w:rsidRPr="006C7B74">
              <w:t>Share</w:t>
            </w:r>
          </w:p>
        </w:tc>
      </w:tr>
      <w:tr w:rsidR="00DD3EBE" w:rsidRPr="006C7B74" w14:paraId="0E9803E7" w14:textId="77777777" w:rsidTr="00BF4A5F">
        <w:trPr>
          <w:trHeight w:val="283"/>
        </w:trPr>
        <w:tc>
          <w:tcPr>
            <w:tcW w:w="1667" w:type="pct"/>
            <w:tcBorders>
              <w:top w:val="nil"/>
              <w:left w:val="nil"/>
              <w:bottom w:val="single" w:sz="8" w:space="0" w:color="44546A"/>
              <w:right w:val="nil"/>
            </w:tcBorders>
            <w:shd w:val="clear" w:color="auto" w:fill="auto"/>
            <w:vAlign w:val="center"/>
            <w:hideMark/>
          </w:tcPr>
          <w:p w14:paraId="39F66209" w14:textId="77777777" w:rsidR="00DD3EBE" w:rsidRPr="006C7B74" w:rsidRDefault="00DD3EBE" w:rsidP="00230637">
            <w:pPr>
              <w:rPr>
                <w:rFonts w:cstheme="minorHAnsi"/>
                <w:color w:val="000000"/>
                <w:sz w:val="18"/>
                <w:szCs w:val="18"/>
                <w:lang w:eastAsia="en-AU"/>
              </w:rPr>
            </w:pPr>
            <w:r w:rsidRPr="006C7B74">
              <w:rPr>
                <w:rFonts w:cstheme="minorHAnsi"/>
                <w:color w:val="000000"/>
                <w:sz w:val="18"/>
                <w:szCs w:val="18"/>
                <w:lang w:eastAsia="en-AU"/>
              </w:rPr>
              <w:t>Inner Metro</w:t>
            </w:r>
          </w:p>
        </w:tc>
        <w:tc>
          <w:tcPr>
            <w:tcW w:w="1667" w:type="pct"/>
            <w:tcBorders>
              <w:top w:val="nil"/>
              <w:left w:val="nil"/>
              <w:bottom w:val="single" w:sz="8" w:space="0" w:color="44546A"/>
              <w:right w:val="nil"/>
            </w:tcBorders>
            <w:shd w:val="clear" w:color="auto" w:fill="auto"/>
            <w:vAlign w:val="center"/>
            <w:hideMark/>
          </w:tcPr>
          <w:p w14:paraId="3C1BC0BF" w14:textId="77777777" w:rsidR="00DD3EBE" w:rsidRPr="006C7B74" w:rsidRDefault="00DD3EBE" w:rsidP="00230637">
            <w:pPr>
              <w:jc w:val="center"/>
              <w:rPr>
                <w:rFonts w:cstheme="minorHAnsi"/>
                <w:color w:val="000000"/>
                <w:sz w:val="18"/>
                <w:szCs w:val="18"/>
                <w:lang w:eastAsia="en-AU"/>
              </w:rPr>
            </w:pPr>
            <w:r w:rsidRPr="006C7B74">
              <w:rPr>
                <w:rFonts w:cstheme="minorHAnsi"/>
                <w:color w:val="000000"/>
                <w:sz w:val="18"/>
                <w:szCs w:val="18"/>
                <w:lang w:eastAsia="en-AU"/>
              </w:rPr>
              <w:t>682,800</w:t>
            </w:r>
          </w:p>
        </w:tc>
        <w:tc>
          <w:tcPr>
            <w:tcW w:w="1666" w:type="pct"/>
            <w:tcBorders>
              <w:top w:val="nil"/>
              <w:left w:val="nil"/>
              <w:bottom w:val="single" w:sz="8" w:space="0" w:color="44546A"/>
              <w:right w:val="nil"/>
            </w:tcBorders>
            <w:shd w:val="clear" w:color="auto" w:fill="auto"/>
            <w:vAlign w:val="center"/>
            <w:hideMark/>
          </w:tcPr>
          <w:p w14:paraId="0FBE3230" w14:textId="77777777" w:rsidR="00DD3EBE" w:rsidRPr="006C7B74" w:rsidRDefault="00DD3EBE" w:rsidP="00230637">
            <w:pPr>
              <w:jc w:val="center"/>
              <w:rPr>
                <w:rFonts w:cstheme="minorHAnsi"/>
                <w:color w:val="000000"/>
                <w:sz w:val="18"/>
                <w:szCs w:val="18"/>
                <w:lang w:eastAsia="en-AU"/>
              </w:rPr>
            </w:pPr>
            <w:r w:rsidRPr="006C7B74">
              <w:rPr>
                <w:rFonts w:cstheme="minorHAnsi"/>
                <w:color w:val="000000"/>
                <w:sz w:val="18"/>
                <w:szCs w:val="18"/>
                <w:lang w:eastAsia="en-AU"/>
              </w:rPr>
              <w:t>30%</w:t>
            </w:r>
          </w:p>
        </w:tc>
      </w:tr>
      <w:tr w:rsidR="00DD3EBE" w:rsidRPr="006C7B74" w14:paraId="2C62B650" w14:textId="77777777" w:rsidTr="00BF4A5F">
        <w:trPr>
          <w:trHeight w:val="283"/>
        </w:trPr>
        <w:tc>
          <w:tcPr>
            <w:tcW w:w="1667" w:type="pct"/>
            <w:tcBorders>
              <w:top w:val="nil"/>
              <w:left w:val="nil"/>
              <w:bottom w:val="single" w:sz="8" w:space="0" w:color="44546A"/>
              <w:right w:val="nil"/>
            </w:tcBorders>
            <w:shd w:val="clear" w:color="auto" w:fill="auto"/>
            <w:vAlign w:val="center"/>
            <w:hideMark/>
          </w:tcPr>
          <w:p w14:paraId="78DA6BB0" w14:textId="77777777" w:rsidR="00DD3EBE" w:rsidRPr="006C7B74" w:rsidRDefault="00DD3EBE" w:rsidP="00230637">
            <w:pPr>
              <w:rPr>
                <w:rFonts w:cstheme="minorHAnsi"/>
                <w:color w:val="000000"/>
                <w:sz w:val="18"/>
                <w:szCs w:val="18"/>
                <w:lang w:eastAsia="en-AU"/>
              </w:rPr>
            </w:pPr>
            <w:r w:rsidRPr="006C7B74">
              <w:rPr>
                <w:rFonts w:cstheme="minorHAnsi"/>
                <w:color w:val="000000"/>
                <w:sz w:val="18"/>
                <w:szCs w:val="18"/>
                <w:lang w:eastAsia="en-AU"/>
              </w:rPr>
              <w:t>Western</w:t>
            </w:r>
          </w:p>
        </w:tc>
        <w:tc>
          <w:tcPr>
            <w:tcW w:w="1667" w:type="pct"/>
            <w:tcBorders>
              <w:top w:val="nil"/>
              <w:left w:val="nil"/>
              <w:bottom w:val="single" w:sz="8" w:space="0" w:color="44546A"/>
              <w:right w:val="nil"/>
            </w:tcBorders>
            <w:shd w:val="clear" w:color="auto" w:fill="auto"/>
            <w:vAlign w:val="center"/>
            <w:hideMark/>
          </w:tcPr>
          <w:p w14:paraId="6E6236AC" w14:textId="77777777" w:rsidR="00DD3EBE" w:rsidRPr="006C7B74" w:rsidRDefault="00DD3EBE" w:rsidP="00230637">
            <w:pPr>
              <w:jc w:val="center"/>
              <w:rPr>
                <w:rFonts w:cstheme="minorHAnsi"/>
                <w:color w:val="000000"/>
                <w:sz w:val="18"/>
                <w:szCs w:val="18"/>
                <w:lang w:eastAsia="en-AU"/>
              </w:rPr>
            </w:pPr>
            <w:r w:rsidRPr="006C7B74">
              <w:rPr>
                <w:rFonts w:cstheme="minorHAnsi"/>
                <w:color w:val="000000"/>
                <w:sz w:val="18"/>
                <w:szCs w:val="18"/>
                <w:lang w:eastAsia="en-AU"/>
              </w:rPr>
              <w:t>294,550</w:t>
            </w:r>
          </w:p>
        </w:tc>
        <w:tc>
          <w:tcPr>
            <w:tcW w:w="1666" w:type="pct"/>
            <w:tcBorders>
              <w:top w:val="nil"/>
              <w:left w:val="nil"/>
              <w:bottom w:val="single" w:sz="8" w:space="0" w:color="44546A"/>
              <w:right w:val="nil"/>
            </w:tcBorders>
            <w:shd w:val="clear" w:color="auto" w:fill="auto"/>
            <w:vAlign w:val="center"/>
            <w:hideMark/>
          </w:tcPr>
          <w:p w14:paraId="48D84883" w14:textId="77777777" w:rsidR="00DD3EBE" w:rsidRPr="006C7B74" w:rsidRDefault="00DD3EBE" w:rsidP="00230637">
            <w:pPr>
              <w:jc w:val="center"/>
              <w:rPr>
                <w:rFonts w:cstheme="minorHAnsi"/>
                <w:color w:val="000000"/>
                <w:sz w:val="18"/>
                <w:szCs w:val="18"/>
                <w:lang w:eastAsia="en-AU"/>
              </w:rPr>
            </w:pPr>
            <w:r w:rsidRPr="006C7B74">
              <w:rPr>
                <w:rFonts w:cstheme="minorHAnsi"/>
                <w:color w:val="000000"/>
                <w:sz w:val="18"/>
                <w:szCs w:val="18"/>
                <w:lang w:eastAsia="en-AU"/>
              </w:rPr>
              <w:t>13%</w:t>
            </w:r>
          </w:p>
        </w:tc>
      </w:tr>
      <w:tr w:rsidR="00DD3EBE" w:rsidRPr="006C7B74" w14:paraId="07B0FE7E" w14:textId="77777777" w:rsidTr="00BF4A5F">
        <w:trPr>
          <w:trHeight w:val="283"/>
        </w:trPr>
        <w:tc>
          <w:tcPr>
            <w:tcW w:w="1667" w:type="pct"/>
            <w:tcBorders>
              <w:top w:val="nil"/>
              <w:left w:val="nil"/>
              <w:bottom w:val="single" w:sz="8" w:space="0" w:color="44546A"/>
              <w:right w:val="nil"/>
            </w:tcBorders>
            <w:shd w:val="clear" w:color="auto" w:fill="auto"/>
            <w:vAlign w:val="center"/>
            <w:hideMark/>
          </w:tcPr>
          <w:p w14:paraId="61F8E40A" w14:textId="77777777" w:rsidR="00DD3EBE" w:rsidRPr="006C7B74" w:rsidRDefault="00DD3EBE" w:rsidP="00230637">
            <w:pPr>
              <w:rPr>
                <w:rFonts w:cstheme="minorHAnsi"/>
                <w:color w:val="000000"/>
                <w:sz w:val="18"/>
                <w:szCs w:val="18"/>
                <w:lang w:eastAsia="en-AU"/>
              </w:rPr>
            </w:pPr>
            <w:r w:rsidRPr="006C7B74">
              <w:rPr>
                <w:rFonts w:cstheme="minorHAnsi"/>
                <w:color w:val="000000"/>
                <w:sz w:val="18"/>
                <w:szCs w:val="18"/>
                <w:lang w:eastAsia="en-AU"/>
              </w:rPr>
              <w:t>Northern</w:t>
            </w:r>
          </w:p>
        </w:tc>
        <w:tc>
          <w:tcPr>
            <w:tcW w:w="1667" w:type="pct"/>
            <w:tcBorders>
              <w:top w:val="nil"/>
              <w:left w:val="nil"/>
              <w:bottom w:val="single" w:sz="8" w:space="0" w:color="44546A"/>
              <w:right w:val="nil"/>
            </w:tcBorders>
            <w:shd w:val="clear" w:color="auto" w:fill="auto"/>
            <w:vAlign w:val="center"/>
            <w:hideMark/>
          </w:tcPr>
          <w:p w14:paraId="245150B1" w14:textId="77777777" w:rsidR="00DD3EBE" w:rsidRPr="006C7B74" w:rsidRDefault="00DD3EBE" w:rsidP="00230637">
            <w:pPr>
              <w:jc w:val="center"/>
              <w:rPr>
                <w:rFonts w:cstheme="minorHAnsi"/>
                <w:color w:val="000000"/>
                <w:sz w:val="18"/>
                <w:szCs w:val="18"/>
                <w:lang w:eastAsia="en-AU"/>
              </w:rPr>
            </w:pPr>
            <w:r w:rsidRPr="006C7B74">
              <w:rPr>
                <w:rFonts w:cstheme="minorHAnsi"/>
                <w:color w:val="000000"/>
                <w:sz w:val="18"/>
                <w:szCs w:val="18"/>
                <w:lang w:eastAsia="en-AU"/>
              </w:rPr>
              <w:t>321,200</w:t>
            </w:r>
          </w:p>
        </w:tc>
        <w:tc>
          <w:tcPr>
            <w:tcW w:w="1666" w:type="pct"/>
            <w:tcBorders>
              <w:top w:val="nil"/>
              <w:left w:val="nil"/>
              <w:bottom w:val="single" w:sz="8" w:space="0" w:color="44546A"/>
              <w:right w:val="nil"/>
            </w:tcBorders>
            <w:shd w:val="clear" w:color="auto" w:fill="auto"/>
            <w:vAlign w:val="center"/>
            <w:hideMark/>
          </w:tcPr>
          <w:p w14:paraId="5E914FD8" w14:textId="77777777" w:rsidR="00DD3EBE" w:rsidRPr="006C7B74" w:rsidRDefault="00DD3EBE" w:rsidP="00230637">
            <w:pPr>
              <w:jc w:val="center"/>
              <w:rPr>
                <w:rFonts w:cstheme="minorHAnsi"/>
                <w:color w:val="000000"/>
                <w:sz w:val="18"/>
                <w:szCs w:val="18"/>
                <w:lang w:eastAsia="en-AU"/>
              </w:rPr>
            </w:pPr>
            <w:r w:rsidRPr="006C7B74">
              <w:rPr>
                <w:rFonts w:cstheme="minorHAnsi"/>
                <w:color w:val="000000"/>
                <w:sz w:val="18"/>
                <w:szCs w:val="18"/>
                <w:lang w:eastAsia="en-AU"/>
              </w:rPr>
              <w:t>14%</w:t>
            </w:r>
          </w:p>
        </w:tc>
      </w:tr>
      <w:tr w:rsidR="00DD3EBE" w:rsidRPr="006C7B74" w14:paraId="30A891A8" w14:textId="77777777" w:rsidTr="00BF4A5F">
        <w:trPr>
          <w:trHeight w:val="283"/>
        </w:trPr>
        <w:tc>
          <w:tcPr>
            <w:tcW w:w="1667" w:type="pct"/>
            <w:tcBorders>
              <w:top w:val="nil"/>
              <w:left w:val="nil"/>
              <w:bottom w:val="single" w:sz="8" w:space="0" w:color="44546A"/>
              <w:right w:val="nil"/>
            </w:tcBorders>
            <w:shd w:val="clear" w:color="auto" w:fill="auto"/>
            <w:vAlign w:val="center"/>
            <w:hideMark/>
          </w:tcPr>
          <w:p w14:paraId="2C1FE644" w14:textId="77777777" w:rsidR="00DD3EBE" w:rsidRPr="006C7B74" w:rsidRDefault="00DD3EBE" w:rsidP="00230637">
            <w:pPr>
              <w:rPr>
                <w:rFonts w:cstheme="minorHAnsi"/>
                <w:color w:val="000000"/>
                <w:sz w:val="18"/>
                <w:szCs w:val="18"/>
                <w:lang w:eastAsia="en-AU"/>
              </w:rPr>
            </w:pPr>
            <w:r w:rsidRPr="006C7B74">
              <w:rPr>
                <w:rFonts w:cstheme="minorHAnsi"/>
                <w:color w:val="000000"/>
                <w:sz w:val="18"/>
                <w:szCs w:val="18"/>
                <w:lang w:eastAsia="en-AU"/>
              </w:rPr>
              <w:t>Eastern</w:t>
            </w:r>
          </w:p>
        </w:tc>
        <w:tc>
          <w:tcPr>
            <w:tcW w:w="1667" w:type="pct"/>
            <w:tcBorders>
              <w:top w:val="nil"/>
              <w:left w:val="nil"/>
              <w:bottom w:val="single" w:sz="8" w:space="0" w:color="44546A"/>
              <w:right w:val="nil"/>
            </w:tcBorders>
            <w:shd w:val="clear" w:color="auto" w:fill="auto"/>
            <w:vAlign w:val="center"/>
            <w:hideMark/>
          </w:tcPr>
          <w:p w14:paraId="5ED184E9" w14:textId="77777777" w:rsidR="00DD3EBE" w:rsidRPr="006C7B74" w:rsidRDefault="00DD3EBE" w:rsidP="00230637">
            <w:pPr>
              <w:jc w:val="center"/>
              <w:rPr>
                <w:rFonts w:cstheme="minorHAnsi"/>
                <w:color w:val="000000"/>
                <w:sz w:val="18"/>
                <w:szCs w:val="18"/>
                <w:lang w:eastAsia="en-AU"/>
              </w:rPr>
            </w:pPr>
            <w:r w:rsidRPr="006C7B74">
              <w:rPr>
                <w:rFonts w:cstheme="minorHAnsi"/>
                <w:color w:val="000000"/>
                <w:sz w:val="18"/>
                <w:szCs w:val="18"/>
                <w:lang w:eastAsia="en-AU"/>
              </w:rPr>
              <w:t>396,000</w:t>
            </w:r>
          </w:p>
        </w:tc>
        <w:tc>
          <w:tcPr>
            <w:tcW w:w="1666" w:type="pct"/>
            <w:tcBorders>
              <w:top w:val="nil"/>
              <w:left w:val="nil"/>
              <w:bottom w:val="single" w:sz="8" w:space="0" w:color="44546A"/>
              <w:right w:val="nil"/>
            </w:tcBorders>
            <w:shd w:val="clear" w:color="auto" w:fill="auto"/>
            <w:vAlign w:val="center"/>
            <w:hideMark/>
          </w:tcPr>
          <w:p w14:paraId="26E4C00E" w14:textId="77777777" w:rsidR="00DD3EBE" w:rsidRPr="006C7B74" w:rsidRDefault="00DD3EBE" w:rsidP="00230637">
            <w:pPr>
              <w:jc w:val="center"/>
              <w:rPr>
                <w:rFonts w:cstheme="minorHAnsi"/>
                <w:color w:val="000000"/>
                <w:sz w:val="18"/>
                <w:szCs w:val="18"/>
                <w:lang w:eastAsia="en-AU"/>
              </w:rPr>
            </w:pPr>
            <w:r w:rsidRPr="006C7B74">
              <w:rPr>
                <w:rFonts w:cstheme="minorHAnsi"/>
                <w:color w:val="000000"/>
                <w:sz w:val="18"/>
                <w:szCs w:val="18"/>
                <w:lang w:eastAsia="en-AU"/>
              </w:rPr>
              <w:t>17%</w:t>
            </w:r>
          </w:p>
        </w:tc>
      </w:tr>
      <w:tr w:rsidR="00DD3EBE" w:rsidRPr="006C7B74" w14:paraId="4736355A" w14:textId="77777777" w:rsidTr="00BF4A5F">
        <w:trPr>
          <w:trHeight w:val="283"/>
        </w:trPr>
        <w:tc>
          <w:tcPr>
            <w:tcW w:w="1667" w:type="pct"/>
            <w:tcBorders>
              <w:top w:val="nil"/>
              <w:left w:val="nil"/>
              <w:bottom w:val="single" w:sz="8" w:space="0" w:color="44546A"/>
              <w:right w:val="nil"/>
            </w:tcBorders>
            <w:shd w:val="clear" w:color="auto" w:fill="auto"/>
            <w:vAlign w:val="center"/>
            <w:hideMark/>
          </w:tcPr>
          <w:p w14:paraId="4DE8B931" w14:textId="77777777" w:rsidR="00DD3EBE" w:rsidRPr="006C7B74" w:rsidRDefault="00DD3EBE" w:rsidP="00230637">
            <w:pPr>
              <w:rPr>
                <w:rFonts w:cstheme="minorHAnsi"/>
                <w:color w:val="000000"/>
                <w:sz w:val="18"/>
                <w:szCs w:val="18"/>
                <w:lang w:eastAsia="en-AU"/>
              </w:rPr>
            </w:pPr>
            <w:r w:rsidRPr="006C7B74">
              <w:rPr>
                <w:rFonts w:cstheme="minorHAnsi"/>
                <w:color w:val="000000"/>
                <w:sz w:val="18"/>
                <w:szCs w:val="18"/>
                <w:lang w:eastAsia="en-AU"/>
              </w:rPr>
              <w:t>Southern</w:t>
            </w:r>
          </w:p>
        </w:tc>
        <w:tc>
          <w:tcPr>
            <w:tcW w:w="1667" w:type="pct"/>
            <w:tcBorders>
              <w:top w:val="nil"/>
              <w:left w:val="nil"/>
              <w:bottom w:val="single" w:sz="8" w:space="0" w:color="44546A"/>
              <w:right w:val="nil"/>
            </w:tcBorders>
            <w:shd w:val="clear" w:color="auto" w:fill="auto"/>
            <w:vAlign w:val="center"/>
            <w:hideMark/>
          </w:tcPr>
          <w:p w14:paraId="74155A80" w14:textId="77777777" w:rsidR="00DD3EBE" w:rsidRPr="006C7B74" w:rsidRDefault="00DD3EBE" w:rsidP="00230637">
            <w:pPr>
              <w:jc w:val="center"/>
              <w:rPr>
                <w:rFonts w:cstheme="minorHAnsi"/>
                <w:color w:val="000000"/>
                <w:sz w:val="18"/>
                <w:szCs w:val="18"/>
                <w:lang w:eastAsia="en-AU"/>
              </w:rPr>
            </w:pPr>
            <w:r w:rsidRPr="006C7B74">
              <w:rPr>
                <w:rFonts w:cstheme="minorHAnsi"/>
                <w:color w:val="000000"/>
                <w:sz w:val="18"/>
                <w:szCs w:val="18"/>
                <w:lang w:eastAsia="en-AU"/>
              </w:rPr>
              <w:t>392,250</w:t>
            </w:r>
          </w:p>
        </w:tc>
        <w:tc>
          <w:tcPr>
            <w:tcW w:w="1666" w:type="pct"/>
            <w:tcBorders>
              <w:top w:val="nil"/>
              <w:left w:val="nil"/>
              <w:bottom w:val="single" w:sz="8" w:space="0" w:color="44546A"/>
              <w:right w:val="nil"/>
            </w:tcBorders>
            <w:shd w:val="clear" w:color="auto" w:fill="auto"/>
            <w:vAlign w:val="center"/>
            <w:hideMark/>
          </w:tcPr>
          <w:p w14:paraId="723DC833" w14:textId="77777777" w:rsidR="00DD3EBE" w:rsidRPr="006C7B74" w:rsidRDefault="00DD3EBE" w:rsidP="00230637">
            <w:pPr>
              <w:jc w:val="center"/>
              <w:rPr>
                <w:rFonts w:cstheme="minorHAnsi"/>
                <w:color w:val="000000"/>
                <w:sz w:val="18"/>
                <w:szCs w:val="18"/>
                <w:lang w:eastAsia="en-AU"/>
              </w:rPr>
            </w:pPr>
            <w:r w:rsidRPr="006C7B74">
              <w:rPr>
                <w:rFonts w:cstheme="minorHAnsi"/>
                <w:color w:val="000000"/>
                <w:sz w:val="18"/>
                <w:szCs w:val="18"/>
                <w:lang w:eastAsia="en-AU"/>
              </w:rPr>
              <w:t>17%</w:t>
            </w:r>
          </w:p>
        </w:tc>
      </w:tr>
      <w:tr w:rsidR="00DD3EBE" w:rsidRPr="006C7B74" w14:paraId="08AE0572" w14:textId="77777777" w:rsidTr="00BF4A5F">
        <w:trPr>
          <w:trHeight w:val="283"/>
        </w:trPr>
        <w:tc>
          <w:tcPr>
            <w:tcW w:w="1667" w:type="pct"/>
            <w:tcBorders>
              <w:top w:val="nil"/>
              <w:left w:val="nil"/>
              <w:bottom w:val="single" w:sz="8" w:space="0" w:color="44546A"/>
              <w:right w:val="nil"/>
            </w:tcBorders>
            <w:shd w:val="clear" w:color="auto" w:fill="auto"/>
            <w:vAlign w:val="center"/>
            <w:hideMark/>
          </w:tcPr>
          <w:p w14:paraId="05A99C09" w14:textId="77777777" w:rsidR="00DD3EBE" w:rsidRPr="006C7B74" w:rsidRDefault="00DD3EBE" w:rsidP="00230637">
            <w:pPr>
              <w:rPr>
                <w:rFonts w:cstheme="minorHAnsi"/>
                <w:color w:val="000000"/>
                <w:sz w:val="18"/>
                <w:szCs w:val="18"/>
                <w:lang w:eastAsia="en-AU"/>
              </w:rPr>
            </w:pPr>
            <w:r w:rsidRPr="006C7B74">
              <w:rPr>
                <w:rFonts w:cstheme="minorHAnsi"/>
                <w:color w:val="000000"/>
                <w:sz w:val="18"/>
                <w:szCs w:val="18"/>
                <w:lang w:eastAsia="en-AU"/>
              </w:rPr>
              <w:t>Inner South East</w:t>
            </w:r>
          </w:p>
        </w:tc>
        <w:tc>
          <w:tcPr>
            <w:tcW w:w="1667" w:type="pct"/>
            <w:tcBorders>
              <w:top w:val="nil"/>
              <w:left w:val="nil"/>
              <w:bottom w:val="single" w:sz="8" w:space="0" w:color="44546A"/>
              <w:right w:val="nil"/>
            </w:tcBorders>
            <w:shd w:val="clear" w:color="auto" w:fill="auto"/>
            <w:vAlign w:val="center"/>
            <w:hideMark/>
          </w:tcPr>
          <w:p w14:paraId="56D3ACAE" w14:textId="77777777" w:rsidR="00DD3EBE" w:rsidRPr="006C7B74" w:rsidRDefault="00DD3EBE" w:rsidP="00230637">
            <w:pPr>
              <w:jc w:val="center"/>
              <w:rPr>
                <w:rFonts w:cstheme="minorHAnsi"/>
                <w:color w:val="000000"/>
                <w:sz w:val="18"/>
                <w:szCs w:val="18"/>
                <w:lang w:eastAsia="en-AU"/>
              </w:rPr>
            </w:pPr>
            <w:r w:rsidRPr="006C7B74">
              <w:rPr>
                <w:rFonts w:cstheme="minorHAnsi"/>
                <w:color w:val="000000"/>
                <w:sz w:val="18"/>
                <w:szCs w:val="18"/>
                <w:lang w:eastAsia="en-AU"/>
              </w:rPr>
              <w:t>220,500</w:t>
            </w:r>
          </w:p>
        </w:tc>
        <w:tc>
          <w:tcPr>
            <w:tcW w:w="1666" w:type="pct"/>
            <w:tcBorders>
              <w:top w:val="nil"/>
              <w:left w:val="nil"/>
              <w:bottom w:val="single" w:sz="8" w:space="0" w:color="44546A"/>
              <w:right w:val="nil"/>
            </w:tcBorders>
            <w:shd w:val="clear" w:color="auto" w:fill="auto"/>
            <w:vAlign w:val="center"/>
            <w:hideMark/>
          </w:tcPr>
          <w:p w14:paraId="11947DE2" w14:textId="77777777" w:rsidR="00DD3EBE" w:rsidRPr="006C7B74" w:rsidRDefault="00DD3EBE" w:rsidP="00230637">
            <w:pPr>
              <w:jc w:val="center"/>
              <w:rPr>
                <w:rFonts w:cstheme="minorHAnsi"/>
                <w:color w:val="000000"/>
                <w:sz w:val="18"/>
                <w:szCs w:val="18"/>
                <w:lang w:eastAsia="en-AU"/>
              </w:rPr>
            </w:pPr>
            <w:r w:rsidRPr="006C7B74">
              <w:rPr>
                <w:rFonts w:cstheme="minorHAnsi"/>
                <w:color w:val="000000"/>
                <w:sz w:val="18"/>
                <w:szCs w:val="18"/>
                <w:lang w:eastAsia="en-AU"/>
              </w:rPr>
              <w:t>10%</w:t>
            </w:r>
          </w:p>
        </w:tc>
      </w:tr>
      <w:tr w:rsidR="00DD3EBE" w:rsidRPr="006C7B74" w14:paraId="73C96A07" w14:textId="77777777" w:rsidTr="00BF4A5F">
        <w:trPr>
          <w:trHeight w:val="283"/>
        </w:trPr>
        <w:tc>
          <w:tcPr>
            <w:tcW w:w="1667" w:type="pct"/>
            <w:tcBorders>
              <w:top w:val="nil"/>
              <w:left w:val="nil"/>
              <w:bottom w:val="single" w:sz="8" w:space="0" w:color="44546A"/>
              <w:right w:val="nil"/>
            </w:tcBorders>
            <w:shd w:val="clear" w:color="auto" w:fill="auto"/>
            <w:vAlign w:val="center"/>
            <w:hideMark/>
          </w:tcPr>
          <w:p w14:paraId="17139EB0" w14:textId="77777777" w:rsidR="00DD3EBE" w:rsidRPr="006C7B74" w:rsidRDefault="00DD3EBE" w:rsidP="00230637">
            <w:pPr>
              <w:rPr>
                <w:rFonts w:cstheme="minorHAnsi"/>
                <w:b/>
                <w:bCs/>
                <w:color w:val="000000"/>
                <w:sz w:val="18"/>
                <w:szCs w:val="18"/>
                <w:lang w:eastAsia="en-AU"/>
              </w:rPr>
            </w:pPr>
            <w:r w:rsidRPr="006C7B74">
              <w:rPr>
                <w:rFonts w:cstheme="minorHAnsi"/>
                <w:b/>
                <w:bCs/>
                <w:color w:val="000000"/>
                <w:sz w:val="18"/>
                <w:szCs w:val="18"/>
                <w:lang w:eastAsia="en-AU"/>
              </w:rPr>
              <w:t>Total</w:t>
            </w:r>
          </w:p>
        </w:tc>
        <w:tc>
          <w:tcPr>
            <w:tcW w:w="1667" w:type="pct"/>
            <w:tcBorders>
              <w:top w:val="nil"/>
              <w:left w:val="nil"/>
              <w:bottom w:val="single" w:sz="8" w:space="0" w:color="44546A"/>
              <w:right w:val="nil"/>
            </w:tcBorders>
            <w:shd w:val="clear" w:color="auto" w:fill="auto"/>
            <w:vAlign w:val="center"/>
            <w:hideMark/>
          </w:tcPr>
          <w:p w14:paraId="66BB8939" w14:textId="77777777" w:rsidR="00DD3EBE" w:rsidRPr="006C7B74" w:rsidRDefault="00DD3EBE" w:rsidP="00230637">
            <w:pPr>
              <w:jc w:val="center"/>
              <w:rPr>
                <w:rFonts w:cstheme="minorHAnsi"/>
                <w:b/>
                <w:bCs/>
                <w:color w:val="000000"/>
                <w:sz w:val="18"/>
                <w:szCs w:val="18"/>
                <w:lang w:eastAsia="en-AU"/>
              </w:rPr>
            </w:pPr>
            <w:r w:rsidRPr="006C7B74">
              <w:rPr>
                <w:rFonts w:cstheme="minorHAnsi"/>
                <w:b/>
                <w:bCs/>
                <w:color w:val="000000"/>
                <w:sz w:val="18"/>
                <w:szCs w:val="18"/>
                <w:lang w:eastAsia="en-AU"/>
              </w:rPr>
              <w:t>2,307,300</w:t>
            </w:r>
          </w:p>
        </w:tc>
        <w:tc>
          <w:tcPr>
            <w:tcW w:w="1666" w:type="pct"/>
            <w:tcBorders>
              <w:top w:val="nil"/>
              <w:left w:val="nil"/>
              <w:bottom w:val="single" w:sz="8" w:space="0" w:color="44546A"/>
              <w:right w:val="nil"/>
            </w:tcBorders>
            <w:shd w:val="clear" w:color="auto" w:fill="auto"/>
            <w:vAlign w:val="center"/>
            <w:hideMark/>
          </w:tcPr>
          <w:p w14:paraId="438C2DE4" w14:textId="77777777" w:rsidR="00DD3EBE" w:rsidRPr="006C7B74" w:rsidRDefault="00DD3EBE" w:rsidP="00230637">
            <w:pPr>
              <w:jc w:val="center"/>
              <w:rPr>
                <w:rFonts w:cstheme="minorHAnsi"/>
                <w:b/>
                <w:bCs/>
                <w:color w:val="000000"/>
                <w:sz w:val="18"/>
                <w:szCs w:val="18"/>
                <w:lang w:eastAsia="en-AU"/>
              </w:rPr>
            </w:pPr>
            <w:r w:rsidRPr="006C7B74">
              <w:rPr>
                <w:rFonts w:cstheme="minorHAnsi"/>
                <w:b/>
                <w:bCs/>
                <w:color w:val="000000"/>
                <w:sz w:val="18"/>
                <w:szCs w:val="18"/>
                <w:lang w:eastAsia="en-AU"/>
              </w:rPr>
              <w:t>100%</w:t>
            </w:r>
          </w:p>
        </w:tc>
      </w:tr>
    </w:tbl>
    <w:p w14:paraId="360D972C" w14:textId="28A6F642" w:rsidR="00DD3EBE" w:rsidRPr="006C7B74" w:rsidRDefault="00BF4A5F" w:rsidP="00652302">
      <w:pPr>
        <w:pStyle w:val="Quote"/>
      </w:pPr>
      <w:r w:rsidRPr="006C7B74">
        <w:t>Source: Department of Environment, Land, Water and Planning, internal analysis of ABS census 2016 adjusted with ABS Labour Force data (2016)</w:t>
      </w:r>
    </w:p>
    <w:p w14:paraId="426D3944" w14:textId="77777777" w:rsidR="00DD3EBE" w:rsidRPr="006C7B74" w:rsidRDefault="00DD3EBE" w:rsidP="00DD3EBE">
      <w:pPr>
        <w:pStyle w:val="BodyText"/>
        <w:spacing w:before="0" w:line="240" w:lineRule="auto"/>
      </w:pPr>
      <w:r w:rsidRPr="006C7B74">
        <w:t xml:space="preserve">There will continue to be strong growth in population serving sectors such as retail trade and accommodation and food services, however health care and social assistance as well as professional, scientific and technical services will experience the largest growth in jobs between 2016 and 2031. Currently these sectors account for around 23 per cent of all jobs. By 2031 they are projected to account for around 28 per cent of all jobs. </w:t>
      </w:r>
    </w:p>
    <w:p w14:paraId="733ACE13" w14:textId="4AA81DFC" w:rsidR="00DD3EBE" w:rsidRPr="006C7B74" w:rsidRDefault="00DD3EBE" w:rsidP="00DD3EBE">
      <w:pPr>
        <w:pStyle w:val="BodyText"/>
        <w:spacing w:before="0" w:line="240" w:lineRule="auto"/>
      </w:pPr>
      <w:r w:rsidRPr="006C7B74">
        <w:t xml:space="preserve">Across metropolitan Melbourne, traditional industrial sectors such as manufacturing are expected to see very little change in overall job numbers over the 15-year period from 2016 to 2031, however the wholesale trade and transport, postal and warehousing sectors will see overall growth. These industries </w:t>
      </w:r>
      <w:r w:rsidR="00D360E7" w:rsidRPr="006C7B74">
        <w:t>typically gravitate to</w:t>
      </w:r>
      <w:r w:rsidRPr="006C7B74">
        <w:t xml:space="preserve"> industrial areas</w:t>
      </w:r>
      <w:r w:rsidR="00522BAB" w:rsidRPr="006C7B74">
        <w:t xml:space="preserve"> where </w:t>
      </w:r>
      <w:r w:rsidR="00D360E7" w:rsidRPr="006C7B74">
        <w:t>large</w:t>
      </w:r>
      <w:r w:rsidR="00522BAB" w:rsidRPr="006C7B74">
        <w:t xml:space="preserve"> and</w:t>
      </w:r>
      <w:r w:rsidR="00D360E7" w:rsidRPr="006C7B74">
        <w:t xml:space="preserve"> affordable sites</w:t>
      </w:r>
      <w:r w:rsidR="00522BAB" w:rsidRPr="006C7B74">
        <w:t xml:space="preserve"> are available</w:t>
      </w:r>
      <w:r w:rsidRPr="006C7B74">
        <w:t>.</w:t>
      </w:r>
    </w:p>
    <w:p w14:paraId="3200B014" w14:textId="77777777" w:rsidR="00DD3EBE" w:rsidRPr="006C7B74" w:rsidRDefault="00DD3EBE" w:rsidP="00DD3EBE">
      <w:pPr>
        <w:pStyle w:val="BodyText"/>
        <w:spacing w:before="0" w:line="240" w:lineRule="auto"/>
      </w:pPr>
    </w:p>
    <w:p w14:paraId="792A5C91" w14:textId="77777777" w:rsidR="002C62FF" w:rsidRPr="006C7B74" w:rsidRDefault="002C62FF">
      <w:pPr>
        <w:rPr>
          <w:rStyle w:val="Heading5Char"/>
          <w:szCs w:val="20"/>
        </w:rPr>
      </w:pPr>
      <w:r w:rsidRPr="006C7B74">
        <w:rPr>
          <w:rStyle w:val="Heading5Char"/>
        </w:rPr>
        <w:br w:type="page"/>
      </w:r>
    </w:p>
    <w:p w14:paraId="5F6FCECC" w14:textId="523A4F92" w:rsidR="00DD3EBE" w:rsidRPr="006C7B74" w:rsidRDefault="00DD3EBE" w:rsidP="00DD3EBE">
      <w:pPr>
        <w:pStyle w:val="BodyText"/>
        <w:spacing w:before="0" w:line="240" w:lineRule="auto"/>
        <w:rPr>
          <w:rStyle w:val="Heading5Char"/>
        </w:rPr>
      </w:pPr>
      <w:r w:rsidRPr="006C7B74">
        <w:rPr>
          <w:rStyle w:val="Heading5Char"/>
        </w:rPr>
        <w:lastRenderedPageBreak/>
        <w:t xml:space="preserve">Figure </w:t>
      </w:r>
      <w:r w:rsidR="00230637" w:rsidRPr="006C7B74">
        <w:rPr>
          <w:rStyle w:val="Heading5Char"/>
        </w:rPr>
        <w:t>5</w:t>
      </w:r>
      <w:r w:rsidRPr="006C7B74">
        <w:rPr>
          <w:rStyle w:val="Heading5Char"/>
        </w:rPr>
        <w:t xml:space="preserve">: Projected </w:t>
      </w:r>
      <w:r w:rsidR="004A4C3C" w:rsidRPr="006C7B74">
        <w:rPr>
          <w:rStyle w:val="Heading5Char"/>
        </w:rPr>
        <w:t>e</w:t>
      </w:r>
      <w:r w:rsidRPr="006C7B74">
        <w:rPr>
          <w:rStyle w:val="Heading5Char"/>
        </w:rPr>
        <w:t xml:space="preserve">mployment </w:t>
      </w:r>
      <w:r w:rsidR="004A4C3C" w:rsidRPr="006C7B74">
        <w:rPr>
          <w:rStyle w:val="Heading5Char"/>
        </w:rPr>
        <w:t>g</w:t>
      </w:r>
      <w:r w:rsidRPr="006C7B74">
        <w:rPr>
          <w:rStyle w:val="Heading5Char"/>
        </w:rPr>
        <w:t xml:space="preserve">rowth, </w:t>
      </w:r>
      <w:r w:rsidR="004A4C3C" w:rsidRPr="006C7B74">
        <w:rPr>
          <w:rStyle w:val="Heading5Char"/>
        </w:rPr>
        <w:t>m</w:t>
      </w:r>
      <w:r w:rsidRPr="006C7B74">
        <w:rPr>
          <w:rStyle w:val="Heading5Char"/>
        </w:rPr>
        <w:t>etropolitan Melbourne, 2016 to 2031</w:t>
      </w:r>
    </w:p>
    <w:p w14:paraId="5F5D58A6" w14:textId="093AA94C" w:rsidR="00DD3EBE" w:rsidRPr="006C7B74" w:rsidRDefault="00650775" w:rsidP="00DD3EBE">
      <w:pPr>
        <w:pStyle w:val="Quote"/>
      </w:pPr>
      <w:bookmarkStart w:id="19" w:name="_Toc508024991"/>
      <w:r w:rsidRPr="006C7B74">
        <w:rPr>
          <w:noProof/>
        </w:rPr>
        <w:drawing>
          <wp:inline distT="0" distB="0" distL="0" distR="0" wp14:anchorId="1487DAC0" wp14:editId="3AD3CF6E">
            <wp:extent cx="5727700" cy="4049395"/>
            <wp:effectExtent l="0" t="0" r="0" b="0"/>
            <wp:docPr id="5" name="Picture 5" descr="Graphic showing:&#10;Western +151K jobs, growth 2.9%pa&#10;Inner +280K jobs, growth 2.6%pa&#10;Inner South East +73K jobs, growth 2.1%pa&#10;Northern +138K jobs, growth 2.6%pa&#10;Eastern +87K jobs, growth 1.4%pa&#10;Southern +128K jobs, growth 2.1%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rojected employment growth map_2020 update-07.png"/>
                    <pic:cNvPicPr/>
                  </pic:nvPicPr>
                  <pic:blipFill>
                    <a:blip r:embed="rId30"/>
                    <a:stretch>
                      <a:fillRect/>
                    </a:stretch>
                  </pic:blipFill>
                  <pic:spPr>
                    <a:xfrm>
                      <a:off x="0" y="0"/>
                      <a:ext cx="5727700" cy="4049395"/>
                    </a:xfrm>
                    <a:prstGeom prst="rect">
                      <a:avLst/>
                    </a:prstGeom>
                  </pic:spPr>
                </pic:pic>
              </a:graphicData>
            </a:graphic>
          </wp:inline>
        </w:drawing>
      </w:r>
      <w:r w:rsidR="00DC580D" w:rsidRPr="006C7B74">
        <w:t>Source: Department of Jobs, Precincts and Regions, internal analysis (201</w:t>
      </w:r>
      <w:r w:rsidR="00647BED" w:rsidRPr="006C7B74">
        <w:t>9</w:t>
      </w:r>
      <w:r w:rsidR="00DC580D" w:rsidRPr="006C7B74">
        <w:t>)</w:t>
      </w:r>
      <w:r w:rsidR="00C77EF1">
        <w:t xml:space="preserve"> </w:t>
      </w:r>
      <w:r w:rsidR="00F62934">
        <w:br/>
      </w:r>
      <w:r w:rsidR="00C77EF1">
        <w:t xml:space="preserve">NOTE: </w:t>
      </w:r>
      <w:r w:rsidR="00944BE6">
        <w:t>J</w:t>
      </w:r>
      <w:r w:rsidR="00F62934">
        <w:t xml:space="preserve">ob </w:t>
      </w:r>
      <w:r w:rsidR="00C77EF1" w:rsidRPr="00C77EF1">
        <w:t xml:space="preserve">figures </w:t>
      </w:r>
      <w:r w:rsidR="00887BF9">
        <w:t xml:space="preserve">have been </w:t>
      </w:r>
      <w:r w:rsidR="00C77EF1" w:rsidRPr="00C77EF1">
        <w:t>rounded to the nearest thou</w:t>
      </w:r>
      <w:r w:rsidR="00887BF9">
        <w:t>s</w:t>
      </w:r>
      <w:r w:rsidR="00C77EF1" w:rsidRPr="00C77EF1">
        <w:t>and.</w:t>
      </w:r>
    </w:p>
    <w:p w14:paraId="1B1ED1C4" w14:textId="77777777" w:rsidR="00DD3EBE" w:rsidRPr="006C7B74" w:rsidRDefault="00DD3EBE" w:rsidP="00DD3EBE">
      <w:pPr>
        <w:pStyle w:val="BodyText"/>
        <w:spacing w:before="0" w:line="240" w:lineRule="auto"/>
        <w:rPr>
          <w:lang w:eastAsia="en-AU"/>
        </w:rPr>
      </w:pPr>
    </w:p>
    <w:p w14:paraId="22D42363" w14:textId="77777777" w:rsidR="00DD3EBE" w:rsidRPr="006C7B74" w:rsidRDefault="00DD3EBE" w:rsidP="00DD3EBE">
      <w:pPr>
        <w:pStyle w:val="Heading2-Contenttable"/>
        <w:spacing w:after="120"/>
      </w:pPr>
      <w:bookmarkStart w:id="20" w:name="_Toc21694803"/>
      <w:bookmarkEnd w:id="19"/>
      <w:r w:rsidRPr="006C7B74">
        <w:t>The legacy of long-term strategic planning</w:t>
      </w:r>
      <w:bookmarkEnd w:id="20"/>
    </w:p>
    <w:p w14:paraId="3F5E59C4" w14:textId="1E9FDB71" w:rsidR="00DD3EBE" w:rsidRPr="006C7B74" w:rsidRDefault="00DD3EBE" w:rsidP="00DD3EBE">
      <w:pPr>
        <w:pStyle w:val="BodyText"/>
        <w:spacing w:before="0" w:line="240" w:lineRule="auto"/>
        <w:rPr>
          <w:lang w:eastAsia="en-AU"/>
        </w:rPr>
      </w:pPr>
      <w:r w:rsidRPr="006C7B74">
        <w:rPr>
          <w:lang w:eastAsia="en-AU"/>
        </w:rPr>
        <w:t xml:space="preserve">Melbourne has benefitted greatly from its </w:t>
      </w:r>
      <w:r w:rsidR="006103F9" w:rsidRPr="006C7B74">
        <w:rPr>
          <w:lang w:eastAsia="en-AU"/>
        </w:rPr>
        <w:t xml:space="preserve">long-term, orderly </w:t>
      </w:r>
      <w:r w:rsidRPr="006C7B74">
        <w:rPr>
          <w:lang w:eastAsia="en-AU"/>
        </w:rPr>
        <w:t>planning legacy</w:t>
      </w:r>
      <w:r w:rsidR="006103F9" w:rsidRPr="006C7B74">
        <w:rPr>
          <w:lang w:eastAsia="en-AU"/>
        </w:rPr>
        <w:t xml:space="preserve"> </w:t>
      </w:r>
      <w:r w:rsidR="0092195F" w:rsidRPr="006C7B74">
        <w:rPr>
          <w:lang w:eastAsia="en-AU"/>
        </w:rPr>
        <w:t xml:space="preserve">of </w:t>
      </w:r>
      <w:r w:rsidR="006103F9" w:rsidRPr="006C7B74">
        <w:rPr>
          <w:lang w:eastAsia="en-AU"/>
        </w:rPr>
        <w:t>setting aside</w:t>
      </w:r>
      <w:r w:rsidR="0092195F" w:rsidRPr="006C7B74">
        <w:rPr>
          <w:lang w:eastAsia="en-AU"/>
        </w:rPr>
        <w:t xml:space="preserve"> land for future development</w:t>
      </w:r>
      <w:r w:rsidR="00963B94" w:rsidRPr="006C7B74">
        <w:rPr>
          <w:lang w:eastAsia="en-AU"/>
        </w:rPr>
        <w:t xml:space="preserve">, </w:t>
      </w:r>
      <w:r w:rsidR="002D50BC" w:rsidRPr="006C7B74">
        <w:rPr>
          <w:lang w:eastAsia="en-AU"/>
        </w:rPr>
        <w:t xml:space="preserve">making </w:t>
      </w:r>
      <w:r w:rsidR="00963B94" w:rsidRPr="006C7B74">
        <w:rPr>
          <w:lang w:eastAsia="en-AU"/>
        </w:rPr>
        <w:t>it</w:t>
      </w:r>
      <w:r w:rsidR="002D50BC" w:rsidRPr="006C7B74">
        <w:rPr>
          <w:lang w:eastAsia="en-AU"/>
        </w:rPr>
        <w:t xml:space="preserve"> an attractive place to invest over many years</w:t>
      </w:r>
      <w:r w:rsidRPr="006C7B74">
        <w:rPr>
          <w:lang w:eastAsia="en-AU"/>
        </w:rPr>
        <w:t xml:space="preserve">. </w:t>
      </w:r>
    </w:p>
    <w:p w14:paraId="0EAF61A5" w14:textId="55099BF6" w:rsidR="00DD3EBE" w:rsidRPr="006C7B74" w:rsidRDefault="00DD3EBE" w:rsidP="00DD3EBE">
      <w:pPr>
        <w:pStyle w:val="BodyText"/>
        <w:spacing w:before="0" w:line="240" w:lineRule="auto"/>
        <w:rPr>
          <w:lang w:eastAsia="en-AU"/>
        </w:rPr>
      </w:pPr>
      <w:r w:rsidRPr="006C7B74">
        <w:rPr>
          <w:lang w:eastAsia="en-AU"/>
        </w:rPr>
        <w:t>The 1954 Metropolitan Melbourne Planning Scheme developed by the former Melbourne and Metropolitan Board of Works (MMBW) supported decentralisation of industry and retailing from central Melbourne, however the 1954 scheme outlined concerns that growth was occurring haphazardly. To remedy this approach the 1954 Metropolitan Melbourne Planning Scheme:</w:t>
      </w:r>
    </w:p>
    <w:p w14:paraId="7941AA57" w14:textId="77777777" w:rsidR="00DD3EBE" w:rsidRPr="006C7B74" w:rsidRDefault="00DD3EBE" w:rsidP="00652302">
      <w:pPr>
        <w:pStyle w:val="BodyText"/>
        <w:numPr>
          <w:ilvl w:val="0"/>
          <w:numId w:val="80"/>
        </w:numPr>
      </w:pPr>
      <w:r w:rsidRPr="006C7B74">
        <w:t>set aside significant amounts of industrial land across parts of the metropolitan area for immediate expansion and future growth</w:t>
      </w:r>
    </w:p>
    <w:p w14:paraId="6730BCAC" w14:textId="77777777" w:rsidR="00DD3EBE" w:rsidRPr="006C7B74" w:rsidRDefault="00DD3EBE" w:rsidP="00652302">
      <w:pPr>
        <w:pStyle w:val="BodyText"/>
        <w:numPr>
          <w:ilvl w:val="0"/>
          <w:numId w:val="80"/>
        </w:numPr>
      </w:pPr>
      <w:r w:rsidRPr="006C7B74">
        <w:t xml:space="preserve">designated five district business centres at Footscray, Preston, Box Hill, Moorabbin and Dandenong that over time had the potential to become locations for cultural and entertainment facilities, department stores, business and public administration and courts of law, </w:t>
      </w:r>
    </w:p>
    <w:p w14:paraId="53C2F012" w14:textId="77777777" w:rsidR="00DD3EBE" w:rsidRPr="006C7B74" w:rsidRDefault="00DD3EBE" w:rsidP="00652302">
      <w:pPr>
        <w:pStyle w:val="BodyText"/>
        <w:numPr>
          <w:ilvl w:val="0"/>
          <w:numId w:val="80"/>
        </w:numPr>
      </w:pPr>
      <w:r w:rsidRPr="006C7B74">
        <w:t>identified a hierarchy of existing shopping centres classified as Major Shopping Centres, Secondary Shopping Centres, Minor Shopping Centres and Local Shops.</w:t>
      </w:r>
    </w:p>
    <w:p w14:paraId="7880B75B" w14:textId="77777777" w:rsidR="00DD3EBE" w:rsidRPr="006C7B74" w:rsidRDefault="00DD3EBE" w:rsidP="00DD3EBE">
      <w:pPr>
        <w:pStyle w:val="BodyText"/>
        <w:spacing w:before="0" w:line="240" w:lineRule="auto"/>
        <w:rPr>
          <w:lang w:eastAsia="en-AU"/>
        </w:rPr>
      </w:pPr>
      <w:r w:rsidRPr="006C7B74">
        <w:rPr>
          <w:lang w:eastAsia="en-AU"/>
        </w:rPr>
        <w:t xml:space="preserve">To varying degrees, subsequent metropolitan plans have built on the industrial and commercial policies of the 1954 plan, and the legacy of those policies and decisions still influence our planning for industrial and commercial land today. </w:t>
      </w:r>
    </w:p>
    <w:p w14:paraId="7D070F92" w14:textId="27593716" w:rsidR="00DD3EBE" w:rsidRPr="006C7B74" w:rsidRDefault="00DD3EBE" w:rsidP="00DD3EBE">
      <w:pPr>
        <w:pStyle w:val="BodyText"/>
        <w:spacing w:before="0" w:line="240" w:lineRule="auto"/>
        <w:rPr>
          <w:lang w:eastAsia="en-AU"/>
        </w:rPr>
      </w:pPr>
      <w:r w:rsidRPr="006C7B74">
        <w:rPr>
          <w:lang w:eastAsia="en-AU"/>
        </w:rPr>
        <w:t>Across Melbourne there is a strong network of just over 1,100 existing centres that vary in size and function to serve local communities. In addition to this network, new activity centres and business areas have been identified to serve new communities in the growth areas, and strategically located industrial land has been identified and set aside for future industries.</w:t>
      </w:r>
    </w:p>
    <w:p w14:paraId="12ED5B70" w14:textId="77777777" w:rsidR="00DD3EBE" w:rsidRPr="006C7B74" w:rsidRDefault="00DD3EBE" w:rsidP="00DD3EBE">
      <w:pPr>
        <w:pStyle w:val="BodyText"/>
        <w:spacing w:before="0" w:line="240" w:lineRule="auto"/>
        <w:rPr>
          <w:lang w:eastAsia="en-AU"/>
        </w:rPr>
      </w:pPr>
      <w:r w:rsidRPr="006C7B74">
        <w:rPr>
          <w:lang w:eastAsia="en-AU"/>
        </w:rPr>
        <w:lastRenderedPageBreak/>
        <w:t xml:space="preserve">The Victorian economy will continue to undergo change for some time as it transitions away from one based on manufacturing, to a more service and knowledge-based economy. </w:t>
      </w:r>
    </w:p>
    <w:p w14:paraId="36D993DB" w14:textId="6CB111F8" w:rsidR="00DD3EBE" w:rsidRPr="006C7B74" w:rsidRDefault="00DD3EBE" w:rsidP="00DD3EBE">
      <w:pPr>
        <w:pStyle w:val="BodyText"/>
        <w:spacing w:before="0" w:line="240" w:lineRule="auto"/>
        <w:rPr>
          <w:lang w:eastAsia="en-AU"/>
        </w:rPr>
      </w:pPr>
      <w:r w:rsidRPr="006C7B74">
        <w:rPr>
          <w:lang w:eastAsia="en-AU"/>
        </w:rPr>
        <w:t>While the manufacturing sector is declining as a proportion of all jobs, its contribution to the Victorian economy remain</w:t>
      </w:r>
      <w:r w:rsidR="00A610B5" w:rsidRPr="006C7B74">
        <w:rPr>
          <w:lang w:eastAsia="en-AU"/>
        </w:rPr>
        <w:t>ed</w:t>
      </w:r>
      <w:r w:rsidRPr="006C7B74">
        <w:rPr>
          <w:lang w:eastAsia="en-AU"/>
        </w:rPr>
        <w:t xml:space="preserve"> steady at around $30 billion in 2017-18</w:t>
      </w:r>
      <w:r w:rsidR="00161412" w:rsidRPr="006C7B74">
        <w:rPr>
          <w:lang w:eastAsia="en-AU"/>
        </w:rPr>
        <w:t>. In addition,</w:t>
      </w:r>
      <w:r w:rsidR="00525643" w:rsidRPr="006C7B74">
        <w:rPr>
          <w:lang w:eastAsia="en-AU"/>
        </w:rPr>
        <w:t xml:space="preserve"> </w:t>
      </w:r>
      <w:r w:rsidR="00F76350" w:rsidRPr="006C7B74">
        <w:rPr>
          <w:lang w:eastAsia="en-AU"/>
        </w:rPr>
        <w:t xml:space="preserve">demand for industrial land remains high </w:t>
      </w:r>
      <w:r w:rsidRPr="006C7B74">
        <w:rPr>
          <w:lang w:eastAsia="en-AU"/>
        </w:rPr>
        <w:t xml:space="preserve">from other industrial uses such as logistics </w:t>
      </w:r>
      <w:r w:rsidR="00A666CA" w:rsidRPr="006C7B74">
        <w:rPr>
          <w:lang w:eastAsia="en-AU"/>
        </w:rPr>
        <w:t>and</w:t>
      </w:r>
      <w:r w:rsidRPr="006C7B74">
        <w:rPr>
          <w:lang w:eastAsia="en-AU"/>
        </w:rPr>
        <w:t xml:space="preserve"> advanced manufacturing</w:t>
      </w:r>
      <w:r w:rsidR="00161412" w:rsidRPr="006C7B74">
        <w:rPr>
          <w:lang w:eastAsia="en-AU"/>
        </w:rPr>
        <w:t>. These sectors continue to</w:t>
      </w:r>
      <w:r w:rsidR="00507D3D" w:rsidRPr="006C7B74">
        <w:rPr>
          <w:lang w:eastAsia="en-AU"/>
        </w:rPr>
        <w:t xml:space="preserve"> requir</w:t>
      </w:r>
      <w:r w:rsidR="00161412" w:rsidRPr="006C7B74">
        <w:rPr>
          <w:lang w:eastAsia="en-AU"/>
        </w:rPr>
        <w:t>e</w:t>
      </w:r>
      <w:r w:rsidR="00507D3D" w:rsidRPr="006C7B74">
        <w:rPr>
          <w:lang w:eastAsia="en-AU"/>
        </w:rPr>
        <w:t xml:space="preserve"> large tracts of land</w:t>
      </w:r>
      <w:r w:rsidR="000F5C3B" w:rsidRPr="006C7B74">
        <w:rPr>
          <w:lang w:eastAsia="en-AU"/>
        </w:rPr>
        <w:t>, and a</w:t>
      </w:r>
      <w:r w:rsidRPr="006C7B74">
        <w:rPr>
          <w:lang w:eastAsia="en-AU"/>
        </w:rPr>
        <w:t>s such,</w:t>
      </w:r>
      <w:r w:rsidR="00507D3D" w:rsidRPr="006C7B74">
        <w:rPr>
          <w:lang w:eastAsia="en-AU"/>
        </w:rPr>
        <w:t xml:space="preserve"> the provision </w:t>
      </w:r>
      <w:r w:rsidR="00331B85" w:rsidRPr="006C7B74">
        <w:rPr>
          <w:lang w:eastAsia="en-AU"/>
        </w:rPr>
        <w:t>of a well-suited supply of</w:t>
      </w:r>
      <w:r w:rsidRPr="006C7B74">
        <w:rPr>
          <w:lang w:eastAsia="en-AU"/>
        </w:rPr>
        <w:t xml:space="preserve"> industrial land </w:t>
      </w:r>
      <w:r w:rsidR="00331B85" w:rsidRPr="006C7B74">
        <w:rPr>
          <w:lang w:eastAsia="en-AU"/>
        </w:rPr>
        <w:t xml:space="preserve">will continue </w:t>
      </w:r>
      <w:r w:rsidR="00177288" w:rsidRPr="006C7B74">
        <w:rPr>
          <w:lang w:eastAsia="en-AU"/>
        </w:rPr>
        <w:t xml:space="preserve">to be </w:t>
      </w:r>
      <w:r w:rsidR="00FD3AC9" w:rsidRPr="006C7B74">
        <w:rPr>
          <w:lang w:eastAsia="en-AU"/>
        </w:rPr>
        <w:t>required to</w:t>
      </w:r>
      <w:r w:rsidR="000F5C3B" w:rsidRPr="006C7B74">
        <w:rPr>
          <w:lang w:eastAsia="en-AU"/>
        </w:rPr>
        <w:t xml:space="preserve"> support the contemporary Victorian economy.</w:t>
      </w:r>
    </w:p>
    <w:p w14:paraId="540A0CED" w14:textId="7EB7D8ED" w:rsidR="00DD3EBE" w:rsidRPr="006C7B74" w:rsidRDefault="00177288" w:rsidP="00DD3EBE">
      <w:pPr>
        <w:pStyle w:val="BodyText"/>
        <w:spacing w:before="0" w:line="240" w:lineRule="auto"/>
        <w:rPr>
          <w:lang w:eastAsia="en-AU"/>
        </w:rPr>
      </w:pPr>
      <w:r w:rsidRPr="006C7B74">
        <w:rPr>
          <w:lang w:eastAsia="en-AU"/>
        </w:rPr>
        <w:t>T</w:t>
      </w:r>
      <w:r w:rsidR="00DD3EBE" w:rsidRPr="006C7B74">
        <w:rPr>
          <w:lang w:eastAsia="en-AU"/>
        </w:rPr>
        <w:t xml:space="preserve">he Victorian economy </w:t>
      </w:r>
      <w:r w:rsidR="002F32E1" w:rsidRPr="006C7B74">
        <w:rPr>
          <w:lang w:eastAsia="en-AU"/>
        </w:rPr>
        <w:t>is also being reshaped</w:t>
      </w:r>
      <w:r w:rsidR="00DD3EBE" w:rsidRPr="006C7B74">
        <w:rPr>
          <w:lang w:eastAsia="en-AU"/>
        </w:rPr>
        <w:t xml:space="preserve"> by changes in the population</w:t>
      </w:r>
      <w:r w:rsidR="00051291" w:rsidRPr="006C7B74">
        <w:rPr>
          <w:lang w:eastAsia="en-AU"/>
        </w:rPr>
        <w:t>,</w:t>
      </w:r>
      <w:r w:rsidR="00DD3EBE" w:rsidRPr="006C7B74">
        <w:rPr>
          <w:lang w:eastAsia="en-AU"/>
        </w:rPr>
        <w:t xml:space="preserve"> with economic output in health and community services increasing as the population ages. Population serving industries will grow significantly over the coming decades and retailing and business services that support these sectors will require premises in commercial areas close to growing populations. </w:t>
      </w:r>
    </w:p>
    <w:p w14:paraId="3BFE5933" w14:textId="3958E97C" w:rsidR="0082047F" w:rsidRDefault="00DD3EBE" w:rsidP="00DD3EBE">
      <w:pPr>
        <w:pStyle w:val="BodyText"/>
        <w:spacing w:before="0" w:line="240" w:lineRule="auto"/>
        <w:rPr>
          <w:lang w:eastAsia="en-AU"/>
        </w:rPr>
      </w:pPr>
      <w:r w:rsidRPr="006C7B74">
        <w:rPr>
          <w:lang w:eastAsia="en-AU"/>
        </w:rPr>
        <w:t>Understanding these changes and what they mean for future industrial and commercial land requirements will support better planning for our future needs</w:t>
      </w:r>
      <w:r w:rsidR="00FE7367" w:rsidRPr="006C7B74">
        <w:rPr>
          <w:lang w:eastAsia="en-AU"/>
        </w:rPr>
        <w:t>.</w:t>
      </w:r>
    </w:p>
    <w:p w14:paraId="274DBA12" w14:textId="77777777" w:rsidR="00A00076" w:rsidRPr="006C7B74" w:rsidRDefault="00A00076" w:rsidP="00DD3EBE">
      <w:pPr>
        <w:pStyle w:val="BodyText"/>
        <w:spacing w:before="0" w:line="240" w:lineRule="auto"/>
        <w:rPr>
          <w:lang w:eastAsia="en-AU"/>
        </w:rPr>
      </w:pPr>
    </w:p>
    <w:p w14:paraId="67A38B65" w14:textId="34C42EC1" w:rsidR="00DD3EBE" w:rsidRPr="006C7B74" w:rsidRDefault="00DD3EBE" w:rsidP="00DD3EBE">
      <w:pPr>
        <w:pStyle w:val="Heading2-Contenttable"/>
        <w:spacing w:after="120"/>
      </w:pPr>
      <w:bookmarkStart w:id="21" w:name="_Toc21694804"/>
      <w:r w:rsidRPr="006C7B74">
        <w:t xml:space="preserve">Land </w:t>
      </w:r>
      <w:r w:rsidR="004205A4" w:rsidRPr="006C7B74">
        <w:t>u</w:t>
      </w:r>
      <w:r w:rsidRPr="006C7B74">
        <w:t xml:space="preserve">se </w:t>
      </w:r>
      <w:r w:rsidR="004205A4" w:rsidRPr="006C7B74">
        <w:t>s</w:t>
      </w:r>
      <w:r w:rsidRPr="006C7B74">
        <w:t xml:space="preserve">trategies and </w:t>
      </w:r>
      <w:r w:rsidR="004205A4" w:rsidRPr="006C7B74">
        <w:t>p</w:t>
      </w:r>
      <w:r w:rsidRPr="006C7B74">
        <w:t>olicies</w:t>
      </w:r>
      <w:bookmarkEnd w:id="21"/>
    </w:p>
    <w:p w14:paraId="08278B45" w14:textId="77777777" w:rsidR="00DD3EBE" w:rsidRPr="006C7B74" w:rsidRDefault="00DD3EBE" w:rsidP="00DD3EBE">
      <w:pPr>
        <w:pStyle w:val="Heading3"/>
        <w:spacing w:before="0" w:after="120"/>
      </w:pPr>
      <w:r w:rsidRPr="006C7B74">
        <w:t xml:space="preserve">Plan Melbourne </w:t>
      </w:r>
    </w:p>
    <w:p w14:paraId="701686EB" w14:textId="77777777" w:rsidR="00DD3EBE" w:rsidRPr="006C7B74" w:rsidRDefault="00DD3EBE" w:rsidP="00DD3EBE">
      <w:pPr>
        <w:pStyle w:val="BodyText"/>
        <w:spacing w:before="0" w:line="240" w:lineRule="auto"/>
      </w:pPr>
      <w:r w:rsidRPr="006C7B74">
        <w:t xml:space="preserve">Plan Melbourne outlines how Melbourne's growth and change will be managed over the next three decades. It is the state’s long-term land use, infrastructure and transport plan that sets out the strategy for supporting jobs and growth, while building on Melbourne’s legacy of distinctiveness, liveability and sustainability. </w:t>
      </w:r>
    </w:p>
    <w:p w14:paraId="2B42CFB2" w14:textId="533BAB12" w:rsidR="00DD3EBE" w:rsidRPr="006C7B74" w:rsidRDefault="00DD3EBE" w:rsidP="00DD3EBE">
      <w:pPr>
        <w:pStyle w:val="BodyText"/>
        <w:spacing w:before="0" w:line="240" w:lineRule="auto"/>
      </w:pPr>
      <w:r w:rsidRPr="006C7B74">
        <w:t>Melbourne’s current employment geography is determined by Plan Melbourne which identifies places of state</w:t>
      </w:r>
      <w:r w:rsidR="00320626" w:rsidRPr="006C7B74">
        <w:t>-</w:t>
      </w:r>
      <w:r w:rsidRPr="006C7B74">
        <w:t xml:space="preserve">significance as a focus for future investment and growth, each with a specific role and purpose. </w:t>
      </w:r>
    </w:p>
    <w:p w14:paraId="3D26AFEA" w14:textId="503A4134" w:rsidR="00DD3EBE" w:rsidRPr="006C7B74" w:rsidRDefault="00DD3EBE" w:rsidP="00DD3EBE">
      <w:pPr>
        <w:pStyle w:val="BodyText"/>
        <w:spacing w:before="0" w:line="240" w:lineRule="auto"/>
      </w:pPr>
      <w:r w:rsidRPr="006C7B74">
        <w:t>State</w:t>
      </w:r>
      <w:r w:rsidR="009529DB" w:rsidRPr="006C7B74">
        <w:t>-</w:t>
      </w:r>
      <w:r w:rsidRPr="006C7B74">
        <w:t xml:space="preserve">significant places that are particularly relevant to industrial and commercial areas or have a particular focus for jobs and employment include the </w:t>
      </w:r>
      <w:r w:rsidR="00F45A31" w:rsidRPr="006C7B74">
        <w:t>C</w:t>
      </w:r>
      <w:r w:rsidRPr="006C7B74">
        <w:t xml:space="preserve">entral </w:t>
      </w:r>
      <w:r w:rsidR="00F45A31" w:rsidRPr="006C7B74">
        <w:t>C</w:t>
      </w:r>
      <w:r w:rsidRPr="006C7B74">
        <w:t xml:space="preserve">ity, national employment and innovation clusters, metropolitan activity centres, </w:t>
      </w:r>
      <w:r w:rsidRPr="006C7B74" w:rsidDel="00582106">
        <w:t>state-significant industrial precinct</w:t>
      </w:r>
      <w:r w:rsidRPr="006C7B74">
        <w:t>s and transport gateways</w:t>
      </w:r>
      <w:r w:rsidR="00872A2D" w:rsidRPr="006C7B74">
        <w:t>.</w:t>
      </w:r>
    </w:p>
    <w:p w14:paraId="724E8C69" w14:textId="7E878459" w:rsidR="00B940CE" w:rsidRPr="006C7B74" w:rsidRDefault="00DD3EBE" w:rsidP="00DD3EBE">
      <w:pPr>
        <w:pStyle w:val="BodyText"/>
        <w:spacing w:before="0" w:line="240" w:lineRule="auto"/>
      </w:pPr>
      <w:r w:rsidRPr="006C7B74">
        <w:t xml:space="preserve">In addition to these locations, other locations such as major urban renewal precincts, health and education precincts, major activity centres and other industrial areas play </w:t>
      </w:r>
      <w:r w:rsidR="002C3220" w:rsidRPr="006C7B74">
        <w:t>an</w:t>
      </w:r>
      <w:r w:rsidRPr="006C7B74">
        <w:t xml:space="preserve"> important</w:t>
      </w:r>
      <w:r w:rsidR="007C0AA3" w:rsidRPr="006C7B74">
        <w:t xml:space="preserve"> regional</w:t>
      </w:r>
      <w:r w:rsidRPr="006C7B74">
        <w:t xml:space="preserve"> role in accommodating industry and business and supporting jobs growth.</w:t>
      </w:r>
      <w:r w:rsidR="002C4A40" w:rsidRPr="006C7B74">
        <w:t xml:space="preserve"> </w:t>
      </w:r>
    </w:p>
    <w:p w14:paraId="393A7E28" w14:textId="65E439A3" w:rsidR="00DD3EBE" w:rsidRPr="006C7B74" w:rsidRDefault="00DD3EBE" w:rsidP="00DD3EBE">
      <w:pPr>
        <w:pStyle w:val="BodyText"/>
        <w:spacing w:before="0" w:line="240" w:lineRule="auto"/>
      </w:pPr>
      <w:r w:rsidRPr="006C7B74">
        <w:t>Plan Melbourne policies in relation to industrial and commercial land are implemented as part of the Planning Policy Framework included in the Victoria Planning Provisions.</w:t>
      </w:r>
      <w:r w:rsidR="004E51C1" w:rsidRPr="006C7B74">
        <w:t xml:space="preserve"> Policies seek to </w:t>
      </w:r>
      <w:r w:rsidR="00B16868" w:rsidRPr="006C7B74">
        <w:t>e</w:t>
      </w:r>
      <w:r w:rsidR="00740D46" w:rsidRPr="006C7B74">
        <w:t>nsure appropriate</w:t>
      </w:r>
      <w:r w:rsidR="007812E0" w:rsidRPr="006C7B74">
        <w:t>ly</w:t>
      </w:r>
      <w:r w:rsidR="00AF08AD" w:rsidRPr="006C7B74">
        <w:t xml:space="preserve"> located</w:t>
      </w:r>
      <w:r w:rsidR="00740D46" w:rsidRPr="006C7B74">
        <w:t xml:space="preserve"> suppl</w:t>
      </w:r>
      <w:r w:rsidR="00AF08AD" w:rsidRPr="006C7B74">
        <w:t xml:space="preserve">ies of </w:t>
      </w:r>
      <w:r w:rsidR="00740D46" w:rsidRPr="006C7B74">
        <w:t xml:space="preserve">commercial and industrial </w:t>
      </w:r>
      <w:r w:rsidR="00AF08AD" w:rsidRPr="006C7B74">
        <w:t xml:space="preserve">land is available for </w:t>
      </w:r>
      <w:r w:rsidR="00740D46" w:rsidRPr="006C7B74">
        <w:t xml:space="preserve">development and that </w:t>
      </w:r>
      <w:r w:rsidR="00AF08AD" w:rsidRPr="006C7B74">
        <w:t xml:space="preserve">these locations are </w:t>
      </w:r>
      <w:r w:rsidR="00E94A33" w:rsidRPr="006C7B74">
        <w:t>planned for and protected</w:t>
      </w:r>
      <w:r w:rsidR="00101EC4" w:rsidRPr="006C7B74">
        <w:t xml:space="preserve"> to </w:t>
      </w:r>
      <w:r w:rsidR="004E51C1" w:rsidRPr="006C7B74">
        <w:t xml:space="preserve">support </w:t>
      </w:r>
      <w:r w:rsidR="00101EC4" w:rsidRPr="006C7B74">
        <w:t xml:space="preserve">investment and </w:t>
      </w:r>
      <w:r w:rsidR="0021705C" w:rsidRPr="006C7B74">
        <w:t>economic</w:t>
      </w:r>
      <w:r w:rsidR="00101EC4" w:rsidRPr="006C7B74">
        <w:t xml:space="preserve"> growth</w:t>
      </w:r>
      <w:r w:rsidR="0021705C" w:rsidRPr="006C7B74">
        <w:t>.</w:t>
      </w:r>
    </w:p>
    <w:p w14:paraId="1406892B" w14:textId="01BF99FD" w:rsidR="00DD3EBE" w:rsidRPr="006C7B74" w:rsidRDefault="00DD3EBE" w:rsidP="00DD3EBE">
      <w:pPr>
        <w:pStyle w:val="Heading3"/>
        <w:spacing w:before="0" w:after="120"/>
      </w:pPr>
      <w:r w:rsidRPr="006C7B74">
        <w:t xml:space="preserve">Planning for </w:t>
      </w:r>
      <w:r w:rsidR="004205A4" w:rsidRPr="006C7B74">
        <w:t>g</w:t>
      </w:r>
      <w:r w:rsidRPr="006C7B74">
        <w:t xml:space="preserve">rowth </w:t>
      </w:r>
      <w:r w:rsidR="004205A4" w:rsidRPr="006C7B74">
        <w:t>a</w:t>
      </w:r>
      <w:r w:rsidRPr="006C7B74">
        <w:t>reas</w:t>
      </w:r>
    </w:p>
    <w:p w14:paraId="59C8F8C8" w14:textId="77283962" w:rsidR="00DD3EBE" w:rsidRPr="006C7B74" w:rsidRDefault="00DD3EBE" w:rsidP="00DD3EBE">
      <w:pPr>
        <w:pStyle w:val="BodyText"/>
        <w:spacing w:before="0" w:line="240" w:lineRule="auto"/>
      </w:pPr>
      <w:r w:rsidRPr="006C7B74">
        <w:t xml:space="preserve">Growth Corridor Plans provide a framework to guide the planning of new communities in each of Melbourne’s </w:t>
      </w:r>
      <w:r w:rsidR="00554D73" w:rsidRPr="006C7B74">
        <w:t>g</w:t>
      </w:r>
      <w:r w:rsidRPr="006C7B74">
        <w:t xml:space="preserve">rowth </w:t>
      </w:r>
      <w:r w:rsidR="00554D73" w:rsidRPr="006C7B74">
        <w:t>c</w:t>
      </w:r>
      <w:r w:rsidRPr="006C7B74">
        <w:t xml:space="preserve">orridors. They guide delivery of key housing, employment and transport infrastructure in Melbourne’s new suburbs and provide a clear strategy for the development of the growth corridors over the next 30 to 40 years. </w:t>
      </w:r>
    </w:p>
    <w:p w14:paraId="0DFCF969" w14:textId="0C3CF321" w:rsidR="00DD3EBE" w:rsidRPr="006C7B74" w:rsidRDefault="00DD3EBE" w:rsidP="00DD3EBE">
      <w:pPr>
        <w:pStyle w:val="BodyText"/>
        <w:spacing w:before="0" w:line="240" w:lineRule="auto"/>
      </w:pPr>
      <w:r w:rsidRPr="006C7B74">
        <w:t xml:space="preserve">Building on Growth Corridor Plans, more detailed Precinct Structure Plans (PSPs) guide development at a more localised level. They typically make provision for employment and business growth through the development of a network of activity centres that can grow and change over time, and by setting aside sufficient employment land so that businesses can </w:t>
      </w:r>
      <w:r w:rsidR="00AA72FB" w:rsidRPr="006C7B74">
        <w:t xml:space="preserve">grow and </w:t>
      </w:r>
      <w:r w:rsidRPr="006C7B74">
        <w:t>expand in</w:t>
      </w:r>
      <w:r w:rsidR="00AA72FB" w:rsidRPr="006C7B74">
        <w:t>to the</w:t>
      </w:r>
      <w:r w:rsidRPr="006C7B74">
        <w:t xml:space="preserve"> future. They may include mixed</w:t>
      </w:r>
      <w:r w:rsidR="00834346" w:rsidRPr="006C7B74">
        <w:t>-</w:t>
      </w:r>
      <w:r w:rsidRPr="006C7B74">
        <w:t xml:space="preserve">use areas associated with town centres and smaller industrial areas providing for the needs of local businesses. They </w:t>
      </w:r>
      <w:r w:rsidR="00AE7546" w:rsidRPr="006C7B74">
        <w:t>may</w:t>
      </w:r>
      <w:r w:rsidRPr="006C7B74">
        <w:t xml:space="preserve"> also </w:t>
      </w:r>
      <w:r w:rsidR="004B09D1" w:rsidRPr="006C7B74">
        <w:t>provide</w:t>
      </w:r>
      <w:r w:rsidRPr="006C7B74">
        <w:t xml:space="preserve"> for</w:t>
      </w:r>
      <w:r w:rsidR="00200A60" w:rsidRPr="006C7B74">
        <w:t xml:space="preserve"> larger</w:t>
      </w:r>
      <w:r w:rsidR="00AE7546" w:rsidRPr="006C7B74">
        <w:t>,</w:t>
      </w:r>
      <w:r w:rsidRPr="006C7B74">
        <w:t xml:space="preserve"> </w:t>
      </w:r>
      <w:r w:rsidR="00031EC1" w:rsidRPr="006C7B74">
        <w:t>state and</w:t>
      </w:r>
      <w:r w:rsidRPr="006C7B74">
        <w:t xml:space="preserve"> </w:t>
      </w:r>
      <w:proofErr w:type="gramStart"/>
      <w:r w:rsidR="003B320F" w:rsidRPr="006C7B74">
        <w:t>r</w:t>
      </w:r>
      <w:r w:rsidRPr="006C7B74">
        <w:t>egionally</w:t>
      </w:r>
      <w:r w:rsidR="00E23DBD" w:rsidRPr="006C7B74">
        <w:t>-</w:t>
      </w:r>
      <w:r w:rsidRPr="006C7B74">
        <w:t>significant</w:t>
      </w:r>
      <w:proofErr w:type="gramEnd"/>
      <w:r w:rsidRPr="006C7B74">
        <w:t xml:space="preserve"> employment</w:t>
      </w:r>
      <w:r w:rsidR="00200A60" w:rsidRPr="006C7B74">
        <w:t xml:space="preserve"> precincts</w:t>
      </w:r>
      <w:r w:rsidR="00A70870" w:rsidRPr="006C7B74">
        <w:t xml:space="preserve"> and industrial areas</w:t>
      </w:r>
      <w:r w:rsidRPr="006C7B74">
        <w:t>.</w:t>
      </w:r>
    </w:p>
    <w:p w14:paraId="45AD44B3" w14:textId="77777777" w:rsidR="00C64A82" w:rsidRPr="006C7B74" w:rsidRDefault="00C64A82" w:rsidP="00C64A82">
      <w:pPr>
        <w:pStyle w:val="Heading3"/>
        <w:spacing w:before="0" w:after="120"/>
      </w:pPr>
      <w:r w:rsidRPr="006C7B74">
        <w:t>Land use framework plans and other place-based plans</w:t>
      </w:r>
    </w:p>
    <w:p w14:paraId="2331601F" w14:textId="504BA296" w:rsidR="00C64A82" w:rsidRPr="006C7B74" w:rsidRDefault="00C64A82" w:rsidP="00C64A82">
      <w:pPr>
        <w:pStyle w:val="BodyText"/>
      </w:pPr>
      <w:r w:rsidRPr="006C7B74">
        <w:t xml:space="preserve">The </w:t>
      </w:r>
      <w:r w:rsidR="00F44B9F" w:rsidRPr="006C7B74">
        <w:t xml:space="preserve">Victorian Government </w:t>
      </w:r>
      <w:r w:rsidRPr="006C7B74">
        <w:t>is working with local councils to develop land use framework plans for Melbourne’s six metropolitan regions. The land use framework plans are 30-year strategic land use and infrastructure plans that will provide a common long-term framework to manage growth and land use pressures in each of the six metropolitan regions. These are spatial plans that will translate Plan Melbourne to the regional level, focus on resolution of metropolitan regional issues and provide the context for planning at a precinct or local scale.</w:t>
      </w:r>
    </w:p>
    <w:p w14:paraId="3841379D" w14:textId="77777777" w:rsidR="00C64A82" w:rsidRPr="006C7B74" w:rsidRDefault="00C64A82" w:rsidP="00C64A82">
      <w:pPr>
        <w:pStyle w:val="BodyText"/>
        <w:spacing w:before="0" w:line="240" w:lineRule="auto"/>
      </w:pPr>
      <w:r w:rsidRPr="006C7B74">
        <w:lastRenderedPageBreak/>
        <w:t>Structure plans and other place-specific plans are another way in which state and regional policy directions are translated to guide development at a local and precinct level. It is the role of these place-based plans to undertake more detailed strategic work to determine the most appropriate structural layout and zoning mix in accordance with state and regional policy frameworks. Through these processes there will be a need to balance any competing planning objectives appropriately.</w:t>
      </w:r>
    </w:p>
    <w:p w14:paraId="55DC8361" w14:textId="77777777" w:rsidR="00136CF6" w:rsidRPr="006C7B74" w:rsidRDefault="00136CF6" w:rsidP="00136CF6">
      <w:pPr>
        <w:pStyle w:val="Heading3"/>
      </w:pPr>
      <w:r w:rsidRPr="006C7B74">
        <w:t>Planning for buffer areas and incompatible land uses</w:t>
      </w:r>
    </w:p>
    <w:p w14:paraId="07A8F596" w14:textId="77777777" w:rsidR="00136CF6" w:rsidRPr="006C7B74" w:rsidRDefault="00136CF6" w:rsidP="00136CF6">
      <w:pPr>
        <w:pStyle w:val="BodyText"/>
        <w:rPr>
          <w:lang w:eastAsia="en-GB"/>
        </w:rPr>
      </w:pPr>
      <w:r w:rsidRPr="006C7B74">
        <w:rPr>
          <w:lang w:eastAsia="en-GB"/>
        </w:rPr>
        <w:t xml:space="preserve">A buffer is an area of land which is used to separate or manage incompatible land uses, to avoid land use conflicts and protect uses that are considered sensitive from unintended off-site impacts. Off-site impacts from industry operations can pose amenity, health and safety risks to communities, while the encroachment uses of a sensitive nature, such as residential development, into buffers may compromise the efficient ongoing operation of existing businesses. Buffers are therefore an important planning tool to provide certainty for industry.  </w:t>
      </w:r>
    </w:p>
    <w:p w14:paraId="77E22AB2" w14:textId="77777777" w:rsidR="00136CF6" w:rsidRPr="006C7B74" w:rsidRDefault="00136CF6" w:rsidP="00136CF6">
      <w:pPr>
        <w:pStyle w:val="BodyText"/>
        <w:rPr>
          <w:lang w:eastAsia="en-GB"/>
        </w:rPr>
      </w:pPr>
      <w:r w:rsidRPr="006C7B74">
        <w:rPr>
          <w:lang w:eastAsia="en-GB"/>
        </w:rPr>
        <w:t xml:space="preserve">Buffer areas can also be used to accommodate businesses, urban services and other uses that are more compatible with industries with potential off-site impacts or nearby uses of a sensitive nature. </w:t>
      </w:r>
    </w:p>
    <w:p w14:paraId="3A8CD923" w14:textId="77777777" w:rsidR="00136CF6" w:rsidRPr="006C7B74" w:rsidRDefault="00136CF6" w:rsidP="00136CF6">
      <w:pPr>
        <w:pStyle w:val="BodyText"/>
        <w:rPr>
          <w:lang w:eastAsia="en-GB"/>
        </w:rPr>
      </w:pPr>
      <w:r w:rsidRPr="006C7B74">
        <w:rPr>
          <w:lang w:eastAsia="en-GB"/>
        </w:rPr>
        <w:t xml:space="preserve">State planning policy aims to protect industry and infrastructure from encroachment of incompatible uses, including the protection of major hazard facilities, airports, state significant industrial land, extractive resources and waste infrastructure. </w:t>
      </w:r>
    </w:p>
    <w:p w14:paraId="4872F1E6" w14:textId="34F7DBE7" w:rsidR="00136CF6" w:rsidRPr="006C7B74" w:rsidRDefault="00136CF6" w:rsidP="00136CF6">
      <w:pPr>
        <w:pStyle w:val="BodyText"/>
        <w:rPr>
          <w:lang w:eastAsia="en-GB"/>
        </w:rPr>
      </w:pPr>
      <w:r w:rsidRPr="006C7B74">
        <w:rPr>
          <w:lang w:eastAsia="en-GB"/>
        </w:rPr>
        <w:t>The government also supports the ‘agent of change’ principle being applied to existing quarries. This principle puts the onus on the applicant proposing a new use or development that encroaches within buffers of an existing quarry to take measures to mitigate any impacts from those existing or planned activities</w:t>
      </w:r>
      <w:r>
        <w:rPr>
          <w:lang w:eastAsia="en-GB"/>
        </w:rPr>
        <w:t>.</w:t>
      </w:r>
    </w:p>
    <w:p w14:paraId="7CB6EAC1" w14:textId="77777777" w:rsidR="00136CF6" w:rsidRPr="006C7B74" w:rsidRDefault="00136CF6" w:rsidP="00136CF6">
      <w:pPr>
        <w:pStyle w:val="BodyText"/>
        <w:rPr>
          <w:lang w:eastAsia="en-GB"/>
        </w:rPr>
      </w:pPr>
      <w:r w:rsidRPr="006C7B74">
        <w:rPr>
          <w:lang w:eastAsia="en-GB"/>
        </w:rPr>
        <w:t>Local industrial land use strategies will enable councils to identify the location and nature of existing priority industry and potential off-site impacts. These local strategies may identify appropriate management strategies for incompatible uses, including buffers to uses of a sensitive nature, land use transition over time and where use and development should be restricted.</w:t>
      </w:r>
    </w:p>
    <w:p w14:paraId="5D7D1F85" w14:textId="08A094D8" w:rsidR="00FB3826" w:rsidRPr="006C7B74" w:rsidRDefault="00FB3826" w:rsidP="00FB3826">
      <w:pPr>
        <w:pStyle w:val="Heading3"/>
        <w:spacing w:before="0" w:after="120"/>
      </w:pPr>
      <w:r w:rsidRPr="006C7B74">
        <w:t xml:space="preserve">Planning for enterprise precincts </w:t>
      </w:r>
    </w:p>
    <w:p w14:paraId="5E6E64EA" w14:textId="3C34F09F" w:rsidR="00874BE6" w:rsidRPr="006C7B74" w:rsidRDefault="00FB3826" w:rsidP="00874BE6">
      <w:pPr>
        <w:pStyle w:val="BodyText"/>
        <w:spacing w:before="0" w:line="240" w:lineRule="auto"/>
      </w:pPr>
      <w:r w:rsidRPr="006C7B74">
        <w:rPr>
          <w:i/>
          <w:iCs/>
        </w:rPr>
        <w:t>Unlocking Enterprise in a Changing Economy</w:t>
      </w:r>
      <w:r w:rsidRPr="006C7B74">
        <w:t xml:space="preserve"> </w:t>
      </w:r>
      <w:r w:rsidR="008E4D77" w:rsidRPr="006C7B74">
        <w:t xml:space="preserve">is the </w:t>
      </w:r>
      <w:r w:rsidR="00AF2445">
        <w:t>state g</w:t>
      </w:r>
      <w:r w:rsidRPr="006C7B74">
        <w:t>overnment</w:t>
      </w:r>
      <w:r w:rsidR="008E4D77" w:rsidRPr="006C7B74">
        <w:t>’s</w:t>
      </w:r>
      <w:r w:rsidRPr="006C7B74">
        <w:t xml:space="preserve"> policy </w:t>
      </w:r>
      <w:r w:rsidR="008E4D77" w:rsidRPr="006C7B74">
        <w:t xml:space="preserve">to </w:t>
      </w:r>
      <w:r w:rsidRPr="006C7B74">
        <w:t xml:space="preserve">understand and support </w:t>
      </w:r>
      <w:r w:rsidR="008E4D77" w:rsidRPr="006C7B74">
        <w:t xml:space="preserve">enterprise </w:t>
      </w:r>
      <w:r w:rsidRPr="006C7B74">
        <w:t xml:space="preserve">precincts as hubs for the emerging economy increasingly characterised by start-ups, entrepreneurs, creative industries, co-working spaces, and small-scale manufacturers. </w:t>
      </w:r>
      <w:r w:rsidR="00874BE6" w:rsidRPr="006C7B74">
        <w:t>The ‘Factors Driving the Success of Enterprise Precincts’ framework provides a holistic approach to assess the strengths and weaknesses of enterprise precincts and is a useful aid in determining where to target efforts to attract, retain and support the emerging economy.</w:t>
      </w:r>
    </w:p>
    <w:p w14:paraId="733FBC40" w14:textId="7050E710" w:rsidR="00FB3826" w:rsidRPr="006C7B74" w:rsidRDefault="008E4D77" w:rsidP="00FB3826">
      <w:pPr>
        <w:pStyle w:val="BodyText"/>
        <w:spacing w:before="0" w:line="240" w:lineRule="auto"/>
      </w:pPr>
      <w:r w:rsidRPr="006C7B74">
        <w:t xml:space="preserve">The Commercial 3 Zone has been developed to support this framework and can be applied to help facilitate business growth and innovation in select parts of Victoria. </w:t>
      </w:r>
      <w:r w:rsidR="00FB3826" w:rsidRPr="006C7B74">
        <w:t xml:space="preserve">It is a mixed-use employment zone which is intended to facilitate the establishment and growth of creative industries, small manufacturers and start-up businesses. The zone promotes the creation of dense, economically diverse, affordable, accessible and amenity-rich precincts which are attractive to new and emerging businesses. </w:t>
      </w:r>
      <w:r w:rsidR="00762513" w:rsidRPr="006C7B74">
        <w:t>It aims to reduce the planning burden for a host of employment uses – from urban manufacturers and makers to co-working spaces – while allowing for complementary yet limited retail and residential uses where these uses are considered appropriate to support enterprise to flourish.</w:t>
      </w:r>
    </w:p>
    <w:p w14:paraId="0657D0EB" w14:textId="77777777" w:rsidR="00874BE6" w:rsidRPr="006C7B74" w:rsidRDefault="00874BE6" w:rsidP="00874BE6">
      <w:pPr>
        <w:autoSpaceDE w:val="0"/>
        <w:autoSpaceDN w:val="0"/>
        <w:adjustRightInd w:val="0"/>
        <w:rPr>
          <w:rFonts w:cstheme="minorHAnsi"/>
          <w:b/>
          <w:bCs/>
          <w:sz w:val="20"/>
          <w:szCs w:val="20"/>
        </w:rPr>
      </w:pPr>
    </w:p>
    <w:p w14:paraId="71AAF0FC" w14:textId="4142771C" w:rsidR="00874BE6" w:rsidRPr="006C7B74" w:rsidRDefault="00FD2A82" w:rsidP="006C7B74">
      <w:pPr>
        <w:pStyle w:val="BodyText"/>
        <w:spacing w:before="0" w:line="240" w:lineRule="auto"/>
        <w:rPr>
          <w:rStyle w:val="Heading5Char"/>
        </w:rPr>
      </w:pPr>
      <w:r w:rsidRPr="006C7B74">
        <w:rPr>
          <w:rStyle w:val="Heading5Char"/>
        </w:rPr>
        <w:t xml:space="preserve">Figure </w:t>
      </w:r>
      <w:r w:rsidR="0087642A" w:rsidRPr="006C7B74">
        <w:rPr>
          <w:rStyle w:val="Heading5Char"/>
        </w:rPr>
        <w:t>6</w:t>
      </w:r>
      <w:r w:rsidRPr="006C7B74">
        <w:rPr>
          <w:rFonts w:eastAsiaTheme="majorEastAsia"/>
          <w:b/>
        </w:rPr>
        <w:t xml:space="preserve">: </w:t>
      </w:r>
      <w:r w:rsidR="00874BE6" w:rsidRPr="00854A18">
        <w:rPr>
          <w:rStyle w:val="Heading5Char"/>
        </w:rPr>
        <w:t xml:space="preserve">Factors </w:t>
      </w:r>
      <w:r w:rsidR="00854A18">
        <w:rPr>
          <w:rStyle w:val="Heading5Char"/>
          <w:bCs/>
        </w:rPr>
        <w:t>d</w:t>
      </w:r>
      <w:r w:rsidR="00874BE6" w:rsidRPr="00854A18">
        <w:rPr>
          <w:rStyle w:val="Heading5Char"/>
          <w:bCs/>
        </w:rPr>
        <w:t>riving</w:t>
      </w:r>
      <w:r w:rsidR="00874BE6" w:rsidRPr="00854A18">
        <w:rPr>
          <w:rStyle w:val="Heading5Char"/>
        </w:rPr>
        <w:t xml:space="preserve"> the </w:t>
      </w:r>
      <w:r w:rsidR="00854A18">
        <w:rPr>
          <w:rStyle w:val="Heading5Char"/>
          <w:bCs/>
        </w:rPr>
        <w:t>s</w:t>
      </w:r>
      <w:r w:rsidR="00874BE6" w:rsidRPr="00854A18">
        <w:rPr>
          <w:rStyle w:val="Heading5Char"/>
          <w:bCs/>
        </w:rPr>
        <w:t>uccess</w:t>
      </w:r>
      <w:r w:rsidR="00874BE6" w:rsidRPr="00854A18">
        <w:rPr>
          <w:rStyle w:val="Heading5Char"/>
        </w:rPr>
        <w:t xml:space="preserve"> of </w:t>
      </w:r>
      <w:r w:rsidR="00854A18">
        <w:rPr>
          <w:rStyle w:val="Heading5Char"/>
          <w:bCs/>
        </w:rPr>
        <w:t>e</w:t>
      </w:r>
      <w:r w:rsidR="00874BE6" w:rsidRPr="00854A18">
        <w:rPr>
          <w:rStyle w:val="Heading5Char"/>
          <w:bCs/>
        </w:rPr>
        <w:t xml:space="preserve">nterprise </w:t>
      </w:r>
      <w:r w:rsidR="00854A18">
        <w:rPr>
          <w:rStyle w:val="Heading5Char"/>
          <w:bCs/>
        </w:rPr>
        <w:t>p</w:t>
      </w:r>
      <w:r w:rsidR="00874BE6" w:rsidRPr="00854A18">
        <w:rPr>
          <w:rStyle w:val="Heading5Char"/>
          <w:bCs/>
        </w:rPr>
        <w:t>recincts</w:t>
      </w:r>
    </w:p>
    <w:p w14:paraId="3CF8E213" w14:textId="29B60077" w:rsidR="00DD3EBE" w:rsidRPr="006C7B74" w:rsidRDefault="00FB3826" w:rsidP="00FB3826">
      <w:pPr>
        <w:pStyle w:val="BodyText"/>
        <w:spacing w:before="0" w:line="240" w:lineRule="auto"/>
      </w:pPr>
      <w:r w:rsidRPr="006C7B74">
        <w:rPr>
          <w:noProof/>
        </w:rPr>
        <w:lastRenderedPageBreak/>
        <w:drawing>
          <wp:inline distT="0" distB="0" distL="0" distR="0" wp14:anchorId="26A908A6" wp14:editId="39453995">
            <wp:extent cx="4759914" cy="4445000"/>
            <wp:effectExtent l="0" t="0" r="3175" b="0"/>
            <wp:docPr id="3" name="Picture 3" descr="Graphic showing Quality of Place, Diversity and Inclusion, Affordability, Critial Mass, Infrastructure, Accessibility, Anchor Institutions, Competitive Advantage and Collaboration as being the main factors driving the success of enterprise precein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a:extLst>
                        <a:ext uri="{28A0092B-C50C-407E-A947-70E740481C1C}">
                          <a14:useLocalDpi xmlns:a14="http://schemas.microsoft.com/office/drawing/2010/main" val="0"/>
                        </a:ext>
                      </a:extLst>
                    </a:blip>
                    <a:srcRect/>
                    <a:stretch/>
                  </pic:blipFill>
                  <pic:spPr bwMode="auto">
                    <a:xfrm>
                      <a:off x="0" y="0"/>
                      <a:ext cx="4773191" cy="4457398"/>
                    </a:xfrm>
                    <a:prstGeom prst="rect">
                      <a:avLst/>
                    </a:prstGeom>
                    <a:noFill/>
                    <a:ln>
                      <a:noFill/>
                    </a:ln>
                    <a:extLst>
                      <a:ext uri="{53640926-AAD7-44D8-BBD7-CCE9431645EC}">
                        <a14:shadowObscured xmlns:a14="http://schemas.microsoft.com/office/drawing/2010/main"/>
                      </a:ext>
                    </a:extLst>
                  </pic:spPr>
                </pic:pic>
              </a:graphicData>
            </a:graphic>
          </wp:inline>
        </w:drawing>
      </w:r>
    </w:p>
    <w:p w14:paraId="463CA46E" w14:textId="60A07A7E" w:rsidR="00E9234B" w:rsidRPr="00DF46CB" w:rsidRDefault="000E6361" w:rsidP="006901BD">
      <w:pPr>
        <w:pStyle w:val="Quote"/>
      </w:pPr>
      <w:r w:rsidRPr="00DF46CB">
        <w:t>Source: Department of Environment, Land, Water and Planning</w:t>
      </w:r>
    </w:p>
    <w:p w14:paraId="40361FB1" w14:textId="77777777" w:rsidR="00A00076" w:rsidRDefault="00A00076">
      <w:pPr>
        <w:rPr>
          <w:rFonts w:cstheme="minorHAnsi"/>
          <w:b/>
          <w:sz w:val="20"/>
          <w:szCs w:val="18"/>
          <w:lang w:val="en-US"/>
        </w:rPr>
      </w:pPr>
      <w:r>
        <w:rPr>
          <w:b/>
          <w:szCs w:val="18"/>
          <w:lang w:val="en-US"/>
        </w:rPr>
        <w:br w:type="page"/>
      </w:r>
    </w:p>
    <w:p w14:paraId="48618939" w14:textId="6BE80C8B" w:rsidR="0052312F" w:rsidRPr="006C7B74" w:rsidRDefault="0052312F" w:rsidP="000D67B8">
      <w:pPr>
        <w:pStyle w:val="Heading5"/>
        <w:rPr>
          <w:lang w:val="en-US"/>
        </w:rPr>
      </w:pPr>
      <w:r w:rsidRPr="006C7B74">
        <w:rPr>
          <w:lang w:val="en-US"/>
        </w:rPr>
        <w:lastRenderedPageBreak/>
        <w:t>CASE STUDY: Laverton North</w:t>
      </w:r>
    </w:p>
    <w:p w14:paraId="60DA329D" w14:textId="77777777" w:rsidR="0052312F" w:rsidRPr="006C7B74" w:rsidRDefault="0052312F" w:rsidP="0052312F">
      <w:pPr>
        <w:rPr>
          <w:rFonts w:eastAsia="Arial" w:cstheme="minorHAnsi"/>
          <w:sz w:val="20"/>
          <w:szCs w:val="20"/>
        </w:rPr>
      </w:pPr>
      <w:r w:rsidRPr="006C7B74">
        <w:rPr>
          <w:rFonts w:eastAsia="Arial" w:cstheme="minorHAnsi"/>
          <w:sz w:val="20"/>
          <w:szCs w:val="20"/>
        </w:rPr>
        <w:t>The outcomes of strategic planning often lie in the distant future. The development of the industrial area around Laverton North is an example of the legacy of the original planning by the Melbourne and Metropolitan Board of Works in 1954. The land was activated with the construction of the Western Ring Road in the 1990s and is now one of the most active industrial land markets in the country.</w:t>
      </w:r>
    </w:p>
    <w:p w14:paraId="2DD49045" w14:textId="77777777" w:rsidR="0052312F" w:rsidRPr="006C7B74" w:rsidRDefault="0052312F" w:rsidP="0052312F">
      <w:pPr>
        <w:rPr>
          <w:rFonts w:eastAsia="Arial" w:cstheme="minorHAnsi"/>
          <w:sz w:val="20"/>
          <w:szCs w:val="20"/>
        </w:rPr>
      </w:pPr>
    </w:p>
    <w:p w14:paraId="4EAF7BBC" w14:textId="77777777" w:rsidR="0052312F" w:rsidRPr="006C7B74" w:rsidRDefault="0052312F" w:rsidP="0052312F">
      <w:pPr>
        <w:jc w:val="both"/>
        <w:rPr>
          <w:rFonts w:eastAsia="Arial" w:cstheme="minorHAnsi"/>
          <w:sz w:val="20"/>
          <w:szCs w:val="20"/>
        </w:rPr>
      </w:pPr>
      <w:r w:rsidRPr="006C7B74">
        <w:rPr>
          <w:rFonts w:eastAsia="Arial" w:cstheme="minorHAnsi"/>
          <w:sz w:val="20"/>
          <w:szCs w:val="20"/>
        </w:rPr>
        <w:t>Government’s primary roles in Laverton North were specific to the area, such as:</w:t>
      </w:r>
    </w:p>
    <w:p w14:paraId="3D2ABEE1" w14:textId="77777777" w:rsidR="0052312F" w:rsidRPr="006C7B74" w:rsidRDefault="0052312F" w:rsidP="0052312F">
      <w:pPr>
        <w:pStyle w:val="Pa33"/>
        <w:numPr>
          <w:ilvl w:val="0"/>
          <w:numId w:val="25"/>
        </w:numPr>
        <w:spacing w:after="100"/>
        <w:rPr>
          <w:rFonts w:asciiTheme="minorHAnsi" w:hAnsiTheme="minorHAnsi" w:cstheme="minorHAnsi"/>
          <w:color w:val="000000"/>
          <w:sz w:val="20"/>
          <w:szCs w:val="20"/>
        </w:rPr>
      </w:pPr>
      <w:r w:rsidRPr="006C7B74">
        <w:rPr>
          <w:rFonts w:asciiTheme="minorHAnsi" w:hAnsiTheme="minorHAnsi" w:cstheme="minorHAnsi"/>
          <w:color w:val="000000"/>
          <w:sz w:val="20"/>
          <w:szCs w:val="20"/>
        </w:rPr>
        <w:t>Providing preconditions for development by zoning suitable land and planning transport infrastructure.</w:t>
      </w:r>
    </w:p>
    <w:p w14:paraId="2BE98093" w14:textId="77777777" w:rsidR="0052312F" w:rsidRPr="006C7B74" w:rsidRDefault="0052312F" w:rsidP="0052312F">
      <w:pPr>
        <w:pStyle w:val="Pa33"/>
        <w:numPr>
          <w:ilvl w:val="0"/>
          <w:numId w:val="25"/>
        </w:numPr>
        <w:spacing w:after="100"/>
        <w:rPr>
          <w:rFonts w:asciiTheme="minorHAnsi" w:hAnsiTheme="minorHAnsi" w:cstheme="minorHAnsi"/>
          <w:color w:val="000000"/>
          <w:sz w:val="20"/>
          <w:szCs w:val="20"/>
        </w:rPr>
      </w:pPr>
      <w:r w:rsidRPr="006C7B74">
        <w:rPr>
          <w:rFonts w:asciiTheme="minorHAnsi" w:hAnsiTheme="minorHAnsi" w:cstheme="minorHAnsi"/>
          <w:color w:val="000000"/>
          <w:sz w:val="20"/>
          <w:szCs w:val="20"/>
        </w:rPr>
        <w:t>Providing long term market certainty by maintaining the industrial zoning for the area.</w:t>
      </w:r>
    </w:p>
    <w:p w14:paraId="37F66224" w14:textId="77777777" w:rsidR="0052312F" w:rsidRPr="006C7B74" w:rsidRDefault="0052312F" w:rsidP="0052312F">
      <w:pPr>
        <w:pStyle w:val="Pa33"/>
        <w:numPr>
          <w:ilvl w:val="0"/>
          <w:numId w:val="25"/>
        </w:numPr>
        <w:spacing w:after="100"/>
        <w:rPr>
          <w:rFonts w:asciiTheme="minorHAnsi" w:hAnsiTheme="minorHAnsi" w:cstheme="minorHAnsi"/>
          <w:color w:val="000000"/>
          <w:sz w:val="20"/>
          <w:szCs w:val="20"/>
        </w:rPr>
      </w:pPr>
      <w:r w:rsidRPr="006C7B74">
        <w:rPr>
          <w:rFonts w:asciiTheme="minorHAnsi" w:hAnsiTheme="minorHAnsi" w:cstheme="minorHAnsi"/>
          <w:color w:val="000000"/>
          <w:sz w:val="20"/>
          <w:szCs w:val="20"/>
        </w:rPr>
        <w:t xml:space="preserve">Investing in transport infrastructure by providing funding for the Western Ring Road. </w:t>
      </w:r>
    </w:p>
    <w:p w14:paraId="021FD7A6" w14:textId="77777777" w:rsidR="0052312F" w:rsidRPr="006C7B74" w:rsidRDefault="0052312F" w:rsidP="0052312F">
      <w:pPr>
        <w:rPr>
          <w:rFonts w:eastAsia="Arial" w:cstheme="minorHAnsi"/>
          <w:sz w:val="20"/>
          <w:szCs w:val="20"/>
        </w:rPr>
      </w:pPr>
      <w:r w:rsidRPr="006C7B74">
        <w:rPr>
          <w:rFonts w:eastAsia="Arial" w:cstheme="minorHAnsi"/>
          <w:sz w:val="20"/>
          <w:szCs w:val="20"/>
        </w:rPr>
        <w:t>The role of the private sector in the development of Laverton North is more diffuse and is related to changing market conditions, such as:</w:t>
      </w:r>
    </w:p>
    <w:p w14:paraId="1AA0A33E" w14:textId="77777777" w:rsidR="0052312F" w:rsidRPr="006C7B74" w:rsidRDefault="0052312F" w:rsidP="0052312F">
      <w:pPr>
        <w:pStyle w:val="Pa33"/>
        <w:numPr>
          <w:ilvl w:val="0"/>
          <w:numId w:val="25"/>
        </w:numPr>
        <w:spacing w:after="100"/>
        <w:rPr>
          <w:rFonts w:asciiTheme="minorHAnsi" w:hAnsiTheme="minorHAnsi" w:cstheme="minorHAnsi"/>
          <w:color w:val="000000"/>
          <w:sz w:val="20"/>
          <w:szCs w:val="20"/>
        </w:rPr>
      </w:pPr>
      <w:r w:rsidRPr="006C7B74">
        <w:rPr>
          <w:rFonts w:asciiTheme="minorHAnsi" w:hAnsiTheme="minorHAnsi" w:cstheme="minorHAnsi"/>
          <w:color w:val="000000"/>
          <w:sz w:val="20"/>
          <w:szCs w:val="20"/>
        </w:rPr>
        <w:t>Demand for large parcels of land by logistics users.</w:t>
      </w:r>
    </w:p>
    <w:p w14:paraId="1FA35440" w14:textId="77777777" w:rsidR="0052312F" w:rsidRPr="006C7B74" w:rsidRDefault="0052312F" w:rsidP="0052312F">
      <w:pPr>
        <w:pStyle w:val="Pa33"/>
        <w:numPr>
          <w:ilvl w:val="0"/>
          <w:numId w:val="25"/>
        </w:numPr>
        <w:spacing w:after="100"/>
        <w:rPr>
          <w:rFonts w:asciiTheme="minorHAnsi" w:hAnsiTheme="minorHAnsi" w:cstheme="minorHAnsi"/>
          <w:color w:val="000000"/>
          <w:sz w:val="20"/>
          <w:szCs w:val="20"/>
        </w:rPr>
      </w:pPr>
      <w:r w:rsidRPr="006C7B74">
        <w:rPr>
          <w:rFonts w:asciiTheme="minorHAnsi" w:hAnsiTheme="minorHAnsi" w:cstheme="minorHAnsi"/>
          <w:color w:val="000000"/>
          <w:sz w:val="20"/>
          <w:szCs w:val="20"/>
        </w:rPr>
        <w:t>Access to transport gateways such as the Port of Melbourne and roads to other locations across the metropolitan area and interstate.</w:t>
      </w:r>
    </w:p>
    <w:p w14:paraId="57E3D3BF" w14:textId="77777777" w:rsidR="0052312F" w:rsidRPr="006C7B74" w:rsidRDefault="0052312F" w:rsidP="0052312F">
      <w:pPr>
        <w:pStyle w:val="Pa33"/>
        <w:numPr>
          <w:ilvl w:val="0"/>
          <w:numId w:val="25"/>
        </w:numPr>
        <w:spacing w:after="100"/>
        <w:rPr>
          <w:rFonts w:asciiTheme="minorHAnsi" w:hAnsiTheme="minorHAnsi" w:cstheme="minorHAnsi"/>
          <w:color w:val="000000"/>
          <w:sz w:val="20"/>
          <w:szCs w:val="20"/>
        </w:rPr>
      </w:pPr>
      <w:r w:rsidRPr="006C7B74">
        <w:rPr>
          <w:rFonts w:asciiTheme="minorHAnsi" w:hAnsiTheme="minorHAnsi" w:cstheme="minorHAnsi"/>
          <w:color w:val="000000"/>
          <w:sz w:val="20"/>
          <w:szCs w:val="20"/>
        </w:rPr>
        <w:t>Increasing flexibility of institutional investors by providing premises for lease to end users.</w:t>
      </w:r>
    </w:p>
    <w:p w14:paraId="5A3F1E93" w14:textId="77777777" w:rsidR="0052312F" w:rsidRPr="006C7B74" w:rsidRDefault="0052312F" w:rsidP="0052312F">
      <w:pPr>
        <w:rPr>
          <w:rFonts w:eastAsia="Arial" w:cstheme="minorHAnsi"/>
          <w:sz w:val="18"/>
          <w:szCs w:val="18"/>
        </w:rPr>
      </w:pPr>
    </w:p>
    <w:p w14:paraId="4284E596" w14:textId="77777777" w:rsidR="0052312F" w:rsidRPr="006C7B74" w:rsidRDefault="0052312F" w:rsidP="0052312F">
      <w:pPr>
        <w:rPr>
          <w:rFonts w:eastAsia="Arial" w:cstheme="minorHAnsi"/>
          <w:sz w:val="18"/>
          <w:szCs w:val="18"/>
        </w:rPr>
      </w:pPr>
    </w:p>
    <w:p w14:paraId="7F6892D1" w14:textId="77777777" w:rsidR="0052312F" w:rsidRPr="006C7B74" w:rsidRDefault="0052312F" w:rsidP="0052312F">
      <w:pPr>
        <w:pStyle w:val="BodyText"/>
        <w:rPr>
          <w:sz w:val="18"/>
          <w:szCs w:val="18"/>
          <w:lang w:val="en-US"/>
        </w:rPr>
      </w:pPr>
      <w:r w:rsidRPr="006C7B74">
        <w:rPr>
          <w:noProof/>
          <w:sz w:val="18"/>
          <w:szCs w:val="18"/>
          <w:lang w:val="en-US"/>
        </w:rPr>
        <w:drawing>
          <wp:inline distT="0" distB="0" distL="0" distR="0" wp14:anchorId="36427215" wp14:editId="2E1F6280">
            <wp:extent cx="5454015" cy="3847465"/>
            <wp:effectExtent l="0" t="0" r="0" b="635"/>
            <wp:docPr id="25" name="Picture 25" descr="Laverton North comparison maps - 1954 MMBW, 1989-90 and 20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averton image.png"/>
                    <pic:cNvPicPr/>
                  </pic:nvPicPr>
                  <pic:blipFill>
                    <a:blip r:embed="rId32"/>
                    <a:stretch>
                      <a:fillRect/>
                    </a:stretch>
                  </pic:blipFill>
                  <pic:spPr>
                    <a:xfrm>
                      <a:off x="0" y="0"/>
                      <a:ext cx="5454015" cy="3847465"/>
                    </a:xfrm>
                    <a:prstGeom prst="rect">
                      <a:avLst/>
                    </a:prstGeom>
                  </pic:spPr>
                </pic:pic>
              </a:graphicData>
            </a:graphic>
          </wp:inline>
        </w:drawing>
      </w:r>
    </w:p>
    <w:p w14:paraId="69D54845" w14:textId="77777777" w:rsidR="0052312F" w:rsidRPr="006C7B74" w:rsidRDefault="0052312F" w:rsidP="0052312F">
      <w:pPr>
        <w:pStyle w:val="Quote"/>
        <w:rPr>
          <w:lang w:val="en-US"/>
        </w:rPr>
      </w:pPr>
      <w:r w:rsidRPr="006C7B74">
        <w:rPr>
          <w:lang w:val="en-US"/>
        </w:rPr>
        <w:t>Source: Elliott, P. 2017, “Why strategic planning matters: a case study approach to examining industrial land use planning and development in Melbourne.” paper presented to the State of Australian Cities Conference 2017, Adelaide, South Australia, 28 to 30 November 2017.</w:t>
      </w:r>
    </w:p>
    <w:p w14:paraId="75D6F408" w14:textId="0043E980" w:rsidR="00DD3EBE" w:rsidRPr="006C7B74" w:rsidRDefault="00DD3EBE" w:rsidP="00DD3EBE">
      <w:pPr>
        <w:pStyle w:val="BodyText"/>
        <w:spacing w:before="0" w:line="240" w:lineRule="auto"/>
      </w:pPr>
    </w:p>
    <w:p w14:paraId="20628E3F" w14:textId="77777777" w:rsidR="00DD3EBE" w:rsidRPr="006C7B74" w:rsidRDefault="00DD3EBE" w:rsidP="00DD3EBE">
      <w:pPr>
        <w:spacing w:after="120"/>
      </w:pPr>
    </w:p>
    <w:p w14:paraId="47C542FE" w14:textId="17D9FA43" w:rsidR="00DD3EBE" w:rsidRPr="006C7B74" w:rsidRDefault="00DD3EBE" w:rsidP="00DD3EBE">
      <w:pPr>
        <w:spacing w:after="120"/>
        <w:rPr>
          <w:rFonts w:eastAsiaTheme="majorEastAsia" w:cstheme="minorHAnsi"/>
          <w:b/>
          <w:color w:val="4EBAC5" w:themeColor="accent1" w:themeShade="BF"/>
        </w:rPr>
      </w:pPr>
      <w:r w:rsidRPr="006C7B74">
        <w:br w:type="page"/>
      </w:r>
    </w:p>
    <w:p w14:paraId="574D8271" w14:textId="2FFE3F0B" w:rsidR="005110D0" w:rsidRPr="006C7B74" w:rsidRDefault="005110D0" w:rsidP="005110D0">
      <w:pPr>
        <w:pStyle w:val="Heading1"/>
        <w:spacing w:before="0"/>
        <w:ind w:left="357" w:hanging="357"/>
      </w:pPr>
      <w:bookmarkStart w:id="22" w:name="_Toc21694805"/>
      <w:r w:rsidRPr="006C7B74">
        <w:lastRenderedPageBreak/>
        <w:t>Industrial and commercial land across metropolitan Melbourne</w:t>
      </w:r>
      <w:bookmarkEnd w:id="22"/>
    </w:p>
    <w:p w14:paraId="0C8BEF8B" w14:textId="52790A4A" w:rsidR="00BC3C65" w:rsidRPr="006C7B74" w:rsidRDefault="005110D0" w:rsidP="005110D0">
      <w:pPr>
        <w:pStyle w:val="BodyText"/>
        <w:spacing w:before="0" w:line="240" w:lineRule="auto"/>
      </w:pPr>
      <w:r w:rsidRPr="006C7B74">
        <w:t xml:space="preserve">The Urban Development Program (UDP) is an annual program that analyses the supply and demand for residential and industrial land across metropolitan Melbourne. The program aims to ensure </w:t>
      </w:r>
      <w:r w:rsidR="003759DE" w:rsidRPr="006C7B74">
        <w:t xml:space="preserve">the </w:t>
      </w:r>
      <w:r w:rsidRPr="006C7B74">
        <w:t>ongoing provision of land and supporting infrastructure</w:t>
      </w:r>
      <w:r w:rsidR="00AC69D1" w:rsidRPr="006C7B74">
        <w:t>.</w:t>
      </w:r>
      <w:r w:rsidRPr="006C7B74">
        <w:t xml:space="preserve"> </w:t>
      </w:r>
      <w:r w:rsidR="00AC69D1" w:rsidRPr="006C7B74">
        <w:t>I</w:t>
      </w:r>
      <w:r w:rsidRPr="006C7B74">
        <w:t xml:space="preserve">nformation and feedback </w:t>
      </w:r>
      <w:r w:rsidR="00F63203" w:rsidRPr="006C7B74">
        <w:t xml:space="preserve">to inform the preparation of the UDP </w:t>
      </w:r>
      <w:r w:rsidRPr="006C7B74">
        <w:t>is drawn from across state and local government.</w:t>
      </w:r>
      <w:r w:rsidR="00582106" w:rsidRPr="006C7B74">
        <w:t xml:space="preserve"> </w:t>
      </w:r>
    </w:p>
    <w:p w14:paraId="55E35C97" w14:textId="1EF05F1E" w:rsidR="005110D0" w:rsidRPr="006C7B74" w:rsidRDefault="0045689C" w:rsidP="005110D0">
      <w:pPr>
        <w:pStyle w:val="BodyText"/>
        <w:spacing w:before="0" w:line="240" w:lineRule="auto"/>
      </w:pPr>
      <w:r w:rsidRPr="006C7B74">
        <w:t xml:space="preserve">Plan Melbourne identifies </w:t>
      </w:r>
      <w:r w:rsidR="005110D0" w:rsidRPr="006C7B74">
        <w:t xml:space="preserve">SSIPs </w:t>
      </w:r>
      <w:r w:rsidRPr="006C7B74">
        <w:t xml:space="preserve">as </w:t>
      </w:r>
      <w:r w:rsidR="005110D0" w:rsidRPr="006C7B74">
        <w:t>areas of economic activity that provide strategically located land for major industrial development linked to the Principal Freight Network</w:t>
      </w:r>
      <w:r w:rsidR="00C06ECF" w:rsidRPr="006C7B74">
        <w:t xml:space="preserve"> (PFN)</w:t>
      </w:r>
      <w:r w:rsidR="005110D0" w:rsidRPr="006C7B74">
        <w:t xml:space="preserve"> and transport gateways. The UDP provides separate analysis of industrial land in the SSIPs including an estimate of the exhaustion time frame of vacant land in the SSIPs.</w:t>
      </w:r>
    </w:p>
    <w:p w14:paraId="115E9C4A" w14:textId="7DF9CED8" w:rsidR="005110D0" w:rsidRPr="006C7B74" w:rsidRDefault="005110D0" w:rsidP="005110D0">
      <w:pPr>
        <w:pStyle w:val="BodyText"/>
        <w:spacing w:before="0" w:line="240" w:lineRule="auto"/>
      </w:pPr>
      <w:r w:rsidRPr="006C7B74">
        <w:t xml:space="preserve">For the purpose of this plan, industrial land identified and reported through the UDP has been used as a basis. </w:t>
      </w:r>
    </w:p>
    <w:p w14:paraId="759E748F" w14:textId="160B630B" w:rsidR="005110D0" w:rsidRPr="006C7B74" w:rsidRDefault="00A650C2" w:rsidP="005110D0">
      <w:pPr>
        <w:pStyle w:val="BodyText"/>
        <w:spacing w:before="0" w:line="240" w:lineRule="auto"/>
      </w:pPr>
      <w:bookmarkStart w:id="23" w:name="_Hlk13580064"/>
      <w:r w:rsidRPr="006C7B74">
        <w:t>T</w:t>
      </w:r>
      <w:r w:rsidR="005110D0" w:rsidRPr="006C7B74">
        <w:t>he UDP does not currently provide coverage of commercial land. The work undertaken as part of this report is a first step in identification and monitoring of commercial land.</w:t>
      </w:r>
    </w:p>
    <w:p w14:paraId="70AB79E1" w14:textId="067DC0C4" w:rsidR="005110D0" w:rsidRPr="006C7B74" w:rsidRDefault="005110D0" w:rsidP="005110D0">
      <w:pPr>
        <w:pStyle w:val="BodyText"/>
        <w:spacing w:before="0" w:line="240" w:lineRule="auto"/>
      </w:pPr>
      <w:r w:rsidRPr="006C7B74">
        <w:t xml:space="preserve">An approach to identify commercial land and land uses has been developed. This has included identifying all Commercial 1 zoned land across the metropolitan area (or </w:t>
      </w:r>
      <w:r w:rsidRPr="006C7B74">
        <w:rPr>
          <w:lang w:eastAsia="en-AU"/>
        </w:rPr>
        <w:t>Business 1, 2 or 5 zoned land where still applicable) as well as</w:t>
      </w:r>
      <w:r w:rsidRPr="006C7B74">
        <w:t xml:space="preserve"> land within Special Purpose zones where retail and office uses are generally encouraged and allowed as-of-right. More detail on the approach and methodology for the identification of commercial land can be found at Appendix </w:t>
      </w:r>
      <w:r w:rsidR="00D50166" w:rsidRPr="006C7B74">
        <w:t>1</w:t>
      </w:r>
      <w:r w:rsidRPr="006C7B74">
        <w:t>.</w:t>
      </w:r>
    </w:p>
    <w:bookmarkEnd w:id="23"/>
    <w:p w14:paraId="2BC64B8F" w14:textId="77777777" w:rsidR="00693902" w:rsidRPr="006C7B74" w:rsidRDefault="00693902" w:rsidP="005110D0">
      <w:pPr>
        <w:pStyle w:val="BodyText"/>
        <w:spacing w:before="0" w:line="240" w:lineRule="auto"/>
      </w:pPr>
    </w:p>
    <w:p w14:paraId="72E315FB" w14:textId="77777777" w:rsidR="005110D0" w:rsidRPr="006C7B74" w:rsidRDefault="005110D0" w:rsidP="00153967">
      <w:pPr>
        <w:pStyle w:val="Heading2-Contenttable"/>
      </w:pPr>
      <w:bookmarkStart w:id="24" w:name="_Toc21694806"/>
      <w:r w:rsidRPr="006C7B74">
        <w:t>Supply and demand for industrial land</w:t>
      </w:r>
      <w:bookmarkEnd w:id="24"/>
    </w:p>
    <w:p w14:paraId="0CCF4090" w14:textId="77777777" w:rsidR="005110D0" w:rsidRPr="006C7B74" w:rsidRDefault="005110D0" w:rsidP="005110D0">
      <w:pPr>
        <w:pStyle w:val="BodyText"/>
        <w:spacing w:before="0" w:line="240" w:lineRule="auto"/>
      </w:pPr>
      <w:r w:rsidRPr="006C7B74">
        <w:t xml:space="preserve">Melbourne’s industrial sector continues to grow and evolve and is one of the strongest in the nation. </w:t>
      </w:r>
    </w:p>
    <w:p w14:paraId="05EC89E4" w14:textId="47725779" w:rsidR="005110D0" w:rsidRPr="006C7B74" w:rsidRDefault="005110D0" w:rsidP="005E69F6">
      <w:pPr>
        <w:pStyle w:val="BodyText"/>
        <w:spacing w:before="0" w:line="240" w:lineRule="auto"/>
      </w:pPr>
      <w:r w:rsidRPr="006C7B74">
        <w:t xml:space="preserve">Online retailing is becoming more prevalent creating demand for fulfilment centres and supporting infrastructure to move goods quickly and efficiently around the city. Warehouse automation is </w:t>
      </w:r>
      <w:r w:rsidR="007F4D37" w:rsidRPr="006C7B74">
        <w:t>increasing,</w:t>
      </w:r>
      <w:r w:rsidRPr="006C7B74">
        <w:t xml:space="preserve"> and multi-level warehousing is now being considered</w:t>
      </w:r>
      <w:r w:rsidR="00A52268" w:rsidRPr="006C7B74">
        <w:t>,</w:t>
      </w:r>
      <w:r w:rsidRPr="006C7B74">
        <w:t xml:space="preserve"> particularly in inner city locations where land is </w:t>
      </w:r>
      <w:proofErr w:type="gramStart"/>
      <w:r w:rsidRPr="006C7B74">
        <w:t>scarce</w:t>
      </w:r>
      <w:proofErr w:type="gramEnd"/>
      <w:r w:rsidRPr="006C7B74">
        <w:t xml:space="preserve"> and costs are higher. </w:t>
      </w:r>
    </w:p>
    <w:p w14:paraId="5E729E6F" w14:textId="2645429A" w:rsidR="005110D0" w:rsidRPr="006C7B74" w:rsidRDefault="005110D0" w:rsidP="005E69F6">
      <w:pPr>
        <w:pStyle w:val="BodyText"/>
        <w:spacing w:before="0" w:line="240" w:lineRule="auto"/>
      </w:pPr>
      <w:r w:rsidRPr="006C7B74">
        <w:t xml:space="preserve">Major infrastructure projects will improve connectivity and congestion, linking key employment locations to workers and major freight networks, providing direct benefit to the industrial sector. Such improvements will enhance supply chains, reduce business costs, increase access to markets, enhance access to core skilled workers and enhance business to business interactions. </w:t>
      </w:r>
    </w:p>
    <w:p w14:paraId="6E34E169" w14:textId="5E20E81E" w:rsidR="005110D0" w:rsidRPr="006C7B74" w:rsidRDefault="00F96EFE" w:rsidP="005110D0">
      <w:pPr>
        <w:pStyle w:val="BodyText"/>
        <w:spacing w:before="0" w:line="240" w:lineRule="auto"/>
      </w:pPr>
      <w:r w:rsidRPr="006C7B74">
        <w:t>Whil</w:t>
      </w:r>
      <w:r w:rsidR="00E32526" w:rsidRPr="006C7B74">
        <w:t>e</w:t>
      </w:r>
      <w:r w:rsidRPr="006C7B74">
        <w:t xml:space="preserve"> d</w:t>
      </w:r>
      <w:r w:rsidR="006E2FEE" w:rsidRPr="006C7B74">
        <w:t xml:space="preserve">emand for industrial land across </w:t>
      </w:r>
      <w:r w:rsidR="00DC541A" w:rsidRPr="006C7B74">
        <w:t xml:space="preserve">metropolitan </w:t>
      </w:r>
      <w:r w:rsidR="006E2FEE" w:rsidRPr="006C7B74">
        <w:t xml:space="preserve">Melbourne </w:t>
      </w:r>
      <w:r w:rsidR="00DC541A" w:rsidRPr="006C7B74">
        <w:t xml:space="preserve">can </w:t>
      </w:r>
      <w:r w:rsidR="006E2FEE" w:rsidRPr="006C7B74">
        <w:t>fluctuate</w:t>
      </w:r>
      <w:r w:rsidR="00DC541A" w:rsidRPr="006C7B74">
        <w:t xml:space="preserve"> from year to year</w:t>
      </w:r>
      <w:r w:rsidRPr="006C7B74">
        <w:t>, over</w:t>
      </w:r>
      <w:r w:rsidR="006E2FEE" w:rsidRPr="006C7B74">
        <w:t xml:space="preserve"> the long term</w:t>
      </w:r>
      <w:r w:rsidR="00BC19FF" w:rsidRPr="006C7B74">
        <w:t xml:space="preserve"> it remains strong</w:t>
      </w:r>
      <w:r w:rsidR="006E2FEE" w:rsidRPr="006C7B74">
        <w:t xml:space="preserve">. </w:t>
      </w:r>
      <w:r w:rsidR="005110D0" w:rsidRPr="006C7B74">
        <w:t xml:space="preserve">Recent strong leasing activity and limited additions to the supply of vacant industrial sites has meant that vacancy rates for industrial space are </w:t>
      </w:r>
      <w:r w:rsidRPr="006C7B74">
        <w:t xml:space="preserve">currently </w:t>
      </w:r>
      <w:r w:rsidR="005110D0" w:rsidRPr="006C7B74">
        <w:t xml:space="preserve">at very low </w:t>
      </w:r>
      <w:r w:rsidR="00A52268" w:rsidRPr="006C7B74">
        <w:t>levels</w:t>
      </w:r>
      <w:r w:rsidR="005110D0" w:rsidRPr="006C7B74">
        <w:t xml:space="preserve"> and land values continue to increase. This has been most evident in Melbourne’s west w</w:t>
      </w:r>
      <w:r w:rsidR="00797E07" w:rsidRPr="006C7B74">
        <w:t>h</w:t>
      </w:r>
      <w:r w:rsidR="005110D0" w:rsidRPr="006C7B74">
        <w:t xml:space="preserve">ere land values for lots under five hectares increased by 40 per cent over the last year. </w:t>
      </w:r>
    </w:p>
    <w:p w14:paraId="7DB87838" w14:textId="7AEE13E0" w:rsidR="005110D0" w:rsidRPr="006C7B74" w:rsidRDefault="005110D0" w:rsidP="005110D0">
      <w:pPr>
        <w:pStyle w:val="BodyText"/>
        <w:spacing w:before="0" w:line="240" w:lineRule="auto"/>
      </w:pPr>
      <w:r w:rsidRPr="006C7B74">
        <w:t>The provision of sufficient land for industries with large lot land requirements</w:t>
      </w:r>
      <w:r w:rsidR="00686D72" w:rsidRPr="006C7B74">
        <w:t>,</w:t>
      </w:r>
      <w:r w:rsidRPr="006C7B74">
        <w:t xml:space="preserve"> is required to enable freight and logistics, and advanced manufacturing industries to expand</w:t>
      </w:r>
      <w:r w:rsidR="00686D72" w:rsidRPr="006C7B74">
        <w:t>,</w:t>
      </w:r>
      <w:r w:rsidRPr="006C7B74">
        <w:t xml:space="preserve"> together with </w:t>
      </w:r>
      <w:r w:rsidR="00686D72" w:rsidRPr="006C7B74">
        <w:t xml:space="preserve">creating </w:t>
      </w:r>
      <w:r w:rsidRPr="006C7B74">
        <w:t xml:space="preserve">supportive operating conditions that minimise land use conflicts. </w:t>
      </w:r>
    </w:p>
    <w:p w14:paraId="30B097B7" w14:textId="1A7D7D27" w:rsidR="00315EAF" w:rsidRPr="006C7B74" w:rsidRDefault="00315EAF" w:rsidP="005110D0">
      <w:pPr>
        <w:pStyle w:val="BodyText"/>
        <w:spacing w:before="0" w:line="240" w:lineRule="auto"/>
      </w:pPr>
      <w:r w:rsidRPr="006C7B74">
        <w:t>Improved management of industrial land supply is needed</w:t>
      </w:r>
      <w:r w:rsidR="00686D72" w:rsidRPr="006C7B74">
        <w:t>,</w:t>
      </w:r>
      <w:r w:rsidRPr="006C7B74">
        <w:t xml:space="preserve"> to ensure an ongoing adequate supply across the city.</w:t>
      </w:r>
    </w:p>
    <w:p w14:paraId="28E8FEF2" w14:textId="77777777" w:rsidR="005110D0" w:rsidRPr="006C7B74" w:rsidRDefault="005110D0" w:rsidP="00AE3C0A">
      <w:pPr>
        <w:pStyle w:val="BodyText"/>
        <w:spacing w:before="0" w:line="240" w:lineRule="auto"/>
      </w:pPr>
    </w:p>
    <w:p w14:paraId="0D895479" w14:textId="0C7CC680" w:rsidR="005110D0" w:rsidRPr="006C7B74" w:rsidRDefault="005110D0" w:rsidP="005110D0">
      <w:pPr>
        <w:pStyle w:val="Heading3"/>
        <w:spacing w:before="0" w:after="120"/>
      </w:pPr>
      <w:r w:rsidRPr="006C7B74">
        <w:t xml:space="preserve">Supply of </w:t>
      </w:r>
      <w:r w:rsidR="002B4717" w:rsidRPr="006C7B74">
        <w:t>i</w:t>
      </w:r>
      <w:r w:rsidRPr="006C7B74">
        <w:t xml:space="preserve">ndustrial </w:t>
      </w:r>
      <w:r w:rsidR="002B4717" w:rsidRPr="006C7B74">
        <w:t>l</w:t>
      </w:r>
      <w:r w:rsidRPr="006C7B74">
        <w:t xml:space="preserve">and </w:t>
      </w:r>
    </w:p>
    <w:p w14:paraId="687A4F2A" w14:textId="2DE05014" w:rsidR="005110D0" w:rsidRPr="006C7B74" w:rsidRDefault="005110D0" w:rsidP="005110D0">
      <w:pPr>
        <w:pStyle w:val="BodyText"/>
        <w:spacing w:before="0" w:line="240" w:lineRule="auto"/>
      </w:pPr>
      <w:r w:rsidRPr="006C7B74">
        <w:t xml:space="preserve">In 2018, there were </w:t>
      </w:r>
      <w:r w:rsidR="00ED7BAC" w:rsidRPr="006C7B74">
        <w:t xml:space="preserve">approximately </w:t>
      </w:r>
      <w:r w:rsidR="00B5063C" w:rsidRPr="006C7B74">
        <w:t>26,400</w:t>
      </w:r>
      <w:r w:rsidR="007F3371" w:rsidRPr="006C7B74">
        <w:t xml:space="preserve"> </w:t>
      </w:r>
      <w:r w:rsidRPr="006C7B74">
        <w:t xml:space="preserve">hectares of zoned industrial land across metropolitan Melbourne, of which </w:t>
      </w:r>
      <w:r w:rsidR="00441AFB" w:rsidRPr="006C7B74">
        <w:t>19,843</w:t>
      </w:r>
      <w:r w:rsidRPr="006C7B74">
        <w:t xml:space="preserve"> hectares were identified as occupied and </w:t>
      </w:r>
      <w:r w:rsidR="00E95285" w:rsidRPr="006C7B74">
        <w:t>6,5</w:t>
      </w:r>
      <w:r w:rsidR="00295ED4" w:rsidRPr="006C7B74">
        <w:t>63</w:t>
      </w:r>
      <w:r w:rsidR="007F3371" w:rsidRPr="006C7B74">
        <w:t xml:space="preserve"> </w:t>
      </w:r>
      <w:r w:rsidRPr="006C7B74">
        <w:t>hectares</w:t>
      </w:r>
      <w:r w:rsidR="00435E8F" w:rsidRPr="006C7B74">
        <w:t xml:space="preserve"> were</w:t>
      </w:r>
      <w:r w:rsidRPr="006C7B74">
        <w:t xml:space="preserve"> identified as vacant. </w:t>
      </w:r>
      <w:r w:rsidR="00EC7611">
        <w:t>Nearly</w:t>
      </w:r>
      <w:r w:rsidR="00EC7611" w:rsidRPr="006C7B74">
        <w:t xml:space="preserve"> </w:t>
      </w:r>
      <w:r w:rsidRPr="006C7B74">
        <w:t>two-thirds of vacant zoned industrial land (</w:t>
      </w:r>
      <w:r w:rsidR="001B2595" w:rsidRPr="006C7B74">
        <w:t>4,193</w:t>
      </w:r>
      <w:r w:rsidR="007F3371" w:rsidRPr="006C7B74">
        <w:t xml:space="preserve"> hectares of a total of </w:t>
      </w:r>
      <w:r w:rsidR="00086D10" w:rsidRPr="006C7B74">
        <w:t>6,5</w:t>
      </w:r>
      <w:r w:rsidR="00295ED4" w:rsidRPr="006C7B74">
        <w:t>63</w:t>
      </w:r>
      <w:r w:rsidR="00086D10" w:rsidRPr="006C7B74">
        <w:t xml:space="preserve"> </w:t>
      </w:r>
      <w:r w:rsidR="007F3371" w:rsidRPr="006C7B74">
        <w:t>hectares)</w:t>
      </w:r>
      <w:r w:rsidR="007F3371" w:rsidRPr="006C7B74" w:rsidDel="007F3371">
        <w:t xml:space="preserve"> </w:t>
      </w:r>
      <w:r w:rsidRPr="006C7B74">
        <w:t xml:space="preserve">is located within the SSIPs, with the largest availability in the Western and Northern SSIPs. </w:t>
      </w:r>
    </w:p>
    <w:p w14:paraId="373BFAB7" w14:textId="559C4562" w:rsidR="005110D0" w:rsidRPr="006C7B74" w:rsidRDefault="005110D0" w:rsidP="005110D0">
      <w:pPr>
        <w:pStyle w:val="BodyText"/>
        <w:spacing w:before="0" w:line="240" w:lineRule="auto"/>
      </w:pPr>
      <w:r w:rsidRPr="006C7B74">
        <w:t xml:space="preserve">The Hastings SSIP in Mornington Peninsula has significant vacant land </w:t>
      </w:r>
      <w:proofErr w:type="gramStart"/>
      <w:r w:rsidRPr="006C7B74">
        <w:t>identified,</w:t>
      </w:r>
      <w:proofErr w:type="gramEnd"/>
      <w:r w:rsidRPr="006C7B74">
        <w:t xml:space="preserve"> however this land is zoned specifically for port related uses</w:t>
      </w:r>
      <w:r w:rsidR="00435E8F" w:rsidRPr="006C7B74">
        <w:t>,</w:t>
      </w:r>
      <w:r w:rsidRPr="006C7B74">
        <w:t xml:space="preserve"> effectively making it unavailable for general industrial purposes.</w:t>
      </w:r>
    </w:p>
    <w:p w14:paraId="130E0D02" w14:textId="2D93DF32" w:rsidR="005110D0" w:rsidRPr="006C7B74" w:rsidRDefault="005110D0" w:rsidP="005110D0">
      <w:pPr>
        <w:pStyle w:val="BodyText"/>
        <w:spacing w:before="0" w:line="240" w:lineRule="auto"/>
      </w:pPr>
      <w:r w:rsidRPr="006C7B74">
        <w:t xml:space="preserve">In addition, there are </w:t>
      </w:r>
      <w:r w:rsidR="00542AAB" w:rsidRPr="006C7B74">
        <w:t>approximately</w:t>
      </w:r>
      <w:r w:rsidRPr="006C7B74">
        <w:t xml:space="preserve"> </w:t>
      </w:r>
      <w:r w:rsidR="00C34BFE" w:rsidRPr="006C7B74">
        <w:t>6</w:t>
      </w:r>
      <w:r w:rsidR="00D21432" w:rsidRPr="006C7B74">
        <w:t>,</w:t>
      </w:r>
      <w:r w:rsidR="00012409" w:rsidRPr="006C7B74">
        <w:t>9</w:t>
      </w:r>
      <w:r w:rsidR="00012409">
        <w:t>3</w:t>
      </w:r>
      <w:r w:rsidR="00012409" w:rsidRPr="006C7B74">
        <w:t xml:space="preserve">0 </w:t>
      </w:r>
      <w:r w:rsidRPr="006C7B74">
        <w:t xml:space="preserve">hectares of unzoned land identified for future industrial purposes. </w:t>
      </w:r>
    </w:p>
    <w:p w14:paraId="1AA013C7" w14:textId="77777777" w:rsidR="00317E75" w:rsidRPr="006C7B74" w:rsidRDefault="00317E75" w:rsidP="005110D0">
      <w:pPr>
        <w:pStyle w:val="BodyText"/>
        <w:spacing w:before="0" w:line="240" w:lineRule="auto"/>
      </w:pPr>
    </w:p>
    <w:p w14:paraId="353E2CA3" w14:textId="55CA3A3A" w:rsidR="00230637" w:rsidRPr="006C7B74" w:rsidRDefault="00230637" w:rsidP="00230637">
      <w:pPr>
        <w:pStyle w:val="Heading5"/>
      </w:pPr>
      <w:r w:rsidRPr="006C7B74">
        <w:t>Table 2: Zoned industrial land supply</w:t>
      </w:r>
      <w:r w:rsidR="00395715" w:rsidRPr="006C7B74">
        <w:t xml:space="preserve">, </w:t>
      </w:r>
      <w:r w:rsidRPr="006C7B74">
        <w:t>occupied and vacant</w:t>
      </w:r>
    </w:p>
    <w:tbl>
      <w:tblPr>
        <w:tblW w:w="5000" w:type="pct"/>
        <w:tblLook w:val="04A0" w:firstRow="1" w:lastRow="0" w:firstColumn="1" w:lastColumn="0" w:noHBand="0" w:noVBand="1"/>
      </w:tblPr>
      <w:tblGrid>
        <w:gridCol w:w="4703"/>
        <w:gridCol w:w="1499"/>
        <w:gridCol w:w="1319"/>
        <w:gridCol w:w="1499"/>
      </w:tblGrid>
      <w:tr w:rsidR="00652302" w:rsidRPr="006C7B74" w14:paraId="74A662A3" w14:textId="77777777" w:rsidTr="005B336D">
        <w:trPr>
          <w:trHeight w:val="735"/>
        </w:trPr>
        <w:tc>
          <w:tcPr>
            <w:tcW w:w="2606" w:type="pct"/>
            <w:tcBorders>
              <w:top w:val="nil"/>
              <w:left w:val="nil"/>
              <w:bottom w:val="single" w:sz="8" w:space="0" w:color="4D446C"/>
              <w:right w:val="nil"/>
            </w:tcBorders>
            <w:shd w:val="clear" w:color="000000" w:fill="4D446C"/>
            <w:noWrap/>
            <w:vAlign w:val="center"/>
            <w:hideMark/>
          </w:tcPr>
          <w:p w14:paraId="7EAF2482" w14:textId="77777777" w:rsidR="00230637" w:rsidRPr="006C7B74" w:rsidRDefault="00230637" w:rsidP="000D67B8">
            <w:pPr>
              <w:pStyle w:val="TableHeaderRow"/>
            </w:pPr>
            <w:r w:rsidRPr="006C7B74">
              <w:t>Region / SSIP</w:t>
            </w:r>
          </w:p>
        </w:tc>
        <w:tc>
          <w:tcPr>
            <w:tcW w:w="831" w:type="pct"/>
            <w:tcBorders>
              <w:top w:val="nil"/>
              <w:left w:val="nil"/>
              <w:bottom w:val="single" w:sz="8" w:space="0" w:color="4D446C"/>
              <w:right w:val="nil"/>
            </w:tcBorders>
            <w:shd w:val="clear" w:color="000000" w:fill="4D446C"/>
            <w:vAlign w:val="center"/>
            <w:hideMark/>
          </w:tcPr>
          <w:p w14:paraId="20188F6E" w14:textId="77777777" w:rsidR="00230637" w:rsidRPr="006C7B74" w:rsidRDefault="00230637" w:rsidP="000D67B8">
            <w:pPr>
              <w:pStyle w:val="TableHeaderRow"/>
            </w:pPr>
            <w:r w:rsidRPr="006C7B74">
              <w:t>Occupied (ha)</w:t>
            </w:r>
          </w:p>
        </w:tc>
        <w:tc>
          <w:tcPr>
            <w:tcW w:w="731" w:type="pct"/>
            <w:tcBorders>
              <w:top w:val="nil"/>
              <w:left w:val="nil"/>
              <w:bottom w:val="single" w:sz="8" w:space="0" w:color="4D446C"/>
              <w:right w:val="nil"/>
            </w:tcBorders>
            <w:shd w:val="clear" w:color="000000" w:fill="4D446C"/>
            <w:vAlign w:val="center"/>
            <w:hideMark/>
          </w:tcPr>
          <w:p w14:paraId="694340B5" w14:textId="3FF22551" w:rsidR="00230637" w:rsidRPr="006C7B74" w:rsidRDefault="00230637" w:rsidP="000D67B8">
            <w:pPr>
              <w:pStyle w:val="TableHeaderRow"/>
            </w:pPr>
            <w:r w:rsidRPr="006C7B74">
              <w:t xml:space="preserve">Vacant </w:t>
            </w:r>
            <w:r w:rsidR="00A03F39" w:rsidRPr="006C7B74">
              <w:br/>
            </w:r>
            <w:r w:rsidRPr="006C7B74">
              <w:t>(ha)</w:t>
            </w:r>
          </w:p>
        </w:tc>
        <w:tc>
          <w:tcPr>
            <w:tcW w:w="831" w:type="pct"/>
            <w:tcBorders>
              <w:top w:val="nil"/>
              <w:left w:val="nil"/>
              <w:bottom w:val="single" w:sz="8" w:space="0" w:color="4D446C"/>
              <w:right w:val="nil"/>
            </w:tcBorders>
            <w:shd w:val="clear" w:color="000000" w:fill="4D446C"/>
            <w:vAlign w:val="center"/>
            <w:hideMark/>
          </w:tcPr>
          <w:p w14:paraId="5416401C" w14:textId="44CF8824" w:rsidR="00230637" w:rsidRPr="006C7B74" w:rsidRDefault="00230637" w:rsidP="000D67B8">
            <w:pPr>
              <w:pStyle w:val="TableHeaderRow"/>
            </w:pPr>
            <w:r w:rsidRPr="006C7B74">
              <w:t>Total</w:t>
            </w:r>
            <w:r w:rsidR="003F6DAB" w:rsidRPr="006C7B74">
              <w:t xml:space="preserve"> </w:t>
            </w:r>
            <w:r w:rsidR="00A03F39" w:rsidRPr="006C7B74">
              <w:br/>
            </w:r>
            <w:r w:rsidRPr="006C7B74">
              <w:t>(ha)</w:t>
            </w:r>
          </w:p>
        </w:tc>
      </w:tr>
      <w:tr w:rsidR="0084147C" w:rsidRPr="006C7B74" w14:paraId="50CF7587" w14:textId="77777777" w:rsidTr="006C7B74">
        <w:trPr>
          <w:trHeight w:val="405"/>
        </w:trPr>
        <w:tc>
          <w:tcPr>
            <w:tcW w:w="2606" w:type="pct"/>
            <w:tcBorders>
              <w:top w:val="nil"/>
              <w:left w:val="nil"/>
              <w:bottom w:val="single" w:sz="8" w:space="0" w:color="4D446C"/>
              <w:right w:val="nil"/>
            </w:tcBorders>
            <w:shd w:val="clear" w:color="auto" w:fill="auto"/>
            <w:noWrap/>
            <w:vAlign w:val="center"/>
            <w:hideMark/>
          </w:tcPr>
          <w:p w14:paraId="2E22F9B5" w14:textId="380FE363" w:rsidR="0084147C" w:rsidRPr="006C7B74" w:rsidRDefault="0084147C" w:rsidP="0084147C">
            <w:pPr>
              <w:rPr>
                <w:rFonts w:ascii="Calibri" w:hAnsi="Calibri" w:cs="Calibri"/>
                <w:b/>
                <w:color w:val="000000"/>
                <w:sz w:val="18"/>
                <w:szCs w:val="18"/>
                <w:lang w:eastAsia="en-AU"/>
              </w:rPr>
            </w:pPr>
            <w:r w:rsidRPr="006C7B74">
              <w:rPr>
                <w:rFonts w:ascii="Calibri" w:hAnsi="Calibri" w:cs="Calibri"/>
                <w:color w:val="363534"/>
                <w:sz w:val="18"/>
                <w:szCs w:val="18"/>
                <w:lang w:eastAsia="en-GB"/>
              </w:rPr>
              <w:t>Inner Metro Region</w:t>
            </w:r>
          </w:p>
        </w:tc>
        <w:tc>
          <w:tcPr>
            <w:tcW w:w="831" w:type="pct"/>
            <w:tcBorders>
              <w:top w:val="nil"/>
              <w:left w:val="nil"/>
              <w:bottom w:val="single" w:sz="8" w:space="0" w:color="4D446C"/>
              <w:right w:val="nil"/>
            </w:tcBorders>
            <w:shd w:val="clear" w:color="auto" w:fill="auto"/>
            <w:noWrap/>
            <w:hideMark/>
          </w:tcPr>
          <w:p w14:paraId="0ED25D37" w14:textId="681E8E06" w:rsidR="0084147C" w:rsidRPr="006C7B74" w:rsidRDefault="0084147C" w:rsidP="0084147C">
            <w:pPr>
              <w:jc w:val="center"/>
              <w:rPr>
                <w:rFonts w:cstheme="minorHAnsi"/>
                <w:color w:val="363534"/>
                <w:sz w:val="18"/>
                <w:szCs w:val="18"/>
                <w:lang w:eastAsia="en-AU"/>
              </w:rPr>
            </w:pPr>
            <w:r w:rsidRPr="006C7B74">
              <w:rPr>
                <w:rFonts w:cstheme="minorHAnsi"/>
                <w:sz w:val="18"/>
                <w:szCs w:val="18"/>
              </w:rPr>
              <w:t>459.4</w:t>
            </w:r>
          </w:p>
        </w:tc>
        <w:tc>
          <w:tcPr>
            <w:tcW w:w="731" w:type="pct"/>
            <w:tcBorders>
              <w:top w:val="nil"/>
              <w:left w:val="nil"/>
              <w:bottom w:val="single" w:sz="8" w:space="0" w:color="4D446C"/>
              <w:right w:val="nil"/>
            </w:tcBorders>
            <w:shd w:val="clear" w:color="auto" w:fill="auto"/>
            <w:noWrap/>
            <w:hideMark/>
          </w:tcPr>
          <w:p w14:paraId="374EACE5" w14:textId="773B7DA7" w:rsidR="0084147C" w:rsidRPr="006C7B74" w:rsidRDefault="0084147C" w:rsidP="0084147C">
            <w:pPr>
              <w:jc w:val="center"/>
              <w:rPr>
                <w:rFonts w:cstheme="minorHAnsi"/>
                <w:color w:val="363534"/>
                <w:sz w:val="18"/>
                <w:szCs w:val="18"/>
                <w:lang w:eastAsia="en-AU"/>
              </w:rPr>
            </w:pPr>
            <w:r w:rsidRPr="006C7B74">
              <w:rPr>
                <w:rFonts w:cstheme="minorHAnsi"/>
                <w:sz w:val="18"/>
                <w:szCs w:val="18"/>
              </w:rPr>
              <w:t>28.0</w:t>
            </w:r>
          </w:p>
        </w:tc>
        <w:tc>
          <w:tcPr>
            <w:tcW w:w="831" w:type="pct"/>
            <w:tcBorders>
              <w:top w:val="nil"/>
              <w:left w:val="nil"/>
              <w:bottom w:val="single" w:sz="8" w:space="0" w:color="4D446C"/>
              <w:right w:val="nil"/>
            </w:tcBorders>
            <w:shd w:val="clear" w:color="auto" w:fill="auto"/>
            <w:noWrap/>
            <w:hideMark/>
          </w:tcPr>
          <w:p w14:paraId="604BA395" w14:textId="68289809" w:rsidR="0084147C" w:rsidRPr="006C7B74" w:rsidRDefault="0084147C" w:rsidP="0084147C">
            <w:pPr>
              <w:jc w:val="center"/>
              <w:rPr>
                <w:rFonts w:cstheme="minorHAnsi"/>
                <w:color w:val="363534"/>
                <w:sz w:val="18"/>
                <w:szCs w:val="18"/>
                <w:lang w:eastAsia="en-GB"/>
              </w:rPr>
            </w:pPr>
            <w:r w:rsidRPr="006C7B74">
              <w:rPr>
                <w:rFonts w:cstheme="minorHAnsi"/>
                <w:sz w:val="18"/>
                <w:szCs w:val="18"/>
              </w:rPr>
              <w:t>487.4</w:t>
            </w:r>
          </w:p>
        </w:tc>
      </w:tr>
      <w:tr w:rsidR="0084147C" w:rsidRPr="006C7B74" w14:paraId="145A50ED" w14:textId="77777777" w:rsidTr="006C7B74">
        <w:trPr>
          <w:trHeight w:val="315"/>
        </w:trPr>
        <w:tc>
          <w:tcPr>
            <w:tcW w:w="2606" w:type="pct"/>
            <w:tcBorders>
              <w:top w:val="nil"/>
              <w:left w:val="nil"/>
              <w:bottom w:val="single" w:sz="8" w:space="0" w:color="4D446C"/>
              <w:right w:val="nil"/>
            </w:tcBorders>
            <w:shd w:val="clear" w:color="auto" w:fill="auto"/>
            <w:noWrap/>
            <w:vAlign w:val="center"/>
            <w:hideMark/>
          </w:tcPr>
          <w:p w14:paraId="41DC932F" w14:textId="77777777" w:rsidR="0084147C" w:rsidRPr="006C7B74" w:rsidRDefault="0084147C" w:rsidP="0084147C">
            <w:pPr>
              <w:rPr>
                <w:rFonts w:ascii="Calibri" w:hAnsi="Calibri" w:cs="Calibri"/>
                <w:b/>
                <w:color w:val="000000"/>
                <w:sz w:val="18"/>
                <w:szCs w:val="18"/>
                <w:lang w:eastAsia="en-AU"/>
              </w:rPr>
            </w:pPr>
            <w:r w:rsidRPr="006C7B74">
              <w:rPr>
                <w:rFonts w:ascii="Calibri" w:hAnsi="Calibri" w:cs="Calibri"/>
                <w:color w:val="363534"/>
                <w:sz w:val="18"/>
                <w:szCs w:val="18"/>
                <w:lang w:eastAsia="en-GB"/>
              </w:rPr>
              <w:t>Western Region</w:t>
            </w:r>
          </w:p>
        </w:tc>
        <w:tc>
          <w:tcPr>
            <w:tcW w:w="831" w:type="pct"/>
            <w:tcBorders>
              <w:top w:val="nil"/>
              <w:left w:val="nil"/>
              <w:bottom w:val="single" w:sz="8" w:space="0" w:color="4D446C"/>
              <w:right w:val="nil"/>
            </w:tcBorders>
            <w:shd w:val="clear" w:color="auto" w:fill="auto"/>
            <w:noWrap/>
            <w:hideMark/>
          </w:tcPr>
          <w:p w14:paraId="4607556E" w14:textId="785D6CD4" w:rsidR="0084147C" w:rsidRPr="006C7B74" w:rsidRDefault="0084147C" w:rsidP="0084147C">
            <w:pPr>
              <w:jc w:val="center"/>
              <w:rPr>
                <w:rFonts w:cstheme="minorHAnsi"/>
                <w:color w:val="363534"/>
                <w:sz w:val="18"/>
                <w:szCs w:val="18"/>
                <w:lang w:eastAsia="en-AU"/>
              </w:rPr>
            </w:pPr>
            <w:r w:rsidRPr="006C7B74">
              <w:rPr>
                <w:rFonts w:cstheme="minorHAnsi"/>
                <w:sz w:val="18"/>
                <w:szCs w:val="18"/>
              </w:rPr>
              <w:t>5,819.2</w:t>
            </w:r>
          </w:p>
        </w:tc>
        <w:tc>
          <w:tcPr>
            <w:tcW w:w="731" w:type="pct"/>
            <w:tcBorders>
              <w:top w:val="nil"/>
              <w:left w:val="nil"/>
              <w:bottom w:val="single" w:sz="8" w:space="0" w:color="4D446C"/>
              <w:right w:val="nil"/>
            </w:tcBorders>
            <w:shd w:val="clear" w:color="auto" w:fill="auto"/>
            <w:noWrap/>
            <w:hideMark/>
          </w:tcPr>
          <w:p w14:paraId="22653142" w14:textId="3324FFDF" w:rsidR="0084147C" w:rsidRPr="006C7B74" w:rsidRDefault="0084147C" w:rsidP="0084147C">
            <w:pPr>
              <w:jc w:val="center"/>
              <w:rPr>
                <w:rFonts w:cstheme="minorHAnsi"/>
                <w:color w:val="363534"/>
                <w:sz w:val="18"/>
                <w:szCs w:val="18"/>
                <w:lang w:eastAsia="en-AU"/>
              </w:rPr>
            </w:pPr>
            <w:r w:rsidRPr="006C7B74">
              <w:rPr>
                <w:rFonts w:cstheme="minorHAnsi"/>
                <w:sz w:val="18"/>
                <w:szCs w:val="18"/>
              </w:rPr>
              <w:t>2,818.4</w:t>
            </w:r>
          </w:p>
        </w:tc>
        <w:tc>
          <w:tcPr>
            <w:tcW w:w="831" w:type="pct"/>
            <w:tcBorders>
              <w:top w:val="nil"/>
              <w:left w:val="nil"/>
              <w:bottom w:val="single" w:sz="8" w:space="0" w:color="4D446C"/>
              <w:right w:val="nil"/>
            </w:tcBorders>
            <w:shd w:val="clear" w:color="auto" w:fill="auto"/>
            <w:noWrap/>
            <w:hideMark/>
          </w:tcPr>
          <w:p w14:paraId="1F1F71B8" w14:textId="2D78D56B" w:rsidR="0084147C" w:rsidRPr="006C7B74" w:rsidRDefault="0084147C" w:rsidP="0084147C">
            <w:pPr>
              <w:jc w:val="center"/>
              <w:rPr>
                <w:rFonts w:cstheme="minorHAnsi"/>
                <w:color w:val="363534"/>
                <w:sz w:val="18"/>
                <w:szCs w:val="18"/>
                <w:lang w:eastAsia="en-GB"/>
              </w:rPr>
            </w:pPr>
            <w:r w:rsidRPr="006C7B74">
              <w:rPr>
                <w:rFonts w:cstheme="minorHAnsi"/>
                <w:sz w:val="18"/>
                <w:szCs w:val="18"/>
              </w:rPr>
              <w:t>8,637.6</w:t>
            </w:r>
          </w:p>
        </w:tc>
      </w:tr>
      <w:tr w:rsidR="0084147C" w:rsidRPr="006C7B74" w14:paraId="711EF2E9" w14:textId="77777777" w:rsidTr="006C7B74">
        <w:trPr>
          <w:trHeight w:val="315"/>
        </w:trPr>
        <w:tc>
          <w:tcPr>
            <w:tcW w:w="2606" w:type="pct"/>
            <w:tcBorders>
              <w:top w:val="nil"/>
              <w:left w:val="nil"/>
              <w:bottom w:val="single" w:sz="8" w:space="0" w:color="4D446C"/>
              <w:right w:val="nil"/>
            </w:tcBorders>
            <w:shd w:val="clear" w:color="auto" w:fill="auto"/>
            <w:noWrap/>
            <w:vAlign w:val="center"/>
            <w:hideMark/>
          </w:tcPr>
          <w:p w14:paraId="67DF4699" w14:textId="3A5A28B4" w:rsidR="0084147C" w:rsidRPr="006C7B74" w:rsidRDefault="0084147C" w:rsidP="0084147C">
            <w:pPr>
              <w:rPr>
                <w:rFonts w:ascii="Calibri" w:hAnsi="Calibri" w:cs="Calibri"/>
                <w:i/>
                <w:color w:val="000000"/>
                <w:sz w:val="18"/>
                <w:szCs w:val="18"/>
                <w:lang w:eastAsia="en-AU"/>
              </w:rPr>
            </w:pPr>
            <w:r w:rsidRPr="006C7B74">
              <w:rPr>
                <w:rFonts w:ascii="Calibri" w:hAnsi="Calibri" w:cs="Calibri"/>
                <w:i/>
                <w:color w:val="363534"/>
                <w:sz w:val="18"/>
                <w:szCs w:val="18"/>
                <w:lang w:eastAsia="en-GB"/>
              </w:rPr>
              <w:t xml:space="preserve">   Western SSIP</w:t>
            </w:r>
          </w:p>
        </w:tc>
        <w:tc>
          <w:tcPr>
            <w:tcW w:w="831" w:type="pct"/>
            <w:tcBorders>
              <w:top w:val="nil"/>
              <w:left w:val="nil"/>
              <w:bottom w:val="single" w:sz="8" w:space="0" w:color="4D446C"/>
              <w:right w:val="nil"/>
            </w:tcBorders>
            <w:shd w:val="clear" w:color="auto" w:fill="auto"/>
            <w:noWrap/>
            <w:hideMark/>
          </w:tcPr>
          <w:p w14:paraId="7BA445C1" w14:textId="0FA047AF" w:rsidR="0084147C" w:rsidRPr="006C7B74" w:rsidRDefault="0084147C" w:rsidP="0084147C">
            <w:pPr>
              <w:jc w:val="center"/>
              <w:rPr>
                <w:rFonts w:cstheme="minorHAnsi"/>
                <w:i/>
                <w:color w:val="363534"/>
                <w:sz w:val="18"/>
                <w:szCs w:val="18"/>
                <w:lang w:eastAsia="en-AU"/>
              </w:rPr>
            </w:pPr>
            <w:r w:rsidRPr="006C7B74">
              <w:rPr>
                <w:rFonts w:cstheme="minorHAnsi"/>
                <w:i/>
                <w:sz w:val="18"/>
                <w:szCs w:val="18"/>
              </w:rPr>
              <w:t>4,356.3</w:t>
            </w:r>
          </w:p>
        </w:tc>
        <w:tc>
          <w:tcPr>
            <w:tcW w:w="731" w:type="pct"/>
            <w:tcBorders>
              <w:top w:val="nil"/>
              <w:left w:val="nil"/>
              <w:bottom w:val="single" w:sz="8" w:space="0" w:color="4D446C"/>
              <w:right w:val="nil"/>
            </w:tcBorders>
            <w:shd w:val="clear" w:color="auto" w:fill="auto"/>
            <w:noWrap/>
            <w:hideMark/>
          </w:tcPr>
          <w:p w14:paraId="6814E5B6" w14:textId="12EAC7F0" w:rsidR="0084147C" w:rsidRPr="006C7B74" w:rsidRDefault="0084147C" w:rsidP="0084147C">
            <w:pPr>
              <w:jc w:val="center"/>
              <w:rPr>
                <w:rFonts w:cstheme="minorHAnsi"/>
                <w:i/>
                <w:color w:val="363534"/>
                <w:sz w:val="18"/>
                <w:szCs w:val="18"/>
                <w:lang w:eastAsia="en-AU"/>
              </w:rPr>
            </w:pPr>
            <w:r w:rsidRPr="006C7B74">
              <w:rPr>
                <w:rFonts w:cstheme="minorHAnsi"/>
                <w:i/>
                <w:sz w:val="18"/>
                <w:szCs w:val="18"/>
              </w:rPr>
              <w:t>1,810.5</w:t>
            </w:r>
          </w:p>
        </w:tc>
        <w:tc>
          <w:tcPr>
            <w:tcW w:w="831" w:type="pct"/>
            <w:tcBorders>
              <w:top w:val="nil"/>
              <w:left w:val="nil"/>
              <w:bottom w:val="single" w:sz="8" w:space="0" w:color="4D446C"/>
              <w:right w:val="nil"/>
            </w:tcBorders>
            <w:shd w:val="clear" w:color="auto" w:fill="auto"/>
            <w:noWrap/>
            <w:hideMark/>
          </w:tcPr>
          <w:p w14:paraId="04BD66D7" w14:textId="540500FA" w:rsidR="0084147C" w:rsidRPr="006C7B74" w:rsidRDefault="0084147C" w:rsidP="0084147C">
            <w:pPr>
              <w:jc w:val="center"/>
              <w:rPr>
                <w:rFonts w:cstheme="minorHAnsi"/>
                <w:i/>
                <w:color w:val="363534"/>
                <w:sz w:val="18"/>
                <w:szCs w:val="18"/>
                <w:lang w:eastAsia="en-GB"/>
              </w:rPr>
            </w:pPr>
            <w:r w:rsidRPr="006C7B74">
              <w:rPr>
                <w:rFonts w:cstheme="minorHAnsi"/>
                <w:i/>
                <w:sz w:val="18"/>
                <w:szCs w:val="18"/>
              </w:rPr>
              <w:t>6,166.8</w:t>
            </w:r>
          </w:p>
        </w:tc>
      </w:tr>
      <w:tr w:rsidR="0084147C" w:rsidRPr="006C7B74" w14:paraId="26577D7A" w14:textId="77777777" w:rsidTr="006C7B74">
        <w:trPr>
          <w:trHeight w:val="315"/>
        </w:trPr>
        <w:tc>
          <w:tcPr>
            <w:tcW w:w="2606" w:type="pct"/>
            <w:tcBorders>
              <w:top w:val="nil"/>
              <w:left w:val="nil"/>
              <w:bottom w:val="single" w:sz="8" w:space="0" w:color="4D446C"/>
              <w:right w:val="nil"/>
            </w:tcBorders>
            <w:shd w:val="clear" w:color="auto" w:fill="auto"/>
            <w:noWrap/>
            <w:vAlign w:val="center"/>
            <w:hideMark/>
          </w:tcPr>
          <w:p w14:paraId="4B59C64F" w14:textId="77777777" w:rsidR="0084147C" w:rsidRPr="006C7B74" w:rsidRDefault="0084147C" w:rsidP="0084147C">
            <w:pPr>
              <w:rPr>
                <w:rFonts w:ascii="Calibri" w:hAnsi="Calibri" w:cs="Calibri"/>
                <w:b/>
                <w:color w:val="000000"/>
                <w:sz w:val="18"/>
                <w:szCs w:val="18"/>
                <w:lang w:eastAsia="en-AU"/>
              </w:rPr>
            </w:pPr>
            <w:r w:rsidRPr="006C7B74">
              <w:rPr>
                <w:rFonts w:ascii="Calibri" w:hAnsi="Calibri" w:cs="Calibri"/>
                <w:color w:val="363534"/>
                <w:sz w:val="18"/>
                <w:szCs w:val="18"/>
                <w:lang w:eastAsia="en-GB"/>
              </w:rPr>
              <w:t>Northern Region</w:t>
            </w:r>
          </w:p>
        </w:tc>
        <w:tc>
          <w:tcPr>
            <w:tcW w:w="831" w:type="pct"/>
            <w:tcBorders>
              <w:top w:val="nil"/>
              <w:left w:val="nil"/>
              <w:bottom w:val="single" w:sz="8" w:space="0" w:color="4D446C"/>
              <w:right w:val="nil"/>
            </w:tcBorders>
            <w:shd w:val="clear" w:color="auto" w:fill="auto"/>
            <w:noWrap/>
            <w:hideMark/>
          </w:tcPr>
          <w:p w14:paraId="4E19B3AB" w14:textId="5F0358E6" w:rsidR="0084147C" w:rsidRPr="006C7B74" w:rsidRDefault="0084147C" w:rsidP="0084147C">
            <w:pPr>
              <w:jc w:val="center"/>
              <w:rPr>
                <w:rFonts w:cstheme="minorHAnsi"/>
                <w:color w:val="363534"/>
                <w:sz w:val="18"/>
                <w:szCs w:val="18"/>
                <w:lang w:eastAsia="en-AU"/>
              </w:rPr>
            </w:pPr>
            <w:r w:rsidRPr="006C7B74">
              <w:rPr>
                <w:rFonts w:cstheme="minorHAnsi"/>
                <w:sz w:val="18"/>
                <w:szCs w:val="18"/>
              </w:rPr>
              <w:t>3,718.6</w:t>
            </w:r>
          </w:p>
        </w:tc>
        <w:tc>
          <w:tcPr>
            <w:tcW w:w="731" w:type="pct"/>
            <w:tcBorders>
              <w:top w:val="nil"/>
              <w:left w:val="nil"/>
              <w:bottom w:val="single" w:sz="8" w:space="0" w:color="4D446C"/>
              <w:right w:val="nil"/>
            </w:tcBorders>
            <w:shd w:val="clear" w:color="auto" w:fill="auto"/>
            <w:noWrap/>
            <w:hideMark/>
          </w:tcPr>
          <w:p w14:paraId="4B0E8156" w14:textId="1E7666D8" w:rsidR="0084147C" w:rsidRPr="006C7B74" w:rsidRDefault="0084147C" w:rsidP="0084147C">
            <w:pPr>
              <w:jc w:val="center"/>
              <w:rPr>
                <w:rFonts w:cstheme="minorHAnsi"/>
                <w:color w:val="363534"/>
                <w:sz w:val="18"/>
                <w:szCs w:val="18"/>
                <w:lang w:eastAsia="en-AU"/>
              </w:rPr>
            </w:pPr>
            <w:r w:rsidRPr="006C7B74">
              <w:rPr>
                <w:rFonts w:cstheme="minorHAnsi"/>
                <w:sz w:val="18"/>
                <w:szCs w:val="18"/>
              </w:rPr>
              <w:t>1,241.2</w:t>
            </w:r>
          </w:p>
        </w:tc>
        <w:tc>
          <w:tcPr>
            <w:tcW w:w="831" w:type="pct"/>
            <w:tcBorders>
              <w:top w:val="nil"/>
              <w:left w:val="nil"/>
              <w:bottom w:val="single" w:sz="8" w:space="0" w:color="4D446C"/>
              <w:right w:val="nil"/>
            </w:tcBorders>
            <w:shd w:val="clear" w:color="auto" w:fill="auto"/>
            <w:noWrap/>
            <w:hideMark/>
          </w:tcPr>
          <w:p w14:paraId="06848E65" w14:textId="3F54268A" w:rsidR="0084147C" w:rsidRPr="006C7B74" w:rsidRDefault="0084147C" w:rsidP="0084147C">
            <w:pPr>
              <w:jc w:val="center"/>
              <w:rPr>
                <w:rFonts w:cstheme="minorHAnsi"/>
                <w:color w:val="363534"/>
                <w:sz w:val="18"/>
                <w:szCs w:val="18"/>
                <w:lang w:eastAsia="en-GB"/>
              </w:rPr>
            </w:pPr>
            <w:r w:rsidRPr="006C7B74">
              <w:rPr>
                <w:rFonts w:cstheme="minorHAnsi"/>
                <w:sz w:val="18"/>
                <w:szCs w:val="18"/>
              </w:rPr>
              <w:t>4,959.8</w:t>
            </w:r>
          </w:p>
        </w:tc>
      </w:tr>
      <w:tr w:rsidR="0084147C" w:rsidRPr="006C7B74" w14:paraId="543B0C33" w14:textId="77777777" w:rsidTr="006C7B74">
        <w:trPr>
          <w:trHeight w:val="315"/>
        </w:trPr>
        <w:tc>
          <w:tcPr>
            <w:tcW w:w="2606" w:type="pct"/>
            <w:tcBorders>
              <w:top w:val="nil"/>
              <w:left w:val="nil"/>
              <w:bottom w:val="single" w:sz="8" w:space="0" w:color="4D446C"/>
              <w:right w:val="nil"/>
            </w:tcBorders>
            <w:shd w:val="clear" w:color="auto" w:fill="auto"/>
            <w:noWrap/>
            <w:vAlign w:val="center"/>
            <w:hideMark/>
          </w:tcPr>
          <w:p w14:paraId="0575816C" w14:textId="144CF194" w:rsidR="0084147C" w:rsidRPr="006C7B74" w:rsidRDefault="0084147C" w:rsidP="0084147C">
            <w:pPr>
              <w:rPr>
                <w:rFonts w:ascii="Calibri" w:hAnsi="Calibri" w:cs="Calibri"/>
                <w:i/>
                <w:color w:val="000000"/>
                <w:sz w:val="18"/>
                <w:szCs w:val="18"/>
                <w:lang w:eastAsia="en-AU"/>
              </w:rPr>
            </w:pPr>
            <w:r w:rsidRPr="006C7B74">
              <w:rPr>
                <w:rFonts w:ascii="Calibri" w:hAnsi="Calibri" w:cs="Calibri"/>
                <w:i/>
                <w:color w:val="363534"/>
                <w:sz w:val="18"/>
                <w:szCs w:val="18"/>
                <w:lang w:eastAsia="en-GB"/>
              </w:rPr>
              <w:t xml:space="preserve">   Northern SSIP</w:t>
            </w:r>
          </w:p>
        </w:tc>
        <w:tc>
          <w:tcPr>
            <w:tcW w:w="831" w:type="pct"/>
            <w:tcBorders>
              <w:top w:val="nil"/>
              <w:left w:val="nil"/>
              <w:bottom w:val="single" w:sz="8" w:space="0" w:color="4D446C"/>
              <w:right w:val="nil"/>
            </w:tcBorders>
            <w:shd w:val="clear" w:color="auto" w:fill="auto"/>
            <w:noWrap/>
            <w:hideMark/>
          </w:tcPr>
          <w:p w14:paraId="07F2C662" w14:textId="1A574D35" w:rsidR="0084147C" w:rsidRPr="006C7B74" w:rsidRDefault="0084147C" w:rsidP="0084147C">
            <w:pPr>
              <w:jc w:val="center"/>
              <w:rPr>
                <w:rFonts w:cstheme="minorHAnsi"/>
                <w:i/>
                <w:color w:val="363534"/>
                <w:sz w:val="18"/>
                <w:szCs w:val="18"/>
                <w:lang w:eastAsia="en-AU"/>
              </w:rPr>
            </w:pPr>
            <w:r w:rsidRPr="006C7B74">
              <w:rPr>
                <w:rFonts w:cstheme="minorHAnsi"/>
                <w:i/>
                <w:sz w:val="18"/>
                <w:szCs w:val="18"/>
              </w:rPr>
              <w:t>2,400.7</w:t>
            </w:r>
          </w:p>
        </w:tc>
        <w:tc>
          <w:tcPr>
            <w:tcW w:w="731" w:type="pct"/>
            <w:tcBorders>
              <w:top w:val="nil"/>
              <w:left w:val="nil"/>
              <w:bottom w:val="single" w:sz="8" w:space="0" w:color="4D446C"/>
              <w:right w:val="nil"/>
            </w:tcBorders>
            <w:shd w:val="clear" w:color="auto" w:fill="auto"/>
            <w:noWrap/>
            <w:hideMark/>
          </w:tcPr>
          <w:p w14:paraId="07B14F48" w14:textId="2239B243" w:rsidR="0084147C" w:rsidRPr="006C7B74" w:rsidRDefault="0084147C" w:rsidP="0084147C">
            <w:pPr>
              <w:jc w:val="center"/>
              <w:rPr>
                <w:rFonts w:cstheme="minorHAnsi"/>
                <w:i/>
                <w:color w:val="363534"/>
                <w:sz w:val="18"/>
                <w:szCs w:val="18"/>
                <w:lang w:eastAsia="en-AU"/>
              </w:rPr>
            </w:pPr>
            <w:r w:rsidRPr="006C7B74">
              <w:rPr>
                <w:rFonts w:cstheme="minorHAnsi"/>
                <w:i/>
                <w:sz w:val="18"/>
                <w:szCs w:val="18"/>
              </w:rPr>
              <w:t>978.2</w:t>
            </w:r>
          </w:p>
        </w:tc>
        <w:tc>
          <w:tcPr>
            <w:tcW w:w="831" w:type="pct"/>
            <w:tcBorders>
              <w:top w:val="nil"/>
              <w:left w:val="nil"/>
              <w:bottom w:val="single" w:sz="8" w:space="0" w:color="4D446C"/>
              <w:right w:val="nil"/>
            </w:tcBorders>
            <w:shd w:val="clear" w:color="auto" w:fill="auto"/>
            <w:noWrap/>
            <w:hideMark/>
          </w:tcPr>
          <w:p w14:paraId="383B410B" w14:textId="1A787D2C" w:rsidR="0084147C" w:rsidRPr="006C7B74" w:rsidRDefault="0084147C" w:rsidP="0084147C">
            <w:pPr>
              <w:jc w:val="center"/>
              <w:rPr>
                <w:rFonts w:cstheme="minorHAnsi"/>
                <w:i/>
                <w:color w:val="363534"/>
                <w:sz w:val="18"/>
                <w:szCs w:val="18"/>
                <w:lang w:eastAsia="en-GB"/>
              </w:rPr>
            </w:pPr>
            <w:r w:rsidRPr="006C7B74">
              <w:rPr>
                <w:rFonts w:cstheme="minorHAnsi"/>
                <w:i/>
                <w:sz w:val="18"/>
                <w:szCs w:val="18"/>
              </w:rPr>
              <w:t>3,378.9</w:t>
            </w:r>
          </w:p>
        </w:tc>
      </w:tr>
      <w:tr w:rsidR="0084147C" w:rsidRPr="006C7B74" w14:paraId="564F33C8" w14:textId="77777777" w:rsidTr="006C7B74">
        <w:trPr>
          <w:trHeight w:val="315"/>
        </w:trPr>
        <w:tc>
          <w:tcPr>
            <w:tcW w:w="2606" w:type="pct"/>
            <w:tcBorders>
              <w:top w:val="nil"/>
              <w:left w:val="nil"/>
              <w:bottom w:val="single" w:sz="8" w:space="0" w:color="4D446C"/>
              <w:right w:val="nil"/>
            </w:tcBorders>
            <w:shd w:val="clear" w:color="auto" w:fill="auto"/>
            <w:noWrap/>
            <w:vAlign w:val="center"/>
            <w:hideMark/>
          </w:tcPr>
          <w:p w14:paraId="784FEC1F" w14:textId="77777777" w:rsidR="0084147C" w:rsidRPr="006C7B74" w:rsidRDefault="0084147C" w:rsidP="0084147C">
            <w:pPr>
              <w:rPr>
                <w:rFonts w:ascii="Calibri" w:hAnsi="Calibri" w:cs="Calibri"/>
                <w:b/>
                <w:color w:val="000000"/>
                <w:sz w:val="18"/>
                <w:szCs w:val="18"/>
                <w:lang w:eastAsia="en-AU"/>
              </w:rPr>
            </w:pPr>
            <w:r w:rsidRPr="006C7B74">
              <w:rPr>
                <w:rFonts w:ascii="Calibri" w:hAnsi="Calibri" w:cs="Calibri"/>
                <w:color w:val="363534"/>
                <w:sz w:val="18"/>
                <w:szCs w:val="18"/>
                <w:lang w:eastAsia="en-GB"/>
              </w:rPr>
              <w:t>Eastern Region</w:t>
            </w:r>
          </w:p>
        </w:tc>
        <w:tc>
          <w:tcPr>
            <w:tcW w:w="831" w:type="pct"/>
            <w:tcBorders>
              <w:top w:val="nil"/>
              <w:left w:val="nil"/>
              <w:bottom w:val="single" w:sz="8" w:space="0" w:color="4D446C"/>
              <w:right w:val="nil"/>
            </w:tcBorders>
            <w:shd w:val="clear" w:color="auto" w:fill="auto"/>
            <w:noWrap/>
            <w:hideMark/>
          </w:tcPr>
          <w:p w14:paraId="2D225B2C" w14:textId="1B66C9BE" w:rsidR="0084147C" w:rsidRPr="006C7B74" w:rsidRDefault="0084147C" w:rsidP="0084147C">
            <w:pPr>
              <w:jc w:val="center"/>
              <w:rPr>
                <w:rFonts w:cstheme="minorHAnsi"/>
                <w:color w:val="363534"/>
                <w:sz w:val="18"/>
                <w:szCs w:val="18"/>
                <w:lang w:eastAsia="en-AU"/>
              </w:rPr>
            </w:pPr>
            <w:r w:rsidRPr="006C7B74">
              <w:rPr>
                <w:rFonts w:cstheme="minorHAnsi"/>
                <w:sz w:val="18"/>
                <w:szCs w:val="18"/>
              </w:rPr>
              <w:t>2,435.0</w:t>
            </w:r>
          </w:p>
        </w:tc>
        <w:tc>
          <w:tcPr>
            <w:tcW w:w="731" w:type="pct"/>
            <w:tcBorders>
              <w:top w:val="nil"/>
              <w:left w:val="nil"/>
              <w:bottom w:val="single" w:sz="8" w:space="0" w:color="4D446C"/>
              <w:right w:val="nil"/>
            </w:tcBorders>
            <w:shd w:val="clear" w:color="auto" w:fill="auto"/>
            <w:noWrap/>
            <w:hideMark/>
          </w:tcPr>
          <w:p w14:paraId="1A106ED8" w14:textId="51563FCF" w:rsidR="0084147C" w:rsidRPr="006C7B74" w:rsidRDefault="0084147C" w:rsidP="0084147C">
            <w:pPr>
              <w:jc w:val="center"/>
              <w:rPr>
                <w:rFonts w:cstheme="minorHAnsi"/>
                <w:color w:val="363534"/>
                <w:sz w:val="18"/>
                <w:szCs w:val="18"/>
                <w:lang w:eastAsia="en-AU"/>
              </w:rPr>
            </w:pPr>
            <w:r w:rsidRPr="006C7B74">
              <w:rPr>
                <w:rFonts w:cstheme="minorHAnsi"/>
                <w:sz w:val="18"/>
                <w:szCs w:val="18"/>
              </w:rPr>
              <w:t>135.1</w:t>
            </w:r>
          </w:p>
        </w:tc>
        <w:tc>
          <w:tcPr>
            <w:tcW w:w="831" w:type="pct"/>
            <w:tcBorders>
              <w:top w:val="nil"/>
              <w:left w:val="nil"/>
              <w:bottom w:val="single" w:sz="8" w:space="0" w:color="4D446C"/>
              <w:right w:val="nil"/>
            </w:tcBorders>
            <w:shd w:val="clear" w:color="auto" w:fill="auto"/>
            <w:noWrap/>
            <w:hideMark/>
          </w:tcPr>
          <w:p w14:paraId="03790F5E" w14:textId="74DAD478" w:rsidR="0084147C" w:rsidRPr="006C7B74" w:rsidRDefault="0084147C" w:rsidP="0084147C">
            <w:pPr>
              <w:jc w:val="center"/>
              <w:rPr>
                <w:rFonts w:cstheme="minorHAnsi"/>
                <w:color w:val="363534"/>
                <w:sz w:val="18"/>
                <w:szCs w:val="18"/>
                <w:lang w:eastAsia="en-GB"/>
              </w:rPr>
            </w:pPr>
            <w:r w:rsidRPr="006C7B74">
              <w:rPr>
                <w:rFonts w:cstheme="minorHAnsi"/>
                <w:sz w:val="18"/>
                <w:szCs w:val="18"/>
              </w:rPr>
              <w:t>2,570.2</w:t>
            </w:r>
          </w:p>
        </w:tc>
      </w:tr>
      <w:tr w:rsidR="0084147C" w:rsidRPr="006C7B74" w14:paraId="6AD9BE2B" w14:textId="77777777" w:rsidTr="006C7B74">
        <w:trPr>
          <w:trHeight w:val="315"/>
        </w:trPr>
        <w:tc>
          <w:tcPr>
            <w:tcW w:w="2606" w:type="pct"/>
            <w:tcBorders>
              <w:top w:val="nil"/>
              <w:left w:val="nil"/>
              <w:bottom w:val="single" w:sz="8" w:space="0" w:color="4D446C"/>
              <w:right w:val="nil"/>
            </w:tcBorders>
            <w:shd w:val="clear" w:color="auto" w:fill="auto"/>
            <w:noWrap/>
            <w:vAlign w:val="center"/>
            <w:hideMark/>
          </w:tcPr>
          <w:p w14:paraId="3782670F" w14:textId="77777777" w:rsidR="0084147C" w:rsidRPr="006C7B74" w:rsidRDefault="0084147C" w:rsidP="0084147C">
            <w:pPr>
              <w:rPr>
                <w:rFonts w:ascii="Calibri" w:hAnsi="Calibri" w:cs="Calibri"/>
                <w:b/>
                <w:color w:val="000000"/>
                <w:sz w:val="18"/>
                <w:szCs w:val="18"/>
                <w:lang w:eastAsia="en-AU"/>
              </w:rPr>
            </w:pPr>
            <w:r w:rsidRPr="006C7B74">
              <w:rPr>
                <w:rFonts w:ascii="Calibri" w:hAnsi="Calibri" w:cs="Calibri"/>
                <w:color w:val="363534"/>
                <w:sz w:val="18"/>
                <w:szCs w:val="18"/>
                <w:lang w:eastAsia="en-GB"/>
              </w:rPr>
              <w:t>Southern Region</w:t>
            </w:r>
          </w:p>
        </w:tc>
        <w:tc>
          <w:tcPr>
            <w:tcW w:w="831" w:type="pct"/>
            <w:tcBorders>
              <w:top w:val="nil"/>
              <w:left w:val="nil"/>
              <w:bottom w:val="single" w:sz="8" w:space="0" w:color="4D446C"/>
              <w:right w:val="nil"/>
            </w:tcBorders>
            <w:shd w:val="clear" w:color="auto" w:fill="auto"/>
            <w:noWrap/>
            <w:hideMark/>
          </w:tcPr>
          <w:p w14:paraId="20B87767" w14:textId="0A15EB7E" w:rsidR="0084147C" w:rsidRPr="006C7B74" w:rsidRDefault="0084147C" w:rsidP="0084147C">
            <w:pPr>
              <w:jc w:val="center"/>
              <w:rPr>
                <w:rFonts w:cstheme="minorHAnsi"/>
                <w:color w:val="363534"/>
                <w:sz w:val="18"/>
                <w:szCs w:val="18"/>
                <w:lang w:eastAsia="en-AU"/>
              </w:rPr>
            </w:pPr>
            <w:r w:rsidRPr="006C7B74">
              <w:rPr>
                <w:rFonts w:cstheme="minorHAnsi"/>
                <w:sz w:val="18"/>
                <w:szCs w:val="18"/>
              </w:rPr>
              <w:t>7,270.3</w:t>
            </w:r>
          </w:p>
        </w:tc>
        <w:tc>
          <w:tcPr>
            <w:tcW w:w="731" w:type="pct"/>
            <w:tcBorders>
              <w:top w:val="nil"/>
              <w:left w:val="nil"/>
              <w:bottom w:val="single" w:sz="8" w:space="0" w:color="4D446C"/>
              <w:right w:val="nil"/>
            </w:tcBorders>
            <w:shd w:val="clear" w:color="auto" w:fill="auto"/>
            <w:noWrap/>
            <w:hideMark/>
          </w:tcPr>
          <w:p w14:paraId="5FC972CC" w14:textId="05F809D5" w:rsidR="0084147C" w:rsidRPr="006C7B74" w:rsidRDefault="0084147C" w:rsidP="0084147C">
            <w:pPr>
              <w:jc w:val="center"/>
              <w:rPr>
                <w:rFonts w:cstheme="minorHAnsi"/>
                <w:color w:val="363534"/>
                <w:sz w:val="18"/>
                <w:szCs w:val="18"/>
                <w:lang w:eastAsia="en-AU"/>
              </w:rPr>
            </w:pPr>
            <w:r w:rsidRPr="006C7B74">
              <w:rPr>
                <w:rFonts w:cstheme="minorHAnsi"/>
                <w:sz w:val="18"/>
                <w:szCs w:val="18"/>
              </w:rPr>
              <w:t>2,</w:t>
            </w:r>
            <w:r w:rsidR="005B336D" w:rsidRPr="006C7B74">
              <w:rPr>
                <w:sz w:val="18"/>
                <w:szCs w:val="18"/>
              </w:rPr>
              <w:t>337.5</w:t>
            </w:r>
          </w:p>
        </w:tc>
        <w:tc>
          <w:tcPr>
            <w:tcW w:w="831" w:type="pct"/>
            <w:tcBorders>
              <w:top w:val="nil"/>
              <w:left w:val="nil"/>
              <w:bottom w:val="single" w:sz="8" w:space="0" w:color="4D446C"/>
              <w:right w:val="nil"/>
            </w:tcBorders>
            <w:shd w:val="clear" w:color="auto" w:fill="auto"/>
            <w:noWrap/>
            <w:hideMark/>
          </w:tcPr>
          <w:p w14:paraId="4E45E7C8" w14:textId="1FCDB3A3" w:rsidR="0084147C" w:rsidRPr="006C7B74" w:rsidRDefault="0084147C" w:rsidP="0084147C">
            <w:pPr>
              <w:jc w:val="center"/>
              <w:rPr>
                <w:rFonts w:cstheme="minorHAnsi"/>
                <w:color w:val="363534"/>
                <w:sz w:val="18"/>
                <w:szCs w:val="18"/>
                <w:lang w:eastAsia="en-GB"/>
              </w:rPr>
            </w:pPr>
            <w:r w:rsidRPr="006C7B74">
              <w:rPr>
                <w:rFonts w:cstheme="minorHAnsi"/>
                <w:sz w:val="18"/>
                <w:szCs w:val="18"/>
              </w:rPr>
              <w:t>9,</w:t>
            </w:r>
            <w:r w:rsidR="005B336D" w:rsidRPr="006C7B74">
              <w:rPr>
                <w:sz w:val="18"/>
                <w:szCs w:val="18"/>
              </w:rPr>
              <w:t>607.8</w:t>
            </w:r>
          </w:p>
        </w:tc>
      </w:tr>
      <w:tr w:rsidR="0084147C" w:rsidRPr="006C7B74" w14:paraId="4A5051F0" w14:textId="77777777" w:rsidTr="006C7B74">
        <w:trPr>
          <w:trHeight w:val="315"/>
        </w:trPr>
        <w:tc>
          <w:tcPr>
            <w:tcW w:w="2606" w:type="pct"/>
            <w:tcBorders>
              <w:top w:val="nil"/>
              <w:left w:val="nil"/>
              <w:bottom w:val="single" w:sz="8" w:space="0" w:color="4D446C"/>
              <w:right w:val="nil"/>
            </w:tcBorders>
            <w:shd w:val="clear" w:color="auto" w:fill="auto"/>
            <w:noWrap/>
            <w:vAlign w:val="center"/>
            <w:hideMark/>
          </w:tcPr>
          <w:p w14:paraId="3E6161A5" w14:textId="5920C599" w:rsidR="0084147C" w:rsidRPr="006C7B74" w:rsidRDefault="0084147C" w:rsidP="0084147C">
            <w:pPr>
              <w:rPr>
                <w:rFonts w:ascii="Calibri" w:hAnsi="Calibri" w:cs="Calibri"/>
                <w:i/>
                <w:color w:val="000000"/>
                <w:sz w:val="18"/>
                <w:szCs w:val="18"/>
                <w:lang w:eastAsia="en-AU"/>
              </w:rPr>
            </w:pPr>
            <w:r w:rsidRPr="006C7B74">
              <w:rPr>
                <w:rFonts w:ascii="Calibri" w:hAnsi="Calibri" w:cs="Calibri"/>
                <w:i/>
                <w:color w:val="363534"/>
                <w:sz w:val="18"/>
                <w:szCs w:val="18"/>
                <w:lang w:eastAsia="en-GB"/>
              </w:rPr>
              <w:t xml:space="preserve">   Southern SSIP</w:t>
            </w:r>
          </w:p>
        </w:tc>
        <w:tc>
          <w:tcPr>
            <w:tcW w:w="831" w:type="pct"/>
            <w:tcBorders>
              <w:top w:val="nil"/>
              <w:left w:val="nil"/>
              <w:bottom w:val="single" w:sz="8" w:space="0" w:color="4D446C"/>
              <w:right w:val="nil"/>
            </w:tcBorders>
            <w:shd w:val="clear" w:color="auto" w:fill="auto"/>
            <w:noWrap/>
            <w:hideMark/>
          </w:tcPr>
          <w:p w14:paraId="38EBD1AE" w14:textId="31713B40" w:rsidR="0084147C" w:rsidRPr="006C7B74" w:rsidRDefault="0084147C" w:rsidP="0084147C">
            <w:pPr>
              <w:jc w:val="center"/>
              <w:rPr>
                <w:rFonts w:cstheme="minorHAnsi"/>
                <w:i/>
                <w:color w:val="363534"/>
                <w:sz w:val="18"/>
                <w:szCs w:val="18"/>
                <w:lang w:eastAsia="en-AU"/>
              </w:rPr>
            </w:pPr>
            <w:r w:rsidRPr="006C7B74">
              <w:rPr>
                <w:rFonts w:cstheme="minorHAnsi"/>
                <w:i/>
                <w:sz w:val="18"/>
                <w:szCs w:val="18"/>
              </w:rPr>
              <w:t>2,454.4</w:t>
            </w:r>
          </w:p>
        </w:tc>
        <w:tc>
          <w:tcPr>
            <w:tcW w:w="731" w:type="pct"/>
            <w:tcBorders>
              <w:top w:val="nil"/>
              <w:left w:val="nil"/>
              <w:bottom w:val="single" w:sz="8" w:space="0" w:color="4D446C"/>
              <w:right w:val="nil"/>
            </w:tcBorders>
            <w:shd w:val="clear" w:color="auto" w:fill="auto"/>
            <w:noWrap/>
            <w:hideMark/>
          </w:tcPr>
          <w:p w14:paraId="49D7D8C7" w14:textId="5FFAC138" w:rsidR="0084147C" w:rsidRPr="006C7B74" w:rsidRDefault="0084147C" w:rsidP="0084147C">
            <w:pPr>
              <w:jc w:val="center"/>
              <w:rPr>
                <w:rFonts w:cstheme="minorHAnsi"/>
                <w:i/>
                <w:color w:val="363534"/>
                <w:sz w:val="18"/>
                <w:szCs w:val="18"/>
                <w:lang w:eastAsia="en-AU"/>
              </w:rPr>
            </w:pPr>
            <w:r w:rsidRPr="006C7B74">
              <w:rPr>
                <w:rFonts w:cstheme="minorHAnsi"/>
                <w:i/>
                <w:sz w:val="18"/>
                <w:szCs w:val="18"/>
              </w:rPr>
              <w:t>502.6</w:t>
            </w:r>
          </w:p>
        </w:tc>
        <w:tc>
          <w:tcPr>
            <w:tcW w:w="831" w:type="pct"/>
            <w:tcBorders>
              <w:top w:val="nil"/>
              <w:left w:val="nil"/>
              <w:bottom w:val="single" w:sz="8" w:space="0" w:color="4D446C"/>
              <w:right w:val="nil"/>
            </w:tcBorders>
            <w:shd w:val="clear" w:color="auto" w:fill="auto"/>
            <w:noWrap/>
            <w:hideMark/>
          </w:tcPr>
          <w:p w14:paraId="78A41897" w14:textId="31D35950" w:rsidR="0084147C" w:rsidRPr="006C7B74" w:rsidRDefault="0084147C" w:rsidP="0084147C">
            <w:pPr>
              <w:jc w:val="center"/>
              <w:rPr>
                <w:rFonts w:cstheme="minorHAnsi"/>
                <w:i/>
                <w:color w:val="363534"/>
                <w:sz w:val="18"/>
                <w:szCs w:val="18"/>
                <w:lang w:eastAsia="en-GB"/>
              </w:rPr>
            </w:pPr>
            <w:r w:rsidRPr="006C7B74">
              <w:rPr>
                <w:rFonts w:cstheme="minorHAnsi"/>
                <w:i/>
                <w:sz w:val="18"/>
                <w:szCs w:val="18"/>
              </w:rPr>
              <w:t>2,957.0</w:t>
            </w:r>
          </w:p>
        </w:tc>
      </w:tr>
      <w:tr w:rsidR="0084147C" w:rsidRPr="006C7B74" w14:paraId="246497C8" w14:textId="77777777" w:rsidTr="006C7B74">
        <w:trPr>
          <w:trHeight w:val="315"/>
        </w:trPr>
        <w:tc>
          <w:tcPr>
            <w:tcW w:w="2606" w:type="pct"/>
            <w:tcBorders>
              <w:top w:val="nil"/>
              <w:left w:val="nil"/>
              <w:bottom w:val="single" w:sz="8" w:space="0" w:color="4D446C"/>
              <w:right w:val="nil"/>
            </w:tcBorders>
            <w:shd w:val="clear" w:color="auto" w:fill="auto"/>
            <w:noWrap/>
            <w:vAlign w:val="center"/>
            <w:hideMark/>
          </w:tcPr>
          <w:p w14:paraId="06645269" w14:textId="6FD1A1E2" w:rsidR="0084147C" w:rsidRPr="006C7B74" w:rsidRDefault="0084147C" w:rsidP="0084147C">
            <w:pPr>
              <w:rPr>
                <w:rFonts w:ascii="Calibri" w:hAnsi="Calibri" w:cs="Calibri"/>
                <w:i/>
                <w:color w:val="000000"/>
                <w:sz w:val="18"/>
                <w:szCs w:val="18"/>
                <w:lang w:eastAsia="en-AU"/>
              </w:rPr>
            </w:pPr>
            <w:r w:rsidRPr="006C7B74">
              <w:rPr>
                <w:rFonts w:ascii="Calibri" w:hAnsi="Calibri" w:cs="Calibri"/>
                <w:i/>
                <w:color w:val="363534"/>
                <w:sz w:val="18"/>
                <w:szCs w:val="18"/>
                <w:lang w:eastAsia="en-GB"/>
              </w:rPr>
              <w:t xml:space="preserve">   Officer-Pakenham SSIP</w:t>
            </w:r>
          </w:p>
        </w:tc>
        <w:tc>
          <w:tcPr>
            <w:tcW w:w="831" w:type="pct"/>
            <w:tcBorders>
              <w:top w:val="nil"/>
              <w:left w:val="nil"/>
              <w:bottom w:val="single" w:sz="8" w:space="0" w:color="4D446C"/>
              <w:right w:val="nil"/>
            </w:tcBorders>
            <w:shd w:val="clear" w:color="auto" w:fill="auto"/>
            <w:noWrap/>
            <w:hideMark/>
          </w:tcPr>
          <w:p w14:paraId="51BA410A" w14:textId="14160EFB" w:rsidR="0084147C" w:rsidRPr="006C7B74" w:rsidRDefault="0084147C" w:rsidP="0084147C">
            <w:pPr>
              <w:jc w:val="center"/>
              <w:rPr>
                <w:rFonts w:cstheme="minorHAnsi"/>
                <w:i/>
                <w:color w:val="363534"/>
                <w:sz w:val="18"/>
                <w:szCs w:val="18"/>
                <w:lang w:eastAsia="en-AU"/>
              </w:rPr>
            </w:pPr>
            <w:r w:rsidRPr="006C7B74">
              <w:rPr>
                <w:rFonts w:cstheme="minorHAnsi"/>
                <w:i/>
                <w:sz w:val="18"/>
                <w:szCs w:val="18"/>
              </w:rPr>
              <w:t>317.7</w:t>
            </w:r>
          </w:p>
        </w:tc>
        <w:tc>
          <w:tcPr>
            <w:tcW w:w="731" w:type="pct"/>
            <w:tcBorders>
              <w:top w:val="nil"/>
              <w:left w:val="nil"/>
              <w:bottom w:val="single" w:sz="8" w:space="0" w:color="4D446C"/>
              <w:right w:val="nil"/>
            </w:tcBorders>
            <w:shd w:val="clear" w:color="auto" w:fill="auto"/>
            <w:noWrap/>
            <w:hideMark/>
          </w:tcPr>
          <w:p w14:paraId="715DEDA1" w14:textId="2D498083" w:rsidR="0084147C" w:rsidRPr="006C7B74" w:rsidRDefault="0084147C" w:rsidP="0084147C">
            <w:pPr>
              <w:jc w:val="center"/>
              <w:rPr>
                <w:rFonts w:cstheme="minorHAnsi"/>
                <w:i/>
                <w:color w:val="363534"/>
                <w:sz w:val="18"/>
                <w:szCs w:val="18"/>
                <w:lang w:eastAsia="en-AU"/>
              </w:rPr>
            </w:pPr>
            <w:r w:rsidRPr="006C7B74">
              <w:rPr>
                <w:rFonts w:cstheme="minorHAnsi"/>
                <w:i/>
                <w:sz w:val="18"/>
                <w:szCs w:val="18"/>
              </w:rPr>
              <w:t>323.8</w:t>
            </w:r>
          </w:p>
        </w:tc>
        <w:tc>
          <w:tcPr>
            <w:tcW w:w="831" w:type="pct"/>
            <w:tcBorders>
              <w:top w:val="nil"/>
              <w:left w:val="nil"/>
              <w:bottom w:val="single" w:sz="8" w:space="0" w:color="4D446C"/>
              <w:right w:val="nil"/>
            </w:tcBorders>
            <w:shd w:val="clear" w:color="auto" w:fill="auto"/>
            <w:noWrap/>
            <w:hideMark/>
          </w:tcPr>
          <w:p w14:paraId="3B7220E4" w14:textId="77D3E672" w:rsidR="0084147C" w:rsidRPr="006C7B74" w:rsidRDefault="0084147C" w:rsidP="0084147C">
            <w:pPr>
              <w:jc w:val="center"/>
              <w:rPr>
                <w:rFonts w:cstheme="minorHAnsi"/>
                <w:i/>
                <w:color w:val="363534"/>
                <w:sz w:val="18"/>
                <w:szCs w:val="18"/>
                <w:lang w:eastAsia="en-GB"/>
              </w:rPr>
            </w:pPr>
            <w:r w:rsidRPr="006C7B74">
              <w:rPr>
                <w:rFonts w:cstheme="minorHAnsi"/>
                <w:i/>
                <w:sz w:val="18"/>
                <w:szCs w:val="18"/>
              </w:rPr>
              <w:t>641.5</w:t>
            </w:r>
          </w:p>
        </w:tc>
      </w:tr>
      <w:tr w:rsidR="0084147C" w:rsidRPr="006C7B74" w14:paraId="29FB0768" w14:textId="77777777" w:rsidTr="006C7B74">
        <w:trPr>
          <w:trHeight w:val="315"/>
        </w:trPr>
        <w:tc>
          <w:tcPr>
            <w:tcW w:w="2606" w:type="pct"/>
            <w:tcBorders>
              <w:top w:val="nil"/>
              <w:left w:val="nil"/>
              <w:bottom w:val="single" w:sz="8" w:space="0" w:color="4D446C"/>
              <w:right w:val="nil"/>
            </w:tcBorders>
            <w:shd w:val="clear" w:color="auto" w:fill="auto"/>
            <w:noWrap/>
            <w:vAlign w:val="center"/>
            <w:hideMark/>
          </w:tcPr>
          <w:p w14:paraId="421F9C0A" w14:textId="1DC419E1" w:rsidR="0084147C" w:rsidRPr="006C7B74" w:rsidRDefault="0084147C" w:rsidP="0084147C">
            <w:pPr>
              <w:rPr>
                <w:rFonts w:ascii="Calibri" w:hAnsi="Calibri" w:cs="Calibri"/>
                <w:i/>
                <w:color w:val="000000"/>
                <w:sz w:val="18"/>
                <w:szCs w:val="18"/>
                <w:lang w:eastAsia="en-AU"/>
              </w:rPr>
            </w:pPr>
            <w:r w:rsidRPr="006C7B74">
              <w:rPr>
                <w:rFonts w:ascii="Calibri" w:hAnsi="Calibri" w:cs="Calibri"/>
                <w:i/>
                <w:color w:val="363534"/>
                <w:sz w:val="18"/>
                <w:szCs w:val="18"/>
                <w:lang w:eastAsia="en-GB"/>
              </w:rPr>
              <w:t xml:space="preserve">   Hastings SSIP</w:t>
            </w:r>
          </w:p>
        </w:tc>
        <w:tc>
          <w:tcPr>
            <w:tcW w:w="831" w:type="pct"/>
            <w:tcBorders>
              <w:top w:val="nil"/>
              <w:left w:val="nil"/>
              <w:bottom w:val="single" w:sz="8" w:space="0" w:color="4D446C"/>
              <w:right w:val="nil"/>
            </w:tcBorders>
            <w:shd w:val="clear" w:color="auto" w:fill="auto"/>
            <w:noWrap/>
            <w:hideMark/>
          </w:tcPr>
          <w:p w14:paraId="51B1F0F1" w14:textId="0BF35B02" w:rsidR="0084147C" w:rsidRPr="006C7B74" w:rsidRDefault="0084147C" w:rsidP="0084147C">
            <w:pPr>
              <w:jc w:val="center"/>
              <w:rPr>
                <w:rFonts w:cstheme="minorHAnsi"/>
                <w:i/>
                <w:color w:val="363534"/>
                <w:sz w:val="18"/>
                <w:szCs w:val="18"/>
                <w:lang w:eastAsia="en-AU"/>
              </w:rPr>
            </w:pPr>
            <w:r w:rsidRPr="006C7B74">
              <w:rPr>
                <w:rFonts w:cstheme="minorHAnsi"/>
                <w:i/>
                <w:sz w:val="18"/>
                <w:szCs w:val="18"/>
              </w:rPr>
              <w:t>814.1</w:t>
            </w:r>
          </w:p>
        </w:tc>
        <w:tc>
          <w:tcPr>
            <w:tcW w:w="731" w:type="pct"/>
            <w:tcBorders>
              <w:top w:val="nil"/>
              <w:left w:val="nil"/>
              <w:bottom w:val="single" w:sz="8" w:space="0" w:color="4D446C"/>
              <w:right w:val="nil"/>
            </w:tcBorders>
            <w:shd w:val="clear" w:color="auto" w:fill="auto"/>
            <w:noWrap/>
            <w:hideMark/>
          </w:tcPr>
          <w:p w14:paraId="32752811" w14:textId="11F71BB8" w:rsidR="0084147C" w:rsidRPr="006C7B74" w:rsidRDefault="0084147C" w:rsidP="0084147C">
            <w:pPr>
              <w:jc w:val="center"/>
              <w:rPr>
                <w:rFonts w:cstheme="minorHAnsi"/>
                <w:i/>
                <w:color w:val="363534"/>
                <w:sz w:val="18"/>
                <w:szCs w:val="18"/>
                <w:lang w:eastAsia="en-AU"/>
              </w:rPr>
            </w:pPr>
            <w:r w:rsidRPr="006C7B74">
              <w:rPr>
                <w:rFonts w:cstheme="minorHAnsi"/>
                <w:i/>
                <w:sz w:val="18"/>
                <w:szCs w:val="18"/>
              </w:rPr>
              <w:t>578.1</w:t>
            </w:r>
          </w:p>
        </w:tc>
        <w:tc>
          <w:tcPr>
            <w:tcW w:w="831" w:type="pct"/>
            <w:tcBorders>
              <w:top w:val="nil"/>
              <w:left w:val="nil"/>
              <w:bottom w:val="single" w:sz="8" w:space="0" w:color="4D446C"/>
              <w:right w:val="nil"/>
            </w:tcBorders>
            <w:shd w:val="clear" w:color="auto" w:fill="auto"/>
            <w:noWrap/>
            <w:hideMark/>
          </w:tcPr>
          <w:p w14:paraId="538ED7D6" w14:textId="4FEF19F7" w:rsidR="0084147C" w:rsidRPr="006C7B74" w:rsidRDefault="0084147C" w:rsidP="0084147C">
            <w:pPr>
              <w:jc w:val="center"/>
              <w:rPr>
                <w:rFonts w:cstheme="minorHAnsi"/>
                <w:i/>
                <w:color w:val="363534"/>
                <w:sz w:val="18"/>
                <w:szCs w:val="18"/>
                <w:lang w:eastAsia="en-GB"/>
              </w:rPr>
            </w:pPr>
            <w:r w:rsidRPr="006C7B74">
              <w:rPr>
                <w:rFonts w:cstheme="minorHAnsi"/>
                <w:i/>
                <w:sz w:val="18"/>
                <w:szCs w:val="18"/>
              </w:rPr>
              <w:t>1,392.2</w:t>
            </w:r>
          </w:p>
        </w:tc>
      </w:tr>
      <w:tr w:rsidR="0084147C" w:rsidRPr="006C7B74" w14:paraId="7E4158EA" w14:textId="77777777" w:rsidTr="006C7B74">
        <w:trPr>
          <w:trHeight w:val="315"/>
        </w:trPr>
        <w:tc>
          <w:tcPr>
            <w:tcW w:w="2606" w:type="pct"/>
            <w:tcBorders>
              <w:top w:val="nil"/>
              <w:left w:val="nil"/>
              <w:bottom w:val="single" w:sz="8" w:space="0" w:color="4D446C"/>
              <w:right w:val="nil"/>
            </w:tcBorders>
            <w:shd w:val="clear" w:color="auto" w:fill="auto"/>
            <w:noWrap/>
            <w:vAlign w:val="center"/>
            <w:hideMark/>
          </w:tcPr>
          <w:p w14:paraId="1E57F261" w14:textId="77777777" w:rsidR="0084147C" w:rsidRPr="006C7B74" w:rsidRDefault="0084147C" w:rsidP="0084147C">
            <w:pPr>
              <w:rPr>
                <w:rFonts w:ascii="Calibri" w:hAnsi="Calibri" w:cs="Calibri"/>
                <w:b/>
                <w:color w:val="000000"/>
                <w:sz w:val="18"/>
                <w:szCs w:val="18"/>
                <w:lang w:eastAsia="en-AU"/>
              </w:rPr>
            </w:pPr>
            <w:r w:rsidRPr="006C7B74">
              <w:rPr>
                <w:rFonts w:ascii="Calibri" w:hAnsi="Calibri" w:cs="Calibri"/>
                <w:color w:val="363534"/>
                <w:sz w:val="18"/>
                <w:szCs w:val="18"/>
                <w:lang w:eastAsia="en-GB"/>
              </w:rPr>
              <w:t>Inner South East Region</w:t>
            </w:r>
          </w:p>
        </w:tc>
        <w:tc>
          <w:tcPr>
            <w:tcW w:w="831" w:type="pct"/>
            <w:tcBorders>
              <w:top w:val="nil"/>
              <w:left w:val="nil"/>
              <w:bottom w:val="single" w:sz="8" w:space="0" w:color="4D446C"/>
              <w:right w:val="nil"/>
            </w:tcBorders>
            <w:shd w:val="clear" w:color="auto" w:fill="auto"/>
            <w:noWrap/>
            <w:hideMark/>
          </w:tcPr>
          <w:p w14:paraId="2EFA45A9" w14:textId="22C3F472" w:rsidR="0084147C" w:rsidRPr="006C7B74" w:rsidRDefault="0084147C" w:rsidP="0084147C">
            <w:pPr>
              <w:jc w:val="center"/>
              <w:rPr>
                <w:rFonts w:cstheme="minorHAnsi"/>
                <w:color w:val="363534"/>
                <w:sz w:val="18"/>
                <w:szCs w:val="18"/>
                <w:lang w:eastAsia="en-AU"/>
              </w:rPr>
            </w:pPr>
            <w:r w:rsidRPr="006C7B74">
              <w:rPr>
                <w:rFonts w:cstheme="minorHAnsi"/>
                <w:sz w:val="18"/>
                <w:szCs w:val="18"/>
              </w:rPr>
              <w:t>140.7</w:t>
            </w:r>
          </w:p>
        </w:tc>
        <w:tc>
          <w:tcPr>
            <w:tcW w:w="731" w:type="pct"/>
            <w:tcBorders>
              <w:top w:val="nil"/>
              <w:left w:val="nil"/>
              <w:bottom w:val="single" w:sz="8" w:space="0" w:color="4D446C"/>
              <w:right w:val="nil"/>
            </w:tcBorders>
            <w:shd w:val="clear" w:color="auto" w:fill="auto"/>
            <w:noWrap/>
            <w:hideMark/>
          </w:tcPr>
          <w:p w14:paraId="524F36BD" w14:textId="5285797A" w:rsidR="0084147C" w:rsidRPr="006C7B74" w:rsidRDefault="0084147C" w:rsidP="0084147C">
            <w:pPr>
              <w:jc w:val="center"/>
              <w:rPr>
                <w:rFonts w:cstheme="minorHAnsi"/>
                <w:color w:val="363534"/>
                <w:sz w:val="18"/>
                <w:szCs w:val="18"/>
                <w:lang w:eastAsia="en-AU"/>
              </w:rPr>
            </w:pPr>
            <w:r w:rsidRPr="006C7B74">
              <w:rPr>
                <w:rFonts w:cstheme="minorHAnsi"/>
                <w:sz w:val="18"/>
                <w:szCs w:val="18"/>
              </w:rPr>
              <w:t>2.3</w:t>
            </w:r>
          </w:p>
        </w:tc>
        <w:tc>
          <w:tcPr>
            <w:tcW w:w="831" w:type="pct"/>
            <w:tcBorders>
              <w:top w:val="nil"/>
              <w:left w:val="nil"/>
              <w:bottom w:val="single" w:sz="8" w:space="0" w:color="4D446C"/>
              <w:right w:val="nil"/>
            </w:tcBorders>
            <w:shd w:val="clear" w:color="auto" w:fill="auto"/>
            <w:noWrap/>
            <w:hideMark/>
          </w:tcPr>
          <w:p w14:paraId="43F3E267" w14:textId="659222C5" w:rsidR="0084147C" w:rsidRPr="006C7B74" w:rsidRDefault="0084147C" w:rsidP="0084147C">
            <w:pPr>
              <w:jc w:val="center"/>
              <w:rPr>
                <w:rFonts w:cstheme="minorHAnsi"/>
                <w:color w:val="363534"/>
                <w:sz w:val="18"/>
                <w:szCs w:val="18"/>
                <w:lang w:eastAsia="en-GB"/>
              </w:rPr>
            </w:pPr>
            <w:r w:rsidRPr="006C7B74">
              <w:rPr>
                <w:rFonts w:cstheme="minorHAnsi"/>
                <w:sz w:val="18"/>
                <w:szCs w:val="18"/>
              </w:rPr>
              <w:t>143.0</w:t>
            </w:r>
          </w:p>
        </w:tc>
      </w:tr>
      <w:tr w:rsidR="0084147C" w:rsidRPr="006C7B74" w14:paraId="76854004" w14:textId="77777777" w:rsidTr="006C7B74">
        <w:trPr>
          <w:trHeight w:val="315"/>
        </w:trPr>
        <w:tc>
          <w:tcPr>
            <w:tcW w:w="2606" w:type="pct"/>
            <w:tcBorders>
              <w:top w:val="nil"/>
              <w:left w:val="nil"/>
              <w:bottom w:val="single" w:sz="8" w:space="0" w:color="4D446C"/>
              <w:right w:val="nil"/>
            </w:tcBorders>
            <w:shd w:val="clear" w:color="auto" w:fill="auto"/>
            <w:noWrap/>
            <w:vAlign w:val="center"/>
            <w:hideMark/>
          </w:tcPr>
          <w:p w14:paraId="2BFCFE7F" w14:textId="77777777" w:rsidR="0084147C" w:rsidRPr="006C7B74" w:rsidRDefault="0084147C" w:rsidP="0084147C">
            <w:pPr>
              <w:rPr>
                <w:rFonts w:ascii="Calibri" w:hAnsi="Calibri" w:cs="Calibri"/>
                <w:b/>
                <w:color w:val="000000"/>
                <w:sz w:val="18"/>
                <w:szCs w:val="18"/>
                <w:lang w:eastAsia="en-AU"/>
              </w:rPr>
            </w:pPr>
            <w:r w:rsidRPr="006C7B74">
              <w:rPr>
                <w:rFonts w:ascii="Calibri" w:hAnsi="Calibri" w:cs="Calibri"/>
                <w:b/>
                <w:color w:val="000000"/>
                <w:sz w:val="18"/>
                <w:szCs w:val="18"/>
                <w:lang w:eastAsia="en-AU"/>
              </w:rPr>
              <w:t>Total</w:t>
            </w:r>
          </w:p>
        </w:tc>
        <w:tc>
          <w:tcPr>
            <w:tcW w:w="831" w:type="pct"/>
            <w:tcBorders>
              <w:top w:val="nil"/>
              <w:left w:val="nil"/>
              <w:bottom w:val="single" w:sz="8" w:space="0" w:color="4D446C"/>
              <w:right w:val="nil"/>
            </w:tcBorders>
            <w:shd w:val="clear" w:color="auto" w:fill="auto"/>
            <w:noWrap/>
            <w:hideMark/>
          </w:tcPr>
          <w:p w14:paraId="23BC20C9" w14:textId="324CDD86" w:rsidR="0084147C" w:rsidRPr="006C7B74" w:rsidRDefault="0084147C" w:rsidP="0084147C">
            <w:pPr>
              <w:jc w:val="center"/>
              <w:rPr>
                <w:rFonts w:cstheme="minorHAnsi"/>
                <w:b/>
                <w:color w:val="363534"/>
                <w:sz w:val="18"/>
                <w:szCs w:val="18"/>
                <w:lang w:eastAsia="en-AU"/>
              </w:rPr>
            </w:pPr>
            <w:r w:rsidRPr="006C7B74">
              <w:rPr>
                <w:rFonts w:cstheme="minorHAnsi"/>
                <w:b/>
                <w:sz w:val="18"/>
                <w:szCs w:val="18"/>
              </w:rPr>
              <w:t>19,843.2</w:t>
            </w:r>
          </w:p>
        </w:tc>
        <w:tc>
          <w:tcPr>
            <w:tcW w:w="731" w:type="pct"/>
            <w:tcBorders>
              <w:top w:val="nil"/>
              <w:left w:val="nil"/>
              <w:bottom w:val="single" w:sz="8" w:space="0" w:color="4D446C"/>
              <w:right w:val="nil"/>
            </w:tcBorders>
            <w:shd w:val="clear" w:color="auto" w:fill="auto"/>
            <w:noWrap/>
            <w:hideMark/>
          </w:tcPr>
          <w:p w14:paraId="03427FE9" w14:textId="761F46D4" w:rsidR="0084147C" w:rsidRPr="006C7B74" w:rsidRDefault="0084147C" w:rsidP="0084147C">
            <w:pPr>
              <w:jc w:val="center"/>
              <w:rPr>
                <w:rFonts w:cstheme="minorHAnsi"/>
                <w:b/>
                <w:color w:val="363534"/>
                <w:sz w:val="18"/>
                <w:szCs w:val="18"/>
                <w:lang w:eastAsia="en-AU"/>
              </w:rPr>
            </w:pPr>
            <w:r w:rsidRPr="006C7B74">
              <w:rPr>
                <w:rFonts w:cstheme="minorHAnsi"/>
                <w:b/>
                <w:sz w:val="18"/>
                <w:szCs w:val="18"/>
              </w:rPr>
              <w:t>6,</w:t>
            </w:r>
            <w:r w:rsidR="005B336D" w:rsidRPr="006C7B74">
              <w:rPr>
                <w:b/>
                <w:bCs/>
                <w:sz w:val="18"/>
                <w:szCs w:val="18"/>
              </w:rPr>
              <w:t>562.5</w:t>
            </w:r>
          </w:p>
        </w:tc>
        <w:tc>
          <w:tcPr>
            <w:tcW w:w="831" w:type="pct"/>
            <w:tcBorders>
              <w:top w:val="nil"/>
              <w:left w:val="nil"/>
              <w:bottom w:val="single" w:sz="8" w:space="0" w:color="4D446C"/>
              <w:right w:val="nil"/>
            </w:tcBorders>
            <w:shd w:val="clear" w:color="auto" w:fill="auto"/>
            <w:noWrap/>
            <w:hideMark/>
          </w:tcPr>
          <w:p w14:paraId="2931CCA9" w14:textId="28ED1C5E" w:rsidR="0084147C" w:rsidRPr="006C7B74" w:rsidRDefault="0084147C" w:rsidP="0084147C">
            <w:pPr>
              <w:jc w:val="center"/>
              <w:rPr>
                <w:rFonts w:cstheme="minorHAnsi"/>
                <w:b/>
                <w:color w:val="363534"/>
                <w:sz w:val="18"/>
                <w:szCs w:val="18"/>
                <w:lang w:eastAsia="en-GB"/>
              </w:rPr>
            </w:pPr>
            <w:r w:rsidRPr="006C7B74">
              <w:rPr>
                <w:rFonts w:cstheme="minorHAnsi"/>
                <w:b/>
                <w:sz w:val="18"/>
                <w:szCs w:val="18"/>
              </w:rPr>
              <w:t>26,</w:t>
            </w:r>
            <w:r w:rsidR="005B336D" w:rsidRPr="006C7B74">
              <w:rPr>
                <w:b/>
                <w:bCs/>
                <w:sz w:val="18"/>
                <w:szCs w:val="18"/>
              </w:rPr>
              <w:t>405.8</w:t>
            </w:r>
          </w:p>
        </w:tc>
      </w:tr>
    </w:tbl>
    <w:p w14:paraId="165CBE6E" w14:textId="659CF60C" w:rsidR="00230637" w:rsidRPr="006C7B74" w:rsidRDefault="00DC580D" w:rsidP="00DC580D">
      <w:pPr>
        <w:pStyle w:val="Quote"/>
      </w:pPr>
      <w:r w:rsidRPr="006C7B74">
        <w:t>Source: Department of Environment, Land, Water and Planning, Urban Development Program – Melbourne Metropolitan Industrial 2018</w:t>
      </w:r>
      <w:r w:rsidR="00EF102B" w:rsidRPr="006C7B74">
        <w:t xml:space="preserve"> and internal analysis</w:t>
      </w:r>
    </w:p>
    <w:p w14:paraId="50B33525" w14:textId="2C0F6EAB" w:rsidR="00230637" w:rsidRPr="006C7B74" w:rsidRDefault="00230637" w:rsidP="00230637">
      <w:pPr>
        <w:pStyle w:val="Heading5"/>
      </w:pPr>
      <w:r w:rsidRPr="006C7B74">
        <w:t>Table 3: Available industrial land supply</w:t>
      </w:r>
      <w:r w:rsidR="00395715" w:rsidRPr="006C7B74">
        <w:t xml:space="preserve">, </w:t>
      </w:r>
      <w:r w:rsidRPr="006C7B74">
        <w:t>vacant zoned and future unzoned</w:t>
      </w:r>
    </w:p>
    <w:tbl>
      <w:tblPr>
        <w:tblpPr w:leftFromText="180" w:rightFromText="180" w:vertAnchor="text" w:horzAnchor="margin" w:tblpY="-44"/>
        <w:tblW w:w="5000" w:type="pct"/>
        <w:tblLook w:val="04A0" w:firstRow="1" w:lastRow="0" w:firstColumn="1" w:lastColumn="0" w:noHBand="0" w:noVBand="1"/>
      </w:tblPr>
      <w:tblGrid>
        <w:gridCol w:w="4305"/>
        <w:gridCol w:w="1637"/>
        <w:gridCol w:w="1579"/>
        <w:gridCol w:w="1499"/>
      </w:tblGrid>
      <w:tr w:rsidR="00652302" w:rsidRPr="006C7B74" w14:paraId="72CBAC96" w14:textId="77777777" w:rsidTr="003C4B26">
        <w:trPr>
          <w:trHeight w:val="735"/>
        </w:trPr>
        <w:tc>
          <w:tcPr>
            <w:tcW w:w="2386" w:type="pct"/>
            <w:tcBorders>
              <w:top w:val="nil"/>
              <w:left w:val="nil"/>
              <w:bottom w:val="single" w:sz="8" w:space="0" w:color="4D446C"/>
              <w:right w:val="nil"/>
            </w:tcBorders>
            <w:shd w:val="clear" w:color="000000" w:fill="4D446C"/>
            <w:noWrap/>
            <w:vAlign w:val="center"/>
            <w:hideMark/>
          </w:tcPr>
          <w:p w14:paraId="3E24D6FB" w14:textId="77777777" w:rsidR="006D5438" w:rsidRPr="006C7B74" w:rsidRDefault="006D5438" w:rsidP="000D67B8">
            <w:pPr>
              <w:pStyle w:val="TableHeaderRow"/>
            </w:pPr>
            <w:r w:rsidRPr="006C7B74">
              <w:t>Region / SSIP</w:t>
            </w:r>
          </w:p>
        </w:tc>
        <w:tc>
          <w:tcPr>
            <w:tcW w:w="907" w:type="pct"/>
            <w:tcBorders>
              <w:top w:val="nil"/>
              <w:left w:val="nil"/>
              <w:bottom w:val="single" w:sz="8" w:space="0" w:color="4D446C"/>
              <w:right w:val="nil"/>
            </w:tcBorders>
            <w:shd w:val="clear" w:color="000000" w:fill="4D446C"/>
            <w:vAlign w:val="center"/>
            <w:hideMark/>
          </w:tcPr>
          <w:p w14:paraId="26582C1C" w14:textId="77777777" w:rsidR="006D5438" w:rsidRPr="006C7B74" w:rsidRDefault="006D5438" w:rsidP="000D67B8">
            <w:pPr>
              <w:pStyle w:val="TableHeaderRow"/>
            </w:pPr>
            <w:r w:rsidRPr="006C7B74">
              <w:t>Zoned vacant (ha)</w:t>
            </w:r>
          </w:p>
        </w:tc>
        <w:tc>
          <w:tcPr>
            <w:tcW w:w="875" w:type="pct"/>
            <w:tcBorders>
              <w:top w:val="nil"/>
              <w:left w:val="nil"/>
              <w:bottom w:val="single" w:sz="8" w:space="0" w:color="4D446C"/>
              <w:right w:val="nil"/>
            </w:tcBorders>
            <w:shd w:val="clear" w:color="000000" w:fill="4D446C"/>
            <w:vAlign w:val="center"/>
            <w:hideMark/>
          </w:tcPr>
          <w:p w14:paraId="1FA0E83E" w14:textId="77777777" w:rsidR="006D5438" w:rsidRPr="006C7B74" w:rsidRDefault="006D5438" w:rsidP="000D67B8">
            <w:pPr>
              <w:pStyle w:val="TableHeaderRow"/>
            </w:pPr>
            <w:r w:rsidRPr="006C7B74">
              <w:t>Future unzoned(ha)</w:t>
            </w:r>
          </w:p>
        </w:tc>
        <w:tc>
          <w:tcPr>
            <w:tcW w:w="831" w:type="pct"/>
            <w:tcBorders>
              <w:top w:val="nil"/>
              <w:left w:val="nil"/>
              <w:bottom w:val="single" w:sz="8" w:space="0" w:color="4D446C"/>
              <w:right w:val="nil"/>
            </w:tcBorders>
            <w:shd w:val="clear" w:color="000000" w:fill="4D446C"/>
            <w:noWrap/>
            <w:vAlign w:val="center"/>
            <w:hideMark/>
          </w:tcPr>
          <w:p w14:paraId="7AFA6398" w14:textId="77777777" w:rsidR="006D5438" w:rsidRPr="006C7B74" w:rsidRDefault="006D5438" w:rsidP="000D67B8">
            <w:pPr>
              <w:pStyle w:val="TableHeaderRow"/>
            </w:pPr>
            <w:r w:rsidRPr="006C7B74">
              <w:t>Total(ha)</w:t>
            </w:r>
          </w:p>
        </w:tc>
      </w:tr>
      <w:tr w:rsidR="00D07EE3" w:rsidRPr="006C7B74" w14:paraId="581582D4" w14:textId="77777777" w:rsidTr="006C7B74">
        <w:trPr>
          <w:trHeight w:val="405"/>
        </w:trPr>
        <w:tc>
          <w:tcPr>
            <w:tcW w:w="2386" w:type="pct"/>
            <w:tcBorders>
              <w:top w:val="nil"/>
              <w:left w:val="nil"/>
              <w:bottom w:val="single" w:sz="8" w:space="0" w:color="4D446C"/>
              <w:right w:val="nil"/>
            </w:tcBorders>
            <w:shd w:val="clear" w:color="auto" w:fill="auto"/>
            <w:noWrap/>
            <w:vAlign w:val="center"/>
            <w:hideMark/>
          </w:tcPr>
          <w:p w14:paraId="0AA8E5C4" w14:textId="74D0F5B6" w:rsidR="00D07EE3" w:rsidRPr="006C7B74" w:rsidRDefault="00D07EE3" w:rsidP="00D07EE3">
            <w:pPr>
              <w:rPr>
                <w:rFonts w:ascii="Calibri" w:hAnsi="Calibri" w:cs="Calibri"/>
                <w:b/>
                <w:color w:val="000000"/>
                <w:sz w:val="18"/>
                <w:szCs w:val="18"/>
                <w:lang w:eastAsia="en-AU"/>
              </w:rPr>
            </w:pPr>
            <w:r w:rsidRPr="006C7B74">
              <w:rPr>
                <w:rFonts w:ascii="Calibri" w:hAnsi="Calibri" w:cs="Calibri"/>
                <w:color w:val="363534"/>
                <w:sz w:val="18"/>
                <w:szCs w:val="18"/>
                <w:lang w:eastAsia="en-GB"/>
              </w:rPr>
              <w:t>Inner Metro Region</w:t>
            </w:r>
          </w:p>
        </w:tc>
        <w:tc>
          <w:tcPr>
            <w:tcW w:w="907" w:type="pct"/>
            <w:tcBorders>
              <w:top w:val="nil"/>
              <w:left w:val="nil"/>
              <w:bottom w:val="single" w:sz="8" w:space="0" w:color="4D446C"/>
              <w:right w:val="nil"/>
            </w:tcBorders>
            <w:shd w:val="clear" w:color="auto" w:fill="auto"/>
            <w:noWrap/>
            <w:hideMark/>
          </w:tcPr>
          <w:p w14:paraId="0C8339A4" w14:textId="03CBB2F0" w:rsidR="00D07EE3" w:rsidRPr="006C7B74" w:rsidRDefault="00D07EE3" w:rsidP="00D07EE3">
            <w:pPr>
              <w:jc w:val="center"/>
              <w:rPr>
                <w:rFonts w:ascii="Calibri" w:hAnsi="Calibri" w:cs="Calibri"/>
                <w:color w:val="363534"/>
                <w:sz w:val="18"/>
                <w:szCs w:val="18"/>
                <w:lang w:eastAsia="en-AU"/>
              </w:rPr>
            </w:pPr>
            <w:r w:rsidRPr="006C7B74">
              <w:rPr>
                <w:sz w:val="18"/>
                <w:szCs w:val="18"/>
              </w:rPr>
              <w:t>28.0</w:t>
            </w:r>
          </w:p>
        </w:tc>
        <w:tc>
          <w:tcPr>
            <w:tcW w:w="875" w:type="pct"/>
            <w:tcBorders>
              <w:top w:val="nil"/>
              <w:left w:val="nil"/>
              <w:bottom w:val="single" w:sz="8" w:space="0" w:color="4D446C"/>
              <w:right w:val="nil"/>
            </w:tcBorders>
            <w:shd w:val="clear" w:color="auto" w:fill="auto"/>
            <w:noWrap/>
            <w:hideMark/>
          </w:tcPr>
          <w:p w14:paraId="21470D37" w14:textId="389C41A2" w:rsidR="00D07EE3" w:rsidRPr="006C7B74" w:rsidRDefault="00D07EE3" w:rsidP="00D07EE3">
            <w:pPr>
              <w:jc w:val="center"/>
              <w:rPr>
                <w:rFonts w:ascii="Calibri" w:hAnsi="Calibri" w:cs="Calibri"/>
                <w:color w:val="363534"/>
                <w:sz w:val="18"/>
                <w:szCs w:val="18"/>
                <w:lang w:eastAsia="en-AU"/>
              </w:rPr>
            </w:pPr>
            <w:r w:rsidRPr="006C7B74">
              <w:rPr>
                <w:sz w:val="18"/>
                <w:szCs w:val="18"/>
              </w:rPr>
              <w:t>0.0</w:t>
            </w:r>
          </w:p>
        </w:tc>
        <w:tc>
          <w:tcPr>
            <w:tcW w:w="831" w:type="pct"/>
            <w:tcBorders>
              <w:top w:val="nil"/>
              <w:left w:val="nil"/>
              <w:bottom w:val="single" w:sz="8" w:space="0" w:color="4D446C"/>
              <w:right w:val="nil"/>
            </w:tcBorders>
            <w:shd w:val="clear" w:color="auto" w:fill="auto"/>
            <w:noWrap/>
            <w:hideMark/>
          </w:tcPr>
          <w:p w14:paraId="3DD2B925" w14:textId="5D8EB047" w:rsidR="00D07EE3" w:rsidRPr="006C7B74" w:rsidRDefault="00D07EE3" w:rsidP="00D07EE3">
            <w:pPr>
              <w:jc w:val="center"/>
              <w:rPr>
                <w:rFonts w:ascii="Calibri" w:hAnsi="Calibri" w:cs="Calibri"/>
                <w:color w:val="000000"/>
                <w:sz w:val="18"/>
                <w:szCs w:val="18"/>
                <w:lang w:eastAsia="en-AU"/>
              </w:rPr>
            </w:pPr>
            <w:r w:rsidRPr="006C7B74">
              <w:rPr>
                <w:sz w:val="18"/>
                <w:szCs w:val="18"/>
              </w:rPr>
              <w:t>28.0</w:t>
            </w:r>
          </w:p>
        </w:tc>
      </w:tr>
      <w:tr w:rsidR="00D07EE3" w:rsidRPr="006C7B74" w14:paraId="6690DC18" w14:textId="77777777" w:rsidTr="006C7B74">
        <w:trPr>
          <w:trHeight w:val="315"/>
        </w:trPr>
        <w:tc>
          <w:tcPr>
            <w:tcW w:w="2386" w:type="pct"/>
            <w:tcBorders>
              <w:top w:val="nil"/>
              <w:left w:val="nil"/>
              <w:bottom w:val="single" w:sz="8" w:space="0" w:color="4D446C"/>
              <w:right w:val="nil"/>
            </w:tcBorders>
            <w:shd w:val="clear" w:color="auto" w:fill="auto"/>
            <w:noWrap/>
            <w:vAlign w:val="center"/>
            <w:hideMark/>
          </w:tcPr>
          <w:p w14:paraId="4C48D64F" w14:textId="77777777" w:rsidR="00D07EE3" w:rsidRPr="006C7B74" w:rsidRDefault="00D07EE3" w:rsidP="00D07EE3">
            <w:pPr>
              <w:rPr>
                <w:rFonts w:ascii="Calibri" w:hAnsi="Calibri" w:cs="Calibri"/>
                <w:b/>
                <w:color w:val="000000"/>
                <w:sz w:val="18"/>
                <w:szCs w:val="18"/>
                <w:lang w:eastAsia="en-AU"/>
              </w:rPr>
            </w:pPr>
            <w:r w:rsidRPr="006C7B74">
              <w:rPr>
                <w:rFonts w:ascii="Calibri" w:hAnsi="Calibri" w:cs="Calibri"/>
                <w:color w:val="363534"/>
                <w:sz w:val="18"/>
                <w:szCs w:val="18"/>
                <w:lang w:eastAsia="en-GB"/>
              </w:rPr>
              <w:t>Western Region</w:t>
            </w:r>
          </w:p>
        </w:tc>
        <w:tc>
          <w:tcPr>
            <w:tcW w:w="907" w:type="pct"/>
            <w:tcBorders>
              <w:top w:val="nil"/>
              <w:left w:val="nil"/>
              <w:bottom w:val="single" w:sz="8" w:space="0" w:color="4D446C"/>
              <w:right w:val="nil"/>
            </w:tcBorders>
            <w:shd w:val="clear" w:color="auto" w:fill="auto"/>
            <w:noWrap/>
            <w:hideMark/>
          </w:tcPr>
          <w:p w14:paraId="21525FA1" w14:textId="460D781F" w:rsidR="00D07EE3" w:rsidRPr="006C7B74" w:rsidRDefault="00D07EE3" w:rsidP="00D07EE3">
            <w:pPr>
              <w:jc w:val="center"/>
              <w:rPr>
                <w:rFonts w:ascii="Calibri" w:hAnsi="Calibri" w:cs="Calibri"/>
                <w:color w:val="363534"/>
                <w:sz w:val="18"/>
                <w:szCs w:val="18"/>
                <w:lang w:eastAsia="en-AU"/>
              </w:rPr>
            </w:pPr>
            <w:r w:rsidRPr="006C7B74">
              <w:rPr>
                <w:sz w:val="18"/>
                <w:szCs w:val="18"/>
              </w:rPr>
              <w:t>2,818.4</w:t>
            </w:r>
          </w:p>
        </w:tc>
        <w:tc>
          <w:tcPr>
            <w:tcW w:w="875" w:type="pct"/>
            <w:tcBorders>
              <w:top w:val="nil"/>
              <w:left w:val="nil"/>
              <w:bottom w:val="single" w:sz="8" w:space="0" w:color="4D446C"/>
              <w:right w:val="nil"/>
            </w:tcBorders>
            <w:shd w:val="clear" w:color="auto" w:fill="auto"/>
            <w:noWrap/>
            <w:hideMark/>
          </w:tcPr>
          <w:p w14:paraId="702B6F8A" w14:textId="0DC61F6C" w:rsidR="00D07EE3" w:rsidRPr="006C7B74" w:rsidRDefault="00D07EE3" w:rsidP="00D07EE3">
            <w:pPr>
              <w:jc w:val="center"/>
              <w:rPr>
                <w:rFonts w:ascii="Calibri" w:hAnsi="Calibri" w:cs="Calibri"/>
                <w:color w:val="363534"/>
                <w:sz w:val="18"/>
                <w:szCs w:val="18"/>
                <w:lang w:eastAsia="en-GB"/>
              </w:rPr>
            </w:pPr>
            <w:r w:rsidRPr="006C7B74">
              <w:rPr>
                <w:sz w:val="18"/>
                <w:szCs w:val="18"/>
              </w:rPr>
              <w:t>2,881.3</w:t>
            </w:r>
          </w:p>
        </w:tc>
        <w:tc>
          <w:tcPr>
            <w:tcW w:w="831" w:type="pct"/>
            <w:tcBorders>
              <w:top w:val="nil"/>
              <w:left w:val="nil"/>
              <w:bottom w:val="single" w:sz="8" w:space="0" w:color="4D446C"/>
              <w:right w:val="nil"/>
            </w:tcBorders>
            <w:shd w:val="clear" w:color="auto" w:fill="auto"/>
            <w:noWrap/>
            <w:hideMark/>
          </w:tcPr>
          <w:p w14:paraId="4D62E8FC" w14:textId="04B023C4" w:rsidR="00D07EE3" w:rsidRPr="006C7B74" w:rsidRDefault="00D07EE3" w:rsidP="00D07EE3">
            <w:pPr>
              <w:jc w:val="center"/>
              <w:rPr>
                <w:rFonts w:ascii="Calibri" w:hAnsi="Calibri" w:cs="Calibri"/>
                <w:color w:val="363534"/>
                <w:sz w:val="18"/>
                <w:szCs w:val="18"/>
                <w:lang w:eastAsia="en-GB"/>
              </w:rPr>
            </w:pPr>
            <w:r w:rsidRPr="006C7B74">
              <w:rPr>
                <w:sz w:val="18"/>
                <w:szCs w:val="18"/>
              </w:rPr>
              <w:t>5,699.7</w:t>
            </w:r>
          </w:p>
        </w:tc>
      </w:tr>
      <w:tr w:rsidR="00D07EE3" w:rsidRPr="006C7B74" w14:paraId="34B6A8C3" w14:textId="77777777" w:rsidTr="006C7B74">
        <w:trPr>
          <w:trHeight w:val="315"/>
        </w:trPr>
        <w:tc>
          <w:tcPr>
            <w:tcW w:w="2386" w:type="pct"/>
            <w:tcBorders>
              <w:top w:val="nil"/>
              <w:left w:val="nil"/>
              <w:bottom w:val="single" w:sz="8" w:space="0" w:color="4D446C"/>
              <w:right w:val="nil"/>
            </w:tcBorders>
            <w:shd w:val="clear" w:color="auto" w:fill="auto"/>
            <w:noWrap/>
            <w:vAlign w:val="center"/>
            <w:hideMark/>
          </w:tcPr>
          <w:p w14:paraId="5E5868AC" w14:textId="33B62590" w:rsidR="00D07EE3" w:rsidRPr="006C7B74" w:rsidRDefault="00D07EE3" w:rsidP="00D07EE3">
            <w:pPr>
              <w:rPr>
                <w:rFonts w:ascii="Calibri" w:hAnsi="Calibri" w:cs="Calibri"/>
                <w:i/>
                <w:color w:val="000000"/>
                <w:sz w:val="18"/>
                <w:szCs w:val="18"/>
                <w:lang w:eastAsia="en-AU"/>
              </w:rPr>
            </w:pPr>
            <w:r w:rsidRPr="006C7B74">
              <w:rPr>
                <w:rFonts w:ascii="Calibri" w:hAnsi="Calibri" w:cs="Calibri"/>
                <w:i/>
                <w:color w:val="363534"/>
                <w:sz w:val="18"/>
                <w:szCs w:val="18"/>
                <w:lang w:eastAsia="en-GB"/>
              </w:rPr>
              <w:t xml:space="preserve">   Western SSIP</w:t>
            </w:r>
          </w:p>
        </w:tc>
        <w:tc>
          <w:tcPr>
            <w:tcW w:w="907" w:type="pct"/>
            <w:tcBorders>
              <w:top w:val="nil"/>
              <w:left w:val="nil"/>
              <w:bottom w:val="single" w:sz="8" w:space="0" w:color="4D446C"/>
              <w:right w:val="nil"/>
            </w:tcBorders>
            <w:shd w:val="clear" w:color="auto" w:fill="auto"/>
            <w:noWrap/>
            <w:hideMark/>
          </w:tcPr>
          <w:p w14:paraId="00B4742B" w14:textId="7458CC26" w:rsidR="00D07EE3" w:rsidRPr="006C7B74" w:rsidRDefault="00D07EE3" w:rsidP="00D07EE3">
            <w:pPr>
              <w:jc w:val="center"/>
              <w:rPr>
                <w:rFonts w:ascii="Calibri" w:hAnsi="Calibri" w:cs="Calibri"/>
                <w:i/>
                <w:iCs/>
                <w:color w:val="363534"/>
                <w:sz w:val="18"/>
                <w:szCs w:val="18"/>
                <w:lang w:eastAsia="en-AU"/>
              </w:rPr>
            </w:pPr>
            <w:r w:rsidRPr="006C7B74">
              <w:rPr>
                <w:i/>
                <w:sz w:val="18"/>
                <w:szCs w:val="18"/>
              </w:rPr>
              <w:t>1,810.5</w:t>
            </w:r>
          </w:p>
        </w:tc>
        <w:tc>
          <w:tcPr>
            <w:tcW w:w="875" w:type="pct"/>
            <w:tcBorders>
              <w:top w:val="nil"/>
              <w:left w:val="nil"/>
              <w:bottom w:val="single" w:sz="8" w:space="0" w:color="4D446C"/>
              <w:right w:val="nil"/>
            </w:tcBorders>
            <w:shd w:val="clear" w:color="auto" w:fill="auto"/>
            <w:noWrap/>
            <w:hideMark/>
          </w:tcPr>
          <w:p w14:paraId="25D93565" w14:textId="0D9CC59E" w:rsidR="00D07EE3" w:rsidRPr="006C7B74" w:rsidRDefault="00D07EE3" w:rsidP="00D07EE3">
            <w:pPr>
              <w:jc w:val="center"/>
              <w:rPr>
                <w:rFonts w:ascii="Calibri" w:hAnsi="Calibri" w:cs="Calibri"/>
                <w:i/>
                <w:color w:val="363534"/>
                <w:sz w:val="18"/>
                <w:szCs w:val="18"/>
                <w:lang w:eastAsia="en-GB"/>
              </w:rPr>
            </w:pPr>
            <w:r w:rsidRPr="006C7B74">
              <w:rPr>
                <w:i/>
                <w:sz w:val="18"/>
                <w:szCs w:val="18"/>
              </w:rPr>
              <w:t>1,033.8</w:t>
            </w:r>
          </w:p>
        </w:tc>
        <w:tc>
          <w:tcPr>
            <w:tcW w:w="831" w:type="pct"/>
            <w:tcBorders>
              <w:top w:val="nil"/>
              <w:left w:val="nil"/>
              <w:bottom w:val="single" w:sz="8" w:space="0" w:color="4D446C"/>
              <w:right w:val="nil"/>
            </w:tcBorders>
            <w:shd w:val="clear" w:color="auto" w:fill="auto"/>
            <w:noWrap/>
            <w:hideMark/>
          </w:tcPr>
          <w:p w14:paraId="18E217C5" w14:textId="525602F5" w:rsidR="00D07EE3" w:rsidRPr="006C7B74" w:rsidRDefault="00D07EE3" w:rsidP="00D07EE3">
            <w:pPr>
              <w:jc w:val="center"/>
              <w:rPr>
                <w:rFonts w:ascii="Calibri" w:hAnsi="Calibri" w:cs="Calibri"/>
                <w:i/>
                <w:color w:val="363534"/>
                <w:sz w:val="18"/>
                <w:szCs w:val="18"/>
                <w:lang w:eastAsia="en-GB"/>
              </w:rPr>
            </w:pPr>
            <w:r w:rsidRPr="006C7B74">
              <w:rPr>
                <w:i/>
                <w:sz w:val="18"/>
                <w:szCs w:val="18"/>
              </w:rPr>
              <w:t>2,844.3</w:t>
            </w:r>
          </w:p>
        </w:tc>
      </w:tr>
      <w:tr w:rsidR="00D07EE3" w:rsidRPr="006C7B74" w14:paraId="24E525E0" w14:textId="77777777" w:rsidTr="006C7B74">
        <w:trPr>
          <w:trHeight w:val="315"/>
        </w:trPr>
        <w:tc>
          <w:tcPr>
            <w:tcW w:w="2386" w:type="pct"/>
            <w:tcBorders>
              <w:top w:val="nil"/>
              <w:left w:val="nil"/>
              <w:bottom w:val="single" w:sz="8" w:space="0" w:color="4D446C"/>
              <w:right w:val="nil"/>
            </w:tcBorders>
            <w:shd w:val="clear" w:color="auto" w:fill="auto"/>
            <w:noWrap/>
            <w:vAlign w:val="center"/>
            <w:hideMark/>
          </w:tcPr>
          <w:p w14:paraId="5E7507E8" w14:textId="77777777" w:rsidR="00D07EE3" w:rsidRPr="006C7B74" w:rsidRDefault="00D07EE3" w:rsidP="00D07EE3">
            <w:pPr>
              <w:rPr>
                <w:rFonts w:ascii="Calibri" w:hAnsi="Calibri" w:cs="Calibri"/>
                <w:b/>
                <w:color w:val="000000"/>
                <w:sz w:val="18"/>
                <w:szCs w:val="18"/>
                <w:lang w:eastAsia="en-AU"/>
              </w:rPr>
            </w:pPr>
            <w:r w:rsidRPr="006C7B74">
              <w:rPr>
                <w:rFonts w:ascii="Calibri" w:hAnsi="Calibri" w:cs="Calibri"/>
                <w:color w:val="363534"/>
                <w:sz w:val="18"/>
                <w:szCs w:val="18"/>
                <w:lang w:eastAsia="en-GB"/>
              </w:rPr>
              <w:t>Northern Region</w:t>
            </w:r>
          </w:p>
        </w:tc>
        <w:tc>
          <w:tcPr>
            <w:tcW w:w="907" w:type="pct"/>
            <w:tcBorders>
              <w:top w:val="nil"/>
              <w:left w:val="nil"/>
              <w:bottom w:val="single" w:sz="8" w:space="0" w:color="4D446C"/>
              <w:right w:val="nil"/>
            </w:tcBorders>
            <w:shd w:val="clear" w:color="auto" w:fill="auto"/>
            <w:noWrap/>
            <w:hideMark/>
          </w:tcPr>
          <w:p w14:paraId="4ABD4747" w14:textId="48BC528F" w:rsidR="00D07EE3" w:rsidRPr="006C7B74" w:rsidRDefault="00D07EE3" w:rsidP="00D07EE3">
            <w:pPr>
              <w:jc w:val="center"/>
              <w:rPr>
                <w:rFonts w:ascii="Calibri" w:hAnsi="Calibri" w:cs="Calibri"/>
                <w:color w:val="363534"/>
                <w:sz w:val="18"/>
                <w:szCs w:val="18"/>
                <w:lang w:eastAsia="en-AU"/>
              </w:rPr>
            </w:pPr>
            <w:r w:rsidRPr="006C7B74">
              <w:rPr>
                <w:sz w:val="18"/>
                <w:szCs w:val="18"/>
              </w:rPr>
              <w:t>1,241.2</w:t>
            </w:r>
          </w:p>
        </w:tc>
        <w:tc>
          <w:tcPr>
            <w:tcW w:w="875" w:type="pct"/>
            <w:tcBorders>
              <w:top w:val="nil"/>
              <w:left w:val="nil"/>
              <w:bottom w:val="single" w:sz="8" w:space="0" w:color="4D446C"/>
              <w:right w:val="nil"/>
            </w:tcBorders>
            <w:shd w:val="clear" w:color="auto" w:fill="auto"/>
            <w:noWrap/>
            <w:hideMark/>
          </w:tcPr>
          <w:p w14:paraId="5A6457D7" w14:textId="7BB824D1" w:rsidR="00D07EE3" w:rsidRPr="006C7B74" w:rsidRDefault="00D07EE3" w:rsidP="00D07EE3">
            <w:pPr>
              <w:jc w:val="center"/>
              <w:rPr>
                <w:rFonts w:ascii="Calibri" w:hAnsi="Calibri" w:cs="Calibri"/>
                <w:color w:val="363534"/>
                <w:sz w:val="18"/>
                <w:szCs w:val="18"/>
                <w:lang w:eastAsia="en-AU"/>
              </w:rPr>
            </w:pPr>
            <w:r w:rsidRPr="006C7B74">
              <w:rPr>
                <w:sz w:val="18"/>
                <w:szCs w:val="18"/>
              </w:rPr>
              <w:t>2,</w:t>
            </w:r>
            <w:r w:rsidR="003C4B26" w:rsidRPr="006C7B74">
              <w:rPr>
                <w:sz w:val="18"/>
                <w:szCs w:val="18"/>
              </w:rPr>
              <w:t>866.9</w:t>
            </w:r>
          </w:p>
        </w:tc>
        <w:tc>
          <w:tcPr>
            <w:tcW w:w="831" w:type="pct"/>
            <w:tcBorders>
              <w:top w:val="nil"/>
              <w:left w:val="nil"/>
              <w:bottom w:val="single" w:sz="8" w:space="0" w:color="4D446C"/>
              <w:right w:val="nil"/>
            </w:tcBorders>
            <w:shd w:val="clear" w:color="auto" w:fill="auto"/>
            <w:noWrap/>
            <w:hideMark/>
          </w:tcPr>
          <w:p w14:paraId="568AC645" w14:textId="000FB6B5" w:rsidR="00D07EE3" w:rsidRPr="006C7B74" w:rsidRDefault="00D07EE3" w:rsidP="00D07EE3">
            <w:pPr>
              <w:jc w:val="center"/>
              <w:rPr>
                <w:rFonts w:ascii="Calibri" w:hAnsi="Calibri" w:cs="Calibri"/>
                <w:color w:val="000000"/>
                <w:sz w:val="18"/>
                <w:szCs w:val="18"/>
                <w:lang w:eastAsia="en-AU"/>
              </w:rPr>
            </w:pPr>
            <w:r w:rsidRPr="006C7B74">
              <w:rPr>
                <w:sz w:val="18"/>
                <w:szCs w:val="18"/>
              </w:rPr>
              <w:t>4,</w:t>
            </w:r>
            <w:r w:rsidR="003C4B26" w:rsidRPr="006C7B74">
              <w:rPr>
                <w:sz w:val="18"/>
                <w:szCs w:val="18"/>
              </w:rPr>
              <w:t>108.1</w:t>
            </w:r>
          </w:p>
        </w:tc>
      </w:tr>
      <w:tr w:rsidR="00D07EE3" w:rsidRPr="006C7B74" w14:paraId="7F024015" w14:textId="77777777" w:rsidTr="006C7B74">
        <w:trPr>
          <w:trHeight w:val="315"/>
        </w:trPr>
        <w:tc>
          <w:tcPr>
            <w:tcW w:w="2386" w:type="pct"/>
            <w:tcBorders>
              <w:top w:val="nil"/>
              <w:left w:val="nil"/>
              <w:bottom w:val="single" w:sz="8" w:space="0" w:color="4D446C"/>
              <w:right w:val="nil"/>
            </w:tcBorders>
            <w:shd w:val="clear" w:color="auto" w:fill="auto"/>
            <w:noWrap/>
            <w:vAlign w:val="center"/>
            <w:hideMark/>
          </w:tcPr>
          <w:p w14:paraId="05EACFEE" w14:textId="0CB71882" w:rsidR="00D07EE3" w:rsidRPr="006C7B74" w:rsidRDefault="00D07EE3" w:rsidP="00D07EE3">
            <w:pPr>
              <w:rPr>
                <w:rFonts w:ascii="Calibri" w:hAnsi="Calibri" w:cs="Calibri"/>
                <w:i/>
                <w:color w:val="000000"/>
                <w:sz w:val="18"/>
                <w:szCs w:val="18"/>
                <w:lang w:eastAsia="en-AU"/>
              </w:rPr>
            </w:pPr>
            <w:r w:rsidRPr="006C7B74">
              <w:rPr>
                <w:rFonts w:ascii="Calibri" w:hAnsi="Calibri" w:cs="Calibri"/>
                <w:i/>
                <w:color w:val="363534"/>
                <w:sz w:val="18"/>
                <w:szCs w:val="18"/>
                <w:lang w:eastAsia="en-GB"/>
              </w:rPr>
              <w:t xml:space="preserve">   Northern SSIP</w:t>
            </w:r>
          </w:p>
        </w:tc>
        <w:tc>
          <w:tcPr>
            <w:tcW w:w="907" w:type="pct"/>
            <w:tcBorders>
              <w:top w:val="nil"/>
              <w:left w:val="nil"/>
              <w:bottom w:val="single" w:sz="8" w:space="0" w:color="4D446C"/>
              <w:right w:val="nil"/>
            </w:tcBorders>
            <w:shd w:val="clear" w:color="auto" w:fill="auto"/>
            <w:noWrap/>
            <w:hideMark/>
          </w:tcPr>
          <w:p w14:paraId="1C3790DD" w14:textId="75E0F80C" w:rsidR="00D07EE3" w:rsidRPr="006C7B74" w:rsidRDefault="00D07EE3" w:rsidP="00D07EE3">
            <w:pPr>
              <w:jc w:val="center"/>
              <w:rPr>
                <w:rFonts w:ascii="Calibri" w:hAnsi="Calibri" w:cs="Calibri"/>
                <w:i/>
                <w:iCs/>
                <w:color w:val="363534"/>
                <w:sz w:val="18"/>
                <w:szCs w:val="18"/>
                <w:lang w:eastAsia="en-AU"/>
              </w:rPr>
            </w:pPr>
            <w:r w:rsidRPr="006C7B74">
              <w:rPr>
                <w:i/>
                <w:sz w:val="18"/>
                <w:szCs w:val="18"/>
              </w:rPr>
              <w:t>978.2</w:t>
            </w:r>
          </w:p>
        </w:tc>
        <w:tc>
          <w:tcPr>
            <w:tcW w:w="875" w:type="pct"/>
            <w:tcBorders>
              <w:top w:val="nil"/>
              <w:left w:val="nil"/>
              <w:bottom w:val="single" w:sz="8" w:space="0" w:color="4D446C"/>
              <w:right w:val="nil"/>
            </w:tcBorders>
            <w:shd w:val="clear" w:color="auto" w:fill="auto"/>
            <w:noWrap/>
            <w:hideMark/>
          </w:tcPr>
          <w:p w14:paraId="1ABD38FE" w14:textId="5298CA56" w:rsidR="00D07EE3" w:rsidRPr="006C7B74" w:rsidRDefault="00D07EE3" w:rsidP="00D07EE3">
            <w:pPr>
              <w:jc w:val="center"/>
              <w:rPr>
                <w:rFonts w:ascii="Calibri" w:hAnsi="Calibri" w:cs="Calibri"/>
                <w:i/>
                <w:iCs/>
                <w:color w:val="363534"/>
                <w:sz w:val="18"/>
                <w:szCs w:val="18"/>
                <w:lang w:eastAsia="en-AU"/>
              </w:rPr>
            </w:pPr>
            <w:r w:rsidRPr="006C7B74">
              <w:rPr>
                <w:i/>
                <w:sz w:val="18"/>
                <w:szCs w:val="18"/>
              </w:rPr>
              <w:t>2,</w:t>
            </w:r>
            <w:r w:rsidR="003C4B26" w:rsidRPr="006C7B74">
              <w:rPr>
                <w:i/>
                <w:iCs/>
                <w:sz w:val="18"/>
                <w:szCs w:val="18"/>
              </w:rPr>
              <w:t>393.7</w:t>
            </w:r>
          </w:p>
        </w:tc>
        <w:tc>
          <w:tcPr>
            <w:tcW w:w="831" w:type="pct"/>
            <w:tcBorders>
              <w:top w:val="nil"/>
              <w:left w:val="nil"/>
              <w:bottom w:val="single" w:sz="8" w:space="0" w:color="4D446C"/>
              <w:right w:val="nil"/>
            </w:tcBorders>
            <w:shd w:val="clear" w:color="auto" w:fill="auto"/>
            <w:noWrap/>
            <w:hideMark/>
          </w:tcPr>
          <w:p w14:paraId="68401F6B" w14:textId="25D7948A" w:rsidR="00D07EE3" w:rsidRPr="006C7B74" w:rsidRDefault="00D07EE3" w:rsidP="00D07EE3">
            <w:pPr>
              <w:jc w:val="center"/>
              <w:rPr>
                <w:rFonts w:ascii="Calibri" w:hAnsi="Calibri" w:cs="Calibri"/>
                <w:i/>
                <w:iCs/>
                <w:color w:val="000000"/>
                <w:sz w:val="18"/>
                <w:szCs w:val="18"/>
                <w:lang w:eastAsia="en-AU"/>
              </w:rPr>
            </w:pPr>
            <w:r w:rsidRPr="006C7B74">
              <w:rPr>
                <w:i/>
                <w:sz w:val="18"/>
                <w:szCs w:val="18"/>
              </w:rPr>
              <w:t>3,</w:t>
            </w:r>
            <w:r w:rsidR="003C4B26" w:rsidRPr="006C7B74">
              <w:rPr>
                <w:i/>
                <w:iCs/>
                <w:sz w:val="18"/>
                <w:szCs w:val="18"/>
              </w:rPr>
              <w:t>371.9</w:t>
            </w:r>
          </w:p>
        </w:tc>
      </w:tr>
      <w:tr w:rsidR="00D07EE3" w:rsidRPr="006C7B74" w14:paraId="70F8E5B5" w14:textId="77777777" w:rsidTr="006C7B74">
        <w:trPr>
          <w:trHeight w:val="315"/>
        </w:trPr>
        <w:tc>
          <w:tcPr>
            <w:tcW w:w="2386" w:type="pct"/>
            <w:tcBorders>
              <w:top w:val="nil"/>
              <w:left w:val="nil"/>
              <w:bottom w:val="single" w:sz="8" w:space="0" w:color="4D446C"/>
              <w:right w:val="nil"/>
            </w:tcBorders>
            <w:shd w:val="clear" w:color="auto" w:fill="auto"/>
            <w:noWrap/>
            <w:vAlign w:val="center"/>
            <w:hideMark/>
          </w:tcPr>
          <w:p w14:paraId="14615B45" w14:textId="77777777" w:rsidR="00D07EE3" w:rsidRPr="006C7B74" w:rsidRDefault="00D07EE3" w:rsidP="00D07EE3">
            <w:pPr>
              <w:rPr>
                <w:rFonts w:ascii="Calibri" w:hAnsi="Calibri" w:cs="Calibri"/>
                <w:b/>
                <w:color w:val="000000"/>
                <w:sz w:val="18"/>
                <w:szCs w:val="18"/>
                <w:lang w:eastAsia="en-AU"/>
              </w:rPr>
            </w:pPr>
            <w:r w:rsidRPr="006C7B74">
              <w:rPr>
                <w:rFonts w:ascii="Calibri" w:hAnsi="Calibri" w:cs="Calibri"/>
                <w:color w:val="363534"/>
                <w:sz w:val="18"/>
                <w:szCs w:val="18"/>
                <w:lang w:eastAsia="en-GB"/>
              </w:rPr>
              <w:t>Eastern Region</w:t>
            </w:r>
          </w:p>
        </w:tc>
        <w:tc>
          <w:tcPr>
            <w:tcW w:w="907" w:type="pct"/>
            <w:tcBorders>
              <w:top w:val="nil"/>
              <w:left w:val="nil"/>
              <w:bottom w:val="single" w:sz="8" w:space="0" w:color="4D446C"/>
              <w:right w:val="nil"/>
            </w:tcBorders>
            <w:shd w:val="clear" w:color="auto" w:fill="auto"/>
            <w:noWrap/>
            <w:hideMark/>
          </w:tcPr>
          <w:p w14:paraId="75F7206F" w14:textId="5A6A3D6F" w:rsidR="00D07EE3" w:rsidRPr="006C7B74" w:rsidRDefault="00D07EE3" w:rsidP="00D07EE3">
            <w:pPr>
              <w:jc w:val="center"/>
              <w:rPr>
                <w:rFonts w:ascii="Calibri" w:hAnsi="Calibri" w:cs="Calibri"/>
                <w:color w:val="363534"/>
                <w:sz w:val="18"/>
                <w:szCs w:val="18"/>
                <w:lang w:eastAsia="en-AU"/>
              </w:rPr>
            </w:pPr>
            <w:r w:rsidRPr="006C7B74">
              <w:rPr>
                <w:sz w:val="18"/>
                <w:szCs w:val="18"/>
              </w:rPr>
              <w:t>135.1</w:t>
            </w:r>
          </w:p>
        </w:tc>
        <w:tc>
          <w:tcPr>
            <w:tcW w:w="875" w:type="pct"/>
            <w:tcBorders>
              <w:top w:val="nil"/>
              <w:left w:val="nil"/>
              <w:bottom w:val="single" w:sz="8" w:space="0" w:color="4D446C"/>
              <w:right w:val="nil"/>
            </w:tcBorders>
            <w:shd w:val="clear" w:color="auto" w:fill="auto"/>
            <w:noWrap/>
            <w:hideMark/>
          </w:tcPr>
          <w:p w14:paraId="24A42F46" w14:textId="38C3BA38" w:rsidR="00D07EE3" w:rsidRPr="006C7B74" w:rsidRDefault="00D07EE3" w:rsidP="00D07EE3">
            <w:pPr>
              <w:jc w:val="center"/>
              <w:rPr>
                <w:rFonts w:ascii="Calibri" w:hAnsi="Calibri" w:cs="Calibri"/>
                <w:color w:val="363534"/>
                <w:sz w:val="18"/>
                <w:szCs w:val="18"/>
                <w:lang w:eastAsia="en-AU"/>
              </w:rPr>
            </w:pPr>
            <w:r w:rsidRPr="006C7B74">
              <w:rPr>
                <w:sz w:val="18"/>
                <w:szCs w:val="18"/>
              </w:rPr>
              <w:t>0.0</w:t>
            </w:r>
          </w:p>
        </w:tc>
        <w:tc>
          <w:tcPr>
            <w:tcW w:w="831" w:type="pct"/>
            <w:tcBorders>
              <w:top w:val="nil"/>
              <w:left w:val="nil"/>
              <w:bottom w:val="single" w:sz="8" w:space="0" w:color="4D446C"/>
              <w:right w:val="nil"/>
            </w:tcBorders>
            <w:shd w:val="clear" w:color="auto" w:fill="auto"/>
            <w:noWrap/>
            <w:hideMark/>
          </w:tcPr>
          <w:p w14:paraId="49B6481A" w14:textId="47CBC997" w:rsidR="00D07EE3" w:rsidRPr="006C7B74" w:rsidRDefault="00D07EE3" w:rsidP="00D07EE3">
            <w:pPr>
              <w:jc w:val="center"/>
              <w:rPr>
                <w:rFonts w:ascii="Calibri" w:hAnsi="Calibri" w:cs="Calibri"/>
                <w:color w:val="000000"/>
                <w:sz w:val="18"/>
                <w:szCs w:val="18"/>
                <w:lang w:eastAsia="en-AU"/>
              </w:rPr>
            </w:pPr>
            <w:r w:rsidRPr="006C7B74">
              <w:rPr>
                <w:sz w:val="18"/>
                <w:szCs w:val="18"/>
              </w:rPr>
              <w:t>135.1</w:t>
            </w:r>
          </w:p>
        </w:tc>
      </w:tr>
      <w:tr w:rsidR="00D07EE3" w:rsidRPr="006C7B74" w14:paraId="0D2A82C2" w14:textId="77777777" w:rsidTr="006C7B74">
        <w:trPr>
          <w:trHeight w:val="315"/>
        </w:trPr>
        <w:tc>
          <w:tcPr>
            <w:tcW w:w="2386" w:type="pct"/>
            <w:tcBorders>
              <w:top w:val="nil"/>
              <w:left w:val="nil"/>
              <w:bottom w:val="single" w:sz="8" w:space="0" w:color="4D446C"/>
              <w:right w:val="nil"/>
            </w:tcBorders>
            <w:shd w:val="clear" w:color="auto" w:fill="auto"/>
            <w:noWrap/>
            <w:vAlign w:val="center"/>
            <w:hideMark/>
          </w:tcPr>
          <w:p w14:paraId="17914FE9" w14:textId="77777777" w:rsidR="00D07EE3" w:rsidRPr="006C7B74" w:rsidRDefault="00D07EE3" w:rsidP="00D07EE3">
            <w:pPr>
              <w:rPr>
                <w:rFonts w:ascii="Calibri" w:hAnsi="Calibri" w:cs="Calibri"/>
                <w:b/>
                <w:color w:val="000000"/>
                <w:sz w:val="18"/>
                <w:szCs w:val="18"/>
                <w:lang w:eastAsia="en-AU"/>
              </w:rPr>
            </w:pPr>
            <w:r w:rsidRPr="006C7B74">
              <w:rPr>
                <w:rFonts w:ascii="Calibri" w:hAnsi="Calibri" w:cs="Calibri"/>
                <w:color w:val="363534"/>
                <w:sz w:val="18"/>
                <w:szCs w:val="18"/>
                <w:lang w:eastAsia="en-GB"/>
              </w:rPr>
              <w:t>Southern Region</w:t>
            </w:r>
          </w:p>
        </w:tc>
        <w:tc>
          <w:tcPr>
            <w:tcW w:w="907" w:type="pct"/>
            <w:tcBorders>
              <w:top w:val="nil"/>
              <w:left w:val="nil"/>
              <w:bottom w:val="single" w:sz="8" w:space="0" w:color="4D446C"/>
              <w:right w:val="nil"/>
            </w:tcBorders>
            <w:shd w:val="clear" w:color="auto" w:fill="auto"/>
            <w:noWrap/>
            <w:hideMark/>
          </w:tcPr>
          <w:p w14:paraId="3CB35A90" w14:textId="036A4E67" w:rsidR="00D07EE3" w:rsidRPr="006C7B74" w:rsidRDefault="00D07EE3" w:rsidP="00D07EE3">
            <w:pPr>
              <w:jc w:val="center"/>
              <w:rPr>
                <w:rFonts w:ascii="Calibri" w:hAnsi="Calibri" w:cs="Calibri"/>
                <w:color w:val="363534"/>
                <w:sz w:val="18"/>
                <w:szCs w:val="18"/>
                <w:lang w:eastAsia="en-AU"/>
              </w:rPr>
            </w:pPr>
            <w:r w:rsidRPr="006C7B74">
              <w:rPr>
                <w:sz w:val="18"/>
                <w:szCs w:val="18"/>
              </w:rPr>
              <w:t>2,</w:t>
            </w:r>
            <w:r w:rsidR="003C4B26" w:rsidRPr="006C7B74">
              <w:rPr>
                <w:sz w:val="18"/>
                <w:szCs w:val="18"/>
              </w:rPr>
              <w:t>337.5</w:t>
            </w:r>
          </w:p>
        </w:tc>
        <w:tc>
          <w:tcPr>
            <w:tcW w:w="875" w:type="pct"/>
            <w:tcBorders>
              <w:top w:val="nil"/>
              <w:left w:val="nil"/>
              <w:bottom w:val="single" w:sz="8" w:space="0" w:color="4D446C"/>
              <w:right w:val="nil"/>
            </w:tcBorders>
            <w:shd w:val="clear" w:color="auto" w:fill="auto"/>
            <w:noWrap/>
            <w:hideMark/>
          </w:tcPr>
          <w:p w14:paraId="47A613A3" w14:textId="204E72C0" w:rsidR="00D07EE3" w:rsidRPr="006C7B74" w:rsidRDefault="00D07EE3" w:rsidP="00D07EE3">
            <w:pPr>
              <w:jc w:val="center"/>
              <w:rPr>
                <w:rFonts w:ascii="Calibri" w:hAnsi="Calibri" w:cs="Calibri"/>
                <w:color w:val="363534"/>
                <w:sz w:val="18"/>
                <w:szCs w:val="18"/>
                <w:lang w:eastAsia="en-AU"/>
              </w:rPr>
            </w:pPr>
            <w:r w:rsidRPr="006C7B74">
              <w:rPr>
                <w:sz w:val="18"/>
                <w:szCs w:val="18"/>
              </w:rPr>
              <w:t>1,183.5</w:t>
            </w:r>
          </w:p>
        </w:tc>
        <w:tc>
          <w:tcPr>
            <w:tcW w:w="831" w:type="pct"/>
            <w:tcBorders>
              <w:top w:val="nil"/>
              <w:left w:val="nil"/>
              <w:bottom w:val="single" w:sz="8" w:space="0" w:color="4D446C"/>
              <w:right w:val="nil"/>
            </w:tcBorders>
            <w:shd w:val="clear" w:color="auto" w:fill="auto"/>
            <w:noWrap/>
            <w:hideMark/>
          </w:tcPr>
          <w:p w14:paraId="494C3F70" w14:textId="7BFF9EA3" w:rsidR="00D07EE3" w:rsidRPr="006C7B74" w:rsidRDefault="00D07EE3" w:rsidP="00D07EE3">
            <w:pPr>
              <w:jc w:val="center"/>
              <w:rPr>
                <w:rFonts w:ascii="Calibri" w:hAnsi="Calibri" w:cs="Calibri"/>
                <w:color w:val="000000"/>
                <w:sz w:val="18"/>
                <w:szCs w:val="18"/>
                <w:lang w:eastAsia="en-AU"/>
              </w:rPr>
            </w:pPr>
            <w:r w:rsidRPr="006C7B74">
              <w:rPr>
                <w:sz w:val="18"/>
                <w:szCs w:val="18"/>
              </w:rPr>
              <w:t>3,</w:t>
            </w:r>
            <w:r w:rsidR="003C4B26" w:rsidRPr="006C7B74">
              <w:rPr>
                <w:sz w:val="18"/>
                <w:szCs w:val="18"/>
              </w:rPr>
              <w:t>521.0</w:t>
            </w:r>
          </w:p>
        </w:tc>
      </w:tr>
      <w:tr w:rsidR="00D07EE3" w:rsidRPr="006C7B74" w14:paraId="59C30B72" w14:textId="77777777" w:rsidTr="006C7B74">
        <w:trPr>
          <w:trHeight w:val="315"/>
        </w:trPr>
        <w:tc>
          <w:tcPr>
            <w:tcW w:w="2386" w:type="pct"/>
            <w:tcBorders>
              <w:top w:val="nil"/>
              <w:left w:val="nil"/>
              <w:bottom w:val="single" w:sz="8" w:space="0" w:color="4D446C"/>
              <w:right w:val="nil"/>
            </w:tcBorders>
            <w:shd w:val="clear" w:color="auto" w:fill="auto"/>
            <w:noWrap/>
            <w:vAlign w:val="center"/>
            <w:hideMark/>
          </w:tcPr>
          <w:p w14:paraId="32E70280" w14:textId="042890D8" w:rsidR="00D07EE3" w:rsidRPr="006C7B74" w:rsidRDefault="00D07EE3" w:rsidP="00D07EE3">
            <w:pPr>
              <w:rPr>
                <w:rFonts w:ascii="Calibri" w:hAnsi="Calibri" w:cs="Calibri"/>
                <w:i/>
                <w:color w:val="000000"/>
                <w:sz w:val="18"/>
                <w:szCs w:val="18"/>
                <w:lang w:eastAsia="en-AU"/>
              </w:rPr>
            </w:pPr>
            <w:r w:rsidRPr="006C7B74">
              <w:rPr>
                <w:rFonts w:ascii="Calibri" w:hAnsi="Calibri" w:cs="Calibri"/>
                <w:i/>
                <w:color w:val="363534"/>
                <w:sz w:val="18"/>
                <w:szCs w:val="18"/>
                <w:lang w:eastAsia="en-GB"/>
              </w:rPr>
              <w:t xml:space="preserve">   Southern SSIP</w:t>
            </w:r>
          </w:p>
        </w:tc>
        <w:tc>
          <w:tcPr>
            <w:tcW w:w="907" w:type="pct"/>
            <w:tcBorders>
              <w:top w:val="nil"/>
              <w:left w:val="nil"/>
              <w:bottom w:val="single" w:sz="8" w:space="0" w:color="4D446C"/>
              <w:right w:val="nil"/>
            </w:tcBorders>
            <w:shd w:val="clear" w:color="auto" w:fill="auto"/>
            <w:noWrap/>
            <w:hideMark/>
          </w:tcPr>
          <w:p w14:paraId="6357C0EA" w14:textId="1875CF86" w:rsidR="00D07EE3" w:rsidRPr="006C7B74" w:rsidRDefault="00D07EE3" w:rsidP="00D07EE3">
            <w:pPr>
              <w:jc w:val="center"/>
              <w:rPr>
                <w:rFonts w:ascii="Calibri" w:hAnsi="Calibri" w:cs="Calibri"/>
                <w:i/>
                <w:iCs/>
                <w:color w:val="363534"/>
                <w:sz w:val="18"/>
                <w:szCs w:val="18"/>
                <w:lang w:eastAsia="en-AU"/>
              </w:rPr>
            </w:pPr>
            <w:r w:rsidRPr="006C7B74">
              <w:rPr>
                <w:i/>
                <w:sz w:val="18"/>
                <w:szCs w:val="18"/>
              </w:rPr>
              <w:t>502.6</w:t>
            </w:r>
          </w:p>
        </w:tc>
        <w:tc>
          <w:tcPr>
            <w:tcW w:w="875" w:type="pct"/>
            <w:tcBorders>
              <w:top w:val="nil"/>
              <w:left w:val="nil"/>
              <w:bottom w:val="single" w:sz="8" w:space="0" w:color="4D446C"/>
              <w:right w:val="nil"/>
            </w:tcBorders>
            <w:shd w:val="clear" w:color="auto" w:fill="auto"/>
            <w:noWrap/>
            <w:hideMark/>
          </w:tcPr>
          <w:p w14:paraId="3890B7BC" w14:textId="7AA70857" w:rsidR="00D07EE3" w:rsidRPr="006C7B74" w:rsidRDefault="00D07EE3" w:rsidP="00D07EE3">
            <w:pPr>
              <w:jc w:val="center"/>
              <w:rPr>
                <w:rFonts w:ascii="Calibri" w:hAnsi="Calibri" w:cs="Calibri"/>
                <w:i/>
                <w:iCs/>
                <w:color w:val="363534"/>
                <w:sz w:val="18"/>
                <w:szCs w:val="18"/>
                <w:lang w:eastAsia="en-AU"/>
              </w:rPr>
            </w:pPr>
            <w:r w:rsidRPr="006C7B74">
              <w:rPr>
                <w:i/>
                <w:sz w:val="18"/>
                <w:szCs w:val="18"/>
              </w:rPr>
              <w:t>0.0</w:t>
            </w:r>
          </w:p>
        </w:tc>
        <w:tc>
          <w:tcPr>
            <w:tcW w:w="831" w:type="pct"/>
            <w:tcBorders>
              <w:top w:val="nil"/>
              <w:left w:val="nil"/>
              <w:bottom w:val="single" w:sz="8" w:space="0" w:color="4D446C"/>
              <w:right w:val="nil"/>
            </w:tcBorders>
            <w:shd w:val="clear" w:color="auto" w:fill="auto"/>
            <w:noWrap/>
            <w:hideMark/>
          </w:tcPr>
          <w:p w14:paraId="22E58243" w14:textId="74F7E870" w:rsidR="00D07EE3" w:rsidRPr="006C7B74" w:rsidRDefault="00D07EE3" w:rsidP="00D07EE3">
            <w:pPr>
              <w:jc w:val="center"/>
              <w:rPr>
                <w:rFonts w:ascii="Calibri" w:hAnsi="Calibri" w:cs="Calibri"/>
                <w:i/>
                <w:iCs/>
                <w:color w:val="000000"/>
                <w:sz w:val="18"/>
                <w:szCs w:val="18"/>
                <w:lang w:eastAsia="en-AU"/>
              </w:rPr>
            </w:pPr>
            <w:r w:rsidRPr="006C7B74">
              <w:rPr>
                <w:i/>
                <w:sz w:val="18"/>
                <w:szCs w:val="18"/>
              </w:rPr>
              <w:t>502.6</w:t>
            </w:r>
          </w:p>
        </w:tc>
      </w:tr>
      <w:tr w:rsidR="00D07EE3" w:rsidRPr="006C7B74" w14:paraId="3E8F56FB" w14:textId="77777777" w:rsidTr="006C7B74">
        <w:trPr>
          <w:trHeight w:val="315"/>
        </w:trPr>
        <w:tc>
          <w:tcPr>
            <w:tcW w:w="2386" w:type="pct"/>
            <w:tcBorders>
              <w:top w:val="nil"/>
              <w:left w:val="nil"/>
              <w:bottom w:val="single" w:sz="8" w:space="0" w:color="4D446C"/>
              <w:right w:val="nil"/>
            </w:tcBorders>
            <w:shd w:val="clear" w:color="auto" w:fill="auto"/>
            <w:noWrap/>
            <w:vAlign w:val="center"/>
            <w:hideMark/>
          </w:tcPr>
          <w:p w14:paraId="2A9AFCB7" w14:textId="4F39E9DD" w:rsidR="00D07EE3" w:rsidRPr="006C7B74" w:rsidRDefault="00D07EE3" w:rsidP="00D07EE3">
            <w:pPr>
              <w:rPr>
                <w:rFonts w:ascii="Calibri" w:hAnsi="Calibri" w:cs="Calibri"/>
                <w:i/>
                <w:color w:val="000000"/>
                <w:sz w:val="18"/>
                <w:szCs w:val="18"/>
                <w:lang w:eastAsia="en-AU"/>
              </w:rPr>
            </w:pPr>
            <w:r w:rsidRPr="006C7B74">
              <w:rPr>
                <w:rFonts w:ascii="Calibri" w:hAnsi="Calibri" w:cs="Calibri"/>
                <w:i/>
                <w:color w:val="363534"/>
                <w:sz w:val="18"/>
                <w:szCs w:val="18"/>
                <w:lang w:eastAsia="en-GB"/>
              </w:rPr>
              <w:t xml:space="preserve">   Officer-Pakenham SSIP</w:t>
            </w:r>
          </w:p>
        </w:tc>
        <w:tc>
          <w:tcPr>
            <w:tcW w:w="907" w:type="pct"/>
            <w:tcBorders>
              <w:top w:val="nil"/>
              <w:left w:val="nil"/>
              <w:bottom w:val="single" w:sz="8" w:space="0" w:color="4D446C"/>
              <w:right w:val="nil"/>
            </w:tcBorders>
            <w:shd w:val="clear" w:color="auto" w:fill="auto"/>
            <w:noWrap/>
            <w:hideMark/>
          </w:tcPr>
          <w:p w14:paraId="16DDCC54" w14:textId="659D142F" w:rsidR="00D07EE3" w:rsidRPr="006C7B74" w:rsidRDefault="00D07EE3" w:rsidP="00D07EE3">
            <w:pPr>
              <w:jc w:val="center"/>
              <w:rPr>
                <w:rFonts w:ascii="Calibri" w:hAnsi="Calibri" w:cs="Calibri"/>
                <w:i/>
                <w:iCs/>
                <w:color w:val="363534"/>
                <w:sz w:val="18"/>
                <w:szCs w:val="18"/>
                <w:lang w:eastAsia="en-AU"/>
              </w:rPr>
            </w:pPr>
            <w:r w:rsidRPr="006C7B74">
              <w:rPr>
                <w:i/>
                <w:sz w:val="18"/>
                <w:szCs w:val="18"/>
              </w:rPr>
              <w:t>323.8</w:t>
            </w:r>
          </w:p>
        </w:tc>
        <w:tc>
          <w:tcPr>
            <w:tcW w:w="875" w:type="pct"/>
            <w:tcBorders>
              <w:top w:val="nil"/>
              <w:left w:val="nil"/>
              <w:bottom w:val="single" w:sz="8" w:space="0" w:color="4D446C"/>
              <w:right w:val="nil"/>
            </w:tcBorders>
            <w:shd w:val="clear" w:color="auto" w:fill="auto"/>
            <w:noWrap/>
            <w:hideMark/>
          </w:tcPr>
          <w:p w14:paraId="55F46FCE" w14:textId="561C46E2" w:rsidR="00D07EE3" w:rsidRPr="006C7B74" w:rsidRDefault="00D07EE3" w:rsidP="00D07EE3">
            <w:pPr>
              <w:jc w:val="center"/>
              <w:rPr>
                <w:rFonts w:ascii="Calibri" w:hAnsi="Calibri" w:cs="Calibri"/>
                <w:i/>
                <w:iCs/>
                <w:color w:val="363534"/>
                <w:sz w:val="18"/>
                <w:szCs w:val="18"/>
                <w:lang w:eastAsia="en-AU"/>
              </w:rPr>
            </w:pPr>
            <w:r w:rsidRPr="006C7B74">
              <w:rPr>
                <w:i/>
                <w:sz w:val="18"/>
                <w:szCs w:val="18"/>
              </w:rPr>
              <w:t>938.3</w:t>
            </w:r>
          </w:p>
        </w:tc>
        <w:tc>
          <w:tcPr>
            <w:tcW w:w="831" w:type="pct"/>
            <w:tcBorders>
              <w:top w:val="nil"/>
              <w:left w:val="nil"/>
              <w:bottom w:val="single" w:sz="8" w:space="0" w:color="4D446C"/>
              <w:right w:val="nil"/>
            </w:tcBorders>
            <w:shd w:val="clear" w:color="auto" w:fill="auto"/>
            <w:noWrap/>
            <w:hideMark/>
          </w:tcPr>
          <w:p w14:paraId="1D722202" w14:textId="22C0E2DE" w:rsidR="00D07EE3" w:rsidRPr="006C7B74" w:rsidRDefault="00D07EE3" w:rsidP="00D07EE3">
            <w:pPr>
              <w:jc w:val="center"/>
              <w:rPr>
                <w:rFonts w:ascii="Calibri" w:hAnsi="Calibri" w:cs="Calibri"/>
                <w:i/>
                <w:iCs/>
                <w:color w:val="000000"/>
                <w:sz w:val="18"/>
                <w:szCs w:val="18"/>
                <w:lang w:eastAsia="en-AU"/>
              </w:rPr>
            </w:pPr>
            <w:r w:rsidRPr="006C7B74">
              <w:rPr>
                <w:i/>
                <w:sz w:val="18"/>
                <w:szCs w:val="18"/>
              </w:rPr>
              <w:t>1,262.1</w:t>
            </w:r>
          </w:p>
        </w:tc>
      </w:tr>
      <w:tr w:rsidR="00D07EE3" w:rsidRPr="006C7B74" w14:paraId="687B6A2B" w14:textId="77777777" w:rsidTr="006C7B74">
        <w:trPr>
          <w:trHeight w:val="315"/>
        </w:trPr>
        <w:tc>
          <w:tcPr>
            <w:tcW w:w="2386" w:type="pct"/>
            <w:tcBorders>
              <w:top w:val="nil"/>
              <w:left w:val="nil"/>
              <w:bottom w:val="single" w:sz="8" w:space="0" w:color="4D446C"/>
              <w:right w:val="nil"/>
            </w:tcBorders>
            <w:shd w:val="clear" w:color="auto" w:fill="auto"/>
            <w:noWrap/>
            <w:vAlign w:val="center"/>
            <w:hideMark/>
          </w:tcPr>
          <w:p w14:paraId="1C08B420" w14:textId="1BEED0D5" w:rsidR="00D07EE3" w:rsidRPr="006C7B74" w:rsidRDefault="00D07EE3" w:rsidP="00D07EE3">
            <w:pPr>
              <w:rPr>
                <w:rFonts w:ascii="Calibri" w:hAnsi="Calibri" w:cs="Calibri"/>
                <w:i/>
                <w:color w:val="000000"/>
                <w:sz w:val="18"/>
                <w:szCs w:val="18"/>
                <w:lang w:eastAsia="en-AU"/>
              </w:rPr>
            </w:pPr>
            <w:r w:rsidRPr="006C7B74">
              <w:rPr>
                <w:rFonts w:ascii="Calibri" w:hAnsi="Calibri" w:cs="Calibri"/>
                <w:i/>
                <w:color w:val="363534"/>
                <w:sz w:val="18"/>
                <w:szCs w:val="18"/>
                <w:lang w:eastAsia="en-GB"/>
              </w:rPr>
              <w:t xml:space="preserve">   Hastings SSIP</w:t>
            </w:r>
          </w:p>
        </w:tc>
        <w:tc>
          <w:tcPr>
            <w:tcW w:w="907" w:type="pct"/>
            <w:tcBorders>
              <w:top w:val="nil"/>
              <w:left w:val="nil"/>
              <w:bottom w:val="single" w:sz="8" w:space="0" w:color="4D446C"/>
              <w:right w:val="nil"/>
            </w:tcBorders>
            <w:shd w:val="clear" w:color="auto" w:fill="auto"/>
            <w:noWrap/>
            <w:hideMark/>
          </w:tcPr>
          <w:p w14:paraId="14F2FA68" w14:textId="5CCC2947" w:rsidR="00D07EE3" w:rsidRPr="006C7B74" w:rsidRDefault="00D07EE3" w:rsidP="00D07EE3">
            <w:pPr>
              <w:jc w:val="center"/>
              <w:rPr>
                <w:rFonts w:ascii="Calibri" w:hAnsi="Calibri" w:cs="Calibri"/>
                <w:i/>
                <w:iCs/>
                <w:color w:val="363534"/>
                <w:sz w:val="18"/>
                <w:szCs w:val="18"/>
                <w:lang w:eastAsia="en-AU"/>
              </w:rPr>
            </w:pPr>
            <w:r w:rsidRPr="006C7B74">
              <w:rPr>
                <w:i/>
                <w:sz w:val="18"/>
                <w:szCs w:val="18"/>
              </w:rPr>
              <w:t>578.1</w:t>
            </w:r>
          </w:p>
        </w:tc>
        <w:tc>
          <w:tcPr>
            <w:tcW w:w="875" w:type="pct"/>
            <w:tcBorders>
              <w:top w:val="nil"/>
              <w:left w:val="nil"/>
              <w:bottom w:val="single" w:sz="8" w:space="0" w:color="4D446C"/>
              <w:right w:val="nil"/>
            </w:tcBorders>
            <w:shd w:val="clear" w:color="auto" w:fill="auto"/>
            <w:noWrap/>
            <w:hideMark/>
          </w:tcPr>
          <w:p w14:paraId="487D25E6" w14:textId="1F585F56" w:rsidR="00D07EE3" w:rsidRPr="006C7B74" w:rsidRDefault="00D07EE3" w:rsidP="00D07EE3">
            <w:pPr>
              <w:jc w:val="center"/>
              <w:rPr>
                <w:rFonts w:ascii="Calibri" w:hAnsi="Calibri" w:cs="Calibri"/>
                <w:i/>
                <w:iCs/>
                <w:color w:val="363534"/>
                <w:sz w:val="18"/>
                <w:szCs w:val="18"/>
                <w:lang w:eastAsia="en-AU"/>
              </w:rPr>
            </w:pPr>
            <w:r w:rsidRPr="006C7B74">
              <w:rPr>
                <w:i/>
                <w:sz w:val="18"/>
                <w:szCs w:val="18"/>
              </w:rPr>
              <w:t>0.0</w:t>
            </w:r>
          </w:p>
        </w:tc>
        <w:tc>
          <w:tcPr>
            <w:tcW w:w="831" w:type="pct"/>
            <w:tcBorders>
              <w:top w:val="nil"/>
              <w:left w:val="nil"/>
              <w:bottom w:val="single" w:sz="8" w:space="0" w:color="4D446C"/>
              <w:right w:val="nil"/>
            </w:tcBorders>
            <w:shd w:val="clear" w:color="auto" w:fill="auto"/>
            <w:noWrap/>
            <w:hideMark/>
          </w:tcPr>
          <w:p w14:paraId="0423B24A" w14:textId="1C4E3837" w:rsidR="00D07EE3" w:rsidRPr="006C7B74" w:rsidRDefault="00D07EE3" w:rsidP="00D07EE3">
            <w:pPr>
              <w:jc w:val="center"/>
              <w:rPr>
                <w:rFonts w:ascii="Calibri" w:hAnsi="Calibri" w:cs="Calibri"/>
                <w:i/>
                <w:iCs/>
                <w:color w:val="000000"/>
                <w:sz w:val="18"/>
                <w:szCs w:val="18"/>
                <w:lang w:eastAsia="en-AU"/>
              </w:rPr>
            </w:pPr>
            <w:r w:rsidRPr="006C7B74">
              <w:rPr>
                <w:i/>
                <w:sz w:val="18"/>
                <w:szCs w:val="18"/>
              </w:rPr>
              <w:t>578.1</w:t>
            </w:r>
          </w:p>
        </w:tc>
      </w:tr>
      <w:tr w:rsidR="00D07EE3" w:rsidRPr="006C7B74" w14:paraId="3D4EB2E7" w14:textId="77777777" w:rsidTr="006C7B74">
        <w:trPr>
          <w:trHeight w:val="315"/>
        </w:trPr>
        <w:tc>
          <w:tcPr>
            <w:tcW w:w="2386" w:type="pct"/>
            <w:tcBorders>
              <w:top w:val="nil"/>
              <w:left w:val="nil"/>
              <w:bottom w:val="single" w:sz="8" w:space="0" w:color="4D446C"/>
              <w:right w:val="nil"/>
            </w:tcBorders>
            <w:shd w:val="clear" w:color="auto" w:fill="auto"/>
            <w:noWrap/>
            <w:vAlign w:val="center"/>
            <w:hideMark/>
          </w:tcPr>
          <w:p w14:paraId="61A4D0AE" w14:textId="77777777" w:rsidR="00D07EE3" w:rsidRPr="006C7B74" w:rsidRDefault="00D07EE3" w:rsidP="00D07EE3">
            <w:pPr>
              <w:rPr>
                <w:rFonts w:ascii="Calibri" w:hAnsi="Calibri" w:cs="Calibri"/>
                <w:b/>
                <w:color w:val="000000"/>
                <w:sz w:val="18"/>
                <w:szCs w:val="18"/>
                <w:lang w:eastAsia="en-AU"/>
              </w:rPr>
            </w:pPr>
            <w:r w:rsidRPr="006C7B74">
              <w:rPr>
                <w:rFonts w:ascii="Calibri" w:hAnsi="Calibri" w:cs="Calibri"/>
                <w:color w:val="363534"/>
                <w:sz w:val="18"/>
                <w:szCs w:val="18"/>
                <w:lang w:eastAsia="en-GB"/>
              </w:rPr>
              <w:t>Inner South East Region</w:t>
            </w:r>
          </w:p>
        </w:tc>
        <w:tc>
          <w:tcPr>
            <w:tcW w:w="907" w:type="pct"/>
            <w:tcBorders>
              <w:top w:val="nil"/>
              <w:left w:val="nil"/>
              <w:bottom w:val="single" w:sz="8" w:space="0" w:color="4D446C"/>
              <w:right w:val="nil"/>
            </w:tcBorders>
            <w:shd w:val="clear" w:color="auto" w:fill="auto"/>
            <w:noWrap/>
            <w:hideMark/>
          </w:tcPr>
          <w:p w14:paraId="0AE693FB" w14:textId="7FCF64E0" w:rsidR="00D07EE3" w:rsidRPr="006C7B74" w:rsidRDefault="00D07EE3" w:rsidP="00D07EE3">
            <w:pPr>
              <w:jc w:val="center"/>
              <w:rPr>
                <w:rFonts w:ascii="Calibri" w:hAnsi="Calibri" w:cs="Calibri"/>
                <w:color w:val="363534"/>
                <w:sz w:val="18"/>
                <w:szCs w:val="18"/>
                <w:lang w:eastAsia="en-AU"/>
              </w:rPr>
            </w:pPr>
            <w:r w:rsidRPr="006C7B74">
              <w:rPr>
                <w:sz w:val="18"/>
                <w:szCs w:val="18"/>
              </w:rPr>
              <w:t>2.3</w:t>
            </w:r>
          </w:p>
        </w:tc>
        <w:tc>
          <w:tcPr>
            <w:tcW w:w="875" w:type="pct"/>
            <w:tcBorders>
              <w:top w:val="nil"/>
              <w:left w:val="nil"/>
              <w:bottom w:val="single" w:sz="8" w:space="0" w:color="4D446C"/>
              <w:right w:val="nil"/>
            </w:tcBorders>
            <w:shd w:val="clear" w:color="auto" w:fill="auto"/>
            <w:noWrap/>
            <w:hideMark/>
          </w:tcPr>
          <w:p w14:paraId="4AC7C5D2" w14:textId="78C6FEB7" w:rsidR="00D07EE3" w:rsidRPr="006C7B74" w:rsidRDefault="00D07EE3" w:rsidP="00D07EE3">
            <w:pPr>
              <w:jc w:val="center"/>
              <w:rPr>
                <w:rFonts w:ascii="Calibri" w:hAnsi="Calibri" w:cs="Calibri"/>
                <w:color w:val="363534"/>
                <w:sz w:val="18"/>
                <w:szCs w:val="18"/>
                <w:lang w:eastAsia="en-AU"/>
              </w:rPr>
            </w:pPr>
            <w:r w:rsidRPr="006C7B74">
              <w:rPr>
                <w:sz w:val="18"/>
                <w:szCs w:val="18"/>
              </w:rPr>
              <w:t>0.0</w:t>
            </w:r>
          </w:p>
        </w:tc>
        <w:tc>
          <w:tcPr>
            <w:tcW w:w="831" w:type="pct"/>
            <w:tcBorders>
              <w:top w:val="nil"/>
              <w:left w:val="nil"/>
              <w:bottom w:val="single" w:sz="8" w:space="0" w:color="4D446C"/>
              <w:right w:val="nil"/>
            </w:tcBorders>
            <w:shd w:val="clear" w:color="auto" w:fill="auto"/>
            <w:noWrap/>
            <w:hideMark/>
          </w:tcPr>
          <w:p w14:paraId="6CFCE79F" w14:textId="0526BD1A" w:rsidR="00D07EE3" w:rsidRPr="006C7B74" w:rsidRDefault="00D07EE3" w:rsidP="00D07EE3">
            <w:pPr>
              <w:jc w:val="center"/>
              <w:rPr>
                <w:rFonts w:ascii="Calibri" w:hAnsi="Calibri" w:cs="Calibri"/>
                <w:color w:val="000000"/>
                <w:sz w:val="18"/>
                <w:szCs w:val="18"/>
                <w:lang w:eastAsia="en-AU"/>
              </w:rPr>
            </w:pPr>
            <w:r w:rsidRPr="006C7B74">
              <w:rPr>
                <w:sz w:val="18"/>
                <w:szCs w:val="18"/>
              </w:rPr>
              <w:t>2.3</w:t>
            </w:r>
          </w:p>
        </w:tc>
      </w:tr>
      <w:tr w:rsidR="00D07EE3" w:rsidRPr="006C7B74" w14:paraId="7B53BE78" w14:textId="77777777" w:rsidTr="006C7B74">
        <w:trPr>
          <w:trHeight w:val="315"/>
        </w:trPr>
        <w:tc>
          <w:tcPr>
            <w:tcW w:w="2386" w:type="pct"/>
            <w:tcBorders>
              <w:top w:val="nil"/>
              <w:left w:val="nil"/>
              <w:bottom w:val="single" w:sz="8" w:space="0" w:color="4D446C"/>
              <w:right w:val="nil"/>
            </w:tcBorders>
            <w:shd w:val="clear" w:color="auto" w:fill="auto"/>
            <w:noWrap/>
            <w:vAlign w:val="center"/>
            <w:hideMark/>
          </w:tcPr>
          <w:p w14:paraId="0F321060" w14:textId="77777777" w:rsidR="00D07EE3" w:rsidRPr="006C7B74" w:rsidRDefault="00D07EE3" w:rsidP="00D07EE3">
            <w:pPr>
              <w:rPr>
                <w:rFonts w:ascii="Calibri" w:hAnsi="Calibri" w:cs="Calibri"/>
                <w:b/>
                <w:color w:val="000000"/>
                <w:sz w:val="18"/>
                <w:szCs w:val="18"/>
                <w:lang w:eastAsia="en-AU"/>
              </w:rPr>
            </w:pPr>
            <w:r w:rsidRPr="006C7B74">
              <w:rPr>
                <w:rFonts w:ascii="Calibri" w:hAnsi="Calibri" w:cs="Calibri"/>
                <w:b/>
                <w:color w:val="000000"/>
                <w:sz w:val="18"/>
                <w:szCs w:val="18"/>
                <w:lang w:eastAsia="en-AU"/>
              </w:rPr>
              <w:t>Total</w:t>
            </w:r>
          </w:p>
        </w:tc>
        <w:tc>
          <w:tcPr>
            <w:tcW w:w="907" w:type="pct"/>
            <w:tcBorders>
              <w:top w:val="nil"/>
              <w:left w:val="nil"/>
              <w:bottom w:val="single" w:sz="8" w:space="0" w:color="4D446C"/>
              <w:right w:val="nil"/>
            </w:tcBorders>
            <w:shd w:val="clear" w:color="auto" w:fill="auto"/>
            <w:noWrap/>
            <w:hideMark/>
          </w:tcPr>
          <w:p w14:paraId="0EAAFF28" w14:textId="0EF449D3" w:rsidR="00D07EE3" w:rsidRPr="006C7B74" w:rsidRDefault="00D07EE3" w:rsidP="00D07EE3">
            <w:pPr>
              <w:jc w:val="center"/>
              <w:rPr>
                <w:rFonts w:ascii="Calibri" w:hAnsi="Calibri" w:cs="Calibri"/>
                <w:b/>
                <w:bCs/>
                <w:color w:val="363534"/>
                <w:sz w:val="18"/>
                <w:szCs w:val="18"/>
                <w:lang w:eastAsia="en-AU"/>
              </w:rPr>
            </w:pPr>
            <w:r w:rsidRPr="006C7B74">
              <w:rPr>
                <w:b/>
                <w:sz w:val="18"/>
                <w:szCs w:val="18"/>
              </w:rPr>
              <w:t>6,</w:t>
            </w:r>
            <w:r w:rsidR="003C4B26" w:rsidRPr="006C7B74">
              <w:rPr>
                <w:b/>
                <w:bCs/>
                <w:sz w:val="18"/>
                <w:szCs w:val="18"/>
              </w:rPr>
              <w:t>562.5</w:t>
            </w:r>
          </w:p>
        </w:tc>
        <w:tc>
          <w:tcPr>
            <w:tcW w:w="875" w:type="pct"/>
            <w:tcBorders>
              <w:top w:val="nil"/>
              <w:left w:val="nil"/>
              <w:bottom w:val="single" w:sz="8" w:space="0" w:color="4D446C"/>
              <w:right w:val="nil"/>
            </w:tcBorders>
            <w:shd w:val="clear" w:color="auto" w:fill="auto"/>
            <w:noWrap/>
            <w:hideMark/>
          </w:tcPr>
          <w:p w14:paraId="510B518F" w14:textId="4CC0D0FC" w:rsidR="00D07EE3" w:rsidRPr="006C7B74" w:rsidRDefault="00D07EE3" w:rsidP="00D07EE3">
            <w:pPr>
              <w:jc w:val="center"/>
              <w:rPr>
                <w:rFonts w:ascii="Calibri" w:hAnsi="Calibri" w:cs="Calibri"/>
                <w:b/>
                <w:color w:val="363534"/>
                <w:sz w:val="18"/>
                <w:szCs w:val="18"/>
                <w:lang w:eastAsia="en-AU"/>
              </w:rPr>
            </w:pPr>
            <w:r w:rsidRPr="006C7B74">
              <w:rPr>
                <w:b/>
                <w:sz w:val="18"/>
                <w:szCs w:val="18"/>
              </w:rPr>
              <w:t>6,</w:t>
            </w:r>
            <w:r w:rsidR="003C4B26" w:rsidRPr="006C7B74">
              <w:rPr>
                <w:b/>
                <w:bCs/>
                <w:sz w:val="18"/>
                <w:szCs w:val="18"/>
              </w:rPr>
              <w:t>931.7</w:t>
            </w:r>
          </w:p>
        </w:tc>
        <w:tc>
          <w:tcPr>
            <w:tcW w:w="831" w:type="pct"/>
            <w:tcBorders>
              <w:top w:val="nil"/>
              <w:left w:val="nil"/>
              <w:bottom w:val="single" w:sz="8" w:space="0" w:color="4D446C"/>
              <w:right w:val="nil"/>
            </w:tcBorders>
            <w:shd w:val="clear" w:color="auto" w:fill="auto"/>
            <w:noWrap/>
            <w:hideMark/>
          </w:tcPr>
          <w:p w14:paraId="3A44C559" w14:textId="1C1E2944" w:rsidR="00D07EE3" w:rsidRPr="006C7B74" w:rsidRDefault="00D07EE3" w:rsidP="00D07EE3">
            <w:pPr>
              <w:jc w:val="center"/>
              <w:rPr>
                <w:rFonts w:ascii="Calibri" w:hAnsi="Calibri" w:cs="Calibri"/>
                <w:b/>
                <w:color w:val="363534"/>
                <w:sz w:val="18"/>
                <w:szCs w:val="18"/>
                <w:lang w:eastAsia="en-GB"/>
              </w:rPr>
            </w:pPr>
            <w:r w:rsidRPr="006C7B74">
              <w:rPr>
                <w:b/>
                <w:sz w:val="18"/>
                <w:szCs w:val="18"/>
              </w:rPr>
              <w:t>13,</w:t>
            </w:r>
            <w:r w:rsidR="003C4B26" w:rsidRPr="006C7B74">
              <w:rPr>
                <w:b/>
                <w:bCs/>
                <w:sz w:val="18"/>
                <w:szCs w:val="18"/>
              </w:rPr>
              <w:t>494.2</w:t>
            </w:r>
          </w:p>
        </w:tc>
      </w:tr>
    </w:tbl>
    <w:p w14:paraId="4029E907" w14:textId="77888485" w:rsidR="00D72ACB" w:rsidRPr="006C7B74" w:rsidRDefault="00DC580D" w:rsidP="00DC580D">
      <w:pPr>
        <w:pStyle w:val="Quote"/>
      </w:pPr>
      <w:r w:rsidRPr="006C7B74">
        <w:t>Source: Department of Environment, Land, Water and Planning, Urban Development Program – Melbourne Metropolitan Industrial 2018</w:t>
      </w:r>
      <w:r w:rsidR="00E164C9" w:rsidRPr="006C7B74">
        <w:t xml:space="preserve"> and internal analysis</w:t>
      </w:r>
    </w:p>
    <w:p w14:paraId="7CB58B00" w14:textId="5BA27383" w:rsidR="00D72ACB" w:rsidRPr="006C7B74" w:rsidRDefault="00D72ACB" w:rsidP="00D72ACB"/>
    <w:p w14:paraId="3D312BE3" w14:textId="77777777" w:rsidR="00A625DA" w:rsidRPr="006C7B74" w:rsidRDefault="00A625DA">
      <w:pPr>
        <w:rPr>
          <w:rFonts w:eastAsiaTheme="majorEastAsia" w:cstheme="majorBidi"/>
          <w:b/>
          <w:color w:val="642667"/>
          <w:sz w:val="20"/>
        </w:rPr>
      </w:pPr>
      <w:r w:rsidRPr="006C7B74">
        <w:br w:type="page"/>
      </w:r>
    </w:p>
    <w:p w14:paraId="6430FB29" w14:textId="7FBCD8CD" w:rsidR="00BC577C" w:rsidRPr="000D67B8" w:rsidRDefault="005110D0" w:rsidP="000D67B8">
      <w:pPr>
        <w:pStyle w:val="Heading5"/>
      </w:pPr>
      <w:r w:rsidRPr="000D67B8">
        <w:lastRenderedPageBreak/>
        <w:t xml:space="preserve">Map </w:t>
      </w:r>
      <w:r w:rsidR="00D90DAF" w:rsidRPr="000D67B8">
        <w:t>2</w:t>
      </w:r>
      <w:r w:rsidRPr="000D67B8">
        <w:t xml:space="preserve">: </w:t>
      </w:r>
      <w:r w:rsidR="00273BCA">
        <w:t>E</w:t>
      </w:r>
      <w:r w:rsidRPr="000D67B8">
        <w:t xml:space="preserve">xisting and </w:t>
      </w:r>
      <w:r w:rsidR="003D3C48" w:rsidRPr="000D67B8">
        <w:t>f</w:t>
      </w:r>
      <w:r w:rsidRPr="000D67B8">
        <w:t xml:space="preserve">uture </w:t>
      </w:r>
      <w:r w:rsidR="0048181F" w:rsidRPr="000D67B8">
        <w:t>i</w:t>
      </w:r>
      <w:r w:rsidRPr="000D67B8">
        <w:t xml:space="preserve">ndustrial </w:t>
      </w:r>
      <w:r w:rsidR="0048181F" w:rsidRPr="000D67B8">
        <w:t>l</w:t>
      </w:r>
      <w:r w:rsidRPr="000D67B8">
        <w:t>and</w:t>
      </w:r>
      <w:r w:rsidR="000D67B8" w:rsidRPr="000D67B8">
        <w:t>.</w:t>
      </w:r>
    </w:p>
    <w:p w14:paraId="5F39B795" w14:textId="77777777" w:rsidR="005110D0" w:rsidRPr="006C7B74" w:rsidRDefault="005110D0" w:rsidP="005110D0">
      <w:pPr>
        <w:pStyle w:val="Quote"/>
      </w:pPr>
      <w:r w:rsidRPr="006C7B74">
        <w:t xml:space="preserve">Source: Department of Environment, Land, Water and Planning </w:t>
      </w:r>
    </w:p>
    <w:p w14:paraId="18FC04CE" w14:textId="77777777" w:rsidR="005110D0" w:rsidRPr="006C7B74" w:rsidRDefault="005110D0" w:rsidP="005110D0">
      <w:pPr>
        <w:rPr>
          <w:rFonts w:cstheme="minorHAnsi"/>
          <w:sz w:val="20"/>
          <w:szCs w:val="20"/>
        </w:rPr>
      </w:pPr>
      <w:r w:rsidRPr="006C7B74">
        <w:br w:type="page"/>
      </w:r>
    </w:p>
    <w:p w14:paraId="17510078" w14:textId="77777777" w:rsidR="005110D0" w:rsidRPr="006C7B74" w:rsidRDefault="005110D0" w:rsidP="00153967">
      <w:pPr>
        <w:pStyle w:val="Heading3"/>
      </w:pPr>
      <w:r w:rsidRPr="006C7B74">
        <w:lastRenderedPageBreak/>
        <w:t xml:space="preserve">Industrial land </w:t>
      </w:r>
      <w:proofErr w:type="spellStart"/>
      <w:r w:rsidRPr="006C7B74">
        <w:t>rezonings</w:t>
      </w:r>
      <w:proofErr w:type="spellEnd"/>
    </w:p>
    <w:p w14:paraId="198BC6D3" w14:textId="479A3A33" w:rsidR="005110D0" w:rsidRPr="006C7B74" w:rsidRDefault="005110D0" w:rsidP="005110D0">
      <w:pPr>
        <w:pStyle w:val="BodyText"/>
        <w:spacing w:before="0" w:line="240" w:lineRule="auto"/>
      </w:pPr>
      <w:r w:rsidRPr="006C7B74">
        <w:t xml:space="preserve">At a metropolitan level, Melbourne has been losing industrial land through </w:t>
      </w:r>
      <w:proofErr w:type="spellStart"/>
      <w:r w:rsidRPr="006C7B74">
        <w:t>rezonings</w:t>
      </w:r>
      <w:proofErr w:type="spellEnd"/>
      <w:r w:rsidRPr="006C7B74">
        <w:t xml:space="preserve">. </w:t>
      </w:r>
    </w:p>
    <w:p w14:paraId="22574E37" w14:textId="3ED8F8D8" w:rsidR="005110D0" w:rsidRPr="006C7B74" w:rsidRDefault="005110D0" w:rsidP="005110D0">
      <w:pPr>
        <w:pStyle w:val="BodyText"/>
        <w:spacing w:before="0" w:line="240" w:lineRule="auto"/>
      </w:pPr>
      <w:r w:rsidRPr="006C7B74">
        <w:t>Between 200</w:t>
      </w:r>
      <w:r w:rsidR="00A521A5" w:rsidRPr="006C7B74">
        <w:t>0-0</w:t>
      </w:r>
      <w:r w:rsidRPr="006C7B74">
        <w:t>1 and 201</w:t>
      </w:r>
      <w:r w:rsidR="00A521A5" w:rsidRPr="006C7B74">
        <w:t>7-1</w:t>
      </w:r>
      <w:r w:rsidRPr="006C7B74">
        <w:t xml:space="preserve">8 a total of 2,423 hectares of industrial land was rezoned to allow for other uses. Of </w:t>
      </w:r>
      <w:r w:rsidR="008A6C20" w:rsidRPr="006C7B74">
        <w:t xml:space="preserve">all </w:t>
      </w:r>
      <w:r w:rsidRPr="006C7B74">
        <w:t xml:space="preserve">the industrial land rezoned, </w:t>
      </w:r>
      <w:r w:rsidR="008A6C20" w:rsidRPr="006C7B74">
        <w:t xml:space="preserve">approximately </w:t>
      </w:r>
      <w:r w:rsidRPr="006C7B74">
        <w:t xml:space="preserve">50 per cent was for residential or </w:t>
      </w:r>
      <w:r w:rsidR="00A06647" w:rsidRPr="006C7B74">
        <w:t>mixed</w:t>
      </w:r>
      <w:r w:rsidR="00834346" w:rsidRPr="006C7B74">
        <w:t>-</w:t>
      </w:r>
      <w:r w:rsidR="00A06647" w:rsidRPr="006C7B74">
        <w:t>use</w:t>
      </w:r>
      <w:r w:rsidRPr="006C7B74">
        <w:t xml:space="preserve"> purposes. Once industrial land is rezoned for these types of uses, it is unlikely ever to be returned to an industrial or employment use. </w:t>
      </w:r>
    </w:p>
    <w:p w14:paraId="0A606B5A" w14:textId="24CF58A0" w:rsidR="005110D0" w:rsidRPr="006C7B74" w:rsidRDefault="005110D0" w:rsidP="005110D0">
      <w:pPr>
        <w:pStyle w:val="BodyText"/>
        <w:spacing w:before="0" w:line="240" w:lineRule="auto"/>
      </w:pPr>
      <w:r w:rsidRPr="006C7B74">
        <w:t>Losses of industrial land were mainly in Melbourne’s inner and middle suburbs</w:t>
      </w:r>
      <w:r w:rsidRPr="006C7B74">
        <w:rPr>
          <w:lang w:eastAsia="en-AU"/>
        </w:rPr>
        <w:t xml:space="preserve"> </w:t>
      </w:r>
      <w:r w:rsidR="00C31FF2" w:rsidRPr="006C7B74">
        <w:rPr>
          <w:lang w:eastAsia="en-AU"/>
        </w:rPr>
        <w:t xml:space="preserve">particularly </w:t>
      </w:r>
      <w:r w:rsidRPr="006C7B74">
        <w:rPr>
          <w:lang w:eastAsia="en-AU"/>
        </w:rPr>
        <w:t xml:space="preserve">along the train and tram lines in the municipalities of Port Phillip, Maribyrnong, </w:t>
      </w:r>
      <w:proofErr w:type="spellStart"/>
      <w:r w:rsidRPr="006C7B74">
        <w:rPr>
          <w:lang w:eastAsia="en-AU"/>
        </w:rPr>
        <w:t>Brimbank</w:t>
      </w:r>
      <w:proofErr w:type="spellEnd"/>
      <w:r w:rsidRPr="006C7B74">
        <w:rPr>
          <w:lang w:eastAsia="en-AU"/>
        </w:rPr>
        <w:t>, Moreland, Darebin, Monash and Yarra</w:t>
      </w:r>
      <w:r w:rsidRPr="006C7B74">
        <w:t xml:space="preserve">. Around </w:t>
      </w:r>
      <w:r w:rsidR="00183987" w:rsidRPr="006C7B74">
        <w:t xml:space="preserve">65 per cent of all sites </w:t>
      </w:r>
      <w:r w:rsidRPr="006C7B74">
        <w:t>rezon</w:t>
      </w:r>
      <w:r w:rsidR="00183987" w:rsidRPr="006C7B74">
        <w:t>ed</w:t>
      </w:r>
      <w:r w:rsidRPr="006C7B74">
        <w:t xml:space="preserve"> were less than </w:t>
      </w:r>
      <w:r w:rsidR="00183987" w:rsidRPr="006C7B74">
        <w:t>two</w:t>
      </w:r>
      <w:r w:rsidRPr="006C7B74">
        <w:t xml:space="preserve"> hectares in area.</w:t>
      </w:r>
      <w:r w:rsidR="00315EAF" w:rsidRPr="006C7B74">
        <w:t xml:space="preserve"> The largest single </w:t>
      </w:r>
      <w:proofErr w:type="spellStart"/>
      <w:r w:rsidR="00315EAF" w:rsidRPr="006C7B74">
        <w:t>rezonings</w:t>
      </w:r>
      <w:proofErr w:type="spellEnd"/>
      <w:r w:rsidR="00315EAF" w:rsidRPr="006C7B74">
        <w:t xml:space="preserve"> occurred in Port Phillip (215 hectares) and Melton (197 hectares). In both these instances, </w:t>
      </w:r>
      <w:proofErr w:type="spellStart"/>
      <w:r w:rsidR="00315EAF" w:rsidRPr="006C7B74">
        <w:t>rezonings</w:t>
      </w:r>
      <w:proofErr w:type="spellEnd"/>
      <w:r w:rsidR="00315EAF" w:rsidRPr="006C7B74">
        <w:t xml:space="preserve"> </w:t>
      </w:r>
      <w:r w:rsidR="00971EC6" w:rsidRPr="006C7B74">
        <w:t>enabled</w:t>
      </w:r>
      <w:r w:rsidR="00315EAF" w:rsidRPr="006C7B74">
        <w:t xml:space="preserve"> residential or mixed</w:t>
      </w:r>
      <w:r w:rsidR="00834346" w:rsidRPr="006C7B74">
        <w:t>-</w:t>
      </w:r>
      <w:r w:rsidR="00315EAF" w:rsidRPr="006C7B74">
        <w:t>use development.</w:t>
      </w:r>
    </w:p>
    <w:p w14:paraId="7F392A5C" w14:textId="77777777" w:rsidR="005110D0" w:rsidRPr="006C7B74" w:rsidRDefault="005110D0" w:rsidP="005110D0">
      <w:pPr>
        <w:pStyle w:val="BodyText"/>
        <w:spacing w:before="0" w:line="240" w:lineRule="auto"/>
      </w:pPr>
    </w:p>
    <w:p w14:paraId="4F1B1A03" w14:textId="7CF24DCD" w:rsidR="005110D0" w:rsidRPr="000D67B8" w:rsidRDefault="005110D0" w:rsidP="000D67B8">
      <w:pPr>
        <w:pStyle w:val="Heading5"/>
      </w:pPr>
      <w:r w:rsidRPr="000D67B8">
        <w:t xml:space="preserve">Figure </w:t>
      </w:r>
      <w:r w:rsidR="0087642A" w:rsidRPr="000D67B8">
        <w:t>7</w:t>
      </w:r>
      <w:r w:rsidRPr="000D67B8">
        <w:t>: Change of zoned industrial land, metropolitan Melbourne, 2000-01 to 2017-18</w:t>
      </w:r>
    </w:p>
    <w:p w14:paraId="5DC1B20A" w14:textId="2C07B5E6" w:rsidR="005110D0" w:rsidRPr="006C7B74" w:rsidRDefault="00E76D01" w:rsidP="005110D0">
      <w:pPr>
        <w:spacing w:after="120"/>
        <w:rPr>
          <w:rFonts w:cstheme="minorHAnsi"/>
        </w:rPr>
      </w:pPr>
      <w:r w:rsidRPr="006C7B74">
        <w:rPr>
          <w:noProof/>
        </w:rPr>
        <w:drawing>
          <wp:inline distT="0" distB="0" distL="0" distR="0" wp14:anchorId="3EDA0714" wp14:editId="0D9C8B78">
            <wp:extent cx="5727700" cy="3993515"/>
            <wp:effectExtent l="0" t="0" r="6350" b="6985"/>
            <wp:docPr id="14" name="Picture 14" descr="Map showing change of zoned industrial land, metropolitan Melbourne, 2000-01 to 20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27700" cy="3993515"/>
                    </a:xfrm>
                    <a:prstGeom prst="rect">
                      <a:avLst/>
                    </a:prstGeom>
                  </pic:spPr>
                </pic:pic>
              </a:graphicData>
            </a:graphic>
          </wp:inline>
        </w:drawing>
      </w:r>
      <w:r w:rsidR="005110D0" w:rsidRPr="006C7B74">
        <w:fldChar w:fldCharType="begin"/>
      </w:r>
      <w:r w:rsidR="005110D0" w:rsidRPr="006C7B74">
        <w:rPr>
          <w:rFonts w:cstheme="minorHAnsi"/>
        </w:rPr>
        <w:instrText xml:space="preserve"> INCLUDEPICTURE "C:\\var\\folders\\yp\\fkqm7dmn1lq5m5w8wg67b0140000gn\\T\\com.microsoft.Word\\WebArchiveCopyPasteTempFiles\\page12image1272" \* MERGEFORMAT </w:instrText>
      </w:r>
      <w:r w:rsidR="005110D0" w:rsidRPr="006C7B74">
        <w:rPr>
          <w:rFonts w:cstheme="minorHAnsi"/>
        </w:rPr>
        <w:fldChar w:fldCharType="end"/>
      </w:r>
    </w:p>
    <w:p w14:paraId="7B1227A3" w14:textId="4A106569" w:rsidR="00DC580D" w:rsidRPr="006C7B74" w:rsidRDefault="00DC580D" w:rsidP="00DC580D">
      <w:pPr>
        <w:pStyle w:val="Quote"/>
        <w:rPr>
          <w:lang w:eastAsia="en-AU"/>
        </w:rPr>
      </w:pPr>
      <w:r w:rsidRPr="006C7B74">
        <w:rPr>
          <w:lang w:eastAsia="en-AU"/>
        </w:rPr>
        <w:t>Source: Department of Environment, Land, Water and Planning, Urban Development Program – Melbourne Metropolitan Industrial 2018</w:t>
      </w:r>
    </w:p>
    <w:p w14:paraId="50051D7B" w14:textId="4C657A68" w:rsidR="005110D0" w:rsidRPr="006C7B74" w:rsidRDefault="005110D0" w:rsidP="005110D0">
      <w:pPr>
        <w:spacing w:after="120"/>
        <w:rPr>
          <w:rFonts w:cstheme="minorHAnsi"/>
          <w:sz w:val="20"/>
          <w:szCs w:val="20"/>
        </w:rPr>
      </w:pPr>
    </w:p>
    <w:p w14:paraId="6F48D531" w14:textId="77777777" w:rsidR="005110D0" w:rsidRPr="006C7B74" w:rsidRDefault="005110D0" w:rsidP="005110D0">
      <w:pPr>
        <w:pStyle w:val="Heading3"/>
        <w:spacing w:before="0" w:after="120"/>
      </w:pPr>
      <w:r w:rsidRPr="006C7B74">
        <w:t xml:space="preserve">Demand for Industrial land </w:t>
      </w:r>
    </w:p>
    <w:p w14:paraId="5827AD03" w14:textId="228221E5" w:rsidR="005110D0" w:rsidRPr="006C7B74" w:rsidRDefault="005110D0" w:rsidP="005110D0">
      <w:pPr>
        <w:pStyle w:val="BodyText"/>
        <w:spacing w:before="0" w:line="240" w:lineRule="auto"/>
      </w:pPr>
      <w:r w:rsidRPr="006C7B74">
        <w:t xml:space="preserve">There is strong ongoing demand for industrial land across metropolitan Melbourne. </w:t>
      </w:r>
    </w:p>
    <w:p w14:paraId="015A3D07" w14:textId="19AAF1D6" w:rsidR="005110D0" w:rsidRPr="006C7B74" w:rsidRDefault="005110D0" w:rsidP="005110D0">
      <w:pPr>
        <w:pStyle w:val="BodyText"/>
        <w:spacing w:before="0" w:line="240" w:lineRule="auto"/>
      </w:pPr>
      <w:r w:rsidRPr="006C7B74">
        <w:t xml:space="preserve">Industrial land consumption </w:t>
      </w:r>
      <w:r w:rsidR="00965864" w:rsidRPr="006C7B74">
        <w:t xml:space="preserve">across </w:t>
      </w:r>
      <w:r w:rsidRPr="006C7B74">
        <w:t xml:space="preserve">metropolitan Melbourne over the last three years (2015-16 to 2017-18) has been at a rate of around 280 hectares per annum. This is roughly equivalent to the area of the Melbourne CBD and Southbank combined. By comparison, </w:t>
      </w:r>
      <w:r w:rsidR="00165F63" w:rsidRPr="006C7B74">
        <w:t>in 2016</w:t>
      </w:r>
      <w:r w:rsidR="003A0E49" w:rsidRPr="006C7B74">
        <w:t>,</w:t>
      </w:r>
      <w:r w:rsidR="00165F63" w:rsidRPr="006C7B74">
        <w:t xml:space="preserve"> 2017</w:t>
      </w:r>
      <w:r w:rsidR="003A0E49" w:rsidRPr="006C7B74">
        <w:t xml:space="preserve"> and </w:t>
      </w:r>
      <w:r w:rsidR="00C66EB3" w:rsidRPr="006C7B74">
        <w:t>2018</w:t>
      </w:r>
      <w:r w:rsidRPr="006C7B74">
        <w:t xml:space="preserve">, take-up of industrial land in </w:t>
      </w:r>
      <w:r w:rsidR="00165F63" w:rsidRPr="006C7B74">
        <w:t xml:space="preserve">Greater </w:t>
      </w:r>
      <w:r w:rsidRPr="006C7B74">
        <w:t xml:space="preserve">Sydney averaged </w:t>
      </w:r>
      <w:r w:rsidR="00C66EB3" w:rsidRPr="006C7B74">
        <w:t xml:space="preserve">152 </w:t>
      </w:r>
      <w:r w:rsidRPr="006C7B74">
        <w:t xml:space="preserve">hectares </w:t>
      </w:r>
      <w:r w:rsidR="00E36A96" w:rsidRPr="006C7B74">
        <w:t>per annum</w:t>
      </w:r>
      <w:r w:rsidRPr="006C7B74">
        <w:t>.</w:t>
      </w:r>
    </w:p>
    <w:p w14:paraId="7DE3EA10" w14:textId="58DE76B1" w:rsidR="005110D0" w:rsidRPr="006C7B74" w:rsidRDefault="005110D0" w:rsidP="005110D0">
      <w:pPr>
        <w:pStyle w:val="BodyText"/>
        <w:spacing w:before="0" w:line="240" w:lineRule="auto"/>
      </w:pPr>
      <w:r w:rsidRPr="006C7B74">
        <w:t xml:space="preserve">Of all the industrial land consumed over the last three years across Melbourne almost 43 per cent of </w:t>
      </w:r>
      <w:r w:rsidR="009C28B1" w:rsidRPr="006C7B74">
        <w:t>this land</w:t>
      </w:r>
      <w:r w:rsidRPr="006C7B74">
        <w:t xml:space="preserve"> was within the Western SSIP. The Southern SSIP also saw strong demand for </w:t>
      </w:r>
      <w:r w:rsidR="001C28DD" w:rsidRPr="006C7B74">
        <w:t xml:space="preserve">industrial </w:t>
      </w:r>
      <w:r w:rsidRPr="006C7B74">
        <w:t>land</w:t>
      </w:r>
      <w:r w:rsidR="00EF0C1A" w:rsidRPr="006C7B74">
        <w:t>,</w:t>
      </w:r>
      <w:r w:rsidRPr="006C7B74">
        <w:t xml:space="preserve"> accounting for </w:t>
      </w:r>
      <w:r w:rsidR="00063713">
        <w:t>nearly</w:t>
      </w:r>
      <w:r w:rsidRPr="006C7B74">
        <w:t xml:space="preserve"> </w:t>
      </w:r>
      <w:r w:rsidR="00063713" w:rsidRPr="006C7B74">
        <w:t>2</w:t>
      </w:r>
      <w:r w:rsidR="00063713">
        <w:t>3</w:t>
      </w:r>
      <w:r w:rsidR="00063713" w:rsidRPr="006C7B74">
        <w:t xml:space="preserve"> </w:t>
      </w:r>
      <w:r w:rsidRPr="006C7B74">
        <w:t xml:space="preserve">per cent of land consumed over the period. While overall consumption in the Northern SSIP over the </w:t>
      </w:r>
      <w:r w:rsidRPr="006C7B74">
        <w:lastRenderedPageBreak/>
        <w:t xml:space="preserve">same period was </w:t>
      </w:r>
      <w:r w:rsidR="00EE184F">
        <w:t>not</w:t>
      </w:r>
      <w:r w:rsidRPr="006C7B74">
        <w:t xml:space="preserve"> as </w:t>
      </w:r>
      <w:r w:rsidR="00E031ED">
        <w:t>high</w:t>
      </w:r>
      <w:r w:rsidRPr="006C7B74">
        <w:t>, annual consumption has increased significantly over the last couple of years</w:t>
      </w:r>
      <w:r w:rsidR="00645CA4" w:rsidRPr="006C7B74">
        <w:t xml:space="preserve"> as serviced land has become available</w:t>
      </w:r>
      <w:r w:rsidRPr="006C7B74">
        <w:t xml:space="preserve">. Combined these three SSIPs have accounted for </w:t>
      </w:r>
      <w:r w:rsidR="009343D2">
        <w:t>three quarters</w:t>
      </w:r>
      <w:r w:rsidRPr="006C7B74">
        <w:t xml:space="preserve"> of all </w:t>
      </w:r>
      <w:r w:rsidR="00067324" w:rsidRPr="006C7B74">
        <w:t xml:space="preserve">industrial </w:t>
      </w:r>
      <w:r w:rsidRPr="006C7B74">
        <w:t xml:space="preserve">land consumed across metropolitan Melbourne over the last three years. </w:t>
      </w:r>
    </w:p>
    <w:p w14:paraId="2B9774AE" w14:textId="77777777" w:rsidR="005110D0" w:rsidRPr="006C7B74" w:rsidRDefault="005110D0" w:rsidP="005110D0">
      <w:pPr>
        <w:pStyle w:val="BodyText"/>
        <w:spacing w:before="0" w:line="240" w:lineRule="auto"/>
      </w:pPr>
    </w:p>
    <w:p w14:paraId="6C6408CE" w14:textId="765F6E7E" w:rsidR="005110D0" w:rsidRPr="006C7B74" w:rsidRDefault="005110D0" w:rsidP="005110D0">
      <w:pPr>
        <w:pStyle w:val="Heading5"/>
      </w:pPr>
      <w:r w:rsidRPr="006C7B74">
        <w:t xml:space="preserve">Table 4: Industrial </w:t>
      </w:r>
      <w:r w:rsidR="003D3C48" w:rsidRPr="006C7B74">
        <w:t>l</w:t>
      </w:r>
      <w:r w:rsidRPr="006C7B74">
        <w:t xml:space="preserve">and </w:t>
      </w:r>
      <w:r w:rsidR="003D3C48" w:rsidRPr="006C7B74">
        <w:t>c</w:t>
      </w:r>
      <w:r w:rsidRPr="006C7B74">
        <w:t>onsumption</w:t>
      </w:r>
      <w:r w:rsidR="00952EEA" w:rsidRPr="006C7B74">
        <w:t>,</w:t>
      </w:r>
      <w:r w:rsidRPr="006C7B74">
        <w:t xml:space="preserve"> 201</w:t>
      </w:r>
      <w:r w:rsidR="00A521A5" w:rsidRPr="006C7B74">
        <w:t>5-1</w:t>
      </w:r>
      <w:r w:rsidRPr="006C7B74">
        <w:t>6 to 201</w:t>
      </w:r>
      <w:r w:rsidR="00A521A5" w:rsidRPr="006C7B74">
        <w:t>7-1</w:t>
      </w:r>
      <w:r w:rsidRPr="006C7B74">
        <w:t>8</w:t>
      </w:r>
    </w:p>
    <w:tbl>
      <w:tblPr>
        <w:tblW w:w="5000" w:type="pct"/>
        <w:tblLook w:val="04A0" w:firstRow="1" w:lastRow="0" w:firstColumn="1" w:lastColumn="0" w:noHBand="0" w:noVBand="1"/>
      </w:tblPr>
      <w:tblGrid>
        <w:gridCol w:w="4137"/>
        <w:gridCol w:w="1627"/>
        <w:gridCol w:w="1627"/>
        <w:gridCol w:w="1629"/>
      </w:tblGrid>
      <w:tr w:rsidR="005110D0" w:rsidRPr="006C7B74" w14:paraId="0FF997B6" w14:textId="77777777" w:rsidTr="005110D0">
        <w:trPr>
          <w:trHeight w:val="315"/>
        </w:trPr>
        <w:tc>
          <w:tcPr>
            <w:tcW w:w="2293" w:type="pct"/>
            <w:tcBorders>
              <w:top w:val="nil"/>
              <w:left w:val="nil"/>
              <w:bottom w:val="single" w:sz="8" w:space="0" w:color="4D446C"/>
              <w:right w:val="nil"/>
            </w:tcBorders>
            <w:shd w:val="clear" w:color="000000" w:fill="4D446C"/>
            <w:noWrap/>
            <w:vAlign w:val="center"/>
            <w:hideMark/>
          </w:tcPr>
          <w:p w14:paraId="54B2BF9F" w14:textId="77777777" w:rsidR="005110D0" w:rsidRPr="006C7B74" w:rsidRDefault="005110D0" w:rsidP="000D67B8">
            <w:pPr>
              <w:pStyle w:val="TableHeaderRow"/>
            </w:pPr>
            <w:r w:rsidRPr="006C7B74">
              <w:t>Region / SSIP</w:t>
            </w:r>
          </w:p>
        </w:tc>
        <w:tc>
          <w:tcPr>
            <w:tcW w:w="902" w:type="pct"/>
            <w:tcBorders>
              <w:top w:val="nil"/>
              <w:left w:val="nil"/>
              <w:bottom w:val="single" w:sz="8" w:space="0" w:color="4D446C"/>
              <w:right w:val="nil"/>
            </w:tcBorders>
            <w:shd w:val="clear" w:color="000000" w:fill="4D446C"/>
            <w:noWrap/>
            <w:vAlign w:val="center"/>
            <w:hideMark/>
          </w:tcPr>
          <w:p w14:paraId="6060428C" w14:textId="77E1F6EA" w:rsidR="005110D0" w:rsidRPr="006C7B74" w:rsidRDefault="005110D0" w:rsidP="008510B6">
            <w:pPr>
              <w:pStyle w:val="TableHeaderRow"/>
              <w:jc w:val="center"/>
            </w:pPr>
            <w:r w:rsidRPr="006C7B74">
              <w:t>2015</w:t>
            </w:r>
            <w:r w:rsidR="00B678A2" w:rsidRPr="006C7B74">
              <w:t>-</w:t>
            </w:r>
            <w:r w:rsidRPr="006C7B74">
              <w:t>16</w:t>
            </w:r>
            <w:r w:rsidR="00A521A5" w:rsidRPr="006C7B74">
              <w:t xml:space="preserve"> </w:t>
            </w:r>
            <w:r w:rsidRPr="006C7B74">
              <w:t>(ha)</w:t>
            </w:r>
          </w:p>
        </w:tc>
        <w:tc>
          <w:tcPr>
            <w:tcW w:w="902" w:type="pct"/>
            <w:tcBorders>
              <w:top w:val="nil"/>
              <w:left w:val="nil"/>
              <w:bottom w:val="single" w:sz="8" w:space="0" w:color="4D446C"/>
              <w:right w:val="nil"/>
            </w:tcBorders>
            <w:shd w:val="clear" w:color="000000" w:fill="4D446C"/>
            <w:noWrap/>
            <w:vAlign w:val="center"/>
            <w:hideMark/>
          </w:tcPr>
          <w:p w14:paraId="7A6A8A54" w14:textId="19C60BA1" w:rsidR="005110D0" w:rsidRPr="006C7B74" w:rsidRDefault="005110D0" w:rsidP="008510B6">
            <w:pPr>
              <w:pStyle w:val="TableHeaderRow"/>
              <w:jc w:val="center"/>
            </w:pPr>
            <w:r w:rsidRPr="006C7B74">
              <w:t>2016</w:t>
            </w:r>
            <w:r w:rsidR="00B678A2" w:rsidRPr="006C7B74">
              <w:t>-</w:t>
            </w:r>
            <w:r w:rsidRPr="006C7B74">
              <w:t>17</w:t>
            </w:r>
            <w:r w:rsidR="00A521A5" w:rsidRPr="006C7B74">
              <w:t xml:space="preserve"> </w:t>
            </w:r>
            <w:r w:rsidRPr="006C7B74">
              <w:t>(ha)</w:t>
            </w:r>
          </w:p>
        </w:tc>
        <w:tc>
          <w:tcPr>
            <w:tcW w:w="903" w:type="pct"/>
            <w:tcBorders>
              <w:top w:val="nil"/>
              <w:left w:val="nil"/>
              <w:bottom w:val="single" w:sz="8" w:space="0" w:color="4D446C"/>
              <w:right w:val="nil"/>
            </w:tcBorders>
            <w:shd w:val="clear" w:color="000000" w:fill="4D446C"/>
            <w:noWrap/>
            <w:vAlign w:val="center"/>
            <w:hideMark/>
          </w:tcPr>
          <w:p w14:paraId="7A2C4901" w14:textId="159F099F" w:rsidR="005110D0" w:rsidRPr="006C7B74" w:rsidRDefault="005110D0" w:rsidP="008510B6">
            <w:pPr>
              <w:pStyle w:val="TableHeaderRow"/>
              <w:jc w:val="center"/>
            </w:pPr>
            <w:r w:rsidRPr="006C7B74">
              <w:t>2017</w:t>
            </w:r>
            <w:r w:rsidR="00B678A2" w:rsidRPr="006C7B74">
              <w:t>-</w:t>
            </w:r>
            <w:r w:rsidRPr="006C7B74">
              <w:t>18</w:t>
            </w:r>
            <w:r w:rsidR="00A521A5" w:rsidRPr="006C7B74">
              <w:t xml:space="preserve"> </w:t>
            </w:r>
            <w:r w:rsidRPr="006C7B74">
              <w:t>(ha)</w:t>
            </w:r>
          </w:p>
        </w:tc>
      </w:tr>
      <w:tr w:rsidR="005110D0" w:rsidRPr="006C7B74" w14:paraId="66FF868E" w14:textId="77777777" w:rsidTr="005110D0">
        <w:trPr>
          <w:trHeight w:val="315"/>
        </w:trPr>
        <w:tc>
          <w:tcPr>
            <w:tcW w:w="2293" w:type="pct"/>
            <w:tcBorders>
              <w:top w:val="nil"/>
              <w:left w:val="nil"/>
              <w:bottom w:val="single" w:sz="8" w:space="0" w:color="4D446C"/>
              <w:right w:val="nil"/>
            </w:tcBorders>
            <w:shd w:val="clear" w:color="auto" w:fill="auto"/>
            <w:noWrap/>
            <w:vAlign w:val="center"/>
          </w:tcPr>
          <w:p w14:paraId="753DEDC4" w14:textId="77777777" w:rsidR="005110D0" w:rsidRPr="006C7B74" w:rsidRDefault="005110D0" w:rsidP="005110D0">
            <w:pPr>
              <w:rPr>
                <w:rFonts w:ascii="Calibri" w:hAnsi="Calibri"/>
                <w:b/>
                <w:bCs/>
                <w:color w:val="000000"/>
                <w:sz w:val="18"/>
                <w:szCs w:val="18"/>
                <w:lang w:eastAsia="en-AU"/>
              </w:rPr>
            </w:pPr>
            <w:r w:rsidRPr="006C7B74">
              <w:rPr>
                <w:rFonts w:ascii="Calibri" w:hAnsi="Calibri" w:cs="Calibri"/>
                <w:color w:val="363534"/>
                <w:sz w:val="18"/>
                <w:szCs w:val="18"/>
                <w:lang w:eastAsia="en-GB"/>
              </w:rPr>
              <w:t>Inner Metro Region</w:t>
            </w:r>
          </w:p>
        </w:tc>
        <w:tc>
          <w:tcPr>
            <w:tcW w:w="902" w:type="pct"/>
            <w:tcBorders>
              <w:top w:val="nil"/>
              <w:left w:val="nil"/>
              <w:bottom w:val="single" w:sz="8" w:space="0" w:color="4D446C"/>
              <w:right w:val="nil"/>
            </w:tcBorders>
            <w:shd w:val="clear" w:color="auto" w:fill="auto"/>
            <w:noWrap/>
            <w:vAlign w:val="center"/>
          </w:tcPr>
          <w:p w14:paraId="63D7716F" w14:textId="77777777" w:rsidR="005110D0" w:rsidRPr="006C7B74" w:rsidRDefault="005110D0" w:rsidP="005110D0">
            <w:pPr>
              <w:jc w:val="center"/>
              <w:rPr>
                <w:rFonts w:ascii="Calibri" w:hAnsi="Calibri"/>
                <w:color w:val="000000"/>
                <w:sz w:val="18"/>
                <w:szCs w:val="18"/>
                <w:lang w:eastAsia="en-AU"/>
              </w:rPr>
            </w:pPr>
            <w:r w:rsidRPr="006C7B74">
              <w:rPr>
                <w:rFonts w:ascii="Calibri" w:hAnsi="Calibri"/>
                <w:color w:val="auto"/>
                <w:sz w:val="18"/>
                <w:szCs w:val="18"/>
                <w:lang w:eastAsia="en-AU"/>
              </w:rPr>
              <w:t>-1.1</w:t>
            </w:r>
          </w:p>
        </w:tc>
        <w:tc>
          <w:tcPr>
            <w:tcW w:w="902" w:type="pct"/>
            <w:tcBorders>
              <w:top w:val="nil"/>
              <w:left w:val="nil"/>
              <w:bottom w:val="single" w:sz="8" w:space="0" w:color="4D446C"/>
              <w:right w:val="nil"/>
            </w:tcBorders>
            <w:shd w:val="clear" w:color="auto" w:fill="auto"/>
            <w:noWrap/>
            <w:vAlign w:val="center"/>
          </w:tcPr>
          <w:p w14:paraId="5B27ABA1" w14:textId="77777777" w:rsidR="005110D0" w:rsidRPr="006C7B74" w:rsidRDefault="005110D0" w:rsidP="005110D0">
            <w:pPr>
              <w:jc w:val="center"/>
              <w:rPr>
                <w:rFonts w:ascii="Calibri" w:hAnsi="Calibri"/>
                <w:color w:val="000000"/>
                <w:sz w:val="18"/>
                <w:szCs w:val="18"/>
                <w:lang w:eastAsia="en-AU"/>
              </w:rPr>
            </w:pPr>
            <w:r w:rsidRPr="006C7B74">
              <w:rPr>
                <w:rFonts w:ascii="Calibri" w:hAnsi="Calibri"/>
                <w:color w:val="auto"/>
                <w:sz w:val="18"/>
                <w:szCs w:val="18"/>
                <w:lang w:eastAsia="en-AU"/>
              </w:rPr>
              <w:t>-0.7</w:t>
            </w:r>
          </w:p>
        </w:tc>
        <w:tc>
          <w:tcPr>
            <w:tcW w:w="903" w:type="pct"/>
            <w:tcBorders>
              <w:top w:val="nil"/>
              <w:left w:val="nil"/>
              <w:bottom w:val="single" w:sz="8" w:space="0" w:color="4D446C"/>
              <w:right w:val="nil"/>
            </w:tcBorders>
            <w:shd w:val="clear" w:color="auto" w:fill="auto"/>
            <w:noWrap/>
            <w:vAlign w:val="center"/>
          </w:tcPr>
          <w:p w14:paraId="1BF02671" w14:textId="77777777" w:rsidR="005110D0" w:rsidRPr="006C7B74" w:rsidRDefault="005110D0" w:rsidP="005110D0">
            <w:pPr>
              <w:jc w:val="center"/>
              <w:rPr>
                <w:rFonts w:ascii="Calibri" w:hAnsi="Calibri"/>
                <w:color w:val="000000"/>
                <w:sz w:val="18"/>
                <w:szCs w:val="18"/>
                <w:lang w:eastAsia="en-AU"/>
              </w:rPr>
            </w:pPr>
            <w:r w:rsidRPr="006C7B74">
              <w:rPr>
                <w:rFonts w:ascii="Calibri" w:hAnsi="Calibri"/>
                <w:color w:val="auto"/>
                <w:sz w:val="18"/>
                <w:szCs w:val="18"/>
                <w:lang w:eastAsia="en-AU"/>
              </w:rPr>
              <w:t>-19.6</w:t>
            </w:r>
          </w:p>
        </w:tc>
      </w:tr>
      <w:tr w:rsidR="005110D0" w:rsidRPr="006C7B74" w14:paraId="24F3865F" w14:textId="77777777" w:rsidTr="005110D0">
        <w:trPr>
          <w:trHeight w:val="315"/>
        </w:trPr>
        <w:tc>
          <w:tcPr>
            <w:tcW w:w="2293" w:type="pct"/>
            <w:tcBorders>
              <w:top w:val="nil"/>
              <w:left w:val="nil"/>
              <w:bottom w:val="single" w:sz="8" w:space="0" w:color="4D446C"/>
              <w:right w:val="nil"/>
            </w:tcBorders>
            <w:shd w:val="clear" w:color="auto" w:fill="auto"/>
            <w:noWrap/>
            <w:vAlign w:val="center"/>
          </w:tcPr>
          <w:p w14:paraId="73D9D6B1" w14:textId="77777777" w:rsidR="005110D0" w:rsidRPr="006C7B74" w:rsidRDefault="005110D0" w:rsidP="005110D0">
            <w:pPr>
              <w:rPr>
                <w:rFonts w:ascii="Calibri" w:hAnsi="Calibri"/>
                <w:b/>
                <w:bCs/>
                <w:color w:val="000000"/>
                <w:sz w:val="18"/>
                <w:szCs w:val="18"/>
                <w:lang w:eastAsia="en-AU"/>
              </w:rPr>
            </w:pPr>
            <w:r w:rsidRPr="006C7B74">
              <w:rPr>
                <w:rFonts w:ascii="Calibri" w:hAnsi="Calibri" w:cs="Calibri"/>
                <w:color w:val="363534"/>
                <w:sz w:val="18"/>
                <w:szCs w:val="18"/>
                <w:lang w:eastAsia="en-GB"/>
              </w:rPr>
              <w:t>Western Region</w:t>
            </w:r>
          </w:p>
        </w:tc>
        <w:tc>
          <w:tcPr>
            <w:tcW w:w="902" w:type="pct"/>
            <w:tcBorders>
              <w:top w:val="nil"/>
              <w:left w:val="nil"/>
              <w:bottom w:val="single" w:sz="8" w:space="0" w:color="4D446C"/>
              <w:right w:val="nil"/>
            </w:tcBorders>
            <w:shd w:val="clear" w:color="auto" w:fill="auto"/>
            <w:noWrap/>
            <w:vAlign w:val="center"/>
          </w:tcPr>
          <w:p w14:paraId="070E2DBB" w14:textId="77777777" w:rsidR="005110D0" w:rsidRPr="006C7B74" w:rsidRDefault="005110D0" w:rsidP="005110D0">
            <w:pPr>
              <w:jc w:val="center"/>
              <w:rPr>
                <w:rFonts w:ascii="Calibri" w:hAnsi="Calibri"/>
                <w:color w:val="000000"/>
                <w:sz w:val="18"/>
                <w:szCs w:val="18"/>
                <w:lang w:eastAsia="en-AU"/>
              </w:rPr>
            </w:pPr>
            <w:r w:rsidRPr="006C7B74">
              <w:rPr>
                <w:rFonts w:ascii="Calibri" w:hAnsi="Calibri"/>
                <w:color w:val="000000"/>
                <w:sz w:val="18"/>
                <w:szCs w:val="18"/>
                <w:lang w:eastAsia="en-AU"/>
              </w:rPr>
              <w:t>144.0</w:t>
            </w:r>
          </w:p>
        </w:tc>
        <w:tc>
          <w:tcPr>
            <w:tcW w:w="902" w:type="pct"/>
            <w:tcBorders>
              <w:top w:val="nil"/>
              <w:left w:val="nil"/>
              <w:bottom w:val="single" w:sz="8" w:space="0" w:color="4D446C"/>
              <w:right w:val="nil"/>
            </w:tcBorders>
            <w:shd w:val="clear" w:color="auto" w:fill="auto"/>
            <w:noWrap/>
            <w:vAlign w:val="center"/>
          </w:tcPr>
          <w:p w14:paraId="45FD01ED" w14:textId="77777777" w:rsidR="005110D0" w:rsidRPr="006C7B74" w:rsidRDefault="005110D0" w:rsidP="005110D0">
            <w:pPr>
              <w:jc w:val="center"/>
              <w:rPr>
                <w:rFonts w:ascii="Calibri" w:hAnsi="Calibri"/>
                <w:color w:val="000000"/>
                <w:sz w:val="18"/>
                <w:szCs w:val="18"/>
                <w:lang w:eastAsia="en-AU"/>
              </w:rPr>
            </w:pPr>
            <w:r w:rsidRPr="006C7B74">
              <w:rPr>
                <w:rFonts w:ascii="Calibri" w:hAnsi="Calibri"/>
                <w:color w:val="000000"/>
                <w:sz w:val="18"/>
                <w:szCs w:val="18"/>
                <w:lang w:eastAsia="en-AU"/>
              </w:rPr>
              <w:t>153.9</w:t>
            </w:r>
          </w:p>
        </w:tc>
        <w:tc>
          <w:tcPr>
            <w:tcW w:w="903" w:type="pct"/>
            <w:tcBorders>
              <w:top w:val="nil"/>
              <w:left w:val="nil"/>
              <w:bottom w:val="single" w:sz="8" w:space="0" w:color="4D446C"/>
              <w:right w:val="nil"/>
            </w:tcBorders>
            <w:shd w:val="clear" w:color="auto" w:fill="auto"/>
            <w:noWrap/>
            <w:vAlign w:val="center"/>
          </w:tcPr>
          <w:p w14:paraId="163FB445" w14:textId="77777777" w:rsidR="005110D0" w:rsidRPr="006C7B74" w:rsidRDefault="005110D0" w:rsidP="005110D0">
            <w:pPr>
              <w:jc w:val="center"/>
              <w:rPr>
                <w:rFonts w:ascii="Calibri" w:hAnsi="Calibri"/>
                <w:color w:val="000000"/>
                <w:sz w:val="18"/>
                <w:szCs w:val="18"/>
                <w:lang w:eastAsia="en-AU"/>
              </w:rPr>
            </w:pPr>
            <w:r w:rsidRPr="006C7B74">
              <w:rPr>
                <w:rFonts w:ascii="Calibri" w:hAnsi="Calibri"/>
                <w:color w:val="000000"/>
                <w:sz w:val="18"/>
                <w:szCs w:val="18"/>
                <w:lang w:eastAsia="en-AU"/>
              </w:rPr>
              <w:t>100.9</w:t>
            </w:r>
          </w:p>
        </w:tc>
      </w:tr>
      <w:tr w:rsidR="005110D0" w:rsidRPr="006C7B74" w14:paraId="34687C03" w14:textId="77777777" w:rsidTr="005110D0">
        <w:trPr>
          <w:trHeight w:val="315"/>
        </w:trPr>
        <w:tc>
          <w:tcPr>
            <w:tcW w:w="2293" w:type="pct"/>
            <w:tcBorders>
              <w:top w:val="nil"/>
              <w:left w:val="nil"/>
              <w:bottom w:val="single" w:sz="8" w:space="0" w:color="4D446C"/>
              <w:right w:val="nil"/>
            </w:tcBorders>
            <w:shd w:val="clear" w:color="auto" w:fill="auto"/>
            <w:noWrap/>
            <w:vAlign w:val="center"/>
            <w:hideMark/>
          </w:tcPr>
          <w:p w14:paraId="2D76B30B" w14:textId="57250335" w:rsidR="005110D0" w:rsidRPr="006C7B74" w:rsidRDefault="003A65D1" w:rsidP="005110D0">
            <w:pPr>
              <w:rPr>
                <w:rFonts w:ascii="Calibri" w:hAnsi="Calibri"/>
                <w:i/>
                <w:iCs/>
                <w:color w:val="000000"/>
                <w:sz w:val="18"/>
                <w:szCs w:val="18"/>
                <w:lang w:eastAsia="en-AU"/>
              </w:rPr>
            </w:pPr>
            <w:r w:rsidRPr="006C7B74">
              <w:rPr>
                <w:rFonts w:ascii="Calibri" w:hAnsi="Calibri" w:cs="Calibri"/>
                <w:i/>
                <w:color w:val="363534"/>
                <w:sz w:val="18"/>
                <w:szCs w:val="18"/>
                <w:lang w:eastAsia="en-GB"/>
              </w:rPr>
              <w:t xml:space="preserve">   </w:t>
            </w:r>
            <w:r w:rsidR="005110D0" w:rsidRPr="006C7B74">
              <w:rPr>
                <w:rFonts w:ascii="Calibri" w:hAnsi="Calibri" w:cs="Calibri"/>
                <w:i/>
                <w:color w:val="363534"/>
                <w:sz w:val="18"/>
                <w:szCs w:val="18"/>
                <w:lang w:eastAsia="en-GB"/>
              </w:rPr>
              <w:t>West</w:t>
            </w:r>
            <w:r w:rsidR="007970F3" w:rsidRPr="006C7B74">
              <w:rPr>
                <w:rFonts w:ascii="Calibri" w:hAnsi="Calibri" w:cs="Calibri"/>
                <w:i/>
                <w:color w:val="363534"/>
                <w:sz w:val="18"/>
                <w:szCs w:val="18"/>
                <w:lang w:eastAsia="en-GB"/>
              </w:rPr>
              <w:t>ern</w:t>
            </w:r>
            <w:r w:rsidR="005110D0" w:rsidRPr="006C7B74">
              <w:rPr>
                <w:rFonts w:ascii="Calibri" w:hAnsi="Calibri" w:cs="Calibri"/>
                <w:i/>
                <w:color w:val="363534"/>
                <w:sz w:val="18"/>
                <w:szCs w:val="18"/>
                <w:lang w:eastAsia="en-GB"/>
              </w:rPr>
              <w:t xml:space="preserve"> S</w:t>
            </w:r>
            <w:r w:rsidR="004C57F9" w:rsidRPr="006C7B74">
              <w:rPr>
                <w:rFonts w:ascii="Calibri" w:hAnsi="Calibri" w:cs="Calibri"/>
                <w:i/>
                <w:color w:val="363534"/>
                <w:sz w:val="18"/>
                <w:szCs w:val="18"/>
                <w:lang w:eastAsia="en-GB"/>
              </w:rPr>
              <w:t>SIP</w:t>
            </w:r>
          </w:p>
        </w:tc>
        <w:tc>
          <w:tcPr>
            <w:tcW w:w="902" w:type="pct"/>
            <w:tcBorders>
              <w:top w:val="nil"/>
              <w:left w:val="nil"/>
              <w:bottom w:val="single" w:sz="8" w:space="0" w:color="4D446C"/>
              <w:right w:val="nil"/>
            </w:tcBorders>
            <w:shd w:val="clear" w:color="auto" w:fill="auto"/>
            <w:noWrap/>
            <w:vAlign w:val="center"/>
            <w:hideMark/>
          </w:tcPr>
          <w:p w14:paraId="3DBF803E" w14:textId="77777777" w:rsidR="005110D0" w:rsidRPr="006C7B74" w:rsidRDefault="005110D0" w:rsidP="005110D0">
            <w:pPr>
              <w:jc w:val="center"/>
              <w:rPr>
                <w:rFonts w:ascii="Calibri" w:hAnsi="Calibri"/>
                <w:i/>
                <w:iCs/>
                <w:color w:val="000000"/>
                <w:sz w:val="18"/>
                <w:szCs w:val="18"/>
                <w:lang w:eastAsia="en-AU"/>
              </w:rPr>
            </w:pPr>
            <w:r w:rsidRPr="006C7B74">
              <w:rPr>
                <w:rFonts w:ascii="Calibri" w:hAnsi="Calibri"/>
                <w:i/>
                <w:iCs/>
                <w:color w:val="000000"/>
                <w:sz w:val="18"/>
                <w:szCs w:val="18"/>
                <w:lang w:eastAsia="en-AU"/>
              </w:rPr>
              <w:t>133.0</w:t>
            </w:r>
          </w:p>
        </w:tc>
        <w:tc>
          <w:tcPr>
            <w:tcW w:w="902" w:type="pct"/>
            <w:tcBorders>
              <w:top w:val="nil"/>
              <w:left w:val="nil"/>
              <w:bottom w:val="single" w:sz="8" w:space="0" w:color="4D446C"/>
              <w:right w:val="nil"/>
            </w:tcBorders>
            <w:shd w:val="clear" w:color="auto" w:fill="auto"/>
            <w:noWrap/>
            <w:vAlign w:val="center"/>
            <w:hideMark/>
          </w:tcPr>
          <w:p w14:paraId="76A79CCB" w14:textId="77777777" w:rsidR="005110D0" w:rsidRPr="006C7B74" w:rsidRDefault="005110D0" w:rsidP="005110D0">
            <w:pPr>
              <w:jc w:val="center"/>
              <w:rPr>
                <w:rFonts w:ascii="Calibri" w:hAnsi="Calibri"/>
                <w:i/>
                <w:iCs/>
                <w:color w:val="000000"/>
                <w:sz w:val="18"/>
                <w:szCs w:val="18"/>
                <w:lang w:eastAsia="en-AU"/>
              </w:rPr>
            </w:pPr>
            <w:r w:rsidRPr="006C7B74">
              <w:rPr>
                <w:rFonts w:ascii="Calibri" w:hAnsi="Calibri"/>
                <w:i/>
                <w:iCs/>
                <w:color w:val="000000"/>
                <w:sz w:val="18"/>
                <w:szCs w:val="18"/>
                <w:lang w:eastAsia="en-AU"/>
              </w:rPr>
              <w:t>149.8</w:t>
            </w:r>
          </w:p>
        </w:tc>
        <w:tc>
          <w:tcPr>
            <w:tcW w:w="903" w:type="pct"/>
            <w:tcBorders>
              <w:top w:val="nil"/>
              <w:left w:val="nil"/>
              <w:bottom w:val="single" w:sz="8" w:space="0" w:color="4D446C"/>
              <w:right w:val="nil"/>
            </w:tcBorders>
            <w:shd w:val="clear" w:color="auto" w:fill="auto"/>
            <w:noWrap/>
            <w:vAlign w:val="center"/>
            <w:hideMark/>
          </w:tcPr>
          <w:p w14:paraId="17370286" w14:textId="77777777" w:rsidR="005110D0" w:rsidRPr="006C7B74" w:rsidRDefault="005110D0" w:rsidP="005110D0">
            <w:pPr>
              <w:jc w:val="center"/>
              <w:rPr>
                <w:rFonts w:ascii="Calibri" w:hAnsi="Calibri"/>
                <w:i/>
                <w:iCs/>
                <w:color w:val="000000"/>
                <w:sz w:val="18"/>
                <w:szCs w:val="18"/>
                <w:lang w:eastAsia="en-AU"/>
              </w:rPr>
            </w:pPr>
            <w:r w:rsidRPr="006C7B74">
              <w:rPr>
                <w:rFonts w:ascii="Calibri" w:hAnsi="Calibri"/>
                <w:i/>
                <w:iCs/>
                <w:color w:val="000000"/>
                <w:sz w:val="18"/>
                <w:szCs w:val="18"/>
                <w:lang w:eastAsia="en-AU"/>
              </w:rPr>
              <w:t>78.9</w:t>
            </w:r>
          </w:p>
        </w:tc>
      </w:tr>
      <w:tr w:rsidR="005110D0" w:rsidRPr="006C7B74" w14:paraId="102065B6" w14:textId="77777777" w:rsidTr="005110D0">
        <w:trPr>
          <w:trHeight w:val="315"/>
        </w:trPr>
        <w:tc>
          <w:tcPr>
            <w:tcW w:w="2293" w:type="pct"/>
            <w:tcBorders>
              <w:top w:val="nil"/>
              <w:left w:val="nil"/>
              <w:bottom w:val="single" w:sz="8" w:space="0" w:color="4D446C"/>
              <w:right w:val="nil"/>
            </w:tcBorders>
            <w:shd w:val="clear" w:color="auto" w:fill="auto"/>
            <w:noWrap/>
            <w:vAlign w:val="center"/>
            <w:hideMark/>
          </w:tcPr>
          <w:p w14:paraId="276A54CF" w14:textId="77777777" w:rsidR="005110D0" w:rsidRPr="006C7B74" w:rsidRDefault="005110D0" w:rsidP="005110D0">
            <w:pPr>
              <w:rPr>
                <w:rFonts w:ascii="Calibri" w:hAnsi="Calibri"/>
                <w:b/>
                <w:bCs/>
                <w:color w:val="000000"/>
                <w:sz w:val="18"/>
                <w:szCs w:val="18"/>
                <w:lang w:eastAsia="en-AU"/>
              </w:rPr>
            </w:pPr>
            <w:r w:rsidRPr="006C7B74">
              <w:rPr>
                <w:rFonts w:ascii="Calibri" w:hAnsi="Calibri" w:cs="Calibri"/>
                <w:color w:val="363534"/>
                <w:sz w:val="18"/>
                <w:szCs w:val="18"/>
                <w:lang w:eastAsia="en-GB"/>
              </w:rPr>
              <w:t>Northern Region</w:t>
            </w:r>
          </w:p>
        </w:tc>
        <w:tc>
          <w:tcPr>
            <w:tcW w:w="902" w:type="pct"/>
            <w:tcBorders>
              <w:top w:val="nil"/>
              <w:left w:val="nil"/>
              <w:bottom w:val="single" w:sz="8" w:space="0" w:color="4D446C"/>
              <w:right w:val="nil"/>
            </w:tcBorders>
            <w:shd w:val="clear" w:color="auto" w:fill="auto"/>
            <w:noWrap/>
            <w:vAlign w:val="center"/>
            <w:hideMark/>
          </w:tcPr>
          <w:p w14:paraId="35445B3F" w14:textId="77777777" w:rsidR="005110D0" w:rsidRPr="006C7B74" w:rsidRDefault="005110D0" w:rsidP="005110D0">
            <w:pPr>
              <w:jc w:val="center"/>
              <w:rPr>
                <w:rFonts w:ascii="Calibri" w:hAnsi="Calibri"/>
                <w:color w:val="000000"/>
                <w:sz w:val="18"/>
                <w:szCs w:val="18"/>
                <w:lang w:eastAsia="en-AU"/>
              </w:rPr>
            </w:pPr>
            <w:r w:rsidRPr="006C7B74">
              <w:rPr>
                <w:rFonts w:ascii="Calibri" w:hAnsi="Calibri"/>
                <w:color w:val="000000"/>
                <w:sz w:val="18"/>
                <w:szCs w:val="18"/>
                <w:lang w:eastAsia="en-AU"/>
              </w:rPr>
              <w:t>24.3</w:t>
            </w:r>
          </w:p>
        </w:tc>
        <w:tc>
          <w:tcPr>
            <w:tcW w:w="902" w:type="pct"/>
            <w:tcBorders>
              <w:top w:val="nil"/>
              <w:left w:val="nil"/>
              <w:bottom w:val="single" w:sz="8" w:space="0" w:color="4D446C"/>
              <w:right w:val="nil"/>
            </w:tcBorders>
            <w:shd w:val="clear" w:color="auto" w:fill="auto"/>
            <w:noWrap/>
            <w:vAlign w:val="center"/>
            <w:hideMark/>
          </w:tcPr>
          <w:p w14:paraId="1A6D55C2" w14:textId="77777777" w:rsidR="005110D0" w:rsidRPr="006C7B74" w:rsidRDefault="005110D0" w:rsidP="005110D0">
            <w:pPr>
              <w:jc w:val="center"/>
              <w:rPr>
                <w:rFonts w:ascii="Calibri" w:hAnsi="Calibri"/>
                <w:color w:val="000000"/>
                <w:sz w:val="18"/>
                <w:szCs w:val="18"/>
                <w:lang w:eastAsia="en-AU"/>
              </w:rPr>
            </w:pPr>
            <w:r w:rsidRPr="006C7B74">
              <w:rPr>
                <w:rFonts w:ascii="Calibri" w:hAnsi="Calibri"/>
                <w:color w:val="000000"/>
                <w:sz w:val="18"/>
                <w:szCs w:val="18"/>
                <w:lang w:eastAsia="en-AU"/>
              </w:rPr>
              <w:t>34.4</w:t>
            </w:r>
          </w:p>
        </w:tc>
        <w:tc>
          <w:tcPr>
            <w:tcW w:w="903" w:type="pct"/>
            <w:tcBorders>
              <w:top w:val="nil"/>
              <w:left w:val="nil"/>
              <w:bottom w:val="single" w:sz="8" w:space="0" w:color="4D446C"/>
              <w:right w:val="nil"/>
            </w:tcBorders>
            <w:shd w:val="clear" w:color="auto" w:fill="auto"/>
            <w:noWrap/>
            <w:vAlign w:val="center"/>
            <w:hideMark/>
          </w:tcPr>
          <w:p w14:paraId="6F7FAD18" w14:textId="77777777" w:rsidR="005110D0" w:rsidRPr="006C7B74" w:rsidRDefault="005110D0" w:rsidP="005110D0">
            <w:pPr>
              <w:jc w:val="center"/>
              <w:rPr>
                <w:rFonts w:ascii="Calibri" w:hAnsi="Calibri"/>
                <w:color w:val="000000"/>
                <w:sz w:val="18"/>
                <w:szCs w:val="18"/>
                <w:lang w:eastAsia="en-AU"/>
              </w:rPr>
            </w:pPr>
            <w:r w:rsidRPr="006C7B74">
              <w:rPr>
                <w:rFonts w:ascii="Calibri" w:hAnsi="Calibri"/>
                <w:color w:val="000000"/>
                <w:sz w:val="18"/>
                <w:szCs w:val="18"/>
                <w:lang w:eastAsia="en-AU"/>
              </w:rPr>
              <w:t>52.0</w:t>
            </w:r>
          </w:p>
        </w:tc>
      </w:tr>
      <w:tr w:rsidR="005110D0" w:rsidRPr="006C7B74" w14:paraId="605A22BD" w14:textId="77777777" w:rsidTr="005110D0">
        <w:trPr>
          <w:trHeight w:val="315"/>
        </w:trPr>
        <w:tc>
          <w:tcPr>
            <w:tcW w:w="2293" w:type="pct"/>
            <w:tcBorders>
              <w:top w:val="nil"/>
              <w:left w:val="nil"/>
              <w:bottom w:val="single" w:sz="8" w:space="0" w:color="4D446C"/>
              <w:right w:val="nil"/>
            </w:tcBorders>
            <w:shd w:val="clear" w:color="auto" w:fill="auto"/>
            <w:noWrap/>
            <w:vAlign w:val="center"/>
            <w:hideMark/>
          </w:tcPr>
          <w:p w14:paraId="45EAB17C" w14:textId="0F012617" w:rsidR="005110D0" w:rsidRPr="006C7B74" w:rsidRDefault="003A65D1" w:rsidP="005110D0">
            <w:pPr>
              <w:rPr>
                <w:rFonts w:ascii="Calibri" w:hAnsi="Calibri"/>
                <w:i/>
                <w:iCs/>
                <w:color w:val="000000"/>
                <w:sz w:val="18"/>
                <w:szCs w:val="18"/>
                <w:lang w:eastAsia="en-AU"/>
              </w:rPr>
            </w:pPr>
            <w:r w:rsidRPr="006C7B74">
              <w:rPr>
                <w:rFonts w:ascii="Calibri" w:hAnsi="Calibri" w:cs="Calibri"/>
                <w:i/>
                <w:color w:val="363534"/>
                <w:sz w:val="18"/>
                <w:szCs w:val="18"/>
                <w:lang w:eastAsia="en-GB"/>
              </w:rPr>
              <w:t xml:space="preserve">   </w:t>
            </w:r>
            <w:r w:rsidR="005110D0" w:rsidRPr="006C7B74">
              <w:rPr>
                <w:rFonts w:ascii="Calibri" w:hAnsi="Calibri" w:cs="Calibri"/>
                <w:i/>
                <w:color w:val="363534"/>
                <w:sz w:val="18"/>
                <w:szCs w:val="18"/>
                <w:lang w:eastAsia="en-GB"/>
              </w:rPr>
              <w:t>North</w:t>
            </w:r>
            <w:r w:rsidR="007970F3" w:rsidRPr="006C7B74">
              <w:rPr>
                <w:rFonts w:ascii="Calibri" w:hAnsi="Calibri" w:cs="Calibri"/>
                <w:i/>
                <w:color w:val="363534"/>
                <w:sz w:val="18"/>
                <w:szCs w:val="18"/>
                <w:lang w:eastAsia="en-GB"/>
              </w:rPr>
              <w:t>ern</w:t>
            </w:r>
            <w:r w:rsidR="005110D0" w:rsidRPr="006C7B74">
              <w:rPr>
                <w:rFonts w:ascii="Calibri" w:hAnsi="Calibri" w:cs="Calibri"/>
                <w:i/>
                <w:color w:val="363534"/>
                <w:sz w:val="18"/>
                <w:szCs w:val="18"/>
                <w:lang w:eastAsia="en-GB"/>
              </w:rPr>
              <w:t xml:space="preserve"> S</w:t>
            </w:r>
            <w:r w:rsidR="004C57F9" w:rsidRPr="006C7B74">
              <w:rPr>
                <w:rFonts w:ascii="Calibri" w:hAnsi="Calibri" w:cs="Calibri"/>
                <w:i/>
                <w:color w:val="363534"/>
                <w:sz w:val="18"/>
                <w:szCs w:val="18"/>
                <w:lang w:eastAsia="en-GB"/>
              </w:rPr>
              <w:t>SIP</w:t>
            </w:r>
          </w:p>
        </w:tc>
        <w:tc>
          <w:tcPr>
            <w:tcW w:w="902" w:type="pct"/>
            <w:tcBorders>
              <w:top w:val="nil"/>
              <w:left w:val="nil"/>
              <w:bottom w:val="single" w:sz="8" w:space="0" w:color="4D446C"/>
              <w:right w:val="nil"/>
            </w:tcBorders>
            <w:shd w:val="clear" w:color="auto" w:fill="auto"/>
            <w:noWrap/>
            <w:vAlign w:val="center"/>
            <w:hideMark/>
          </w:tcPr>
          <w:p w14:paraId="57A7CEFE" w14:textId="77777777" w:rsidR="005110D0" w:rsidRPr="006C7B74" w:rsidRDefault="005110D0" w:rsidP="005110D0">
            <w:pPr>
              <w:jc w:val="center"/>
              <w:rPr>
                <w:rFonts w:ascii="Calibri" w:hAnsi="Calibri"/>
                <w:i/>
                <w:iCs/>
                <w:color w:val="000000"/>
                <w:sz w:val="18"/>
                <w:szCs w:val="18"/>
                <w:lang w:eastAsia="en-AU"/>
              </w:rPr>
            </w:pPr>
            <w:r w:rsidRPr="006C7B74">
              <w:rPr>
                <w:rFonts w:ascii="Calibri" w:hAnsi="Calibri"/>
                <w:i/>
                <w:iCs/>
                <w:color w:val="000000"/>
                <w:sz w:val="18"/>
                <w:szCs w:val="18"/>
                <w:lang w:eastAsia="en-AU"/>
              </w:rPr>
              <w:t>15.8</w:t>
            </w:r>
          </w:p>
        </w:tc>
        <w:tc>
          <w:tcPr>
            <w:tcW w:w="902" w:type="pct"/>
            <w:tcBorders>
              <w:top w:val="nil"/>
              <w:left w:val="nil"/>
              <w:bottom w:val="single" w:sz="8" w:space="0" w:color="4D446C"/>
              <w:right w:val="nil"/>
            </w:tcBorders>
            <w:shd w:val="clear" w:color="auto" w:fill="auto"/>
            <w:noWrap/>
            <w:vAlign w:val="center"/>
            <w:hideMark/>
          </w:tcPr>
          <w:p w14:paraId="5BBCC428" w14:textId="77777777" w:rsidR="005110D0" w:rsidRPr="006C7B74" w:rsidRDefault="005110D0" w:rsidP="005110D0">
            <w:pPr>
              <w:jc w:val="center"/>
              <w:rPr>
                <w:rFonts w:ascii="Calibri" w:hAnsi="Calibri"/>
                <w:i/>
                <w:iCs/>
                <w:color w:val="000000"/>
                <w:sz w:val="18"/>
                <w:szCs w:val="18"/>
                <w:lang w:eastAsia="en-AU"/>
              </w:rPr>
            </w:pPr>
            <w:r w:rsidRPr="006C7B74">
              <w:rPr>
                <w:rFonts w:ascii="Calibri" w:hAnsi="Calibri"/>
                <w:i/>
                <w:iCs/>
                <w:color w:val="000000"/>
                <w:sz w:val="18"/>
                <w:szCs w:val="18"/>
                <w:lang w:eastAsia="en-AU"/>
              </w:rPr>
              <w:t>26.2</w:t>
            </w:r>
          </w:p>
        </w:tc>
        <w:tc>
          <w:tcPr>
            <w:tcW w:w="903" w:type="pct"/>
            <w:tcBorders>
              <w:top w:val="nil"/>
              <w:left w:val="nil"/>
              <w:bottom w:val="single" w:sz="8" w:space="0" w:color="4D446C"/>
              <w:right w:val="nil"/>
            </w:tcBorders>
            <w:shd w:val="clear" w:color="auto" w:fill="auto"/>
            <w:noWrap/>
            <w:vAlign w:val="center"/>
            <w:hideMark/>
          </w:tcPr>
          <w:p w14:paraId="73BE2338" w14:textId="77777777" w:rsidR="005110D0" w:rsidRPr="006C7B74" w:rsidRDefault="005110D0" w:rsidP="005110D0">
            <w:pPr>
              <w:jc w:val="center"/>
              <w:rPr>
                <w:rFonts w:ascii="Calibri" w:hAnsi="Calibri"/>
                <w:i/>
                <w:iCs/>
                <w:color w:val="000000"/>
                <w:sz w:val="18"/>
                <w:szCs w:val="18"/>
                <w:lang w:eastAsia="en-AU"/>
              </w:rPr>
            </w:pPr>
            <w:r w:rsidRPr="006C7B74">
              <w:rPr>
                <w:rFonts w:ascii="Calibri" w:hAnsi="Calibri"/>
                <w:i/>
                <w:iCs/>
                <w:color w:val="000000"/>
                <w:sz w:val="18"/>
                <w:szCs w:val="18"/>
                <w:lang w:eastAsia="en-AU"/>
              </w:rPr>
              <w:t>43.3</w:t>
            </w:r>
          </w:p>
        </w:tc>
      </w:tr>
      <w:tr w:rsidR="005110D0" w:rsidRPr="006C7B74" w14:paraId="0BB107C9" w14:textId="77777777" w:rsidTr="005110D0">
        <w:trPr>
          <w:trHeight w:val="315"/>
        </w:trPr>
        <w:tc>
          <w:tcPr>
            <w:tcW w:w="2293" w:type="pct"/>
            <w:tcBorders>
              <w:top w:val="nil"/>
              <w:left w:val="nil"/>
              <w:bottom w:val="single" w:sz="8" w:space="0" w:color="4D446C"/>
              <w:right w:val="nil"/>
            </w:tcBorders>
            <w:shd w:val="clear" w:color="auto" w:fill="auto"/>
            <w:noWrap/>
            <w:vAlign w:val="center"/>
          </w:tcPr>
          <w:p w14:paraId="7CF38F30" w14:textId="77777777" w:rsidR="005110D0" w:rsidRPr="006C7B74" w:rsidRDefault="005110D0" w:rsidP="005110D0">
            <w:pPr>
              <w:rPr>
                <w:rFonts w:ascii="Calibri" w:hAnsi="Calibri"/>
                <w:i/>
                <w:iCs/>
                <w:color w:val="000000"/>
                <w:sz w:val="18"/>
                <w:szCs w:val="18"/>
                <w:lang w:eastAsia="en-AU"/>
              </w:rPr>
            </w:pPr>
            <w:r w:rsidRPr="006C7B74">
              <w:rPr>
                <w:rFonts w:ascii="Calibri" w:hAnsi="Calibri" w:cs="Calibri"/>
                <w:color w:val="363534"/>
                <w:sz w:val="18"/>
                <w:szCs w:val="18"/>
                <w:lang w:eastAsia="en-GB"/>
              </w:rPr>
              <w:t>Eastern Region</w:t>
            </w:r>
          </w:p>
        </w:tc>
        <w:tc>
          <w:tcPr>
            <w:tcW w:w="902" w:type="pct"/>
            <w:tcBorders>
              <w:top w:val="nil"/>
              <w:left w:val="nil"/>
              <w:bottom w:val="single" w:sz="8" w:space="0" w:color="4D446C"/>
              <w:right w:val="nil"/>
            </w:tcBorders>
            <w:shd w:val="clear" w:color="auto" w:fill="auto"/>
            <w:noWrap/>
            <w:vAlign w:val="center"/>
          </w:tcPr>
          <w:p w14:paraId="26C91F2C" w14:textId="77777777" w:rsidR="005110D0" w:rsidRPr="006C7B74" w:rsidRDefault="005110D0" w:rsidP="005110D0">
            <w:pPr>
              <w:jc w:val="center"/>
              <w:rPr>
                <w:rFonts w:ascii="Calibri" w:hAnsi="Calibri"/>
                <w:i/>
                <w:iCs/>
                <w:color w:val="000000"/>
                <w:sz w:val="18"/>
                <w:szCs w:val="18"/>
                <w:lang w:eastAsia="en-AU"/>
              </w:rPr>
            </w:pPr>
            <w:r w:rsidRPr="006C7B74">
              <w:rPr>
                <w:rFonts w:ascii="Calibri" w:hAnsi="Calibri"/>
                <w:color w:val="auto"/>
                <w:sz w:val="18"/>
                <w:szCs w:val="18"/>
                <w:lang w:eastAsia="en-AU"/>
              </w:rPr>
              <w:t>17.8</w:t>
            </w:r>
          </w:p>
        </w:tc>
        <w:tc>
          <w:tcPr>
            <w:tcW w:w="902" w:type="pct"/>
            <w:tcBorders>
              <w:top w:val="nil"/>
              <w:left w:val="nil"/>
              <w:bottom w:val="single" w:sz="8" w:space="0" w:color="4D446C"/>
              <w:right w:val="nil"/>
            </w:tcBorders>
            <w:shd w:val="clear" w:color="auto" w:fill="auto"/>
            <w:noWrap/>
            <w:vAlign w:val="center"/>
          </w:tcPr>
          <w:p w14:paraId="0CBDA2D8" w14:textId="77777777" w:rsidR="005110D0" w:rsidRPr="006C7B74" w:rsidRDefault="005110D0" w:rsidP="005110D0">
            <w:pPr>
              <w:jc w:val="center"/>
              <w:rPr>
                <w:rFonts w:ascii="Calibri" w:hAnsi="Calibri"/>
                <w:i/>
                <w:iCs/>
                <w:color w:val="000000"/>
                <w:sz w:val="18"/>
                <w:szCs w:val="18"/>
                <w:lang w:eastAsia="en-AU"/>
              </w:rPr>
            </w:pPr>
            <w:r w:rsidRPr="006C7B74">
              <w:rPr>
                <w:rFonts w:ascii="Calibri" w:hAnsi="Calibri"/>
                <w:color w:val="auto"/>
                <w:sz w:val="18"/>
                <w:szCs w:val="18"/>
                <w:lang w:eastAsia="en-AU"/>
              </w:rPr>
              <w:t>12.7</w:t>
            </w:r>
          </w:p>
        </w:tc>
        <w:tc>
          <w:tcPr>
            <w:tcW w:w="903" w:type="pct"/>
            <w:tcBorders>
              <w:top w:val="nil"/>
              <w:left w:val="nil"/>
              <w:bottom w:val="single" w:sz="8" w:space="0" w:color="4D446C"/>
              <w:right w:val="nil"/>
            </w:tcBorders>
            <w:shd w:val="clear" w:color="auto" w:fill="auto"/>
            <w:noWrap/>
            <w:vAlign w:val="center"/>
          </w:tcPr>
          <w:p w14:paraId="621CF35C" w14:textId="77777777" w:rsidR="005110D0" w:rsidRPr="006C7B74" w:rsidRDefault="005110D0" w:rsidP="005110D0">
            <w:pPr>
              <w:jc w:val="center"/>
              <w:rPr>
                <w:rFonts w:ascii="Calibri" w:hAnsi="Calibri"/>
                <w:i/>
                <w:iCs/>
                <w:color w:val="000000"/>
                <w:sz w:val="18"/>
                <w:szCs w:val="18"/>
                <w:lang w:eastAsia="en-AU"/>
              </w:rPr>
            </w:pPr>
            <w:r w:rsidRPr="006C7B74">
              <w:rPr>
                <w:rFonts w:ascii="Calibri" w:hAnsi="Calibri"/>
                <w:color w:val="auto"/>
                <w:sz w:val="18"/>
                <w:szCs w:val="18"/>
                <w:lang w:eastAsia="en-AU"/>
              </w:rPr>
              <w:t>3.5</w:t>
            </w:r>
          </w:p>
        </w:tc>
      </w:tr>
      <w:tr w:rsidR="005110D0" w:rsidRPr="006C7B74" w14:paraId="4620C1E9" w14:textId="77777777" w:rsidTr="005110D0">
        <w:trPr>
          <w:trHeight w:val="315"/>
        </w:trPr>
        <w:tc>
          <w:tcPr>
            <w:tcW w:w="2293" w:type="pct"/>
            <w:tcBorders>
              <w:top w:val="nil"/>
              <w:left w:val="nil"/>
              <w:bottom w:val="single" w:sz="8" w:space="0" w:color="4D446C"/>
              <w:right w:val="nil"/>
            </w:tcBorders>
            <w:shd w:val="clear" w:color="auto" w:fill="auto"/>
            <w:noWrap/>
            <w:vAlign w:val="center"/>
            <w:hideMark/>
          </w:tcPr>
          <w:p w14:paraId="21846B0F" w14:textId="77777777" w:rsidR="005110D0" w:rsidRPr="006C7B74" w:rsidRDefault="005110D0" w:rsidP="005110D0">
            <w:pPr>
              <w:rPr>
                <w:rFonts w:ascii="Calibri" w:hAnsi="Calibri"/>
                <w:b/>
                <w:bCs/>
                <w:color w:val="000000"/>
                <w:sz w:val="18"/>
                <w:szCs w:val="18"/>
                <w:lang w:eastAsia="en-AU"/>
              </w:rPr>
            </w:pPr>
            <w:r w:rsidRPr="006C7B74">
              <w:rPr>
                <w:rFonts w:ascii="Calibri" w:hAnsi="Calibri" w:cs="Calibri"/>
                <w:color w:val="363534"/>
                <w:sz w:val="18"/>
                <w:szCs w:val="18"/>
                <w:lang w:eastAsia="en-GB"/>
              </w:rPr>
              <w:t>Southern Region</w:t>
            </w:r>
          </w:p>
        </w:tc>
        <w:tc>
          <w:tcPr>
            <w:tcW w:w="902" w:type="pct"/>
            <w:tcBorders>
              <w:top w:val="nil"/>
              <w:left w:val="nil"/>
              <w:bottom w:val="single" w:sz="8" w:space="0" w:color="4D446C"/>
              <w:right w:val="nil"/>
            </w:tcBorders>
            <w:shd w:val="clear" w:color="auto" w:fill="auto"/>
            <w:noWrap/>
            <w:vAlign w:val="center"/>
            <w:hideMark/>
          </w:tcPr>
          <w:p w14:paraId="700BEB66" w14:textId="77777777" w:rsidR="005110D0" w:rsidRPr="006C7B74" w:rsidRDefault="005110D0" w:rsidP="005110D0">
            <w:pPr>
              <w:jc w:val="center"/>
              <w:rPr>
                <w:rFonts w:ascii="Calibri" w:hAnsi="Calibri"/>
                <w:color w:val="auto"/>
                <w:sz w:val="18"/>
                <w:szCs w:val="18"/>
                <w:lang w:eastAsia="en-AU"/>
              </w:rPr>
            </w:pPr>
            <w:r w:rsidRPr="006C7B74">
              <w:rPr>
                <w:rFonts w:ascii="Calibri" w:hAnsi="Calibri"/>
                <w:color w:val="auto"/>
                <w:sz w:val="18"/>
                <w:szCs w:val="18"/>
                <w:lang w:eastAsia="en-AU"/>
              </w:rPr>
              <w:t>102.0</w:t>
            </w:r>
          </w:p>
        </w:tc>
        <w:tc>
          <w:tcPr>
            <w:tcW w:w="902" w:type="pct"/>
            <w:tcBorders>
              <w:top w:val="nil"/>
              <w:left w:val="nil"/>
              <w:bottom w:val="single" w:sz="8" w:space="0" w:color="4D446C"/>
              <w:right w:val="nil"/>
            </w:tcBorders>
            <w:shd w:val="clear" w:color="auto" w:fill="auto"/>
            <w:noWrap/>
            <w:vAlign w:val="center"/>
            <w:hideMark/>
          </w:tcPr>
          <w:p w14:paraId="145296CD" w14:textId="77777777" w:rsidR="005110D0" w:rsidRPr="006C7B74" w:rsidRDefault="005110D0" w:rsidP="005110D0">
            <w:pPr>
              <w:jc w:val="center"/>
              <w:rPr>
                <w:rFonts w:ascii="Calibri" w:hAnsi="Calibri"/>
                <w:color w:val="auto"/>
                <w:sz w:val="18"/>
                <w:szCs w:val="18"/>
                <w:lang w:eastAsia="en-AU"/>
              </w:rPr>
            </w:pPr>
            <w:r w:rsidRPr="006C7B74">
              <w:rPr>
                <w:rFonts w:ascii="Calibri" w:hAnsi="Calibri"/>
                <w:color w:val="auto"/>
                <w:sz w:val="18"/>
                <w:szCs w:val="18"/>
                <w:lang w:eastAsia="en-AU"/>
              </w:rPr>
              <w:t>109.3</w:t>
            </w:r>
          </w:p>
        </w:tc>
        <w:tc>
          <w:tcPr>
            <w:tcW w:w="903" w:type="pct"/>
            <w:tcBorders>
              <w:top w:val="nil"/>
              <w:left w:val="nil"/>
              <w:bottom w:val="single" w:sz="8" w:space="0" w:color="4D446C"/>
              <w:right w:val="nil"/>
            </w:tcBorders>
            <w:shd w:val="clear" w:color="auto" w:fill="auto"/>
            <w:noWrap/>
            <w:vAlign w:val="center"/>
            <w:hideMark/>
          </w:tcPr>
          <w:p w14:paraId="3F6FFBEE" w14:textId="77777777" w:rsidR="005110D0" w:rsidRPr="006C7B74" w:rsidRDefault="005110D0" w:rsidP="005110D0">
            <w:pPr>
              <w:jc w:val="center"/>
              <w:rPr>
                <w:rFonts w:ascii="Calibri" w:hAnsi="Calibri"/>
                <w:color w:val="auto"/>
                <w:sz w:val="18"/>
                <w:szCs w:val="18"/>
                <w:lang w:eastAsia="en-AU"/>
              </w:rPr>
            </w:pPr>
            <w:r w:rsidRPr="006C7B74">
              <w:rPr>
                <w:rFonts w:ascii="Calibri" w:hAnsi="Calibri"/>
                <w:color w:val="auto"/>
                <w:sz w:val="18"/>
                <w:szCs w:val="18"/>
                <w:lang w:eastAsia="en-AU"/>
              </w:rPr>
              <w:t>110.2</w:t>
            </w:r>
          </w:p>
        </w:tc>
      </w:tr>
      <w:tr w:rsidR="005110D0" w:rsidRPr="006C7B74" w14:paraId="5E89760B" w14:textId="77777777" w:rsidTr="005110D0">
        <w:trPr>
          <w:trHeight w:val="315"/>
        </w:trPr>
        <w:tc>
          <w:tcPr>
            <w:tcW w:w="2293" w:type="pct"/>
            <w:tcBorders>
              <w:top w:val="nil"/>
              <w:left w:val="nil"/>
              <w:bottom w:val="single" w:sz="8" w:space="0" w:color="4D446C"/>
              <w:right w:val="nil"/>
            </w:tcBorders>
            <w:shd w:val="clear" w:color="auto" w:fill="auto"/>
            <w:noWrap/>
            <w:vAlign w:val="center"/>
            <w:hideMark/>
          </w:tcPr>
          <w:p w14:paraId="71BBE96C" w14:textId="5CBF13F3" w:rsidR="005110D0" w:rsidRPr="006C7B74" w:rsidRDefault="003A65D1" w:rsidP="005110D0">
            <w:pPr>
              <w:rPr>
                <w:rFonts w:ascii="Calibri" w:hAnsi="Calibri"/>
                <w:i/>
                <w:iCs/>
                <w:color w:val="000000"/>
                <w:sz w:val="18"/>
                <w:szCs w:val="18"/>
                <w:lang w:eastAsia="en-AU"/>
              </w:rPr>
            </w:pPr>
            <w:r w:rsidRPr="006C7B74">
              <w:rPr>
                <w:rFonts w:ascii="Calibri" w:hAnsi="Calibri" w:cs="Calibri"/>
                <w:i/>
                <w:color w:val="363534"/>
                <w:sz w:val="18"/>
                <w:szCs w:val="18"/>
                <w:lang w:eastAsia="en-GB"/>
              </w:rPr>
              <w:t xml:space="preserve">   </w:t>
            </w:r>
            <w:r w:rsidR="005110D0" w:rsidRPr="006C7B74">
              <w:rPr>
                <w:rFonts w:ascii="Calibri" w:hAnsi="Calibri" w:cs="Calibri"/>
                <w:i/>
                <w:color w:val="363534"/>
                <w:sz w:val="18"/>
                <w:szCs w:val="18"/>
                <w:lang w:eastAsia="en-GB"/>
              </w:rPr>
              <w:t>South</w:t>
            </w:r>
            <w:r w:rsidR="007970F3" w:rsidRPr="006C7B74">
              <w:rPr>
                <w:rFonts w:ascii="Calibri" w:hAnsi="Calibri" w:cs="Calibri"/>
                <w:i/>
                <w:color w:val="363534"/>
                <w:sz w:val="18"/>
                <w:szCs w:val="18"/>
                <w:lang w:eastAsia="en-GB"/>
              </w:rPr>
              <w:t>ern</w:t>
            </w:r>
            <w:r w:rsidR="005110D0" w:rsidRPr="006C7B74">
              <w:rPr>
                <w:rFonts w:ascii="Calibri" w:hAnsi="Calibri" w:cs="Calibri"/>
                <w:i/>
                <w:color w:val="363534"/>
                <w:sz w:val="18"/>
                <w:szCs w:val="18"/>
                <w:lang w:eastAsia="en-GB"/>
              </w:rPr>
              <w:t xml:space="preserve"> S</w:t>
            </w:r>
            <w:r w:rsidR="004C57F9" w:rsidRPr="006C7B74">
              <w:rPr>
                <w:rFonts w:ascii="Calibri" w:hAnsi="Calibri" w:cs="Calibri"/>
                <w:i/>
                <w:color w:val="363534"/>
                <w:sz w:val="18"/>
                <w:szCs w:val="18"/>
                <w:lang w:eastAsia="en-GB"/>
              </w:rPr>
              <w:t>SIP</w:t>
            </w:r>
          </w:p>
        </w:tc>
        <w:tc>
          <w:tcPr>
            <w:tcW w:w="902" w:type="pct"/>
            <w:tcBorders>
              <w:top w:val="nil"/>
              <w:left w:val="nil"/>
              <w:bottom w:val="single" w:sz="8" w:space="0" w:color="4D446C"/>
              <w:right w:val="nil"/>
            </w:tcBorders>
            <w:shd w:val="clear" w:color="auto" w:fill="auto"/>
            <w:noWrap/>
            <w:vAlign w:val="center"/>
            <w:hideMark/>
          </w:tcPr>
          <w:p w14:paraId="50F6D602" w14:textId="77777777" w:rsidR="005110D0" w:rsidRPr="006C7B74" w:rsidRDefault="005110D0" w:rsidP="005110D0">
            <w:pPr>
              <w:jc w:val="center"/>
              <w:rPr>
                <w:rFonts w:ascii="Calibri" w:hAnsi="Calibri"/>
                <w:i/>
                <w:color w:val="auto"/>
                <w:sz w:val="18"/>
                <w:szCs w:val="18"/>
                <w:lang w:eastAsia="en-AU"/>
              </w:rPr>
            </w:pPr>
            <w:r w:rsidRPr="006C7B74">
              <w:rPr>
                <w:rFonts w:ascii="Calibri" w:hAnsi="Calibri"/>
                <w:i/>
                <w:color w:val="auto"/>
                <w:sz w:val="18"/>
                <w:szCs w:val="18"/>
                <w:lang w:eastAsia="en-AU"/>
              </w:rPr>
              <w:t>55.9</w:t>
            </w:r>
          </w:p>
        </w:tc>
        <w:tc>
          <w:tcPr>
            <w:tcW w:w="902" w:type="pct"/>
            <w:tcBorders>
              <w:top w:val="nil"/>
              <w:left w:val="nil"/>
              <w:bottom w:val="single" w:sz="8" w:space="0" w:color="4D446C"/>
              <w:right w:val="nil"/>
            </w:tcBorders>
            <w:shd w:val="clear" w:color="auto" w:fill="auto"/>
            <w:noWrap/>
            <w:vAlign w:val="center"/>
            <w:hideMark/>
          </w:tcPr>
          <w:p w14:paraId="287CFBA5" w14:textId="77777777" w:rsidR="005110D0" w:rsidRPr="006C7B74" w:rsidRDefault="005110D0" w:rsidP="005110D0">
            <w:pPr>
              <w:jc w:val="center"/>
              <w:rPr>
                <w:rFonts w:ascii="Calibri" w:hAnsi="Calibri"/>
                <w:i/>
                <w:color w:val="auto"/>
                <w:sz w:val="18"/>
                <w:szCs w:val="18"/>
                <w:lang w:eastAsia="en-AU"/>
              </w:rPr>
            </w:pPr>
            <w:r w:rsidRPr="006C7B74">
              <w:rPr>
                <w:rFonts w:ascii="Calibri" w:hAnsi="Calibri"/>
                <w:i/>
                <w:color w:val="auto"/>
                <w:sz w:val="18"/>
                <w:szCs w:val="18"/>
                <w:lang w:eastAsia="en-AU"/>
              </w:rPr>
              <w:t>71.4</w:t>
            </w:r>
          </w:p>
        </w:tc>
        <w:tc>
          <w:tcPr>
            <w:tcW w:w="903" w:type="pct"/>
            <w:tcBorders>
              <w:top w:val="nil"/>
              <w:left w:val="nil"/>
              <w:bottom w:val="single" w:sz="8" w:space="0" w:color="4D446C"/>
              <w:right w:val="nil"/>
            </w:tcBorders>
            <w:shd w:val="clear" w:color="auto" w:fill="auto"/>
            <w:noWrap/>
            <w:vAlign w:val="center"/>
            <w:hideMark/>
          </w:tcPr>
          <w:p w14:paraId="5DCEB884" w14:textId="77777777" w:rsidR="005110D0" w:rsidRPr="006C7B74" w:rsidRDefault="005110D0" w:rsidP="005110D0">
            <w:pPr>
              <w:jc w:val="center"/>
              <w:rPr>
                <w:rFonts w:ascii="Calibri" w:hAnsi="Calibri"/>
                <w:i/>
                <w:color w:val="auto"/>
                <w:sz w:val="18"/>
                <w:szCs w:val="18"/>
                <w:lang w:eastAsia="en-AU"/>
              </w:rPr>
            </w:pPr>
            <w:r w:rsidRPr="006C7B74">
              <w:rPr>
                <w:rFonts w:ascii="Calibri" w:hAnsi="Calibri"/>
                <w:i/>
                <w:color w:val="auto"/>
                <w:sz w:val="18"/>
                <w:szCs w:val="18"/>
                <w:lang w:eastAsia="en-AU"/>
              </w:rPr>
              <w:t>63.3</w:t>
            </w:r>
          </w:p>
        </w:tc>
      </w:tr>
      <w:tr w:rsidR="005110D0" w:rsidRPr="006C7B74" w14:paraId="0713B89F" w14:textId="77777777" w:rsidTr="005110D0">
        <w:trPr>
          <w:trHeight w:val="315"/>
        </w:trPr>
        <w:tc>
          <w:tcPr>
            <w:tcW w:w="2293" w:type="pct"/>
            <w:tcBorders>
              <w:top w:val="nil"/>
              <w:left w:val="nil"/>
              <w:bottom w:val="single" w:sz="8" w:space="0" w:color="4D446C"/>
              <w:right w:val="nil"/>
            </w:tcBorders>
            <w:shd w:val="clear" w:color="auto" w:fill="auto"/>
            <w:noWrap/>
            <w:vAlign w:val="center"/>
            <w:hideMark/>
          </w:tcPr>
          <w:p w14:paraId="5A8278E2" w14:textId="602C80C1" w:rsidR="005110D0" w:rsidRPr="006C7B74" w:rsidRDefault="003A65D1" w:rsidP="005110D0">
            <w:pPr>
              <w:rPr>
                <w:rFonts w:ascii="Calibri" w:hAnsi="Calibri"/>
                <w:i/>
                <w:iCs/>
                <w:color w:val="000000"/>
                <w:sz w:val="18"/>
                <w:szCs w:val="18"/>
                <w:lang w:eastAsia="en-AU"/>
              </w:rPr>
            </w:pPr>
            <w:r w:rsidRPr="006C7B74">
              <w:rPr>
                <w:rFonts w:ascii="Calibri" w:hAnsi="Calibri" w:cs="Calibri"/>
                <w:i/>
                <w:color w:val="363534"/>
                <w:sz w:val="18"/>
                <w:szCs w:val="18"/>
                <w:lang w:eastAsia="en-GB"/>
              </w:rPr>
              <w:t xml:space="preserve">   </w:t>
            </w:r>
            <w:r w:rsidR="005110D0" w:rsidRPr="006C7B74">
              <w:rPr>
                <w:rFonts w:ascii="Calibri" w:hAnsi="Calibri" w:cs="Calibri"/>
                <w:i/>
                <w:color w:val="363534"/>
                <w:sz w:val="18"/>
                <w:szCs w:val="18"/>
                <w:lang w:eastAsia="en-GB"/>
              </w:rPr>
              <w:t>Officer</w:t>
            </w:r>
            <w:r w:rsidR="007970F3" w:rsidRPr="006C7B74">
              <w:rPr>
                <w:rFonts w:ascii="Calibri" w:hAnsi="Calibri" w:cs="Calibri"/>
                <w:i/>
                <w:color w:val="363534"/>
                <w:sz w:val="18"/>
                <w:szCs w:val="18"/>
                <w:lang w:eastAsia="en-GB"/>
              </w:rPr>
              <w:t>-Pakenham</w:t>
            </w:r>
            <w:r w:rsidR="005110D0" w:rsidRPr="006C7B74">
              <w:rPr>
                <w:rFonts w:ascii="Calibri" w:hAnsi="Calibri" w:cs="Calibri"/>
                <w:i/>
                <w:color w:val="363534"/>
                <w:sz w:val="18"/>
                <w:szCs w:val="18"/>
                <w:lang w:eastAsia="en-GB"/>
              </w:rPr>
              <w:t xml:space="preserve"> S</w:t>
            </w:r>
            <w:r w:rsidR="004C57F9" w:rsidRPr="006C7B74">
              <w:rPr>
                <w:rFonts w:ascii="Calibri" w:hAnsi="Calibri" w:cs="Calibri"/>
                <w:i/>
                <w:color w:val="363534"/>
                <w:sz w:val="18"/>
                <w:szCs w:val="18"/>
                <w:lang w:eastAsia="en-GB"/>
              </w:rPr>
              <w:t>SIP</w:t>
            </w:r>
          </w:p>
        </w:tc>
        <w:tc>
          <w:tcPr>
            <w:tcW w:w="902" w:type="pct"/>
            <w:tcBorders>
              <w:top w:val="nil"/>
              <w:left w:val="nil"/>
              <w:bottom w:val="single" w:sz="8" w:space="0" w:color="4D446C"/>
              <w:right w:val="nil"/>
            </w:tcBorders>
            <w:shd w:val="clear" w:color="auto" w:fill="auto"/>
            <w:noWrap/>
            <w:vAlign w:val="center"/>
            <w:hideMark/>
          </w:tcPr>
          <w:p w14:paraId="5A645DBA" w14:textId="77777777" w:rsidR="005110D0" w:rsidRPr="006C7B74" w:rsidRDefault="005110D0" w:rsidP="005110D0">
            <w:pPr>
              <w:jc w:val="center"/>
              <w:rPr>
                <w:rFonts w:ascii="Calibri" w:hAnsi="Calibri"/>
                <w:i/>
                <w:color w:val="auto"/>
                <w:sz w:val="18"/>
                <w:szCs w:val="18"/>
                <w:lang w:eastAsia="en-AU"/>
              </w:rPr>
            </w:pPr>
            <w:r w:rsidRPr="006C7B74">
              <w:rPr>
                <w:rFonts w:ascii="Calibri" w:hAnsi="Calibri"/>
                <w:i/>
                <w:color w:val="auto"/>
                <w:sz w:val="18"/>
                <w:szCs w:val="18"/>
                <w:lang w:eastAsia="en-AU"/>
              </w:rPr>
              <w:t>15.5</w:t>
            </w:r>
          </w:p>
        </w:tc>
        <w:tc>
          <w:tcPr>
            <w:tcW w:w="902" w:type="pct"/>
            <w:tcBorders>
              <w:top w:val="nil"/>
              <w:left w:val="nil"/>
              <w:bottom w:val="single" w:sz="8" w:space="0" w:color="4D446C"/>
              <w:right w:val="nil"/>
            </w:tcBorders>
            <w:shd w:val="clear" w:color="auto" w:fill="auto"/>
            <w:noWrap/>
            <w:vAlign w:val="center"/>
            <w:hideMark/>
          </w:tcPr>
          <w:p w14:paraId="576C8A6D" w14:textId="77777777" w:rsidR="005110D0" w:rsidRPr="006C7B74" w:rsidRDefault="005110D0" w:rsidP="005110D0">
            <w:pPr>
              <w:jc w:val="center"/>
              <w:rPr>
                <w:rFonts w:ascii="Calibri" w:hAnsi="Calibri"/>
                <w:i/>
                <w:color w:val="auto"/>
                <w:sz w:val="18"/>
                <w:szCs w:val="18"/>
                <w:lang w:eastAsia="en-AU"/>
              </w:rPr>
            </w:pPr>
            <w:r w:rsidRPr="006C7B74">
              <w:rPr>
                <w:rFonts w:ascii="Calibri" w:hAnsi="Calibri"/>
                <w:i/>
                <w:color w:val="auto"/>
                <w:sz w:val="18"/>
                <w:szCs w:val="18"/>
                <w:lang w:eastAsia="en-AU"/>
              </w:rPr>
              <w:t>12.4</w:t>
            </w:r>
          </w:p>
        </w:tc>
        <w:tc>
          <w:tcPr>
            <w:tcW w:w="903" w:type="pct"/>
            <w:tcBorders>
              <w:top w:val="nil"/>
              <w:left w:val="nil"/>
              <w:bottom w:val="single" w:sz="8" w:space="0" w:color="4D446C"/>
              <w:right w:val="nil"/>
            </w:tcBorders>
            <w:shd w:val="clear" w:color="auto" w:fill="auto"/>
            <w:noWrap/>
            <w:vAlign w:val="center"/>
            <w:hideMark/>
          </w:tcPr>
          <w:p w14:paraId="7A0759FA" w14:textId="77777777" w:rsidR="005110D0" w:rsidRPr="006C7B74" w:rsidRDefault="005110D0" w:rsidP="005110D0">
            <w:pPr>
              <w:jc w:val="center"/>
              <w:rPr>
                <w:rFonts w:ascii="Calibri" w:hAnsi="Calibri"/>
                <w:i/>
                <w:color w:val="auto"/>
                <w:sz w:val="18"/>
                <w:szCs w:val="18"/>
                <w:lang w:eastAsia="en-AU"/>
              </w:rPr>
            </w:pPr>
            <w:r w:rsidRPr="006C7B74">
              <w:rPr>
                <w:rFonts w:ascii="Calibri" w:hAnsi="Calibri"/>
                <w:i/>
                <w:color w:val="auto"/>
                <w:sz w:val="18"/>
                <w:szCs w:val="18"/>
                <w:lang w:eastAsia="en-AU"/>
              </w:rPr>
              <w:t>13.9</w:t>
            </w:r>
          </w:p>
        </w:tc>
      </w:tr>
      <w:tr w:rsidR="005110D0" w:rsidRPr="006C7B74" w14:paraId="67228DCA" w14:textId="77777777" w:rsidTr="005110D0">
        <w:trPr>
          <w:trHeight w:val="315"/>
        </w:trPr>
        <w:tc>
          <w:tcPr>
            <w:tcW w:w="2293" w:type="pct"/>
            <w:tcBorders>
              <w:top w:val="nil"/>
              <w:left w:val="nil"/>
              <w:bottom w:val="single" w:sz="8" w:space="0" w:color="4D446C"/>
              <w:right w:val="nil"/>
            </w:tcBorders>
            <w:shd w:val="clear" w:color="auto" w:fill="auto"/>
            <w:noWrap/>
            <w:vAlign w:val="center"/>
            <w:hideMark/>
          </w:tcPr>
          <w:p w14:paraId="1A9E5559" w14:textId="0AA1EC97" w:rsidR="005110D0" w:rsidRPr="006C7B74" w:rsidRDefault="003A65D1" w:rsidP="005110D0">
            <w:pPr>
              <w:rPr>
                <w:rFonts w:ascii="Calibri" w:hAnsi="Calibri"/>
                <w:i/>
                <w:iCs/>
                <w:color w:val="000000"/>
                <w:sz w:val="18"/>
                <w:szCs w:val="18"/>
                <w:lang w:eastAsia="en-AU"/>
              </w:rPr>
            </w:pPr>
            <w:r w:rsidRPr="006C7B74">
              <w:rPr>
                <w:rFonts w:ascii="Calibri" w:hAnsi="Calibri" w:cs="Calibri"/>
                <w:i/>
                <w:color w:val="363534"/>
                <w:sz w:val="18"/>
                <w:szCs w:val="18"/>
                <w:lang w:eastAsia="en-GB"/>
              </w:rPr>
              <w:t xml:space="preserve">   </w:t>
            </w:r>
            <w:r w:rsidR="005110D0" w:rsidRPr="006C7B74">
              <w:rPr>
                <w:rFonts w:ascii="Calibri" w:hAnsi="Calibri" w:cs="Calibri"/>
                <w:i/>
                <w:color w:val="363534"/>
                <w:sz w:val="18"/>
                <w:szCs w:val="18"/>
                <w:lang w:eastAsia="en-GB"/>
              </w:rPr>
              <w:t xml:space="preserve">Hastings </w:t>
            </w:r>
            <w:r w:rsidR="00746837" w:rsidRPr="006C7B74">
              <w:rPr>
                <w:rFonts w:ascii="Calibri" w:hAnsi="Calibri" w:cs="Calibri"/>
                <w:i/>
                <w:color w:val="363534"/>
                <w:sz w:val="18"/>
                <w:szCs w:val="18"/>
                <w:lang w:eastAsia="en-GB"/>
              </w:rPr>
              <w:t>SSIP</w:t>
            </w:r>
          </w:p>
        </w:tc>
        <w:tc>
          <w:tcPr>
            <w:tcW w:w="902" w:type="pct"/>
            <w:tcBorders>
              <w:top w:val="nil"/>
              <w:left w:val="nil"/>
              <w:bottom w:val="single" w:sz="8" w:space="0" w:color="4D446C"/>
              <w:right w:val="nil"/>
            </w:tcBorders>
            <w:shd w:val="clear" w:color="auto" w:fill="auto"/>
            <w:noWrap/>
            <w:vAlign w:val="center"/>
            <w:hideMark/>
          </w:tcPr>
          <w:p w14:paraId="473D09E7" w14:textId="77777777" w:rsidR="005110D0" w:rsidRPr="006C7B74" w:rsidRDefault="005110D0" w:rsidP="005110D0">
            <w:pPr>
              <w:jc w:val="center"/>
              <w:rPr>
                <w:rFonts w:ascii="Calibri" w:hAnsi="Calibri"/>
                <w:i/>
                <w:color w:val="auto"/>
                <w:sz w:val="18"/>
                <w:szCs w:val="18"/>
                <w:lang w:eastAsia="en-AU"/>
              </w:rPr>
            </w:pPr>
            <w:r w:rsidRPr="006C7B74">
              <w:rPr>
                <w:rFonts w:ascii="Calibri" w:hAnsi="Calibri"/>
                <w:i/>
                <w:color w:val="auto"/>
                <w:sz w:val="18"/>
                <w:szCs w:val="18"/>
                <w:lang w:eastAsia="en-AU"/>
              </w:rPr>
              <w:t>-1.0</w:t>
            </w:r>
          </w:p>
        </w:tc>
        <w:tc>
          <w:tcPr>
            <w:tcW w:w="902" w:type="pct"/>
            <w:tcBorders>
              <w:top w:val="nil"/>
              <w:left w:val="nil"/>
              <w:bottom w:val="single" w:sz="8" w:space="0" w:color="4D446C"/>
              <w:right w:val="nil"/>
            </w:tcBorders>
            <w:shd w:val="clear" w:color="auto" w:fill="auto"/>
            <w:noWrap/>
            <w:vAlign w:val="center"/>
            <w:hideMark/>
          </w:tcPr>
          <w:p w14:paraId="0BB1C334" w14:textId="77777777" w:rsidR="005110D0" w:rsidRPr="006C7B74" w:rsidRDefault="005110D0" w:rsidP="005110D0">
            <w:pPr>
              <w:jc w:val="center"/>
              <w:rPr>
                <w:rFonts w:ascii="Calibri" w:hAnsi="Calibri"/>
                <w:i/>
                <w:color w:val="auto"/>
                <w:sz w:val="18"/>
                <w:szCs w:val="18"/>
                <w:lang w:eastAsia="en-AU"/>
              </w:rPr>
            </w:pPr>
            <w:r w:rsidRPr="006C7B74">
              <w:rPr>
                <w:rFonts w:ascii="Calibri" w:hAnsi="Calibri"/>
                <w:i/>
                <w:color w:val="auto"/>
                <w:sz w:val="18"/>
                <w:szCs w:val="18"/>
                <w:lang w:eastAsia="en-AU"/>
              </w:rPr>
              <w:t>-0.3</w:t>
            </w:r>
          </w:p>
        </w:tc>
        <w:tc>
          <w:tcPr>
            <w:tcW w:w="903" w:type="pct"/>
            <w:tcBorders>
              <w:top w:val="nil"/>
              <w:left w:val="nil"/>
              <w:bottom w:val="single" w:sz="8" w:space="0" w:color="4D446C"/>
              <w:right w:val="nil"/>
            </w:tcBorders>
            <w:shd w:val="clear" w:color="auto" w:fill="auto"/>
            <w:noWrap/>
            <w:vAlign w:val="center"/>
            <w:hideMark/>
          </w:tcPr>
          <w:p w14:paraId="3D9A6507" w14:textId="77777777" w:rsidR="005110D0" w:rsidRPr="006C7B74" w:rsidRDefault="005110D0" w:rsidP="005110D0">
            <w:pPr>
              <w:jc w:val="center"/>
              <w:rPr>
                <w:rFonts w:ascii="Calibri" w:hAnsi="Calibri"/>
                <w:i/>
                <w:color w:val="auto"/>
                <w:sz w:val="18"/>
                <w:szCs w:val="18"/>
                <w:lang w:eastAsia="en-AU"/>
              </w:rPr>
            </w:pPr>
            <w:r w:rsidRPr="006C7B74">
              <w:rPr>
                <w:rFonts w:ascii="Calibri" w:hAnsi="Calibri"/>
                <w:i/>
                <w:color w:val="auto"/>
                <w:sz w:val="18"/>
                <w:szCs w:val="18"/>
                <w:lang w:eastAsia="en-AU"/>
              </w:rPr>
              <w:t>-18.3</w:t>
            </w:r>
          </w:p>
        </w:tc>
      </w:tr>
      <w:tr w:rsidR="005110D0" w:rsidRPr="006C7B74" w14:paraId="53089EB5" w14:textId="77777777" w:rsidTr="005110D0">
        <w:trPr>
          <w:trHeight w:val="315"/>
        </w:trPr>
        <w:tc>
          <w:tcPr>
            <w:tcW w:w="2293" w:type="pct"/>
            <w:tcBorders>
              <w:top w:val="nil"/>
              <w:left w:val="nil"/>
              <w:bottom w:val="single" w:sz="8" w:space="0" w:color="4D446C"/>
              <w:right w:val="nil"/>
            </w:tcBorders>
            <w:shd w:val="clear" w:color="auto" w:fill="auto"/>
            <w:noWrap/>
            <w:vAlign w:val="center"/>
          </w:tcPr>
          <w:p w14:paraId="33A66CD4" w14:textId="77777777" w:rsidR="005110D0" w:rsidRPr="006C7B74" w:rsidRDefault="005110D0" w:rsidP="005110D0">
            <w:pPr>
              <w:rPr>
                <w:rFonts w:ascii="Calibri" w:hAnsi="Calibri"/>
                <w:b/>
                <w:bCs/>
                <w:color w:val="000000"/>
                <w:sz w:val="18"/>
                <w:szCs w:val="18"/>
                <w:lang w:eastAsia="en-AU"/>
              </w:rPr>
            </w:pPr>
            <w:r w:rsidRPr="006C7B74">
              <w:rPr>
                <w:rFonts w:ascii="Calibri" w:hAnsi="Calibri" w:cs="Calibri"/>
                <w:color w:val="363534"/>
                <w:sz w:val="18"/>
                <w:szCs w:val="18"/>
                <w:lang w:eastAsia="en-GB"/>
              </w:rPr>
              <w:t>Inner South East Region</w:t>
            </w:r>
          </w:p>
        </w:tc>
        <w:tc>
          <w:tcPr>
            <w:tcW w:w="902" w:type="pct"/>
            <w:tcBorders>
              <w:top w:val="nil"/>
              <w:left w:val="nil"/>
              <w:bottom w:val="single" w:sz="8" w:space="0" w:color="4D446C"/>
              <w:right w:val="nil"/>
            </w:tcBorders>
            <w:shd w:val="clear" w:color="auto" w:fill="auto"/>
            <w:noWrap/>
            <w:vAlign w:val="center"/>
          </w:tcPr>
          <w:p w14:paraId="12A9D0D1" w14:textId="77777777" w:rsidR="005110D0" w:rsidRPr="006C7B74" w:rsidRDefault="005110D0" w:rsidP="005110D0">
            <w:pPr>
              <w:jc w:val="center"/>
              <w:rPr>
                <w:rFonts w:ascii="Calibri" w:hAnsi="Calibri"/>
                <w:color w:val="auto"/>
                <w:sz w:val="18"/>
                <w:szCs w:val="18"/>
                <w:lang w:eastAsia="en-AU"/>
              </w:rPr>
            </w:pPr>
            <w:r w:rsidRPr="006C7B74">
              <w:rPr>
                <w:rFonts w:ascii="Calibri" w:hAnsi="Calibri"/>
                <w:color w:val="auto"/>
                <w:sz w:val="18"/>
                <w:szCs w:val="18"/>
                <w:lang w:eastAsia="en-AU"/>
              </w:rPr>
              <w:t>-0.9</w:t>
            </w:r>
          </w:p>
        </w:tc>
        <w:tc>
          <w:tcPr>
            <w:tcW w:w="902" w:type="pct"/>
            <w:tcBorders>
              <w:top w:val="nil"/>
              <w:left w:val="nil"/>
              <w:bottom w:val="single" w:sz="8" w:space="0" w:color="4D446C"/>
              <w:right w:val="nil"/>
            </w:tcBorders>
            <w:shd w:val="clear" w:color="auto" w:fill="auto"/>
            <w:noWrap/>
            <w:vAlign w:val="center"/>
          </w:tcPr>
          <w:p w14:paraId="17BCA690" w14:textId="77777777" w:rsidR="005110D0" w:rsidRPr="006C7B74" w:rsidRDefault="005110D0" w:rsidP="005110D0">
            <w:pPr>
              <w:jc w:val="center"/>
              <w:rPr>
                <w:rFonts w:ascii="Calibri" w:hAnsi="Calibri"/>
                <w:color w:val="auto"/>
                <w:sz w:val="18"/>
                <w:szCs w:val="18"/>
                <w:lang w:eastAsia="en-AU"/>
              </w:rPr>
            </w:pPr>
            <w:r w:rsidRPr="006C7B74">
              <w:rPr>
                <w:rFonts w:ascii="Calibri" w:hAnsi="Calibri"/>
                <w:color w:val="auto"/>
                <w:sz w:val="18"/>
                <w:szCs w:val="18"/>
                <w:lang w:eastAsia="en-AU"/>
              </w:rPr>
              <w:t>0.4</w:t>
            </w:r>
          </w:p>
        </w:tc>
        <w:tc>
          <w:tcPr>
            <w:tcW w:w="903" w:type="pct"/>
            <w:tcBorders>
              <w:top w:val="nil"/>
              <w:left w:val="nil"/>
              <w:bottom w:val="single" w:sz="8" w:space="0" w:color="4D446C"/>
              <w:right w:val="nil"/>
            </w:tcBorders>
            <w:shd w:val="clear" w:color="auto" w:fill="auto"/>
            <w:noWrap/>
            <w:vAlign w:val="center"/>
          </w:tcPr>
          <w:p w14:paraId="3B4EA47A" w14:textId="77777777" w:rsidR="005110D0" w:rsidRPr="006C7B74" w:rsidRDefault="005110D0" w:rsidP="005110D0">
            <w:pPr>
              <w:jc w:val="center"/>
              <w:rPr>
                <w:rFonts w:ascii="Calibri" w:hAnsi="Calibri"/>
                <w:color w:val="auto"/>
                <w:sz w:val="18"/>
                <w:szCs w:val="18"/>
                <w:lang w:eastAsia="en-AU"/>
              </w:rPr>
            </w:pPr>
            <w:r w:rsidRPr="006C7B74">
              <w:rPr>
                <w:rFonts w:ascii="Calibri" w:hAnsi="Calibri"/>
                <w:color w:val="auto"/>
                <w:sz w:val="18"/>
                <w:szCs w:val="18"/>
                <w:lang w:eastAsia="en-AU"/>
              </w:rPr>
              <w:t>0.6</w:t>
            </w:r>
          </w:p>
        </w:tc>
      </w:tr>
      <w:tr w:rsidR="005110D0" w:rsidRPr="006C7B74" w14:paraId="5608E73F" w14:textId="77777777" w:rsidTr="005110D0">
        <w:trPr>
          <w:trHeight w:val="315"/>
        </w:trPr>
        <w:tc>
          <w:tcPr>
            <w:tcW w:w="2293" w:type="pct"/>
            <w:tcBorders>
              <w:top w:val="nil"/>
              <w:left w:val="nil"/>
              <w:bottom w:val="single" w:sz="8" w:space="0" w:color="4D446C"/>
              <w:right w:val="nil"/>
            </w:tcBorders>
            <w:shd w:val="clear" w:color="auto" w:fill="auto"/>
            <w:noWrap/>
            <w:vAlign w:val="center"/>
            <w:hideMark/>
          </w:tcPr>
          <w:p w14:paraId="0CBD5D0C" w14:textId="77777777" w:rsidR="005110D0" w:rsidRPr="006C7B74" w:rsidRDefault="005110D0" w:rsidP="005110D0">
            <w:pPr>
              <w:rPr>
                <w:rFonts w:ascii="Calibri" w:hAnsi="Calibri"/>
                <w:b/>
                <w:bCs/>
                <w:color w:val="000000"/>
                <w:sz w:val="18"/>
                <w:szCs w:val="18"/>
                <w:lang w:eastAsia="en-AU"/>
              </w:rPr>
            </w:pPr>
            <w:r w:rsidRPr="006C7B74">
              <w:rPr>
                <w:rFonts w:ascii="Calibri" w:hAnsi="Calibri"/>
                <w:b/>
                <w:bCs/>
                <w:color w:val="000000"/>
                <w:sz w:val="18"/>
                <w:szCs w:val="18"/>
                <w:lang w:eastAsia="en-AU"/>
              </w:rPr>
              <w:t>Total</w:t>
            </w:r>
          </w:p>
        </w:tc>
        <w:tc>
          <w:tcPr>
            <w:tcW w:w="902" w:type="pct"/>
            <w:tcBorders>
              <w:top w:val="nil"/>
              <w:left w:val="nil"/>
              <w:bottom w:val="single" w:sz="8" w:space="0" w:color="4D446C"/>
              <w:right w:val="nil"/>
            </w:tcBorders>
            <w:shd w:val="clear" w:color="auto" w:fill="auto"/>
            <w:noWrap/>
            <w:vAlign w:val="center"/>
            <w:hideMark/>
          </w:tcPr>
          <w:p w14:paraId="57A76049" w14:textId="77777777" w:rsidR="005110D0" w:rsidRPr="006C7B74" w:rsidRDefault="005110D0" w:rsidP="005110D0">
            <w:pPr>
              <w:jc w:val="center"/>
              <w:rPr>
                <w:rFonts w:ascii="Calibri" w:hAnsi="Calibri"/>
                <w:b/>
                <w:color w:val="auto"/>
                <w:sz w:val="18"/>
                <w:szCs w:val="18"/>
                <w:lang w:eastAsia="en-AU"/>
              </w:rPr>
            </w:pPr>
            <w:r w:rsidRPr="006C7B74">
              <w:rPr>
                <w:rFonts w:ascii="Calibri" w:hAnsi="Calibri"/>
                <w:b/>
                <w:color w:val="auto"/>
                <w:sz w:val="18"/>
                <w:szCs w:val="18"/>
                <w:lang w:eastAsia="en-AU"/>
              </w:rPr>
              <w:t>286.1</w:t>
            </w:r>
          </w:p>
        </w:tc>
        <w:tc>
          <w:tcPr>
            <w:tcW w:w="902" w:type="pct"/>
            <w:tcBorders>
              <w:top w:val="nil"/>
              <w:left w:val="nil"/>
              <w:bottom w:val="single" w:sz="8" w:space="0" w:color="4D446C"/>
              <w:right w:val="nil"/>
            </w:tcBorders>
            <w:shd w:val="clear" w:color="auto" w:fill="auto"/>
            <w:noWrap/>
            <w:vAlign w:val="center"/>
            <w:hideMark/>
          </w:tcPr>
          <w:p w14:paraId="4B25C2EF" w14:textId="77777777" w:rsidR="005110D0" w:rsidRPr="006C7B74" w:rsidRDefault="005110D0" w:rsidP="005110D0">
            <w:pPr>
              <w:jc w:val="center"/>
              <w:rPr>
                <w:rFonts w:ascii="Calibri" w:hAnsi="Calibri"/>
                <w:b/>
                <w:color w:val="auto"/>
                <w:sz w:val="18"/>
                <w:szCs w:val="18"/>
                <w:lang w:eastAsia="en-AU"/>
              </w:rPr>
            </w:pPr>
            <w:r w:rsidRPr="006C7B74">
              <w:rPr>
                <w:rFonts w:ascii="Calibri" w:hAnsi="Calibri"/>
                <w:b/>
                <w:color w:val="auto"/>
                <w:sz w:val="18"/>
                <w:szCs w:val="18"/>
                <w:lang w:eastAsia="en-AU"/>
              </w:rPr>
              <w:t>310.0</w:t>
            </w:r>
          </w:p>
        </w:tc>
        <w:tc>
          <w:tcPr>
            <w:tcW w:w="903" w:type="pct"/>
            <w:tcBorders>
              <w:top w:val="nil"/>
              <w:left w:val="nil"/>
              <w:bottom w:val="single" w:sz="8" w:space="0" w:color="4D446C"/>
              <w:right w:val="nil"/>
            </w:tcBorders>
            <w:shd w:val="clear" w:color="auto" w:fill="auto"/>
            <w:noWrap/>
            <w:vAlign w:val="center"/>
            <w:hideMark/>
          </w:tcPr>
          <w:p w14:paraId="02B432AE" w14:textId="77777777" w:rsidR="005110D0" w:rsidRPr="006C7B74" w:rsidRDefault="005110D0" w:rsidP="005110D0">
            <w:pPr>
              <w:jc w:val="center"/>
              <w:rPr>
                <w:rFonts w:ascii="Calibri" w:hAnsi="Calibri"/>
                <w:b/>
                <w:color w:val="auto"/>
                <w:sz w:val="18"/>
                <w:szCs w:val="18"/>
                <w:lang w:eastAsia="en-AU"/>
              </w:rPr>
            </w:pPr>
            <w:r w:rsidRPr="006C7B74">
              <w:rPr>
                <w:rFonts w:ascii="Calibri" w:hAnsi="Calibri"/>
                <w:b/>
                <w:color w:val="auto"/>
                <w:sz w:val="18"/>
                <w:szCs w:val="18"/>
                <w:lang w:eastAsia="en-AU"/>
              </w:rPr>
              <w:t>247.6</w:t>
            </w:r>
          </w:p>
        </w:tc>
      </w:tr>
    </w:tbl>
    <w:p w14:paraId="39336FD7" w14:textId="67837653" w:rsidR="005110D0" w:rsidRPr="006C7B74" w:rsidRDefault="00DC580D" w:rsidP="00652302">
      <w:pPr>
        <w:pStyle w:val="Quote"/>
        <w:rPr>
          <w:rFonts w:eastAsiaTheme="minorHAnsi" w:cstheme="minorHAnsi"/>
          <w:sz w:val="20"/>
          <w:szCs w:val="20"/>
        </w:rPr>
      </w:pPr>
      <w:r w:rsidRPr="006C7B74">
        <w:t>Source: Department of Environment, Land, Water and Planning, Urban Development Program – Melbourne Metropolitan Industrial 2018</w:t>
      </w:r>
    </w:p>
    <w:p w14:paraId="472748A7" w14:textId="77777777" w:rsidR="00861A9A" w:rsidRPr="006C7B74" w:rsidRDefault="00861A9A" w:rsidP="00861A9A">
      <w:pPr>
        <w:spacing w:after="120"/>
        <w:rPr>
          <w:rFonts w:cstheme="minorHAnsi"/>
          <w:sz w:val="20"/>
          <w:szCs w:val="20"/>
        </w:rPr>
      </w:pPr>
      <w:bookmarkStart w:id="25" w:name="_Toc21694807"/>
    </w:p>
    <w:p w14:paraId="13DD5BD0" w14:textId="0ECA729C" w:rsidR="005110D0" w:rsidRPr="006C7B74" w:rsidRDefault="005110D0" w:rsidP="00871373">
      <w:pPr>
        <w:pStyle w:val="Heading2-Contenttable"/>
        <w:spacing w:after="120"/>
      </w:pPr>
      <w:r w:rsidRPr="006C7B74">
        <w:t>Supply and demand for commercial land</w:t>
      </w:r>
      <w:bookmarkEnd w:id="25"/>
    </w:p>
    <w:p w14:paraId="01260230" w14:textId="25AA5727" w:rsidR="00BC16B1" w:rsidRPr="006C7B74" w:rsidRDefault="00BC16B1" w:rsidP="00BC16B1">
      <w:pPr>
        <w:pStyle w:val="BodyText"/>
      </w:pPr>
      <w:r w:rsidRPr="006C7B74">
        <w:t>As the population of Victoria continues to grow and its economy continues to transition to one based on services, it is expected that there will continue to be strong growth for commercial space, for both retail and office uses.</w:t>
      </w:r>
    </w:p>
    <w:p w14:paraId="2A2EA49C" w14:textId="7B28191F" w:rsidR="00BC16B1" w:rsidRPr="006C7B74" w:rsidRDefault="00C61E05" w:rsidP="00BC16B1">
      <w:pPr>
        <w:pStyle w:val="BodyText"/>
      </w:pPr>
      <w:r w:rsidRPr="006C7B74">
        <w:t>Professions</w:t>
      </w:r>
      <w:r w:rsidR="00BC16B1" w:rsidRPr="006C7B74">
        <w:t xml:space="preserve"> such as accountants, lawyers</w:t>
      </w:r>
      <w:r w:rsidR="004F654D" w:rsidRPr="006C7B74">
        <w:t xml:space="preserve"> and</w:t>
      </w:r>
      <w:r w:rsidR="00BC16B1" w:rsidRPr="006C7B74">
        <w:t xml:space="preserve"> web designers, require access to office space.</w:t>
      </w:r>
      <w:r w:rsidR="007C154C" w:rsidRPr="006C7B74">
        <w:t xml:space="preserve"> </w:t>
      </w:r>
      <w:r w:rsidR="00BC16B1" w:rsidRPr="006C7B74">
        <w:t xml:space="preserve">In recent times most of the increase in office-based employment has been located in the </w:t>
      </w:r>
      <w:r w:rsidRPr="006C7B74">
        <w:t>Central C</w:t>
      </w:r>
      <w:r w:rsidR="00BC16B1" w:rsidRPr="006C7B74">
        <w:t xml:space="preserve">ity, however there are </w:t>
      </w:r>
      <w:r w:rsidRPr="006C7B74">
        <w:t xml:space="preserve">also </w:t>
      </w:r>
      <w:r w:rsidR="00BC16B1" w:rsidRPr="006C7B74">
        <w:t>other areas, such as Cremorne, that are the locations for significant amount</w:t>
      </w:r>
      <w:r w:rsidR="00D628B2" w:rsidRPr="006C7B74">
        <w:t>s</w:t>
      </w:r>
      <w:r w:rsidR="00BC16B1" w:rsidRPr="006C7B74">
        <w:t xml:space="preserve"> of office space and major employers.</w:t>
      </w:r>
      <w:r w:rsidR="007C154C" w:rsidRPr="006C7B74">
        <w:t xml:space="preserve"> </w:t>
      </w:r>
      <w:r w:rsidR="00BC16B1" w:rsidRPr="006C7B74">
        <w:t xml:space="preserve">Given the changing nature of the economy, it is expected that the demand for office space in the </w:t>
      </w:r>
      <w:r w:rsidRPr="006C7B74">
        <w:t xml:space="preserve">Central </w:t>
      </w:r>
      <w:r w:rsidR="00BC16B1" w:rsidRPr="006C7B74">
        <w:t>City and across metropolitan Melbourne will continue.</w:t>
      </w:r>
    </w:p>
    <w:p w14:paraId="5A6DBEDA" w14:textId="45010EB9" w:rsidR="00BC16B1" w:rsidRPr="006C7B74" w:rsidRDefault="00BC16B1" w:rsidP="00BC16B1">
      <w:pPr>
        <w:pStyle w:val="BodyText"/>
      </w:pPr>
      <w:r w:rsidRPr="006C7B74">
        <w:t>Metropolitan Melbourne also hosts a wide range of centres that provide services, such as retailing, entertainment and local professionals, to regional and local populations.</w:t>
      </w:r>
      <w:r w:rsidR="007C154C" w:rsidRPr="006C7B74">
        <w:t xml:space="preserve"> </w:t>
      </w:r>
      <w:r w:rsidRPr="006C7B74">
        <w:t xml:space="preserve">These centres range from very large activity centres, such as the </w:t>
      </w:r>
      <w:r w:rsidR="00053DE2" w:rsidRPr="006C7B74">
        <w:t xml:space="preserve">identified </w:t>
      </w:r>
      <w:r w:rsidR="00635818" w:rsidRPr="006C7B74">
        <w:t>m</w:t>
      </w:r>
      <w:r w:rsidR="00053DE2" w:rsidRPr="006C7B74">
        <w:t xml:space="preserve">etropolitan </w:t>
      </w:r>
      <w:r w:rsidR="00635818" w:rsidRPr="006C7B74">
        <w:t>a</w:t>
      </w:r>
      <w:r w:rsidR="00053DE2" w:rsidRPr="006C7B74">
        <w:t xml:space="preserve">ctivity </w:t>
      </w:r>
      <w:r w:rsidR="00635818" w:rsidRPr="006C7B74">
        <w:t>c</w:t>
      </w:r>
      <w:r w:rsidR="00053DE2" w:rsidRPr="006C7B74">
        <w:t>entres</w:t>
      </w:r>
      <w:r w:rsidRPr="006C7B74">
        <w:t>, to local strip shopping centres.</w:t>
      </w:r>
      <w:r w:rsidR="007C154C" w:rsidRPr="006C7B74">
        <w:t xml:space="preserve"> </w:t>
      </w:r>
      <w:r w:rsidRPr="006C7B74">
        <w:t>Given the projected levels of population growth, it is anticipated that there will continue to be demand for this type of space.</w:t>
      </w:r>
    </w:p>
    <w:p w14:paraId="68922478" w14:textId="393B47EE" w:rsidR="005110D0" w:rsidRPr="006C7B74" w:rsidRDefault="00BC16B1" w:rsidP="00BC16B1">
      <w:pPr>
        <w:pStyle w:val="BodyText"/>
        <w:spacing w:before="0" w:line="240" w:lineRule="auto"/>
      </w:pPr>
      <w:r w:rsidRPr="006C7B74">
        <w:t>However, many industries in these sectors are experiencing a level of disruption to their traditional business models, such as on-line sales for retailing and flexible office space for office users.</w:t>
      </w:r>
      <w:r w:rsidR="007C154C" w:rsidRPr="006C7B74">
        <w:t xml:space="preserve"> </w:t>
      </w:r>
      <w:r w:rsidRPr="006C7B74">
        <w:t>We are at the start of this disruptive activity.</w:t>
      </w:r>
      <w:r w:rsidR="007C154C" w:rsidRPr="006C7B74">
        <w:t xml:space="preserve"> </w:t>
      </w:r>
      <w:r w:rsidRPr="006C7B74">
        <w:t>While it is unclear how this or future disruptions will impact land use, the role of planning for commercial space is to ensure that opportunities for current and future businesses are maintained and not lost.</w:t>
      </w:r>
    </w:p>
    <w:p w14:paraId="498E0767" w14:textId="77777777" w:rsidR="005110D0" w:rsidRPr="006C7B74" w:rsidRDefault="005110D0" w:rsidP="005110D0">
      <w:pPr>
        <w:pStyle w:val="Heading3"/>
        <w:spacing w:before="0" w:after="120"/>
      </w:pPr>
      <w:r w:rsidRPr="006C7B74">
        <w:t>Supply of commercial land</w:t>
      </w:r>
    </w:p>
    <w:p w14:paraId="68BEE543" w14:textId="4E0C5391" w:rsidR="005110D0" w:rsidRPr="006C7B74" w:rsidRDefault="00637880" w:rsidP="005110D0">
      <w:pPr>
        <w:pStyle w:val="BodyText"/>
        <w:spacing w:before="0" w:line="240" w:lineRule="auto"/>
      </w:pPr>
      <w:r w:rsidRPr="006C7B74">
        <w:t>A</w:t>
      </w:r>
      <w:r w:rsidR="00315EAF" w:rsidRPr="006C7B74">
        <w:t>lmost</w:t>
      </w:r>
      <w:r w:rsidR="005110D0" w:rsidRPr="006C7B74">
        <w:t xml:space="preserve"> </w:t>
      </w:r>
      <w:r w:rsidR="00ED6040" w:rsidRPr="006C7B74">
        <w:t xml:space="preserve">5,300 </w:t>
      </w:r>
      <w:r w:rsidR="005110D0" w:rsidRPr="006C7B74">
        <w:t xml:space="preserve">hectares of land zoned for commercial purposes has been identified across metropolitan Melbourne. </w:t>
      </w:r>
    </w:p>
    <w:p w14:paraId="48FC5C60" w14:textId="5B7CFD92" w:rsidR="0021700B" w:rsidRPr="006C7B74" w:rsidRDefault="0021700B" w:rsidP="0021700B">
      <w:pPr>
        <w:pStyle w:val="BodyText"/>
        <w:spacing w:before="0" w:line="240" w:lineRule="auto"/>
      </w:pPr>
      <w:r w:rsidRPr="006C7B74">
        <w:lastRenderedPageBreak/>
        <w:t xml:space="preserve">In addition, just over 1,320 hectares of land has been identified for future commercial purposes through Growth Corridor Plans and PSPs. </w:t>
      </w:r>
      <w:r w:rsidR="00FA3B06">
        <w:t>Nearly</w:t>
      </w:r>
      <w:r w:rsidR="003C3076">
        <w:t xml:space="preserve"> 85 </w:t>
      </w:r>
      <w:r w:rsidRPr="006C7B74">
        <w:t xml:space="preserve">per cent of this land is located in the Western and Southern </w:t>
      </w:r>
      <w:r w:rsidR="00CA3FBF">
        <w:t>regions</w:t>
      </w:r>
      <w:r w:rsidRPr="006C7B74">
        <w:t>.</w:t>
      </w:r>
    </w:p>
    <w:p w14:paraId="660BD3DF" w14:textId="574F55CC" w:rsidR="005110D0" w:rsidRPr="006C7B74" w:rsidRDefault="005110D0" w:rsidP="005110D0">
      <w:pPr>
        <w:pStyle w:val="Heading5"/>
      </w:pPr>
      <w:r w:rsidRPr="006C7B74">
        <w:t xml:space="preserve">Table 5: Commercial </w:t>
      </w:r>
      <w:r w:rsidR="00952EEA" w:rsidRPr="006C7B74">
        <w:t>l</w:t>
      </w:r>
      <w:r w:rsidRPr="006C7B74">
        <w:t xml:space="preserve">and </w:t>
      </w:r>
      <w:r w:rsidR="00952EEA" w:rsidRPr="006C7B74">
        <w:t>s</w:t>
      </w:r>
      <w:r w:rsidRPr="006C7B74">
        <w:t>upply</w:t>
      </w:r>
    </w:p>
    <w:tbl>
      <w:tblPr>
        <w:tblStyle w:val="GridTable4-Accent11"/>
        <w:tblW w:w="0" w:type="auto"/>
        <w:tblLook w:val="04A0" w:firstRow="1" w:lastRow="0" w:firstColumn="1" w:lastColumn="0" w:noHBand="0" w:noVBand="1"/>
      </w:tblPr>
      <w:tblGrid>
        <w:gridCol w:w="3085"/>
        <w:gridCol w:w="1843"/>
        <w:gridCol w:w="1701"/>
        <w:gridCol w:w="2268"/>
      </w:tblGrid>
      <w:tr w:rsidR="005110D0" w:rsidRPr="00CA3FBF" w14:paraId="738B1E25" w14:textId="77777777" w:rsidTr="005110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Borders>
              <w:bottom w:val="single" w:sz="4" w:space="0" w:color="000000" w:themeColor="text1"/>
            </w:tcBorders>
            <w:shd w:val="clear" w:color="auto" w:fill="4D446C"/>
            <w:vAlign w:val="center"/>
          </w:tcPr>
          <w:p w14:paraId="6ECC0EEA" w14:textId="77777777" w:rsidR="005110D0" w:rsidRPr="00CA3FBF" w:rsidRDefault="005110D0" w:rsidP="000D67B8">
            <w:pPr>
              <w:pStyle w:val="TableHeaderRow"/>
              <w:rPr>
                <w:b/>
                <w:bCs/>
              </w:rPr>
            </w:pPr>
            <w:r w:rsidRPr="00CA3FBF">
              <w:rPr>
                <w:b/>
                <w:bCs/>
              </w:rPr>
              <w:t>Region</w:t>
            </w:r>
          </w:p>
        </w:tc>
        <w:tc>
          <w:tcPr>
            <w:tcW w:w="1843" w:type="dxa"/>
            <w:tcBorders>
              <w:bottom w:val="single" w:sz="4" w:space="0" w:color="000000" w:themeColor="text1"/>
            </w:tcBorders>
            <w:shd w:val="clear" w:color="auto" w:fill="4D446C"/>
            <w:vAlign w:val="center"/>
          </w:tcPr>
          <w:p w14:paraId="25651F58" w14:textId="77777777" w:rsidR="005110D0" w:rsidRPr="00CA3FBF" w:rsidRDefault="005110D0" w:rsidP="008510B6">
            <w:pPr>
              <w:pStyle w:val="TableHeaderRow"/>
              <w:jc w:val="center"/>
              <w:cnfStyle w:val="100000000000" w:firstRow="1" w:lastRow="0" w:firstColumn="0" w:lastColumn="0" w:oddVBand="0" w:evenVBand="0" w:oddHBand="0" w:evenHBand="0" w:firstRowFirstColumn="0" w:firstRowLastColumn="0" w:lastRowFirstColumn="0" w:lastRowLastColumn="0"/>
              <w:rPr>
                <w:b/>
                <w:bCs/>
              </w:rPr>
            </w:pPr>
            <w:r w:rsidRPr="00CA3FBF">
              <w:rPr>
                <w:b/>
                <w:bCs/>
              </w:rPr>
              <w:t>Existing zoned commercial land (ha)</w:t>
            </w:r>
          </w:p>
        </w:tc>
        <w:tc>
          <w:tcPr>
            <w:tcW w:w="1701" w:type="dxa"/>
            <w:tcBorders>
              <w:bottom w:val="single" w:sz="4" w:space="0" w:color="000000" w:themeColor="text1"/>
            </w:tcBorders>
            <w:shd w:val="clear" w:color="auto" w:fill="4D446C"/>
            <w:vAlign w:val="center"/>
          </w:tcPr>
          <w:p w14:paraId="33704205" w14:textId="5BDB52C2" w:rsidR="005110D0" w:rsidRPr="00CA3FBF" w:rsidRDefault="005110D0" w:rsidP="008510B6">
            <w:pPr>
              <w:pStyle w:val="TableHeaderRow"/>
              <w:jc w:val="center"/>
              <w:cnfStyle w:val="100000000000" w:firstRow="1" w:lastRow="0" w:firstColumn="0" w:lastColumn="0" w:oddVBand="0" w:evenVBand="0" w:oddHBand="0" w:evenHBand="0" w:firstRowFirstColumn="0" w:firstRowLastColumn="0" w:lastRowFirstColumn="0" w:lastRowLastColumn="0"/>
              <w:rPr>
                <w:b/>
                <w:bCs/>
              </w:rPr>
            </w:pPr>
            <w:r w:rsidRPr="00CA3FBF">
              <w:rPr>
                <w:b/>
                <w:bCs/>
              </w:rPr>
              <w:t xml:space="preserve">Future commercial land </w:t>
            </w:r>
            <w:r w:rsidR="009F2F4F" w:rsidRPr="00CA3FBF">
              <w:rPr>
                <w:b/>
                <w:bCs/>
              </w:rPr>
              <w:t xml:space="preserve">identified </w:t>
            </w:r>
            <w:r w:rsidRPr="00CA3FBF">
              <w:rPr>
                <w:b/>
                <w:bCs/>
              </w:rPr>
              <w:t>(ha)</w:t>
            </w:r>
          </w:p>
        </w:tc>
        <w:tc>
          <w:tcPr>
            <w:tcW w:w="2268" w:type="dxa"/>
            <w:tcBorders>
              <w:bottom w:val="single" w:sz="4" w:space="0" w:color="000000" w:themeColor="text1"/>
            </w:tcBorders>
            <w:shd w:val="clear" w:color="auto" w:fill="4D446C"/>
            <w:vAlign w:val="center"/>
          </w:tcPr>
          <w:p w14:paraId="74A1857E" w14:textId="77777777" w:rsidR="005110D0" w:rsidRPr="00CA3FBF" w:rsidRDefault="005110D0" w:rsidP="008510B6">
            <w:pPr>
              <w:pStyle w:val="TableHeaderRow"/>
              <w:jc w:val="center"/>
              <w:cnfStyle w:val="100000000000" w:firstRow="1" w:lastRow="0" w:firstColumn="0" w:lastColumn="0" w:oddVBand="0" w:evenVBand="0" w:oddHBand="0" w:evenHBand="0" w:firstRowFirstColumn="0" w:firstRowLastColumn="0" w:lastRowFirstColumn="0" w:lastRowLastColumn="0"/>
              <w:rPr>
                <w:b/>
                <w:bCs/>
              </w:rPr>
            </w:pPr>
            <w:r w:rsidRPr="00CA3FBF">
              <w:rPr>
                <w:b/>
                <w:bCs/>
              </w:rPr>
              <w:t>Total (ha)</w:t>
            </w:r>
          </w:p>
        </w:tc>
      </w:tr>
      <w:tr w:rsidR="000C6F91" w:rsidRPr="006C7B74" w14:paraId="19763E1C" w14:textId="77777777" w:rsidTr="005110D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000000" w:themeColor="text1"/>
              <w:left w:val="nil"/>
              <w:bottom w:val="single" w:sz="4" w:space="0" w:color="000000" w:themeColor="text1"/>
              <w:right w:val="nil"/>
            </w:tcBorders>
            <w:shd w:val="clear" w:color="auto" w:fill="auto"/>
            <w:vAlign w:val="center"/>
          </w:tcPr>
          <w:p w14:paraId="3B105685" w14:textId="62C77E3E" w:rsidR="000C6F91" w:rsidRPr="006C7B74" w:rsidRDefault="000C6F91" w:rsidP="000C6F91">
            <w:pPr>
              <w:rPr>
                <w:rFonts w:ascii="Calibri" w:hAnsi="Calibri" w:cs="Calibri"/>
                <w:b w:val="0"/>
                <w:color w:val="auto"/>
                <w:sz w:val="18"/>
                <w:szCs w:val="18"/>
                <w:lang w:eastAsia="en-AU"/>
              </w:rPr>
            </w:pPr>
            <w:r w:rsidRPr="006C7B74">
              <w:rPr>
                <w:rFonts w:ascii="Calibri" w:hAnsi="Calibri" w:cs="Calibri"/>
                <w:color w:val="auto"/>
                <w:sz w:val="18"/>
                <w:szCs w:val="18"/>
                <w:lang w:eastAsia="en-AU"/>
              </w:rPr>
              <w:t>Inner Metro</w:t>
            </w:r>
          </w:p>
        </w:tc>
        <w:tc>
          <w:tcPr>
            <w:tcW w:w="1843" w:type="dxa"/>
            <w:tcBorders>
              <w:top w:val="single" w:sz="4" w:space="0" w:color="000000" w:themeColor="text1"/>
              <w:left w:val="nil"/>
              <w:bottom w:val="single" w:sz="4" w:space="0" w:color="000000" w:themeColor="text1"/>
              <w:right w:val="nil"/>
            </w:tcBorders>
            <w:shd w:val="clear" w:color="auto" w:fill="auto"/>
          </w:tcPr>
          <w:p w14:paraId="7CD40780" w14:textId="3CA5C436" w:rsidR="000C6F91" w:rsidRPr="006C7B74" w:rsidRDefault="000C6F91" w:rsidP="000C6F91">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18"/>
                <w:szCs w:val="18"/>
                <w:lang w:eastAsia="en-AU"/>
              </w:rPr>
            </w:pPr>
            <w:r w:rsidRPr="006C7B74">
              <w:rPr>
                <w:sz w:val="18"/>
                <w:szCs w:val="18"/>
              </w:rPr>
              <w:t>1,158</w:t>
            </w:r>
          </w:p>
        </w:tc>
        <w:tc>
          <w:tcPr>
            <w:tcW w:w="1701" w:type="dxa"/>
            <w:tcBorders>
              <w:top w:val="single" w:sz="4" w:space="0" w:color="000000" w:themeColor="text1"/>
              <w:left w:val="nil"/>
              <w:bottom w:val="single" w:sz="4" w:space="0" w:color="000000" w:themeColor="text1"/>
              <w:right w:val="nil"/>
            </w:tcBorders>
            <w:shd w:val="clear" w:color="auto" w:fill="auto"/>
          </w:tcPr>
          <w:p w14:paraId="6D30BBDF" w14:textId="3E651ECA" w:rsidR="000C6F91" w:rsidRPr="006C7B74" w:rsidRDefault="000C6F91" w:rsidP="000C6F91">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18"/>
                <w:szCs w:val="18"/>
                <w:lang w:eastAsia="en-AU"/>
              </w:rPr>
            </w:pPr>
            <w:r w:rsidRPr="006C7B74">
              <w:rPr>
                <w:sz w:val="18"/>
                <w:szCs w:val="18"/>
              </w:rPr>
              <w:t>0</w:t>
            </w:r>
          </w:p>
        </w:tc>
        <w:tc>
          <w:tcPr>
            <w:tcW w:w="2268" w:type="dxa"/>
            <w:tcBorders>
              <w:top w:val="single" w:sz="4" w:space="0" w:color="000000" w:themeColor="text1"/>
              <w:left w:val="nil"/>
              <w:bottom w:val="single" w:sz="4" w:space="0" w:color="000000" w:themeColor="text1"/>
              <w:right w:val="nil"/>
            </w:tcBorders>
            <w:shd w:val="clear" w:color="auto" w:fill="auto"/>
          </w:tcPr>
          <w:p w14:paraId="01A45C51" w14:textId="485AF6B0" w:rsidR="000C6F91" w:rsidRPr="006C7B74" w:rsidRDefault="000C6F91" w:rsidP="000C6F91">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18"/>
                <w:szCs w:val="18"/>
                <w:lang w:eastAsia="en-AU"/>
              </w:rPr>
            </w:pPr>
            <w:r w:rsidRPr="006C7B74">
              <w:rPr>
                <w:sz w:val="18"/>
                <w:szCs w:val="18"/>
              </w:rPr>
              <w:t>1,158</w:t>
            </w:r>
          </w:p>
        </w:tc>
      </w:tr>
      <w:tr w:rsidR="000C6F91" w:rsidRPr="006C7B74" w14:paraId="40D01AEB" w14:textId="77777777" w:rsidTr="005110D0">
        <w:trPr>
          <w:trHeight w:val="340"/>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000000" w:themeColor="text1"/>
              <w:left w:val="nil"/>
              <w:bottom w:val="single" w:sz="4" w:space="0" w:color="000000" w:themeColor="text1"/>
              <w:right w:val="nil"/>
            </w:tcBorders>
            <w:vAlign w:val="center"/>
          </w:tcPr>
          <w:p w14:paraId="683971DE" w14:textId="77777777" w:rsidR="000C6F91" w:rsidRPr="006C7B74" w:rsidRDefault="000C6F91" w:rsidP="000C6F91">
            <w:pPr>
              <w:rPr>
                <w:rFonts w:ascii="Calibri" w:hAnsi="Calibri" w:cs="Calibri"/>
                <w:b w:val="0"/>
                <w:color w:val="auto"/>
                <w:sz w:val="18"/>
                <w:szCs w:val="18"/>
                <w:lang w:eastAsia="en-AU"/>
              </w:rPr>
            </w:pPr>
            <w:r w:rsidRPr="006C7B74">
              <w:rPr>
                <w:rFonts w:ascii="Calibri" w:hAnsi="Calibri" w:cs="Calibri"/>
                <w:color w:val="auto"/>
                <w:sz w:val="18"/>
                <w:szCs w:val="18"/>
                <w:lang w:eastAsia="en-AU"/>
              </w:rPr>
              <w:t>Western</w:t>
            </w:r>
          </w:p>
        </w:tc>
        <w:tc>
          <w:tcPr>
            <w:tcW w:w="1843" w:type="dxa"/>
            <w:tcBorders>
              <w:top w:val="single" w:sz="4" w:space="0" w:color="000000" w:themeColor="text1"/>
              <w:left w:val="nil"/>
              <w:bottom w:val="single" w:sz="4" w:space="0" w:color="000000" w:themeColor="text1"/>
              <w:right w:val="nil"/>
            </w:tcBorders>
          </w:tcPr>
          <w:p w14:paraId="7ED231BE" w14:textId="64B68677" w:rsidR="000C6F91" w:rsidRPr="006C7B74" w:rsidRDefault="000C6F91" w:rsidP="000C6F91">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18"/>
                <w:szCs w:val="18"/>
                <w:lang w:eastAsia="en-AU"/>
              </w:rPr>
            </w:pPr>
            <w:r w:rsidRPr="006C7B74">
              <w:rPr>
                <w:sz w:val="18"/>
                <w:szCs w:val="18"/>
              </w:rPr>
              <w:t>949</w:t>
            </w:r>
          </w:p>
        </w:tc>
        <w:tc>
          <w:tcPr>
            <w:tcW w:w="1701" w:type="dxa"/>
            <w:tcBorders>
              <w:top w:val="single" w:sz="4" w:space="0" w:color="000000" w:themeColor="text1"/>
              <w:left w:val="nil"/>
              <w:bottom w:val="single" w:sz="4" w:space="0" w:color="000000" w:themeColor="text1"/>
              <w:right w:val="nil"/>
            </w:tcBorders>
          </w:tcPr>
          <w:p w14:paraId="60CB3152" w14:textId="49517CD7" w:rsidR="000C6F91" w:rsidRPr="006C7B74" w:rsidRDefault="000C6F91" w:rsidP="000C6F91">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18"/>
                <w:szCs w:val="18"/>
                <w:lang w:eastAsia="en-AU"/>
              </w:rPr>
            </w:pPr>
            <w:r w:rsidRPr="006C7B74">
              <w:rPr>
                <w:sz w:val="18"/>
                <w:szCs w:val="18"/>
              </w:rPr>
              <w:t>559</w:t>
            </w:r>
          </w:p>
        </w:tc>
        <w:tc>
          <w:tcPr>
            <w:tcW w:w="2268" w:type="dxa"/>
            <w:tcBorders>
              <w:top w:val="single" w:sz="4" w:space="0" w:color="000000" w:themeColor="text1"/>
              <w:left w:val="nil"/>
              <w:bottom w:val="single" w:sz="4" w:space="0" w:color="000000" w:themeColor="text1"/>
              <w:right w:val="nil"/>
            </w:tcBorders>
          </w:tcPr>
          <w:p w14:paraId="6E2FF4D2" w14:textId="562F1660" w:rsidR="000C6F91" w:rsidRPr="006C7B74" w:rsidRDefault="000C6F91" w:rsidP="000C6F91">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18"/>
                <w:szCs w:val="18"/>
                <w:lang w:eastAsia="en-AU"/>
              </w:rPr>
            </w:pPr>
            <w:r w:rsidRPr="006C7B74">
              <w:rPr>
                <w:sz w:val="18"/>
                <w:szCs w:val="18"/>
              </w:rPr>
              <w:t>1,508</w:t>
            </w:r>
          </w:p>
        </w:tc>
      </w:tr>
      <w:tr w:rsidR="000C6F91" w:rsidRPr="006C7B74" w14:paraId="2B750F5B" w14:textId="77777777" w:rsidTr="005110D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000000" w:themeColor="text1"/>
              <w:left w:val="nil"/>
              <w:bottom w:val="single" w:sz="4" w:space="0" w:color="000000" w:themeColor="text1"/>
              <w:right w:val="nil"/>
            </w:tcBorders>
            <w:shd w:val="clear" w:color="auto" w:fill="auto"/>
            <w:vAlign w:val="center"/>
          </w:tcPr>
          <w:p w14:paraId="0AA58251" w14:textId="77777777" w:rsidR="000C6F91" w:rsidRPr="006C7B74" w:rsidRDefault="000C6F91" w:rsidP="000C6F91">
            <w:pPr>
              <w:rPr>
                <w:rFonts w:ascii="Calibri" w:hAnsi="Calibri" w:cs="Calibri"/>
                <w:b w:val="0"/>
                <w:color w:val="auto"/>
                <w:sz w:val="18"/>
                <w:szCs w:val="18"/>
                <w:lang w:eastAsia="en-AU"/>
              </w:rPr>
            </w:pPr>
            <w:r w:rsidRPr="006C7B74">
              <w:rPr>
                <w:rFonts w:ascii="Calibri" w:hAnsi="Calibri" w:cs="Calibri"/>
                <w:color w:val="auto"/>
                <w:sz w:val="18"/>
                <w:szCs w:val="18"/>
                <w:lang w:eastAsia="en-AU"/>
              </w:rPr>
              <w:t>Northern</w:t>
            </w:r>
          </w:p>
        </w:tc>
        <w:tc>
          <w:tcPr>
            <w:tcW w:w="1843" w:type="dxa"/>
            <w:tcBorders>
              <w:top w:val="single" w:sz="4" w:space="0" w:color="000000" w:themeColor="text1"/>
              <w:left w:val="nil"/>
              <w:bottom w:val="single" w:sz="4" w:space="0" w:color="000000" w:themeColor="text1"/>
              <w:right w:val="nil"/>
            </w:tcBorders>
            <w:shd w:val="clear" w:color="auto" w:fill="auto"/>
          </w:tcPr>
          <w:p w14:paraId="0A8501D8" w14:textId="677A4BA5" w:rsidR="000C6F91" w:rsidRPr="006C7B74" w:rsidRDefault="000C6F91" w:rsidP="000C6F91">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18"/>
                <w:szCs w:val="18"/>
                <w:lang w:eastAsia="en-AU"/>
              </w:rPr>
            </w:pPr>
            <w:r w:rsidRPr="006C7B74">
              <w:rPr>
                <w:sz w:val="18"/>
                <w:szCs w:val="18"/>
              </w:rPr>
              <w:t>1,086</w:t>
            </w:r>
          </w:p>
        </w:tc>
        <w:tc>
          <w:tcPr>
            <w:tcW w:w="1701" w:type="dxa"/>
            <w:tcBorders>
              <w:top w:val="single" w:sz="4" w:space="0" w:color="000000" w:themeColor="text1"/>
              <w:left w:val="nil"/>
              <w:bottom w:val="single" w:sz="4" w:space="0" w:color="000000" w:themeColor="text1"/>
              <w:right w:val="nil"/>
            </w:tcBorders>
            <w:shd w:val="clear" w:color="auto" w:fill="auto"/>
          </w:tcPr>
          <w:p w14:paraId="2BA47996" w14:textId="59B4F2EC" w:rsidR="000C6F91" w:rsidRPr="006C7B74" w:rsidRDefault="000C6F91" w:rsidP="000C6F91">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18"/>
                <w:szCs w:val="18"/>
                <w:lang w:eastAsia="en-AU"/>
              </w:rPr>
            </w:pPr>
            <w:r w:rsidRPr="006C7B74">
              <w:rPr>
                <w:sz w:val="18"/>
                <w:szCs w:val="18"/>
              </w:rPr>
              <w:t>208</w:t>
            </w:r>
          </w:p>
        </w:tc>
        <w:tc>
          <w:tcPr>
            <w:tcW w:w="2268" w:type="dxa"/>
            <w:tcBorders>
              <w:top w:val="single" w:sz="4" w:space="0" w:color="000000" w:themeColor="text1"/>
              <w:left w:val="nil"/>
              <w:bottom w:val="single" w:sz="4" w:space="0" w:color="000000" w:themeColor="text1"/>
              <w:right w:val="nil"/>
            </w:tcBorders>
            <w:shd w:val="clear" w:color="auto" w:fill="auto"/>
          </w:tcPr>
          <w:p w14:paraId="5FD93938" w14:textId="0DD83CDA" w:rsidR="000C6F91" w:rsidRPr="006C7B74" w:rsidRDefault="000C6F91" w:rsidP="000C6F91">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18"/>
                <w:szCs w:val="18"/>
                <w:lang w:eastAsia="en-AU"/>
              </w:rPr>
            </w:pPr>
            <w:r w:rsidRPr="006C7B74">
              <w:rPr>
                <w:sz w:val="18"/>
                <w:szCs w:val="18"/>
              </w:rPr>
              <w:t>1,294</w:t>
            </w:r>
          </w:p>
        </w:tc>
      </w:tr>
      <w:tr w:rsidR="000C6F91" w:rsidRPr="006C7B74" w14:paraId="0A5BE057" w14:textId="77777777" w:rsidTr="005110D0">
        <w:trPr>
          <w:trHeight w:val="340"/>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000000" w:themeColor="text1"/>
              <w:left w:val="nil"/>
              <w:bottom w:val="single" w:sz="4" w:space="0" w:color="000000" w:themeColor="text1"/>
              <w:right w:val="nil"/>
            </w:tcBorders>
            <w:vAlign w:val="center"/>
          </w:tcPr>
          <w:p w14:paraId="44DAF31F" w14:textId="77777777" w:rsidR="000C6F91" w:rsidRPr="006C7B74" w:rsidRDefault="000C6F91" w:rsidP="000C6F91">
            <w:pPr>
              <w:rPr>
                <w:rFonts w:ascii="Calibri" w:hAnsi="Calibri" w:cs="Calibri"/>
                <w:b w:val="0"/>
                <w:color w:val="auto"/>
                <w:sz w:val="18"/>
                <w:szCs w:val="18"/>
                <w:lang w:eastAsia="en-AU"/>
              </w:rPr>
            </w:pPr>
            <w:r w:rsidRPr="006C7B74">
              <w:rPr>
                <w:rFonts w:ascii="Calibri" w:hAnsi="Calibri" w:cs="Calibri"/>
                <w:color w:val="auto"/>
                <w:sz w:val="18"/>
                <w:szCs w:val="18"/>
                <w:lang w:eastAsia="en-AU"/>
              </w:rPr>
              <w:t>Eastern</w:t>
            </w:r>
          </w:p>
        </w:tc>
        <w:tc>
          <w:tcPr>
            <w:tcW w:w="1843" w:type="dxa"/>
            <w:tcBorders>
              <w:top w:val="single" w:sz="4" w:space="0" w:color="000000" w:themeColor="text1"/>
              <w:left w:val="nil"/>
              <w:bottom w:val="single" w:sz="4" w:space="0" w:color="000000" w:themeColor="text1"/>
              <w:right w:val="nil"/>
            </w:tcBorders>
          </w:tcPr>
          <w:p w14:paraId="1EADB6AB" w14:textId="3BA32700" w:rsidR="000C6F91" w:rsidRPr="006C7B74" w:rsidRDefault="000C6F91" w:rsidP="000C6F91">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18"/>
                <w:szCs w:val="18"/>
                <w:lang w:eastAsia="en-AU"/>
              </w:rPr>
            </w:pPr>
            <w:r w:rsidRPr="006C7B74">
              <w:rPr>
                <w:sz w:val="18"/>
                <w:szCs w:val="18"/>
              </w:rPr>
              <w:t>761</w:t>
            </w:r>
          </w:p>
        </w:tc>
        <w:tc>
          <w:tcPr>
            <w:tcW w:w="1701" w:type="dxa"/>
            <w:tcBorders>
              <w:top w:val="single" w:sz="4" w:space="0" w:color="000000" w:themeColor="text1"/>
              <w:left w:val="nil"/>
              <w:bottom w:val="single" w:sz="4" w:space="0" w:color="000000" w:themeColor="text1"/>
              <w:right w:val="nil"/>
            </w:tcBorders>
          </w:tcPr>
          <w:p w14:paraId="09457FC3" w14:textId="7D1C007D" w:rsidR="000C6F91" w:rsidRPr="006C7B74" w:rsidRDefault="000C6F91" w:rsidP="000C6F91">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18"/>
                <w:szCs w:val="18"/>
                <w:lang w:eastAsia="en-AU"/>
              </w:rPr>
            </w:pPr>
            <w:r w:rsidRPr="006C7B74">
              <w:rPr>
                <w:sz w:val="18"/>
                <w:szCs w:val="18"/>
              </w:rPr>
              <w:t>0</w:t>
            </w:r>
          </w:p>
        </w:tc>
        <w:tc>
          <w:tcPr>
            <w:tcW w:w="2268" w:type="dxa"/>
            <w:tcBorders>
              <w:top w:val="single" w:sz="4" w:space="0" w:color="000000" w:themeColor="text1"/>
              <w:left w:val="nil"/>
              <w:bottom w:val="single" w:sz="4" w:space="0" w:color="000000" w:themeColor="text1"/>
              <w:right w:val="nil"/>
            </w:tcBorders>
          </w:tcPr>
          <w:p w14:paraId="4A4313D0" w14:textId="364BC547" w:rsidR="000C6F91" w:rsidRPr="006C7B74" w:rsidRDefault="000C6F91" w:rsidP="000C6F91">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18"/>
                <w:szCs w:val="18"/>
                <w:lang w:eastAsia="en-AU"/>
              </w:rPr>
            </w:pPr>
            <w:r w:rsidRPr="006C7B74">
              <w:rPr>
                <w:sz w:val="18"/>
                <w:szCs w:val="18"/>
              </w:rPr>
              <w:t>761</w:t>
            </w:r>
          </w:p>
        </w:tc>
      </w:tr>
      <w:tr w:rsidR="000C6F91" w:rsidRPr="006C7B74" w14:paraId="4635D8CC" w14:textId="77777777" w:rsidTr="005110D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000000" w:themeColor="text1"/>
              <w:left w:val="nil"/>
              <w:bottom w:val="single" w:sz="4" w:space="0" w:color="000000" w:themeColor="text1"/>
              <w:right w:val="nil"/>
            </w:tcBorders>
            <w:shd w:val="clear" w:color="auto" w:fill="auto"/>
            <w:vAlign w:val="center"/>
          </w:tcPr>
          <w:p w14:paraId="01BA31EA" w14:textId="77777777" w:rsidR="000C6F91" w:rsidRPr="006C7B74" w:rsidRDefault="000C6F91" w:rsidP="000C6F91">
            <w:pPr>
              <w:rPr>
                <w:rFonts w:ascii="Calibri" w:hAnsi="Calibri" w:cs="Calibri"/>
                <w:b w:val="0"/>
                <w:color w:val="auto"/>
                <w:sz w:val="18"/>
                <w:szCs w:val="18"/>
                <w:lang w:eastAsia="en-AU"/>
              </w:rPr>
            </w:pPr>
            <w:r w:rsidRPr="006C7B74">
              <w:rPr>
                <w:rFonts w:ascii="Calibri" w:hAnsi="Calibri" w:cs="Calibri"/>
                <w:color w:val="auto"/>
                <w:sz w:val="18"/>
                <w:szCs w:val="18"/>
                <w:lang w:eastAsia="en-AU"/>
              </w:rPr>
              <w:t>Southern</w:t>
            </w:r>
          </w:p>
        </w:tc>
        <w:tc>
          <w:tcPr>
            <w:tcW w:w="1843" w:type="dxa"/>
            <w:tcBorders>
              <w:top w:val="single" w:sz="4" w:space="0" w:color="000000" w:themeColor="text1"/>
              <w:left w:val="nil"/>
              <w:bottom w:val="single" w:sz="4" w:space="0" w:color="000000" w:themeColor="text1"/>
              <w:right w:val="nil"/>
            </w:tcBorders>
            <w:shd w:val="clear" w:color="auto" w:fill="auto"/>
          </w:tcPr>
          <w:p w14:paraId="5F199C59" w14:textId="13DC1707" w:rsidR="000C6F91" w:rsidRPr="006C7B74" w:rsidRDefault="000C6F91" w:rsidP="000C6F91">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18"/>
                <w:szCs w:val="18"/>
                <w:lang w:eastAsia="en-AU"/>
              </w:rPr>
            </w:pPr>
            <w:r w:rsidRPr="006C7B74">
              <w:rPr>
                <w:sz w:val="18"/>
                <w:szCs w:val="18"/>
              </w:rPr>
              <w:t>855</w:t>
            </w:r>
          </w:p>
        </w:tc>
        <w:tc>
          <w:tcPr>
            <w:tcW w:w="1701" w:type="dxa"/>
            <w:tcBorders>
              <w:top w:val="single" w:sz="4" w:space="0" w:color="000000" w:themeColor="text1"/>
              <w:left w:val="nil"/>
              <w:bottom w:val="single" w:sz="4" w:space="0" w:color="000000" w:themeColor="text1"/>
              <w:right w:val="nil"/>
            </w:tcBorders>
            <w:shd w:val="clear" w:color="auto" w:fill="auto"/>
          </w:tcPr>
          <w:p w14:paraId="748FE0F7" w14:textId="61F942A8" w:rsidR="000C6F91" w:rsidRPr="006C7B74" w:rsidRDefault="00456C04" w:rsidP="000C6F91">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18"/>
                <w:szCs w:val="18"/>
                <w:lang w:eastAsia="en-AU"/>
              </w:rPr>
            </w:pPr>
            <w:r w:rsidRPr="006C7B74">
              <w:rPr>
                <w:sz w:val="18"/>
                <w:szCs w:val="18"/>
              </w:rPr>
              <w:t>555</w:t>
            </w:r>
          </w:p>
        </w:tc>
        <w:tc>
          <w:tcPr>
            <w:tcW w:w="2268" w:type="dxa"/>
            <w:tcBorders>
              <w:top w:val="single" w:sz="4" w:space="0" w:color="000000" w:themeColor="text1"/>
              <w:left w:val="nil"/>
              <w:bottom w:val="single" w:sz="4" w:space="0" w:color="000000" w:themeColor="text1"/>
              <w:right w:val="nil"/>
            </w:tcBorders>
            <w:shd w:val="clear" w:color="auto" w:fill="auto"/>
          </w:tcPr>
          <w:p w14:paraId="4EB66462" w14:textId="327F037E" w:rsidR="000C6F91" w:rsidRPr="006C7B74" w:rsidRDefault="000C6F91" w:rsidP="000C6F91">
            <w:pPr>
              <w:jc w:val="center"/>
              <w:cnfStyle w:val="000000100000" w:firstRow="0" w:lastRow="0" w:firstColumn="0" w:lastColumn="0" w:oddVBand="0" w:evenVBand="0" w:oddHBand="1" w:evenHBand="0" w:firstRowFirstColumn="0" w:firstRowLastColumn="0" w:lastRowFirstColumn="0" w:lastRowLastColumn="0"/>
              <w:rPr>
                <w:rFonts w:cstheme="minorHAnsi"/>
                <w:color w:val="auto"/>
                <w:sz w:val="18"/>
                <w:szCs w:val="18"/>
                <w:lang w:eastAsia="en-AU"/>
              </w:rPr>
            </w:pPr>
            <w:r w:rsidRPr="006C7B74">
              <w:rPr>
                <w:sz w:val="18"/>
                <w:szCs w:val="18"/>
              </w:rPr>
              <w:t>1,</w:t>
            </w:r>
            <w:r w:rsidR="00050676" w:rsidRPr="006C7B74">
              <w:rPr>
                <w:sz w:val="18"/>
                <w:szCs w:val="18"/>
              </w:rPr>
              <w:t>410</w:t>
            </w:r>
          </w:p>
        </w:tc>
      </w:tr>
      <w:tr w:rsidR="000C6F91" w:rsidRPr="006C7B74" w14:paraId="16E87E2A" w14:textId="77777777" w:rsidTr="005110D0">
        <w:trPr>
          <w:trHeight w:val="340"/>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000000" w:themeColor="text1"/>
              <w:left w:val="nil"/>
              <w:bottom w:val="single" w:sz="4" w:space="0" w:color="000000" w:themeColor="text1"/>
              <w:right w:val="nil"/>
            </w:tcBorders>
            <w:vAlign w:val="center"/>
          </w:tcPr>
          <w:p w14:paraId="1ACAD1BE" w14:textId="77777777" w:rsidR="000C6F91" w:rsidRPr="006C7B74" w:rsidRDefault="000C6F91" w:rsidP="000C6F91">
            <w:pPr>
              <w:rPr>
                <w:rFonts w:ascii="Calibri" w:hAnsi="Calibri" w:cs="Calibri"/>
                <w:b w:val="0"/>
                <w:color w:val="auto"/>
                <w:sz w:val="18"/>
                <w:szCs w:val="18"/>
                <w:lang w:eastAsia="en-AU"/>
              </w:rPr>
            </w:pPr>
            <w:r w:rsidRPr="006C7B74">
              <w:rPr>
                <w:rFonts w:ascii="Calibri" w:hAnsi="Calibri" w:cs="Calibri"/>
                <w:color w:val="auto"/>
                <w:sz w:val="18"/>
                <w:szCs w:val="18"/>
                <w:lang w:eastAsia="en-AU"/>
              </w:rPr>
              <w:t>Inner South East</w:t>
            </w:r>
          </w:p>
        </w:tc>
        <w:tc>
          <w:tcPr>
            <w:tcW w:w="1843" w:type="dxa"/>
            <w:tcBorders>
              <w:top w:val="single" w:sz="4" w:space="0" w:color="000000" w:themeColor="text1"/>
              <w:left w:val="nil"/>
              <w:bottom w:val="single" w:sz="4" w:space="0" w:color="000000" w:themeColor="text1"/>
              <w:right w:val="nil"/>
            </w:tcBorders>
          </w:tcPr>
          <w:p w14:paraId="71DD325F" w14:textId="09F42866" w:rsidR="000C6F91" w:rsidRPr="006C7B74" w:rsidRDefault="000C6F91" w:rsidP="000C6F91">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18"/>
                <w:szCs w:val="18"/>
                <w:lang w:eastAsia="en-AU"/>
              </w:rPr>
            </w:pPr>
            <w:r w:rsidRPr="006C7B74">
              <w:rPr>
                <w:sz w:val="18"/>
                <w:szCs w:val="18"/>
              </w:rPr>
              <w:t>515</w:t>
            </w:r>
          </w:p>
        </w:tc>
        <w:tc>
          <w:tcPr>
            <w:tcW w:w="1701" w:type="dxa"/>
            <w:tcBorders>
              <w:top w:val="single" w:sz="4" w:space="0" w:color="000000" w:themeColor="text1"/>
              <w:left w:val="nil"/>
              <w:bottom w:val="single" w:sz="4" w:space="0" w:color="000000" w:themeColor="text1"/>
              <w:right w:val="nil"/>
            </w:tcBorders>
          </w:tcPr>
          <w:p w14:paraId="4DE26A3C" w14:textId="76BE7791" w:rsidR="000C6F91" w:rsidRPr="006C7B74" w:rsidRDefault="000C6F91" w:rsidP="000C6F91">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18"/>
                <w:szCs w:val="18"/>
                <w:lang w:eastAsia="en-AU"/>
              </w:rPr>
            </w:pPr>
            <w:r w:rsidRPr="006C7B74">
              <w:rPr>
                <w:sz w:val="18"/>
                <w:szCs w:val="18"/>
              </w:rPr>
              <w:t>0</w:t>
            </w:r>
          </w:p>
        </w:tc>
        <w:tc>
          <w:tcPr>
            <w:tcW w:w="2268" w:type="dxa"/>
            <w:tcBorders>
              <w:top w:val="single" w:sz="4" w:space="0" w:color="000000" w:themeColor="text1"/>
              <w:left w:val="nil"/>
              <w:bottom w:val="single" w:sz="4" w:space="0" w:color="000000" w:themeColor="text1"/>
              <w:right w:val="nil"/>
            </w:tcBorders>
          </w:tcPr>
          <w:p w14:paraId="0212663A" w14:textId="03FDDD75" w:rsidR="000C6F91" w:rsidRPr="006C7B74" w:rsidRDefault="000C6F91" w:rsidP="000C6F91">
            <w:pPr>
              <w:jc w:val="center"/>
              <w:cnfStyle w:val="000000000000" w:firstRow="0" w:lastRow="0" w:firstColumn="0" w:lastColumn="0" w:oddVBand="0" w:evenVBand="0" w:oddHBand="0" w:evenHBand="0" w:firstRowFirstColumn="0" w:firstRowLastColumn="0" w:lastRowFirstColumn="0" w:lastRowLastColumn="0"/>
              <w:rPr>
                <w:rFonts w:cstheme="minorHAnsi"/>
                <w:color w:val="auto"/>
                <w:sz w:val="18"/>
                <w:szCs w:val="18"/>
                <w:lang w:eastAsia="en-AU"/>
              </w:rPr>
            </w:pPr>
            <w:r w:rsidRPr="006C7B74">
              <w:rPr>
                <w:sz w:val="18"/>
                <w:szCs w:val="18"/>
              </w:rPr>
              <w:t>515</w:t>
            </w:r>
          </w:p>
        </w:tc>
      </w:tr>
      <w:tr w:rsidR="000C6F91" w:rsidRPr="006C7B74" w14:paraId="6689EB40" w14:textId="77777777" w:rsidTr="005110D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000000" w:themeColor="text1"/>
              <w:left w:val="nil"/>
              <w:bottom w:val="single" w:sz="4" w:space="0" w:color="000000" w:themeColor="text1"/>
              <w:right w:val="nil"/>
            </w:tcBorders>
            <w:shd w:val="clear" w:color="auto" w:fill="auto"/>
            <w:vAlign w:val="center"/>
          </w:tcPr>
          <w:p w14:paraId="703CC27C" w14:textId="77777777" w:rsidR="000C6F91" w:rsidRPr="006C7B74" w:rsidRDefault="000C6F91" w:rsidP="000C6F91">
            <w:pPr>
              <w:rPr>
                <w:rFonts w:ascii="Calibri" w:hAnsi="Calibri" w:cs="Calibri"/>
                <w:b w:val="0"/>
                <w:color w:val="auto"/>
                <w:sz w:val="18"/>
                <w:szCs w:val="18"/>
                <w:lang w:eastAsia="en-AU"/>
              </w:rPr>
            </w:pPr>
            <w:r w:rsidRPr="006C7B74">
              <w:rPr>
                <w:rFonts w:ascii="Calibri" w:hAnsi="Calibri" w:cs="Calibri"/>
                <w:color w:val="auto"/>
                <w:sz w:val="18"/>
                <w:szCs w:val="18"/>
                <w:lang w:eastAsia="en-AU"/>
              </w:rPr>
              <w:t>Total</w:t>
            </w:r>
          </w:p>
        </w:tc>
        <w:tc>
          <w:tcPr>
            <w:tcW w:w="1843" w:type="dxa"/>
            <w:tcBorders>
              <w:top w:val="single" w:sz="4" w:space="0" w:color="000000" w:themeColor="text1"/>
              <w:left w:val="nil"/>
              <w:bottom w:val="single" w:sz="4" w:space="0" w:color="000000" w:themeColor="text1"/>
              <w:right w:val="nil"/>
            </w:tcBorders>
            <w:shd w:val="clear" w:color="auto" w:fill="auto"/>
          </w:tcPr>
          <w:p w14:paraId="65FE0CD9" w14:textId="199B59FD" w:rsidR="000C6F91" w:rsidRPr="006C7B74" w:rsidRDefault="000C6F91" w:rsidP="000C6F91">
            <w:pPr>
              <w:jc w:val="center"/>
              <w:cnfStyle w:val="000000100000" w:firstRow="0" w:lastRow="0" w:firstColumn="0" w:lastColumn="0" w:oddVBand="0" w:evenVBand="0" w:oddHBand="1" w:evenHBand="0" w:firstRowFirstColumn="0" w:firstRowLastColumn="0" w:lastRowFirstColumn="0" w:lastRowLastColumn="0"/>
              <w:rPr>
                <w:rFonts w:cstheme="minorHAnsi"/>
                <w:b/>
                <w:color w:val="auto"/>
                <w:sz w:val="18"/>
                <w:szCs w:val="18"/>
                <w:lang w:eastAsia="en-AU"/>
              </w:rPr>
            </w:pPr>
            <w:r w:rsidRPr="006C7B74">
              <w:rPr>
                <w:b/>
                <w:sz w:val="18"/>
                <w:szCs w:val="18"/>
              </w:rPr>
              <w:t>5,</w:t>
            </w:r>
            <w:r w:rsidR="00974F27" w:rsidRPr="006C7B74">
              <w:rPr>
                <w:b/>
                <w:sz w:val="18"/>
                <w:szCs w:val="18"/>
              </w:rPr>
              <w:t>32</w:t>
            </w:r>
            <w:r w:rsidR="00974F27">
              <w:rPr>
                <w:b/>
                <w:sz w:val="18"/>
                <w:szCs w:val="18"/>
              </w:rPr>
              <w:t>4</w:t>
            </w:r>
          </w:p>
        </w:tc>
        <w:tc>
          <w:tcPr>
            <w:tcW w:w="1701" w:type="dxa"/>
            <w:tcBorders>
              <w:top w:val="single" w:sz="4" w:space="0" w:color="000000" w:themeColor="text1"/>
              <w:left w:val="nil"/>
              <w:bottom w:val="single" w:sz="4" w:space="0" w:color="000000" w:themeColor="text1"/>
              <w:right w:val="nil"/>
            </w:tcBorders>
            <w:shd w:val="clear" w:color="auto" w:fill="auto"/>
          </w:tcPr>
          <w:p w14:paraId="5E3FE022" w14:textId="2A926F0E" w:rsidR="000C6F91" w:rsidRPr="006C7B74" w:rsidRDefault="000C6F91" w:rsidP="000C6F91">
            <w:pPr>
              <w:jc w:val="center"/>
              <w:cnfStyle w:val="000000100000" w:firstRow="0" w:lastRow="0" w:firstColumn="0" w:lastColumn="0" w:oddVBand="0" w:evenVBand="0" w:oddHBand="1" w:evenHBand="0" w:firstRowFirstColumn="0" w:firstRowLastColumn="0" w:lastRowFirstColumn="0" w:lastRowLastColumn="0"/>
              <w:rPr>
                <w:rFonts w:cstheme="minorHAnsi"/>
                <w:b/>
                <w:color w:val="auto"/>
                <w:sz w:val="18"/>
                <w:szCs w:val="18"/>
                <w:lang w:eastAsia="en-AU"/>
              </w:rPr>
            </w:pPr>
            <w:r w:rsidRPr="006C7B74">
              <w:rPr>
                <w:b/>
                <w:sz w:val="18"/>
                <w:szCs w:val="18"/>
              </w:rPr>
              <w:t>1,</w:t>
            </w:r>
            <w:r w:rsidR="003E5D20" w:rsidRPr="006C7B74">
              <w:rPr>
                <w:b/>
                <w:sz w:val="18"/>
                <w:szCs w:val="18"/>
              </w:rPr>
              <w:t>322</w:t>
            </w:r>
          </w:p>
        </w:tc>
        <w:tc>
          <w:tcPr>
            <w:tcW w:w="2268" w:type="dxa"/>
            <w:tcBorders>
              <w:top w:val="single" w:sz="4" w:space="0" w:color="000000" w:themeColor="text1"/>
              <w:left w:val="nil"/>
              <w:bottom w:val="single" w:sz="4" w:space="0" w:color="000000" w:themeColor="text1"/>
              <w:right w:val="nil"/>
            </w:tcBorders>
            <w:shd w:val="clear" w:color="auto" w:fill="auto"/>
          </w:tcPr>
          <w:p w14:paraId="5386697E" w14:textId="34BC57A5" w:rsidR="000C6F91" w:rsidRPr="006C7B74" w:rsidRDefault="000C6F91" w:rsidP="000C6F91">
            <w:pPr>
              <w:jc w:val="center"/>
              <w:cnfStyle w:val="000000100000" w:firstRow="0" w:lastRow="0" w:firstColumn="0" w:lastColumn="0" w:oddVBand="0" w:evenVBand="0" w:oddHBand="1" w:evenHBand="0" w:firstRowFirstColumn="0" w:firstRowLastColumn="0" w:lastRowFirstColumn="0" w:lastRowLastColumn="0"/>
              <w:rPr>
                <w:rFonts w:cstheme="minorHAnsi"/>
                <w:b/>
                <w:color w:val="auto"/>
                <w:sz w:val="18"/>
                <w:szCs w:val="18"/>
                <w:lang w:eastAsia="en-AU"/>
              </w:rPr>
            </w:pPr>
            <w:r w:rsidRPr="006C7B74">
              <w:rPr>
                <w:b/>
                <w:sz w:val="18"/>
                <w:szCs w:val="18"/>
              </w:rPr>
              <w:t>6,</w:t>
            </w:r>
            <w:r w:rsidR="008C69D5" w:rsidRPr="006C7B74">
              <w:rPr>
                <w:b/>
                <w:sz w:val="18"/>
                <w:szCs w:val="18"/>
              </w:rPr>
              <w:t>64</w:t>
            </w:r>
            <w:r w:rsidR="008C69D5">
              <w:rPr>
                <w:b/>
                <w:sz w:val="18"/>
                <w:szCs w:val="18"/>
              </w:rPr>
              <w:t>6</w:t>
            </w:r>
          </w:p>
        </w:tc>
      </w:tr>
    </w:tbl>
    <w:p w14:paraId="69DDDAF2" w14:textId="387B17B4" w:rsidR="00010EBE" w:rsidRPr="006C7B74" w:rsidRDefault="00DC580D" w:rsidP="00DC580D">
      <w:pPr>
        <w:pStyle w:val="Quote"/>
        <w:rPr>
          <w:rFonts w:cstheme="minorHAnsi"/>
        </w:rPr>
      </w:pPr>
      <w:r w:rsidRPr="006C7B74">
        <w:t>Source:</w:t>
      </w:r>
      <w:r w:rsidR="007C154C" w:rsidRPr="006C7B74">
        <w:t xml:space="preserve"> </w:t>
      </w:r>
      <w:r w:rsidRPr="006C7B74">
        <w:t>Department of Environment, Land, Water and Planning, unpublished data (</w:t>
      </w:r>
      <w:r w:rsidR="00185079" w:rsidRPr="006C7B74">
        <w:t>20</w:t>
      </w:r>
      <w:r w:rsidR="00185079">
        <w:t>20</w:t>
      </w:r>
      <w:r w:rsidRPr="006C7B74">
        <w:t>)</w:t>
      </w:r>
    </w:p>
    <w:p w14:paraId="4B01D5AA" w14:textId="77777777" w:rsidR="00F658AE" w:rsidRDefault="00F658AE" w:rsidP="005110D0">
      <w:pPr>
        <w:pStyle w:val="BodyText"/>
        <w:spacing w:before="0" w:line="240" w:lineRule="auto"/>
      </w:pPr>
    </w:p>
    <w:p w14:paraId="6014C375" w14:textId="4B81BB78" w:rsidR="005110D0" w:rsidRPr="006C7B74" w:rsidRDefault="005110D0" w:rsidP="005110D0">
      <w:pPr>
        <w:pStyle w:val="BodyText"/>
        <w:spacing w:before="0" w:line="240" w:lineRule="auto"/>
      </w:pPr>
      <w:r w:rsidRPr="006C7B74">
        <w:t>Commercial land and corresponding floorspace is occupied by a range of office, retailing, service, entertainment, restaurant and dining activities. It can include floorspace both at the ground level and any level above ground level.</w:t>
      </w:r>
    </w:p>
    <w:p w14:paraId="179B506C" w14:textId="42968995" w:rsidR="005110D0" w:rsidRPr="006C7B74" w:rsidRDefault="005110D0" w:rsidP="005110D0">
      <w:pPr>
        <w:pStyle w:val="BodyText"/>
        <w:spacing w:before="0" w:line="240" w:lineRule="auto"/>
      </w:pPr>
      <w:r w:rsidRPr="006C7B74">
        <w:t xml:space="preserve">It is estimated that there is approximately </w:t>
      </w:r>
      <w:r w:rsidR="00891600" w:rsidRPr="006C7B74">
        <w:t>24</w:t>
      </w:r>
      <w:r w:rsidR="00B627B9" w:rsidRPr="006C7B74">
        <w:t>.2</w:t>
      </w:r>
      <w:r w:rsidRPr="006C7B74">
        <w:t xml:space="preserve"> million square metres of floorspace used or available for, commercial purposes </w:t>
      </w:r>
      <w:r w:rsidR="00010EBE" w:rsidRPr="006C7B74">
        <w:t>across</w:t>
      </w:r>
      <w:r w:rsidRPr="006C7B74">
        <w:t xml:space="preserve"> metropolitan Melbourne. Approximately </w:t>
      </w:r>
      <w:r w:rsidR="000A4FA2" w:rsidRPr="000A4FA2">
        <w:t>3</w:t>
      </w:r>
      <w:r w:rsidR="000A4FA2">
        <w:t>8</w:t>
      </w:r>
      <w:r w:rsidR="000A4FA2" w:rsidRPr="006C7B74">
        <w:t xml:space="preserve"> </w:t>
      </w:r>
      <w:r w:rsidRPr="006C7B74">
        <w:t>per cent of this is located within the Inner Metro Region, of which 80 per cent is located within the City of Melbourne.</w:t>
      </w:r>
    </w:p>
    <w:p w14:paraId="3C690ECF" w14:textId="16A8A4FB" w:rsidR="005110D0" w:rsidRPr="006C7B74" w:rsidRDefault="005110D0" w:rsidP="00652302">
      <w:pPr>
        <w:pStyle w:val="Heading5"/>
      </w:pPr>
      <w:r w:rsidRPr="006C7B74">
        <w:t xml:space="preserve">Table 6: Commercial </w:t>
      </w:r>
      <w:r w:rsidR="003D3C48" w:rsidRPr="006C7B74">
        <w:t>f</w:t>
      </w:r>
      <w:r w:rsidRPr="006C7B74">
        <w:t xml:space="preserve">loorspace </w:t>
      </w:r>
      <w:r w:rsidR="003D3C48" w:rsidRPr="006C7B74">
        <w:t>s</w:t>
      </w:r>
      <w:r w:rsidRPr="006C7B74">
        <w:t>upply</w:t>
      </w:r>
    </w:p>
    <w:tbl>
      <w:tblPr>
        <w:tblW w:w="5000" w:type="pct"/>
        <w:tblLook w:val="04A0" w:firstRow="1" w:lastRow="0" w:firstColumn="1" w:lastColumn="0" w:noHBand="0" w:noVBand="1"/>
      </w:tblPr>
      <w:tblGrid>
        <w:gridCol w:w="3469"/>
        <w:gridCol w:w="2091"/>
        <w:gridCol w:w="3460"/>
      </w:tblGrid>
      <w:tr w:rsidR="005110D0" w:rsidRPr="006C7B74" w14:paraId="23052ABC" w14:textId="77777777" w:rsidTr="005110D0">
        <w:trPr>
          <w:trHeight w:val="720"/>
        </w:trPr>
        <w:tc>
          <w:tcPr>
            <w:tcW w:w="1923" w:type="pct"/>
            <w:tcBorders>
              <w:top w:val="nil"/>
              <w:left w:val="nil"/>
              <w:bottom w:val="nil"/>
              <w:right w:val="nil"/>
            </w:tcBorders>
            <w:shd w:val="clear" w:color="000000" w:fill="4D446C"/>
            <w:vAlign w:val="center"/>
            <w:hideMark/>
          </w:tcPr>
          <w:p w14:paraId="2569F14B" w14:textId="77777777" w:rsidR="005110D0" w:rsidRPr="006C7B74" w:rsidRDefault="005110D0" w:rsidP="000D67B8">
            <w:pPr>
              <w:pStyle w:val="TableHeaderRow"/>
            </w:pPr>
            <w:r w:rsidRPr="006C7B74">
              <w:t>Region</w:t>
            </w:r>
          </w:p>
        </w:tc>
        <w:tc>
          <w:tcPr>
            <w:tcW w:w="1159" w:type="pct"/>
            <w:tcBorders>
              <w:top w:val="nil"/>
              <w:left w:val="nil"/>
              <w:bottom w:val="nil"/>
              <w:right w:val="nil"/>
            </w:tcBorders>
            <w:shd w:val="clear" w:color="000000" w:fill="4D446C"/>
            <w:vAlign w:val="center"/>
            <w:hideMark/>
          </w:tcPr>
          <w:p w14:paraId="6C5A98C5" w14:textId="66F8B38B" w:rsidR="005110D0" w:rsidRPr="006C7B74" w:rsidRDefault="005110D0" w:rsidP="008510B6">
            <w:pPr>
              <w:pStyle w:val="TableHeaderRow"/>
              <w:jc w:val="center"/>
            </w:pPr>
            <w:r w:rsidRPr="006C7B74">
              <w:t xml:space="preserve">Existing </w:t>
            </w:r>
            <w:r w:rsidR="003D3C48" w:rsidRPr="006C7B74">
              <w:t>f</w:t>
            </w:r>
            <w:r w:rsidRPr="006C7B74">
              <w:t>loorspace</w:t>
            </w:r>
            <w:r w:rsidRPr="006C7B74">
              <w:br/>
              <w:t>(m</w:t>
            </w:r>
            <w:r w:rsidRPr="006C7B74">
              <w:rPr>
                <w:vertAlign w:val="superscript"/>
              </w:rPr>
              <w:t>2</w:t>
            </w:r>
            <w:r w:rsidRPr="006C7B74">
              <w:t>)</w:t>
            </w:r>
          </w:p>
        </w:tc>
        <w:tc>
          <w:tcPr>
            <w:tcW w:w="1918" w:type="pct"/>
            <w:tcBorders>
              <w:top w:val="nil"/>
              <w:left w:val="nil"/>
              <w:bottom w:val="nil"/>
              <w:right w:val="nil"/>
            </w:tcBorders>
            <w:shd w:val="clear" w:color="000000" w:fill="4D446C"/>
            <w:vAlign w:val="center"/>
            <w:hideMark/>
          </w:tcPr>
          <w:p w14:paraId="6AA3A531" w14:textId="78E3126B" w:rsidR="005110D0" w:rsidRPr="006C7B74" w:rsidRDefault="005110D0" w:rsidP="008510B6">
            <w:pPr>
              <w:pStyle w:val="TableHeaderRow"/>
              <w:jc w:val="center"/>
            </w:pPr>
            <w:r w:rsidRPr="006C7B74">
              <w:t xml:space="preserve">Share of </w:t>
            </w:r>
            <w:r w:rsidR="003D3C48" w:rsidRPr="006C7B74">
              <w:t>m</w:t>
            </w:r>
            <w:r w:rsidRPr="006C7B74">
              <w:t>etro</w:t>
            </w:r>
          </w:p>
        </w:tc>
      </w:tr>
      <w:tr w:rsidR="00B667A6" w:rsidRPr="006C7B74" w14:paraId="1AD06E71" w14:textId="77777777" w:rsidTr="006C7B74">
        <w:trPr>
          <w:trHeight w:val="315"/>
        </w:trPr>
        <w:tc>
          <w:tcPr>
            <w:tcW w:w="1923" w:type="pct"/>
            <w:tcBorders>
              <w:top w:val="nil"/>
              <w:left w:val="nil"/>
              <w:bottom w:val="single" w:sz="8" w:space="0" w:color="44546A"/>
              <w:right w:val="nil"/>
            </w:tcBorders>
            <w:shd w:val="clear" w:color="auto" w:fill="auto"/>
            <w:vAlign w:val="center"/>
            <w:hideMark/>
          </w:tcPr>
          <w:p w14:paraId="18453149" w14:textId="77777777" w:rsidR="00B667A6" w:rsidRPr="006C7B74" w:rsidRDefault="00B667A6" w:rsidP="00B667A6">
            <w:pPr>
              <w:rPr>
                <w:rFonts w:ascii="Calibri" w:hAnsi="Calibri" w:cs="Calibri"/>
                <w:color w:val="000000"/>
                <w:sz w:val="18"/>
                <w:szCs w:val="18"/>
                <w:lang w:eastAsia="en-AU"/>
              </w:rPr>
            </w:pPr>
            <w:r w:rsidRPr="006C7B74">
              <w:rPr>
                <w:rFonts w:ascii="Calibri" w:hAnsi="Calibri" w:cs="Calibri"/>
                <w:color w:val="000000"/>
                <w:sz w:val="18"/>
                <w:szCs w:val="18"/>
                <w:lang w:eastAsia="en-AU"/>
              </w:rPr>
              <w:t>Inner Metro</w:t>
            </w:r>
            <w:r w:rsidRPr="006C7B74">
              <w:rPr>
                <w:rFonts w:ascii="Calibri" w:hAnsi="Calibri" w:cs="Calibri"/>
                <w:color w:val="000000"/>
                <w:sz w:val="18"/>
                <w:szCs w:val="18"/>
                <w:vertAlign w:val="superscript"/>
                <w:lang w:eastAsia="en-AU"/>
              </w:rPr>
              <w:t>1</w:t>
            </w:r>
          </w:p>
        </w:tc>
        <w:tc>
          <w:tcPr>
            <w:tcW w:w="1159" w:type="pct"/>
            <w:tcBorders>
              <w:top w:val="nil"/>
              <w:left w:val="nil"/>
              <w:bottom w:val="single" w:sz="8" w:space="0" w:color="44546A"/>
              <w:right w:val="nil"/>
            </w:tcBorders>
            <w:shd w:val="clear" w:color="auto" w:fill="auto"/>
            <w:hideMark/>
          </w:tcPr>
          <w:p w14:paraId="31807FD5" w14:textId="0B8B755C" w:rsidR="00B667A6" w:rsidRPr="006C7B74" w:rsidRDefault="00B667A6" w:rsidP="00B667A6">
            <w:pPr>
              <w:jc w:val="center"/>
              <w:rPr>
                <w:rFonts w:ascii="Calibri" w:hAnsi="Calibri" w:cs="Calibri"/>
                <w:color w:val="000000"/>
                <w:sz w:val="18"/>
                <w:szCs w:val="18"/>
                <w:lang w:eastAsia="en-AU"/>
              </w:rPr>
            </w:pPr>
            <w:r w:rsidRPr="006C7B74">
              <w:rPr>
                <w:sz w:val="18"/>
                <w:szCs w:val="18"/>
              </w:rPr>
              <w:t>9,</w:t>
            </w:r>
            <w:r w:rsidR="00B57597" w:rsidRPr="006C7B74">
              <w:rPr>
                <w:sz w:val="18"/>
                <w:szCs w:val="18"/>
              </w:rPr>
              <w:t>067,350</w:t>
            </w:r>
          </w:p>
        </w:tc>
        <w:tc>
          <w:tcPr>
            <w:tcW w:w="1918" w:type="pct"/>
            <w:tcBorders>
              <w:top w:val="nil"/>
              <w:left w:val="nil"/>
              <w:bottom w:val="single" w:sz="8" w:space="0" w:color="44546A"/>
              <w:right w:val="nil"/>
            </w:tcBorders>
            <w:shd w:val="clear" w:color="auto" w:fill="auto"/>
            <w:hideMark/>
          </w:tcPr>
          <w:p w14:paraId="29B4DEB4" w14:textId="002205B2" w:rsidR="00B667A6" w:rsidRPr="006C7B74" w:rsidRDefault="00B667A6" w:rsidP="00B667A6">
            <w:pPr>
              <w:jc w:val="center"/>
              <w:rPr>
                <w:rFonts w:ascii="Calibri" w:hAnsi="Calibri" w:cs="Calibri"/>
                <w:color w:val="000000"/>
                <w:sz w:val="18"/>
                <w:szCs w:val="18"/>
                <w:lang w:eastAsia="en-AU"/>
              </w:rPr>
            </w:pPr>
            <w:r w:rsidRPr="006C7B74">
              <w:rPr>
                <w:sz w:val="18"/>
                <w:szCs w:val="18"/>
              </w:rPr>
              <w:t>37%</w:t>
            </w:r>
          </w:p>
        </w:tc>
      </w:tr>
      <w:tr w:rsidR="00B667A6" w:rsidRPr="006C7B74" w14:paraId="77B4DFBA" w14:textId="77777777" w:rsidTr="006C7B74">
        <w:trPr>
          <w:trHeight w:val="315"/>
        </w:trPr>
        <w:tc>
          <w:tcPr>
            <w:tcW w:w="1923" w:type="pct"/>
            <w:tcBorders>
              <w:top w:val="nil"/>
              <w:left w:val="nil"/>
              <w:bottom w:val="single" w:sz="8" w:space="0" w:color="44546A"/>
              <w:right w:val="nil"/>
            </w:tcBorders>
            <w:shd w:val="clear" w:color="auto" w:fill="auto"/>
            <w:vAlign w:val="center"/>
            <w:hideMark/>
          </w:tcPr>
          <w:p w14:paraId="4929B0BA" w14:textId="77777777" w:rsidR="00B667A6" w:rsidRPr="006C7B74" w:rsidRDefault="00B667A6" w:rsidP="00B667A6">
            <w:pPr>
              <w:rPr>
                <w:rFonts w:ascii="Calibri" w:hAnsi="Calibri" w:cs="Calibri"/>
                <w:color w:val="000000"/>
                <w:sz w:val="18"/>
                <w:szCs w:val="18"/>
                <w:lang w:eastAsia="en-AU"/>
              </w:rPr>
            </w:pPr>
            <w:r w:rsidRPr="006C7B74">
              <w:rPr>
                <w:rFonts w:ascii="Calibri" w:hAnsi="Calibri" w:cs="Calibri"/>
                <w:color w:val="000000"/>
                <w:sz w:val="18"/>
                <w:szCs w:val="18"/>
                <w:lang w:eastAsia="en-AU"/>
              </w:rPr>
              <w:t>Western</w:t>
            </w:r>
          </w:p>
        </w:tc>
        <w:tc>
          <w:tcPr>
            <w:tcW w:w="1159" w:type="pct"/>
            <w:tcBorders>
              <w:top w:val="nil"/>
              <w:left w:val="nil"/>
              <w:bottom w:val="single" w:sz="8" w:space="0" w:color="44546A"/>
              <w:right w:val="nil"/>
            </w:tcBorders>
            <w:shd w:val="clear" w:color="auto" w:fill="auto"/>
            <w:hideMark/>
          </w:tcPr>
          <w:p w14:paraId="5F6DBAF1" w14:textId="344124C7" w:rsidR="00B667A6" w:rsidRPr="006C7B74" w:rsidRDefault="00B667A6" w:rsidP="00B667A6">
            <w:pPr>
              <w:jc w:val="center"/>
              <w:rPr>
                <w:rFonts w:ascii="Calibri" w:hAnsi="Calibri" w:cs="Calibri"/>
                <w:color w:val="000000"/>
                <w:sz w:val="18"/>
                <w:szCs w:val="18"/>
                <w:lang w:eastAsia="en-AU"/>
              </w:rPr>
            </w:pPr>
            <w:r w:rsidRPr="006C7B74">
              <w:rPr>
                <w:sz w:val="18"/>
                <w:szCs w:val="18"/>
              </w:rPr>
              <w:t>2,909,700</w:t>
            </w:r>
          </w:p>
        </w:tc>
        <w:tc>
          <w:tcPr>
            <w:tcW w:w="1918" w:type="pct"/>
            <w:tcBorders>
              <w:top w:val="nil"/>
              <w:left w:val="nil"/>
              <w:bottom w:val="single" w:sz="8" w:space="0" w:color="44546A"/>
              <w:right w:val="nil"/>
            </w:tcBorders>
            <w:shd w:val="clear" w:color="auto" w:fill="auto"/>
            <w:hideMark/>
          </w:tcPr>
          <w:p w14:paraId="0FA9948F" w14:textId="422CB917" w:rsidR="00B667A6" w:rsidRPr="006C7B74" w:rsidRDefault="00B667A6" w:rsidP="00B667A6">
            <w:pPr>
              <w:jc w:val="center"/>
              <w:rPr>
                <w:rFonts w:ascii="Calibri" w:hAnsi="Calibri" w:cs="Calibri"/>
                <w:color w:val="000000"/>
                <w:sz w:val="18"/>
                <w:szCs w:val="18"/>
                <w:lang w:eastAsia="en-AU"/>
              </w:rPr>
            </w:pPr>
            <w:r w:rsidRPr="006C7B74">
              <w:rPr>
                <w:sz w:val="18"/>
                <w:szCs w:val="18"/>
              </w:rPr>
              <w:t>12%</w:t>
            </w:r>
          </w:p>
        </w:tc>
      </w:tr>
      <w:tr w:rsidR="00B667A6" w:rsidRPr="006C7B74" w14:paraId="24423B5F" w14:textId="77777777" w:rsidTr="006C7B74">
        <w:trPr>
          <w:trHeight w:val="315"/>
        </w:trPr>
        <w:tc>
          <w:tcPr>
            <w:tcW w:w="1923" w:type="pct"/>
            <w:tcBorders>
              <w:top w:val="nil"/>
              <w:left w:val="nil"/>
              <w:bottom w:val="single" w:sz="8" w:space="0" w:color="44546A"/>
              <w:right w:val="nil"/>
            </w:tcBorders>
            <w:shd w:val="clear" w:color="auto" w:fill="auto"/>
            <w:vAlign w:val="center"/>
            <w:hideMark/>
          </w:tcPr>
          <w:p w14:paraId="70F7E218" w14:textId="77777777" w:rsidR="00B667A6" w:rsidRPr="006C7B74" w:rsidRDefault="00B667A6" w:rsidP="00B667A6">
            <w:pPr>
              <w:rPr>
                <w:rFonts w:ascii="Calibri" w:hAnsi="Calibri" w:cs="Calibri"/>
                <w:color w:val="000000"/>
                <w:sz w:val="18"/>
                <w:szCs w:val="18"/>
                <w:lang w:eastAsia="en-AU"/>
              </w:rPr>
            </w:pPr>
            <w:r w:rsidRPr="006C7B74">
              <w:rPr>
                <w:rFonts w:ascii="Calibri" w:hAnsi="Calibri" w:cs="Calibri"/>
                <w:color w:val="000000"/>
                <w:sz w:val="18"/>
                <w:szCs w:val="18"/>
                <w:lang w:eastAsia="en-AU"/>
              </w:rPr>
              <w:t>Northern</w:t>
            </w:r>
          </w:p>
        </w:tc>
        <w:tc>
          <w:tcPr>
            <w:tcW w:w="1159" w:type="pct"/>
            <w:tcBorders>
              <w:top w:val="nil"/>
              <w:left w:val="nil"/>
              <w:bottom w:val="single" w:sz="8" w:space="0" w:color="44546A"/>
              <w:right w:val="nil"/>
            </w:tcBorders>
            <w:shd w:val="clear" w:color="auto" w:fill="auto"/>
            <w:hideMark/>
          </w:tcPr>
          <w:p w14:paraId="70A9B8EA" w14:textId="48C58491" w:rsidR="00B667A6" w:rsidRPr="006C7B74" w:rsidRDefault="00B667A6" w:rsidP="00B667A6">
            <w:pPr>
              <w:jc w:val="center"/>
              <w:rPr>
                <w:rFonts w:ascii="Calibri" w:hAnsi="Calibri" w:cs="Calibri"/>
                <w:color w:val="000000"/>
                <w:sz w:val="18"/>
                <w:szCs w:val="18"/>
                <w:lang w:eastAsia="en-AU"/>
              </w:rPr>
            </w:pPr>
            <w:r w:rsidRPr="006C7B74">
              <w:rPr>
                <w:sz w:val="18"/>
                <w:szCs w:val="18"/>
              </w:rPr>
              <w:t>3,239,150</w:t>
            </w:r>
          </w:p>
        </w:tc>
        <w:tc>
          <w:tcPr>
            <w:tcW w:w="1918" w:type="pct"/>
            <w:tcBorders>
              <w:top w:val="nil"/>
              <w:left w:val="nil"/>
              <w:bottom w:val="single" w:sz="8" w:space="0" w:color="44546A"/>
              <w:right w:val="nil"/>
            </w:tcBorders>
            <w:shd w:val="clear" w:color="auto" w:fill="auto"/>
            <w:hideMark/>
          </w:tcPr>
          <w:p w14:paraId="3A27CF23" w14:textId="5C7B8704" w:rsidR="00B667A6" w:rsidRPr="006C7B74" w:rsidRDefault="00B667A6" w:rsidP="00B667A6">
            <w:pPr>
              <w:jc w:val="center"/>
              <w:rPr>
                <w:rFonts w:ascii="Calibri" w:hAnsi="Calibri" w:cs="Calibri"/>
                <w:color w:val="000000"/>
                <w:sz w:val="18"/>
                <w:szCs w:val="18"/>
                <w:lang w:eastAsia="en-AU"/>
              </w:rPr>
            </w:pPr>
            <w:r w:rsidRPr="006C7B74">
              <w:rPr>
                <w:sz w:val="18"/>
                <w:szCs w:val="18"/>
              </w:rPr>
              <w:t>13%</w:t>
            </w:r>
          </w:p>
        </w:tc>
      </w:tr>
      <w:tr w:rsidR="00B667A6" w:rsidRPr="006C7B74" w14:paraId="57E467EC" w14:textId="77777777" w:rsidTr="006C7B74">
        <w:trPr>
          <w:trHeight w:val="315"/>
        </w:trPr>
        <w:tc>
          <w:tcPr>
            <w:tcW w:w="1923" w:type="pct"/>
            <w:tcBorders>
              <w:top w:val="nil"/>
              <w:left w:val="nil"/>
              <w:bottom w:val="single" w:sz="8" w:space="0" w:color="44546A"/>
              <w:right w:val="nil"/>
            </w:tcBorders>
            <w:shd w:val="clear" w:color="auto" w:fill="auto"/>
            <w:vAlign w:val="center"/>
            <w:hideMark/>
          </w:tcPr>
          <w:p w14:paraId="1BEC7432" w14:textId="77777777" w:rsidR="00B667A6" w:rsidRPr="006C7B74" w:rsidRDefault="00B667A6" w:rsidP="00B667A6">
            <w:pPr>
              <w:rPr>
                <w:rFonts w:ascii="Calibri" w:hAnsi="Calibri" w:cs="Calibri"/>
                <w:color w:val="000000"/>
                <w:sz w:val="18"/>
                <w:szCs w:val="18"/>
                <w:lang w:eastAsia="en-AU"/>
              </w:rPr>
            </w:pPr>
            <w:r w:rsidRPr="006C7B74">
              <w:rPr>
                <w:rFonts w:ascii="Calibri" w:hAnsi="Calibri" w:cs="Calibri"/>
                <w:color w:val="000000"/>
                <w:sz w:val="18"/>
                <w:szCs w:val="18"/>
                <w:lang w:eastAsia="en-AU"/>
              </w:rPr>
              <w:t>Eastern</w:t>
            </w:r>
          </w:p>
        </w:tc>
        <w:tc>
          <w:tcPr>
            <w:tcW w:w="1159" w:type="pct"/>
            <w:tcBorders>
              <w:top w:val="nil"/>
              <w:left w:val="nil"/>
              <w:bottom w:val="single" w:sz="8" w:space="0" w:color="44546A"/>
              <w:right w:val="nil"/>
            </w:tcBorders>
            <w:shd w:val="clear" w:color="auto" w:fill="auto"/>
            <w:hideMark/>
          </w:tcPr>
          <w:p w14:paraId="59325CFB" w14:textId="09F78437" w:rsidR="00B667A6" w:rsidRPr="006C7B74" w:rsidRDefault="00B667A6" w:rsidP="00B667A6">
            <w:pPr>
              <w:jc w:val="center"/>
              <w:rPr>
                <w:rFonts w:ascii="Calibri" w:hAnsi="Calibri" w:cs="Calibri"/>
                <w:color w:val="000000"/>
                <w:sz w:val="18"/>
                <w:szCs w:val="18"/>
                <w:lang w:eastAsia="en-AU"/>
              </w:rPr>
            </w:pPr>
            <w:r w:rsidRPr="006C7B74">
              <w:rPr>
                <w:sz w:val="18"/>
                <w:szCs w:val="18"/>
              </w:rPr>
              <w:t>2,817,650</w:t>
            </w:r>
          </w:p>
        </w:tc>
        <w:tc>
          <w:tcPr>
            <w:tcW w:w="1918" w:type="pct"/>
            <w:tcBorders>
              <w:top w:val="nil"/>
              <w:left w:val="nil"/>
              <w:bottom w:val="single" w:sz="8" w:space="0" w:color="44546A"/>
              <w:right w:val="nil"/>
            </w:tcBorders>
            <w:shd w:val="clear" w:color="auto" w:fill="auto"/>
            <w:hideMark/>
          </w:tcPr>
          <w:p w14:paraId="7C25F993" w14:textId="7797EAB3" w:rsidR="00B667A6" w:rsidRPr="006C7B74" w:rsidRDefault="00B667A6" w:rsidP="00B667A6">
            <w:pPr>
              <w:jc w:val="center"/>
              <w:rPr>
                <w:rFonts w:ascii="Calibri" w:hAnsi="Calibri" w:cs="Calibri"/>
                <w:color w:val="000000"/>
                <w:sz w:val="18"/>
                <w:szCs w:val="18"/>
                <w:lang w:eastAsia="en-AU"/>
              </w:rPr>
            </w:pPr>
            <w:r w:rsidRPr="006C7B74">
              <w:rPr>
                <w:sz w:val="18"/>
                <w:szCs w:val="18"/>
              </w:rPr>
              <w:t>12%</w:t>
            </w:r>
          </w:p>
        </w:tc>
      </w:tr>
      <w:tr w:rsidR="00B667A6" w:rsidRPr="006C7B74" w14:paraId="16CA4458" w14:textId="77777777" w:rsidTr="006C7B74">
        <w:trPr>
          <w:trHeight w:val="315"/>
        </w:trPr>
        <w:tc>
          <w:tcPr>
            <w:tcW w:w="1923" w:type="pct"/>
            <w:tcBorders>
              <w:top w:val="nil"/>
              <w:left w:val="nil"/>
              <w:bottom w:val="single" w:sz="8" w:space="0" w:color="44546A"/>
              <w:right w:val="nil"/>
            </w:tcBorders>
            <w:shd w:val="clear" w:color="auto" w:fill="auto"/>
            <w:vAlign w:val="center"/>
            <w:hideMark/>
          </w:tcPr>
          <w:p w14:paraId="7073BBBF" w14:textId="77777777" w:rsidR="00B667A6" w:rsidRPr="006C7B74" w:rsidRDefault="00B667A6" w:rsidP="00B667A6">
            <w:pPr>
              <w:rPr>
                <w:rFonts w:ascii="Calibri" w:hAnsi="Calibri" w:cs="Calibri"/>
                <w:color w:val="000000"/>
                <w:sz w:val="18"/>
                <w:szCs w:val="18"/>
                <w:lang w:eastAsia="en-AU"/>
              </w:rPr>
            </w:pPr>
            <w:r w:rsidRPr="006C7B74">
              <w:rPr>
                <w:rFonts w:ascii="Calibri" w:hAnsi="Calibri" w:cs="Calibri"/>
                <w:color w:val="000000"/>
                <w:sz w:val="18"/>
                <w:szCs w:val="18"/>
                <w:lang w:eastAsia="en-AU"/>
              </w:rPr>
              <w:t>Southern</w:t>
            </w:r>
          </w:p>
        </w:tc>
        <w:tc>
          <w:tcPr>
            <w:tcW w:w="1159" w:type="pct"/>
            <w:tcBorders>
              <w:top w:val="nil"/>
              <w:left w:val="nil"/>
              <w:bottom w:val="single" w:sz="8" w:space="0" w:color="44546A"/>
              <w:right w:val="nil"/>
            </w:tcBorders>
            <w:shd w:val="clear" w:color="auto" w:fill="auto"/>
            <w:hideMark/>
          </w:tcPr>
          <w:p w14:paraId="22F6879F" w14:textId="1A13C220" w:rsidR="00B667A6" w:rsidRPr="006C7B74" w:rsidRDefault="00B667A6" w:rsidP="00B667A6">
            <w:pPr>
              <w:jc w:val="center"/>
              <w:rPr>
                <w:rFonts w:ascii="Calibri" w:hAnsi="Calibri" w:cs="Calibri"/>
                <w:color w:val="000000"/>
                <w:sz w:val="18"/>
                <w:szCs w:val="18"/>
                <w:lang w:eastAsia="en-AU"/>
              </w:rPr>
            </w:pPr>
            <w:r w:rsidRPr="006C7B74">
              <w:rPr>
                <w:sz w:val="18"/>
                <w:szCs w:val="18"/>
              </w:rPr>
              <w:t>3,166,750</w:t>
            </w:r>
          </w:p>
        </w:tc>
        <w:tc>
          <w:tcPr>
            <w:tcW w:w="1918" w:type="pct"/>
            <w:tcBorders>
              <w:top w:val="nil"/>
              <w:left w:val="nil"/>
              <w:bottom w:val="single" w:sz="8" w:space="0" w:color="44546A"/>
              <w:right w:val="nil"/>
            </w:tcBorders>
            <w:shd w:val="clear" w:color="auto" w:fill="auto"/>
            <w:hideMark/>
          </w:tcPr>
          <w:p w14:paraId="66BDB4B4" w14:textId="030B0B16" w:rsidR="00B667A6" w:rsidRPr="006C7B74" w:rsidRDefault="00B667A6" w:rsidP="00B667A6">
            <w:pPr>
              <w:jc w:val="center"/>
              <w:rPr>
                <w:rFonts w:ascii="Calibri" w:hAnsi="Calibri" w:cs="Calibri"/>
                <w:color w:val="000000"/>
                <w:sz w:val="18"/>
                <w:szCs w:val="18"/>
                <w:lang w:eastAsia="en-AU"/>
              </w:rPr>
            </w:pPr>
            <w:r w:rsidRPr="006C7B74">
              <w:rPr>
                <w:sz w:val="18"/>
                <w:szCs w:val="18"/>
              </w:rPr>
              <w:t>13%</w:t>
            </w:r>
          </w:p>
        </w:tc>
      </w:tr>
      <w:tr w:rsidR="00B667A6" w:rsidRPr="006C7B74" w14:paraId="2C775C71" w14:textId="77777777" w:rsidTr="006C7B74">
        <w:trPr>
          <w:trHeight w:val="315"/>
        </w:trPr>
        <w:tc>
          <w:tcPr>
            <w:tcW w:w="1923" w:type="pct"/>
            <w:tcBorders>
              <w:top w:val="nil"/>
              <w:left w:val="nil"/>
              <w:bottom w:val="single" w:sz="8" w:space="0" w:color="44546A"/>
              <w:right w:val="nil"/>
            </w:tcBorders>
            <w:shd w:val="clear" w:color="auto" w:fill="auto"/>
            <w:vAlign w:val="center"/>
            <w:hideMark/>
          </w:tcPr>
          <w:p w14:paraId="68ACAD79" w14:textId="77777777" w:rsidR="00B667A6" w:rsidRPr="006C7B74" w:rsidRDefault="00B667A6" w:rsidP="00B667A6">
            <w:pPr>
              <w:rPr>
                <w:rFonts w:ascii="Calibri" w:hAnsi="Calibri" w:cs="Calibri"/>
                <w:color w:val="000000"/>
                <w:sz w:val="18"/>
                <w:szCs w:val="18"/>
                <w:lang w:eastAsia="en-AU"/>
              </w:rPr>
            </w:pPr>
            <w:r w:rsidRPr="006C7B74">
              <w:rPr>
                <w:rFonts w:ascii="Calibri" w:hAnsi="Calibri" w:cs="Calibri"/>
                <w:color w:val="000000"/>
                <w:sz w:val="18"/>
                <w:szCs w:val="18"/>
                <w:lang w:eastAsia="en-AU"/>
              </w:rPr>
              <w:t>Inner South East</w:t>
            </w:r>
          </w:p>
        </w:tc>
        <w:tc>
          <w:tcPr>
            <w:tcW w:w="1159" w:type="pct"/>
            <w:tcBorders>
              <w:top w:val="nil"/>
              <w:left w:val="nil"/>
              <w:bottom w:val="single" w:sz="8" w:space="0" w:color="44546A"/>
              <w:right w:val="nil"/>
            </w:tcBorders>
            <w:shd w:val="clear" w:color="auto" w:fill="auto"/>
            <w:hideMark/>
          </w:tcPr>
          <w:p w14:paraId="4387DC10" w14:textId="11C39A0D" w:rsidR="00B667A6" w:rsidRPr="006C7B74" w:rsidRDefault="00B57597" w:rsidP="00B667A6">
            <w:pPr>
              <w:jc w:val="center"/>
              <w:rPr>
                <w:rFonts w:ascii="Calibri" w:hAnsi="Calibri" w:cs="Calibri"/>
                <w:color w:val="000000"/>
                <w:sz w:val="18"/>
                <w:szCs w:val="18"/>
                <w:lang w:eastAsia="en-AU"/>
              </w:rPr>
            </w:pPr>
            <w:r w:rsidRPr="006C7B74">
              <w:rPr>
                <w:sz w:val="18"/>
                <w:szCs w:val="18"/>
              </w:rPr>
              <w:t>2,991,200</w:t>
            </w:r>
          </w:p>
        </w:tc>
        <w:tc>
          <w:tcPr>
            <w:tcW w:w="1918" w:type="pct"/>
            <w:tcBorders>
              <w:top w:val="nil"/>
              <w:left w:val="nil"/>
              <w:bottom w:val="single" w:sz="8" w:space="0" w:color="44546A"/>
              <w:right w:val="nil"/>
            </w:tcBorders>
            <w:shd w:val="clear" w:color="auto" w:fill="auto"/>
            <w:hideMark/>
          </w:tcPr>
          <w:p w14:paraId="4E123B3C" w14:textId="17F9B0C7" w:rsidR="00B667A6" w:rsidRPr="006C7B74" w:rsidRDefault="00B667A6" w:rsidP="00B667A6">
            <w:pPr>
              <w:jc w:val="center"/>
              <w:rPr>
                <w:rFonts w:ascii="Calibri" w:hAnsi="Calibri" w:cs="Calibri"/>
                <w:color w:val="000000"/>
                <w:sz w:val="18"/>
                <w:szCs w:val="18"/>
                <w:lang w:eastAsia="en-AU"/>
              </w:rPr>
            </w:pPr>
            <w:r w:rsidRPr="006C7B74">
              <w:rPr>
                <w:sz w:val="18"/>
                <w:szCs w:val="18"/>
              </w:rPr>
              <w:t>12%</w:t>
            </w:r>
          </w:p>
        </w:tc>
      </w:tr>
      <w:tr w:rsidR="00B667A6" w:rsidRPr="006C7B74" w14:paraId="61D55F26" w14:textId="77777777" w:rsidTr="006C7B74">
        <w:trPr>
          <w:trHeight w:val="315"/>
        </w:trPr>
        <w:tc>
          <w:tcPr>
            <w:tcW w:w="1923" w:type="pct"/>
            <w:tcBorders>
              <w:top w:val="nil"/>
              <w:left w:val="nil"/>
              <w:bottom w:val="single" w:sz="8" w:space="0" w:color="44546A"/>
              <w:right w:val="nil"/>
            </w:tcBorders>
            <w:shd w:val="clear" w:color="auto" w:fill="auto"/>
            <w:vAlign w:val="center"/>
            <w:hideMark/>
          </w:tcPr>
          <w:p w14:paraId="7A222740" w14:textId="77777777" w:rsidR="00B667A6" w:rsidRPr="006C7B74" w:rsidRDefault="00B667A6" w:rsidP="00B667A6">
            <w:pPr>
              <w:rPr>
                <w:rFonts w:ascii="Calibri" w:hAnsi="Calibri" w:cs="Calibri"/>
                <w:b/>
                <w:color w:val="000000"/>
                <w:sz w:val="18"/>
                <w:szCs w:val="18"/>
                <w:lang w:eastAsia="en-AU"/>
              </w:rPr>
            </w:pPr>
            <w:r w:rsidRPr="006C7B74">
              <w:rPr>
                <w:rFonts w:ascii="Calibri" w:hAnsi="Calibri" w:cs="Calibri"/>
                <w:b/>
                <w:color w:val="000000"/>
                <w:sz w:val="18"/>
                <w:szCs w:val="18"/>
                <w:lang w:eastAsia="en-AU"/>
              </w:rPr>
              <w:t>Total</w:t>
            </w:r>
          </w:p>
        </w:tc>
        <w:tc>
          <w:tcPr>
            <w:tcW w:w="1159" w:type="pct"/>
            <w:tcBorders>
              <w:top w:val="nil"/>
              <w:left w:val="nil"/>
              <w:bottom w:val="single" w:sz="8" w:space="0" w:color="44546A"/>
              <w:right w:val="nil"/>
            </w:tcBorders>
            <w:shd w:val="clear" w:color="auto" w:fill="auto"/>
            <w:hideMark/>
          </w:tcPr>
          <w:p w14:paraId="0B48B80A" w14:textId="456F600E" w:rsidR="00B667A6" w:rsidRPr="006C7B74" w:rsidRDefault="00B667A6" w:rsidP="00B667A6">
            <w:pPr>
              <w:jc w:val="center"/>
              <w:rPr>
                <w:rFonts w:ascii="Calibri" w:hAnsi="Calibri" w:cs="Calibri"/>
                <w:b/>
                <w:color w:val="000000"/>
                <w:sz w:val="18"/>
                <w:szCs w:val="18"/>
                <w:lang w:eastAsia="en-AU"/>
              </w:rPr>
            </w:pPr>
            <w:r w:rsidRPr="006C7B74">
              <w:rPr>
                <w:b/>
                <w:sz w:val="18"/>
                <w:szCs w:val="18"/>
              </w:rPr>
              <w:t>24,</w:t>
            </w:r>
            <w:r w:rsidR="00B57597" w:rsidRPr="006C7B74">
              <w:rPr>
                <w:b/>
                <w:sz w:val="18"/>
                <w:szCs w:val="18"/>
              </w:rPr>
              <w:t>191,800</w:t>
            </w:r>
          </w:p>
        </w:tc>
        <w:tc>
          <w:tcPr>
            <w:tcW w:w="1918" w:type="pct"/>
            <w:tcBorders>
              <w:top w:val="nil"/>
              <w:left w:val="nil"/>
              <w:bottom w:val="single" w:sz="8" w:space="0" w:color="44546A"/>
              <w:right w:val="nil"/>
            </w:tcBorders>
            <w:shd w:val="clear" w:color="auto" w:fill="auto"/>
            <w:hideMark/>
          </w:tcPr>
          <w:p w14:paraId="7FC91FC9" w14:textId="5CC4CF1A" w:rsidR="00B667A6" w:rsidRPr="006C7B74" w:rsidRDefault="00B667A6" w:rsidP="00B667A6">
            <w:pPr>
              <w:jc w:val="center"/>
              <w:rPr>
                <w:rFonts w:ascii="Calibri" w:hAnsi="Calibri" w:cs="Calibri"/>
                <w:b/>
                <w:color w:val="000000"/>
                <w:sz w:val="18"/>
                <w:szCs w:val="18"/>
                <w:lang w:eastAsia="en-AU"/>
              </w:rPr>
            </w:pPr>
            <w:r w:rsidRPr="006C7B74">
              <w:rPr>
                <w:b/>
                <w:sz w:val="18"/>
                <w:szCs w:val="18"/>
              </w:rPr>
              <w:t>100%</w:t>
            </w:r>
          </w:p>
        </w:tc>
      </w:tr>
    </w:tbl>
    <w:p w14:paraId="207BA41A" w14:textId="5ECDEA34" w:rsidR="00DC580D" w:rsidRPr="006C7B74" w:rsidRDefault="00DC580D" w:rsidP="00652302">
      <w:pPr>
        <w:pStyle w:val="Quote"/>
        <w:rPr>
          <w:color w:val="000000"/>
        </w:rPr>
      </w:pPr>
      <w:r w:rsidRPr="006C7B74">
        <w:t>Source:</w:t>
      </w:r>
      <w:r w:rsidR="007C154C" w:rsidRPr="006C7B74">
        <w:t xml:space="preserve"> </w:t>
      </w:r>
      <w:r w:rsidRPr="006C7B74">
        <w:t>Department of Environment, Land, Water and Planning, unpublished data (</w:t>
      </w:r>
      <w:r w:rsidR="00DF0420" w:rsidRPr="006C7B74">
        <w:t>20</w:t>
      </w:r>
      <w:r w:rsidR="00DF0420">
        <w:t>20</w:t>
      </w:r>
      <w:r w:rsidRPr="006C7B74">
        <w:t>)</w:t>
      </w:r>
    </w:p>
    <w:p w14:paraId="6C288AD9" w14:textId="6F352189" w:rsidR="005110D0" w:rsidRPr="006C7B74" w:rsidRDefault="005110D0" w:rsidP="000D058C">
      <w:pPr>
        <w:pStyle w:val="NormalWeb"/>
        <w:numPr>
          <w:ilvl w:val="0"/>
          <w:numId w:val="77"/>
        </w:numPr>
        <w:spacing w:before="0" w:beforeAutospacing="0" w:after="120" w:afterAutospacing="0"/>
        <w:rPr>
          <w:rFonts w:cstheme="minorHAnsi"/>
          <w:color w:val="000000"/>
          <w:sz w:val="12"/>
          <w:szCs w:val="12"/>
        </w:rPr>
      </w:pPr>
      <w:r w:rsidRPr="006C7B74">
        <w:rPr>
          <w:rFonts w:cstheme="minorHAnsi"/>
          <w:color w:val="000000"/>
          <w:sz w:val="12"/>
          <w:szCs w:val="12"/>
        </w:rPr>
        <w:t xml:space="preserve">Includes floorspace identified through the City of Melbourne’s Census of Land Use and Employment </w:t>
      </w:r>
      <w:r w:rsidR="001055B6" w:rsidRPr="006C7B74">
        <w:rPr>
          <w:rFonts w:cstheme="minorHAnsi"/>
          <w:color w:val="000000"/>
          <w:sz w:val="12"/>
          <w:szCs w:val="12"/>
        </w:rPr>
        <w:t>(</w:t>
      </w:r>
      <w:r w:rsidRPr="006C7B74">
        <w:rPr>
          <w:rFonts w:cstheme="minorHAnsi"/>
          <w:color w:val="000000"/>
          <w:sz w:val="12"/>
          <w:szCs w:val="12"/>
        </w:rPr>
        <w:t>2017</w:t>
      </w:r>
      <w:r w:rsidR="001055B6" w:rsidRPr="006C7B74">
        <w:rPr>
          <w:rFonts w:cstheme="minorHAnsi"/>
          <w:color w:val="000000"/>
          <w:sz w:val="12"/>
          <w:szCs w:val="12"/>
        </w:rPr>
        <w:t>)</w:t>
      </w:r>
      <w:r w:rsidRPr="006C7B74">
        <w:rPr>
          <w:rFonts w:cstheme="minorHAnsi"/>
          <w:color w:val="000000"/>
          <w:sz w:val="12"/>
          <w:szCs w:val="12"/>
        </w:rPr>
        <w:t xml:space="preserve"> being used for Office, Commercial Accommodation, Indoor Entertainment, Retail or Performances, Conferences and Ceremonies.</w:t>
      </w:r>
    </w:p>
    <w:p w14:paraId="50FD2321" w14:textId="77777777" w:rsidR="00010EBE" w:rsidRPr="006C7B74" w:rsidRDefault="00010EBE" w:rsidP="005110D0">
      <w:pPr>
        <w:pStyle w:val="BodyText"/>
        <w:spacing w:before="0" w:line="240" w:lineRule="auto"/>
      </w:pPr>
    </w:p>
    <w:p w14:paraId="6A63AA2E" w14:textId="4C58A51C" w:rsidR="005110D0" w:rsidRPr="006C7B74" w:rsidRDefault="005110D0" w:rsidP="005110D0">
      <w:pPr>
        <w:pStyle w:val="BodyText"/>
        <w:spacing w:before="0" w:line="240" w:lineRule="auto"/>
      </w:pPr>
      <w:r w:rsidRPr="006C7B74">
        <w:t xml:space="preserve">Metropolitan Melbourne’s largest commercial centre is the </w:t>
      </w:r>
      <w:r w:rsidR="00010EBE" w:rsidRPr="006C7B74">
        <w:t xml:space="preserve">Central City area which includes the </w:t>
      </w:r>
      <w:r w:rsidRPr="006C7B74">
        <w:t xml:space="preserve">Melbourne CBD </w:t>
      </w:r>
      <w:r w:rsidR="00010EBE" w:rsidRPr="006C7B74">
        <w:t>and</w:t>
      </w:r>
      <w:r w:rsidRPr="006C7B74">
        <w:t xml:space="preserve"> adjacent areas such as </w:t>
      </w:r>
      <w:r w:rsidR="00972EC0" w:rsidRPr="006C7B74">
        <w:t>Docklands,</w:t>
      </w:r>
      <w:r w:rsidR="00972EC0" w:rsidRPr="006C7B74" w:rsidDel="00010EBE">
        <w:t xml:space="preserve"> </w:t>
      </w:r>
      <w:r w:rsidRPr="006C7B74">
        <w:t>Southbank and</w:t>
      </w:r>
      <w:r w:rsidR="00972EC0" w:rsidRPr="006C7B74">
        <w:t xml:space="preserve"> St Kilda Road</w:t>
      </w:r>
      <w:r w:rsidRPr="006C7B74">
        <w:t>. Beyond this area, commercial centres across metropolitan Melbourne demonstrate an historical pattern of development based on population growth along and around the public transport network</w:t>
      </w:r>
      <w:r w:rsidR="00486EB5" w:rsidRPr="006C7B74">
        <w:t>,</w:t>
      </w:r>
      <w:r w:rsidRPr="006C7B74">
        <w:t xml:space="preserve"> particularly the rail and tram network.</w:t>
      </w:r>
    </w:p>
    <w:p w14:paraId="0C849097" w14:textId="12A903D5" w:rsidR="005110D0" w:rsidRPr="006C7B74" w:rsidRDefault="005110D0" w:rsidP="005110D0">
      <w:pPr>
        <w:pStyle w:val="BodyText"/>
        <w:spacing w:before="0" w:line="240" w:lineRule="auto"/>
      </w:pPr>
      <w:r w:rsidRPr="006C7B74">
        <w:t xml:space="preserve">Excluding the City of Melbourne, there is approximately </w:t>
      </w:r>
      <w:r w:rsidR="005933BC" w:rsidRPr="006C7B74">
        <w:t>17</w:t>
      </w:r>
      <w:r w:rsidRPr="006C7B74">
        <w:t xml:space="preserve"> million square metres of commercial floorspace across the metropolitan area in </w:t>
      </w:r>
      <w:r w:rsidR="00EA3B3B" w:rsidRPr="006C7B74">
        <w:t xml:space="preserve">over </w:t>
      </w:r>
      <w:r w:rsidRPr="006C7B74">
        <w:t>1,1</w:t>
      </w:r>
      <w:r w:rsidR="00EA3B3B" w:rsidRPr="006C7B74">
        <w:t>0</w:t>
      </w:r>
      <w:r w:rsidRPr="006C7B74">
        <w:t xml:space="preserve">0 centres. These centres can vary greatly in both the size and range of retailing and services they offer, from smaller local centres offering local convenience retailing, to larger freestanding centres or larger </w:t>
      </w:r>
      <w:r w:rsidR="00635818" w:rsidRPr="006C7B74">
        <w:t>m</w:t>
      </w:r>
      <w:r w:rsidRPr="006C7B74">
        <w:t xml:space="preserve">etropolitan </w:t>
      </w:r>
      <w:r w:rsidR="00635818" w:rsidRPr="006C7B74">
        <w:t>a</w:t>
      </w:r>
      <w:r w:rsidRPr="006C7B74">
        <w:t xml:space="preserve">ctivity </w:t>
      </w:r>
      <w:r w:rsidR="00635818" w:rsidRPr="006C7B74">
        <w:t>c</w:t>
      </w:r>
      <w:r w:rsidRPr="006C7B74">
        <w:t xml:space="preserve">entres with a range of retail, services and office uses. </w:t>
      </w:r>
      <w:r w:rsidR="00825510">
        <w:t>Nearly</w:t>
      </w:r>
      <w:r w:rsidR="00825510" w:rsidRPr="006C7B74">
        <w:t xml:space="preserve"> </w:t>
      </w:r>
      <w:r w:rsidR="00825510">
        <w:t>9</w:t>
      </w:r>
      <w:r w:rsidR="00825510" w:rsidRPr="006C7B74">
        <w:t xml:space="preserve">0 </w:t>
      </w:r>
      <w:r w:rsidR="00965864" w:rsidRPr="006C7B74">
        <w:t>centres</w:t>
      </w:r>
      <w:r w:rsidRPr="006C7B74">
        <w:t xml:space="preserve"> have in excess of 50,000 square metres of floorspace</w:t>
      </w:r>
      <w:r w:rsidR="00965864" w:rsidRPr="006C7B74">
        <w:t xml:space="preserve"> and </w:t>
      </w:r>
      <w:r w:rsidR="000B0F63">
        <w:t>three quarters</w:t>
      </w:r>
      <w:r w:rsidRPr="006C7B74">
        <w:t xml:space="preserve"> of all centres identified (</w:t>
      </w:r>
      <w:r w:rsidR="000B0F63" w:rsidRPr="006C7B74">
        <w:t>86</w:t>
      </w:r>
      <w:r w:rsidR="000B0F63">
        <w:t>3</w:t>
      </w:r>
      <w:r w:rsidR="000B0F63" w:rsidRPr="006C7B74">
        <w:t xml:space="preserve"> </w:t>
      </w:r>
      <w:r w:rsidRPr="006C7B74">
        <w:t>centres) have less than 10,000 square metres of floorspace.</w:t>
      </w:r>
    </w:p>
    <w:p w14:paraId="54AB9738" w14:textId="4187CA04" w:rsidR="005110D0" w:rsidRPr="006C7B74" w:rsidRDefault="005110D0" w:rsidP="005110D0">
      <w:pPr>
        <w:pStyle w:val="BodyText"/>
        <w:spacing w:before="0" w:line="240" w:lineRule="auto"/>
      </w:pPr>
      <w:r w:rsidRPr="006C7B74">
        <w:lastRenderedPageBreak/>
        <w:t>There is a much denser distribution of centres within a 10 to 15</w:t>
      </w:r>
      <w:r w:rsidR="00E870C6" w:rsidRPr="006C7B74">
        <w:t>-</w:t>
      </w:r>
      <w:r w:rsidRPr="006C7B74">
        <w:t>kilometre ring of the Melbourne CBD and along railway lines, adjacent to railway stations and along tram routes. This distribution pattern is most prevalent to the north, east and south-east of the CBD.</w:t>
      </w:r>
    </w:p>
    <w:p w14:paraId="55D5192F" w14:textId="77777777" w:rsidR="005110D0" w:rsidRPr="006C7B74" w:rsidRDefault="005110D0" w:rsidP="005110D0">
      <w:pPr>
        <w:pStyle w:val="BodyText"/>
        <w:spacing w:before="0" w:line="240" w:lineRule="auto"/>
      </w:pPr>
    </w:p>
    <w:p w14:paraId="42CE05C7" w14:textId="457CB416" w:rsidR="005110D0" w:rsidRPr="006C7B74" w:rsidRDefault="005110D0" w:rsidP="00BC577C">
      <w:pPr>
        <w:pStyle w:val="Heading5"/>
      </w:pPr>
      <w:r w:rsidRPr="006C7B74">
        <w:t xml:space="preserve">Figure </w:t>
      </w:r>
      <w:r w:rsidR="004E2A3A" w:rsidRPr="006C7B74">
        <w:t>8</w:t>
      </w:r>
      <w:r w:rsidRPr="006C7B74">
        <w:t xml:space="preserve">: Commercial </w:t>
      </w:r>
      <w:r w:rsidR="00DD0FD3" w:rsidRPr="006C7B74">
        <w:t>c</w:t>
      </w:r>
      <w:r w:rsidRPr="006C7B74">
        <w:t xml:space="preserve">entres </w:t>
      </w:r>
      <w:r w:rsidR="00DD0FD3" w:rsidRPr="006C7B74">
        <w:t>a</w:t>
      </w:r>
      <w:r w:rsidRPr="006C7B74">
        <w:t xml:space="preserve">cross </w:t>
      </w:r>
      <w:r w:rsidR="00DD0FD3" w:rsidRPr="006C7B74">
        <w:t>m</w:t>
      </w:r>
      <w:r w:rsidRPr="006C7B74">
        <w:t>etropolitan Melbourne</w:t>
      </w:r>
    </w:p>
    <w:p w14:paraId="2CC186E4" w14:textId="674643B1" w:rsidR="00DC580D" w:rsidRPr="006C7B74" w:rsidRDefault="00BC577C" w:rsidP="00DC580D">
      <w:pPr>
        <w:rPr>
          <w:i/>
          <w:iCs/>
          <w:color w:val="404040" w:themeColor="text1" w:themeTint="BF"/>
          <w:sz w:val="18"/>
          <w:szCs w:val="18"/>
        </w:rPr>
      </w:pPr>
      <w:r w:rsidRPr="006C7B74">
        <w:rPr>
          <w:noProof/>
        </w:rPr>
        <w:drawing>
          <wp:inline distT="0" distB="0" distL="0" distR="0" wp14:anchorId="24DA24E4" wp14:editId="143C48E2">
            <wp:extent cx="5727700" cy="4053292"/>
            <wp:effectExtent l="0" t="0" r="6350" b="4445"/>
            <wp:docPr id="1984355073" name="Picture 1984355073" descr="Map showing commercial centres across metropolitan Melbourn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27700" cy="4053292"/>
                    </a:xfrm>
                    <a:prstGeom prst="rect">
                      <a:avLst/>
                    </a:prstGeom>
                    <a:noFill/>
                    <a:ln>
                      <a:noFill/>
                    </a:ln>
                  </pic:spPr>
                </pic:pic>
              </a:graphicData>
            </a:graphic>
          </wp:inline>
        </w:drawing>
      </w:r>
      <w:r w:rsidR="00DC580D" w:rsidRPr="006C7B74">
        <w:rPr>
          <w:i/>
          <w:iCs/>
          <w:sz w:val="18"/>
          <w:szCs w:val="18"/>
        </w:rPr>
        <w:t>Source:</w:t>
      </w:r>
      <w:r w:rsidR="007C154C" w:rsidRPr="006C7B74">
        <w:rPr>
          <w:i/>
          <w:iCs/>
          <w:sz w:val="18"/>
          <w:szCs w:val="18"/>
        </w:rPr>
        <w:t xml:space="preserve"> </w:t>
      </w:r>
      <w:r w:rsidR="00DC580D" w:rsidRPr="006C7B74">
        <w:rPr>
          <w:i/>
          <w:iCs/>
          <w:sz w:val="18"/>
          <w:szCs w:val="18"/>
        </w:rPr>
        <w:t>Department of Environment, Land, Water and Planning, unpublished data (2019)</w:t>
      </w:r>
    </w:p>
    <w:p w14:paraId="11F8CAD4" w14:textId="77777777" w:rsidR="00DC580D" w:rsidRPr="006C7B74" w:rsidRDefault="00DC580D" w:rsidP="00DC580D"/>
    <w:p w14:paraId="4D5B3368" w14:textId="04DB7834" w:rsidR="005110D0" w:rsidRPr="006C7B74" w:rsidRDefault="005110D0" w:rsidP="005110D0">
      <w:pPr>
        <w:pStyle w:val="Heading5"/>
      </w:pPr>
      <w:r w:rsidRPr="006C7B74">
        <w:t>Table 7: Number of centres and total floorspace by centre size</w:t>
      </w:r>
    </w:p>
    <w:tbl>
      <w:tblPr>
        <w:tblW w:w="5000" w:type="pct"/>
        <w:tblLook w:val="04A0" w:firstRow="1" w:lastRow="0" w:firstColumn="1" w:lastColumn="0" w:noHBand="0" w:noVBand="1"/>
      </w:tblPr>
      <w:tblGrid>
        <w:gridCol w:w="2976"/>
        <w:gridCol w:w="3370"/>
        <w:gridCol w:w="2674"/>
      </w:tblGrid>
      <w:tr w:rsidR="00AD59D3" w:rsidRPr="006C7B74" w14:paraId="087948C9" w14:textId="77777777" w:rsidTr="000D058C">
        <w:trPr>
          <w:trHeight w:val="483"/>
        </w:trPr>
        <w:tc>
          <w:tcPr>
            <w:tcW w:w="1650" w:type="pct"/>
            <w:tcBorders>
              <w:top w:val="nil"/>
              <w:left w:val="nil"/>
              <w:bottom w:val="nil"/>
              <w:right w:val="nil"/>
            </w:tcBorders>
            <w:shd w:val="clear" w:color="000000" w:fill="4D446C"/>
            <w:vAlign w:val="center"/>
            <w:hideMark/>
          </w:tcPr>
          <w:p w14:paraId="3ECFFE0A" w14:textId="207D8CD9" w:rsidR="00AD59D3" w:rsidRPr="006C7B74" w:rsidRDefault="00AD59D3" w:rsidP="000D67B8">
            <w:pPr>
              <w:pStyle w:val="TableHeaderRow"/>
            </w:pPr>
            <w:r w:rsidRPr="006C7B74">
              <w:t>Commercial centre floorspace (m</w:t>
            </w:r>
            <w:r w:rsidRPr="006C7B74">
              <w:rPr>
                <w:vertAlign w:val="superscript"/>
              </w:rPr>
              <w:t>2</w:t>
            </w:r>
            <w:r w:rsidRPr="006C7B74">
              <w:t>)</w:t>
            </w:r>
          </w:p>
        </w:tc>
        <w:tc>
          <w:tcPr>
            <w:tcW w:w="1868" w:type="pct"/>
            <w:tcBorders>
              <w:top w:val="nil"/>
              <w:left w:val="nil"/>
              <w:bottom w:val="nil"/>
              <w:right w:val="nil"/>
            </w:tcBorders>
            <w:shd w:val="clear" w:color="000000" w:fill="4D446C"/>
            <w:vAlign w:val="center"/>
            <w:hideMark/>
          </w:tcPr>
          <w:p w14:paraId="4C5196A1" w14:textId="14810BAF" w:rsidR="00AD59D3" w:rsidRPr="006C7B74" w:rsidRDefault="00AD59D3" w:rsidP="000D67B8">
            <w:pPr>
              <w:pStyle w:val="TableHeaderRow"/>
              <w:jc w:val="center"/>
            </w:pPr>
            <w:r w:rsidRPr="006C7B74">
              <w:t>Number of centres</w:t>
            </w:r>
          </w:p>
        </w:tc>
        <w:tc>
          <w:tcPr>
            <w:tcW w:w="1482" w:type="pct"/>
            <w:tcBorders>
              <w:top w:val="nil"/>
              <w:left w:val="nil"/>
              <w:bottom w:val="nil"/>
              <w:right w:val="nil"/>
            </w:tcBorders>
            <w:shd w:val="clear" w:color="000000" w:fill="4D446C"/>
            <w:vAlign w:val="center"/>
            <w:hideMark/>
          </w:tcPr>
          <w:p w14:paraId="710C85E3" w14:textId="0473AC06" w:rsidR="00AD59D3" w:rsidRPr="006C7B74" w:rsidRDefault="00AD59D3" w:rsidP="000D67B8">
            <w:pPr>
              <w:pStyle w:val="TableHeaderRow"/>
              <w:jc w:val="center"/>
            </w:pPr>
            <w:r w:rsidRPr="006C7B74">
              <w:t>Total floor space (m</w:t>
            </w:r>
            <w:r w:rsidRPr="006C7B74">
              <w:rPr>
                <w:vertAlign w:val="superscript"/>
              </w:rPr>
              <w:t>2</w:t>
            </w:r>
            <w:r w:rsidRPr="006C7B74">
              <w:t>)</w:t>
            </w:r>
          </w:p>
        </w:tc>
      </w:tr>
      <w:tr w:rsidR="00BF2531" w:rsidRPr="006C7B74" w14:paraId="7EF6A909" w14:textId="77777777" w:rsidTr="006C7B74">
        <w:trPr>
          <w:trHeight w:val="315"/>
        </w:trPr>
        <w:tc>
          <w:tcPr>
            <w:tcW w:w="1650" w:type="pct"/>
            <w:tcBorders>
              <w:top w:val="nil"/>
              <w:left w:val="nil"/>
              <w:bottom w:val="single" w:sz="8" w:space="0" w:color="44546A"/>
              <w:right w:val="nil"/>
            </w:tcBorders>
            <w:shd w:val="clear" w:color="auto" w:fill="auto"/>
            <w:vAlign w:val="center"/>
            <w:hideMark/>
          </w:tcPr>
          <w:p w14:paraId="2FE9E91D" w14:textId="71FB2244" w:rsidR="00BF2531" w:rsidRPr="006C7B74" w:rsidRDefault="00BF2531" w:rsidP="00BF2531">
            <w:pPr>
              <w:rPr>
                <w:rFonts w:ascii="Calibri" w:hAnsi="Calibri" w:cs="Calibri"/>
                <w:color w:val="000000"/>
                <w:sz w:val="18"/>
                <w:szCs w:val="18"/>
                <w:lang w:eastAsia="en-AU"/>
              </w:rPr>
            </w:pPr>
            <w:r w:rsidRPr="006C7B74">
              <w:rPr>
                <w:rFonts w:ascii="Calibri" w:hAnsi="Calibri" w:cs="Calibri"/>
                <w:color w:val="000000"/>
                <w:sz w:val="18"/>
                <w:szCs w:val="18"/>
                <w:lang w:eastAsia="en-AU"/>
              </w:rPr>
              <w:t xml:space="preserve">Less than </w:t>
            </w:r>
            <w:r w:rsidRPr="006C7B74">
              <w:rPr>
                <w:rFonts w:ascii="Calibri" w:hAnsi="Calibri" w:cs="Calibri"/>
                <w:bCs/>
                <w:color w:val="000000"/>
                <w:sz w:val="18"/>
                <w:szCs w:val="18"/>
                <w:lang w:eastAsia="en-AU"/>
              </w:rPr>
              <w:t>2,000</w:t>
            </w:r>
          </w:p>
        </w:tc>
        <w:tc>
          <w:tcPr>
            <w:tcW w:w="1868" w:type="pct"/>
            <w:tcBorders>
              <w:top w:val="nil"/>
              <w:left w:val="nil"/>
              <w:bottom w:val="single" w:sz="8" w:space="0" w:color="44546A"/>
              <w:right w:val="nil"/>
            </w:tcBorders>
            <w:shd w:val="clear" w:color="auto" w:fill="auto"/>
            <w:hideMark/>
          </w:tcPr>
          <w:p w14:paraId="3BA0C9D0" w14:textId="399B4E27" w:rsidR="00BF2531" w:rsidRPr="006C7B74" w:rsidRDefault="00BF2531" w:rsidP="00BF2531">
            <w:pPr>
              <w:jc w:val="center"/>
              <w:rPr>
                <w:rFonts w:ascii="Calibri" w:hAnsi="Calibri" w:cs="Calibri"/>
                <w:color w:val="000000"/>
                <w:sz w:val="18"/>
                <w:szCs w:val="18"/>
                <w:lang w:eastAsia="en-AU"/>
              </w:rPr>
            </w:pPr>
            <w:r w:rsidRPr="006C7B74">
              <w:rPr>
                <w:sz w:val="18"/>
                <w:szCs w:val="18"/>
              </w:rPr>
              <w:t>493</w:t>
            </w:r>
          </w:p>
        </w:tc>
        <w:tc>
          <w:tcPr>
            <w:tcW w:w="1482" w:type="pct"/>
            <w:tcBorders>
              <w:top w:val="nil"/>
              <w:left w:val="nil"/>
              <w:bottom w:val="single" w:sz="8" w:space="0" w:color="44546A"/>
              <w:right w:val="nil"/>
            </w:tcBorders>
            <w:shd w:val="clear" w:color="auto" w:fill="auto"/>
            <w:hideMark/>
          </w:tcPr>
          <w:p w14:paraId="226B06F5" w14:textId="161209BC" w:rsidR="00BF2531" w:rsidRPr="006C7B74" w:rsidRDefault="00BF2531" w:rsidP="00BF2531">
            <w:pPr>
              <w:jc w:val="center"/>
              <w:rPr>
                <w:rFonts w:ascii="Calibri" w:hAnsi="Calibri" w:cs="Calibri"/>
                <w:color w:val="000000"/>
                <w:sz w:val="18"/>
                <w:szCs w:val="18"/>
                <w:lang w:eastAsia="en-AU"/>
              </w:rPr>
            </w:pPr>
            <w:r w:rsidRPr="006C7B74">
              <w:rPr>
                <w:sz w:val="18"/>
                <w:szCs w:val="18"/>
              </w:rPr>
              <w:t>469,900</w:t>
            </w:r>
          </w:p>
        </w:tc>
      </w:tr>
      <w:tr w:rsidR="00BF2531" w:rsidRPr="006C7B74" w14:paraId="7B009EB3" w14:textId="77777777" w:rsidTr="006C7B74">
        <w:trPr>
          <w:trHeight w:val="315"/>
        </w:trPr>
        <w:tc>
          <w:tcPr>
            <w:tcW w:w="1650" w:type="pct"/>
            <w:tcBorders>
              <w:top w:val="nil"/>
              <w:left w:val="nil"/>
              <w:bottom w:val="single" w:sz="8" w:space="0" w:color="44546A"/>
              <w:right w:val="nil"/>
            </w:tcBorders>
            <w:shd w:val="clear" w:color="auto" w:fill="auto"/>
            <w:vAlign w:val="center"/>
            <w:hideMark/>
          </w:tcPr>
          <w:p w14:paraId="57BFBBC6" w14:textId="77777777" w:rsidR="00BF2531" w:rsidRPr="006C7B74" w:rsidRDefault="00BF2531" w:rsidP="00BF2531">
            <w:pPr>
              <w:rPr>
                <w:rFonts w:ascii="Calibri" w:hAnsi="Calibri" w:cs="Calibri"/>
                <w:color w:val="000000"/>
                <w:sz w:val="18"/>
                <w:szCs w:val="18"/>
                <w:lang w:eastAsia="en-AU"/>
              </w:rPr>
            </w:pPr>
            <w:r w:rsidRPr="006C7B74">
              <w:rPr>
                <w:rFonts w:ascii="Calibri" w:hAnsi="Calibri" w:cs="Calibri"/>
                <w:color w:val="000000"/>
                <w:sz w:val="18"/>
                <w:szCs w:val="18"/>
                <w:lang w:eastAsia="en-AU"/>
              </w:rPr>
              <w:t xml:space="preserve">2,000 </w:t>
            </w:r>
            <w:r w:rsidRPr="006C7B74">
              <w:rPr>
                <w:rFonts w:ascii="Calibri" w:hAnsi="Calibri" w:cs="Calibri"/>
                <w:color w:val="auto"/>
                <w:sz w:val="18"/>
                <w:szCs w:val="18"/>
                <w:lang w:eastAsia="en-AU"/>
              </w:rPr>
              <w:t>to 9,999</w:t>
            </w:r>
          </w:p>
        </w:tc>
        <w:tc>
          <w:tcPr>
            <w:tcW w:w="1868" w:type="pct"/>
            <w:tcBorders>
              <w:top w:val="nil"/>
              <w:left w:val="nil"/>
              <w:bottom w:val="single" w:sz="8" w:space="0" w:color="44546A"/>
              <w:right w:val="nil"/>
            </w:tcBorders>
            <w:shd w:val="clear" w:color="auto" w:fill="auto"/>
            <w:hideMark/>
          </w:tcPr>
          <w:p w14:paraId="71937E5B" w14:textId="4D0C236C" w:rsidR="00BF2531" w:rsidRPr="006C7B74" w:rsidRDefault="00455B28" w:rsidP="00BF2531">
            <w:pPr>
              <w:jc w:val="center"/>
              <w:rPr>
                <w:rFonts w:ascii="Calibri" w:hAnsi="Calibri" w:cs="Calibri"/>
                <w:color w:val="000000"/>
                <w:sz w:val="18"/>
                <w:szCs w:val="18"/>
                <w:lang w:eastAsia="en-AU"/>
              </w:rPr>
            </w:pPr>
            <w:r w:rsidRPr="006C7B74">
              <w:rPr>
                <w:sz w:val="18"/>
                <w:szCs w:val="18"/>
              </w:rPr>
              <w:t>370</w:t>
            </w:r>
          </w:p>
        </w:tc>
        <w:tc>
          <w:tcPr>
            <w:tcW w:w="1482" w:type="pct"/>
            <w:tcBorders>
              <w:top w:val="nil"/>
              <w:left w:val="nil"/>
              <w:bottom w:val="single" w:sz="8" w:space="0" w:color="44546A"/>
              <w:right w:val="nil"/>
            </w:tcBorders>
            <w:shd w:val="clear" w:color="auto" w:fill="auto"/>
            <w:hideMark/>
          </w:tcPr>
          <w:p w14:paraId="42636AAF" w14:textId="584A284D" w:rsidR="00BF2531" w:rsidRPr="006C7B74" w:rsidRDefault="00BF2531" w:rsidP="00BF2531">
            <w:pPr>
              <w:jc w:val="center"/>
              <w:rPr>
                <w:rFonts w:ascii="Calibri" w:hAnsi="Calibri" w:cs="Calibri"/>
                <w:color w:val="000000"/>
                <w:sz w:val="18"/>
                <w:szCs w:val="18"/>
                <w:lang w:eastAsia="en-AU"/>
              </w:rPr>
            </w:pPr>
            <w:r w:rsidRPr="006C7B74">
              <w:rPr>
                <w:sz w:val="18"/>
                <w:szCs w:val="18"/>
              </w:rPr>
              <w:t>1,</w:t>
            </w:r>
            <w:r w:rsidR="00455B28" w:rsidRPr="006C7B74">
              <w:rPr>
                <w:sz w:val="18"/>
                <w:szCs w:val="18"/>
              </w:rPr>
              <w:t>691,800</w:t>
            </w:r>
          </w:p>
        </w:tc>
      </w:tr>
      <w:tr w:rsidR="00BF2531" w:rsidRPr="006C7B74" w14:paraId="2CA115C6" w14:textId="77777777" w:rsidTr="006C7B74">
        <w:trPr>
          <w:trHeight w:val="315"/>
        </w:trPr>
        <w:tc>
          <w:tcPr>
            <w:tcW w:w="1650" w:type="pct"/>
            <w:tcBorders>
              <w:top w:val="nil"/>
              <w:left w:val="nil"/>
              <w:bottom w:val="single" w:sz="8" w:space="0" w:color="44546A"/>
              <w:right w:val="nil"/>
            </w:tcBorders>
            <w:shd w:val="clear" w:color="auto" w:fill="auto"/>
            <w:vAlign w:val="center"/>
            <w:hideMark/>
          </w:tcPr>
          <w:p w14:paraId="61D54524" w14:textId="271DB13B" w:rsidR="00BF2531" w:rsidRPr="006C7B74" w:rsidRDefault="00BF2531" w:rsidP="00BF2531">
            <w:pPr>
              <w:rPr>
                <w:rFonts w:ascii="Calibri" w:hAnsi="Calibri" w:cs="Calibri"/>
                <w:color w:val="000000"/>
                <w:sz w:val="18"/>
                <w:szCs w:val="18"/>
                <w:lang w:eastAsia="en-AU"/>
              </w:rPr>
            </w:pPr>
            <w:r w:rsidRPr="006C7B74">
              <w:rPr>
                <w:rFonts w:ascii="Calibri" w:hAnsi="Calibri" w:cs="Calibri"/>
                <w:color w:val="000000"/>
                <w:sz w:val="18"/>
                <w:szCs w:val="18"/>
                <w:lang w:eastAsia="en-AU"/>
              </w:rPr>
              <w:t>10,000 to 49,999</w:t>
            </w:r>
          </w:p>
        </w:tc>
        <w:tc>
          <w:tcPr>
            <w:tcW w:w="1868" w:type="pct"/>
            <w:tcBorders>
              <w:top w:val="nil"/>
              <w:left w:val="nil"/>
              <w:bottom w:val="single" w:sz="8" w:space="0" w:color="44546A"/>
              <w:right w:val="nil"/>
            </w:tcBorders>
            <w:shd w:val="clear" w:color="auto" w:fill="auto"/>
            <w:hideMark/>
          </w:tcPr>
          <w:p w14:paraId="4DCA69B1" w14:textId="2FF8FFD2" w:rsidR="00BF2531" w:rsidRPr="006C7B74" w:rsidRDefault="00455B28" w:rsidP="00BF2531">
            <w:pPr>
              <w:jc w:val="center"/>
              <w:rPr>
                <w:rFonts w:ascii="Calibri" w:hAnsi="Calibri" w:cs="Calibri"/>
                <w:color w:val="000000"/>
                <w:sz w:val="18"/>
                <w:szCs w:val="18"/>
                <w:lang w:eastAsia="en-AU"/>
              </w:rPr>
            </w:pPr>
            <w:r w:rsidRPr="006C7B74">
              <w:rPr>
                <w:sz w:val="18"/>
                <w:szCs w:val="18"/>
              </w:rPr>
              <w:t>200</w:t>
            </w:r>
          </w:p>
        </w:tc>
        <w:tc>
          <w:tcPr>
            <w:tcW w:w="1482" w:type="pct"/>
            <w:tcBorders>
              <w:top w:val="nil"/>
              <w:left w:val="nil"/>
              <w:bottom w:val="single" w:sz="8" w:space="0" w:color="44546A"/>
              <w:right w:val="nil"/>
            </w:tcBorders>
            <w:shd w:val="clear" w:color="auto" w:fill="auto"/>
            <w:hideMark/>
          </w:tcPr>
          <w:p w14:paraId="69458F8D" w14:textId="49FEB3FE" w:rsidR="00BF2531" w:rsidRPr="006C7B74" w:rsidRDefault="00BF2531" w:rsidP="00BF2531">
            <w:pPr>
              <w:jc w:val="center"/>
              <w:rPr>
                <w:rFonts w:ascii="Calibri" w:hAnsi="Calibri" w:cs="Calibri"/>
                <w:color w:val="000000"/>
                <w:sz w:val="18"/>
                <w:szCs w:val="18"/>
                <w:lang w:eastAsia="en-AU"/>
              </w:rPr>
            </w:pPr>
            <w:r w:rsidRPr="006C7B74">
              <w:rPr>
                <w:sz w:val="18"/>
                <w:szCs w:val="18"/>
              </w:rPr>
              <w:t>4,</w:t>
            </w:r>
            <w:r w:rsidR="00455B28" w:rsidRPr="006C7B74">
              <w:rPr>
                <w:sz w:val="18"/>
                <w:szCs w:val="18"/>
              </w:rPr>
              <w:t>423,000</w:t>
            </w:r>
          </w:p>
        </w:tc>
      </w:tr>
      <w:tr w:rsidR="00BF2531" w:rsidRPr="006C7B74" w14:paraId="527CFB7A" w14:textId="77777777" w:rsidTr="006C7B74">
        <w:trPr>
          <w:trHeight w:val="315"/>
        </w:trPr>
        <w:tc>
          <w:tcPr>
            <w:tcW w:w="1650" w:type="pct"/>
            <w:tcBorders>
              <w:top w:val="nil"/>
              <w:left w:val="nil"/>
              <w:bottom w:val="single" w:sz="8" w:space="0" w:color="44546A"/>
              <w:right w:val="nil"/>
            </w:tcBorders>
            <w:shd w:val="clear" w:color="auto" w:fill="auto"/>
            <w:vAlign w:val="center"/>
            <w:hideMark/>
          </w:tcPr>
          <w:p w14:paraId="3ACD28F1" w14:textId="3924F282" w:rsidR="00BF2531" w:rsidRPr="006C7B74" w:rsidRDefault="00BF2531" w:rsidP="00BF2531">
            <w:pPr>
              <w:rPr>
                <w:rFonts w:ascii="Calibri" w:hAnsi="Calibri" w:cs="Calibri"/>
                <w:color w:val="000000"/>
                <w:sz w:val="18"/>
                <w:szCs w:val="18"/>
                <w:lang w:eastAsia="en-AU"/>
              </w:rPr>
            </w:pPr>
            <w:r w:rsidRPr="006C7B74">
              <w:rPr>
                <w:rFonts w:ascii="Calibri" w:hAnsi="Calibri" w:cs="Calibri"/>
                <w:color w:val="000000"/>
                <w:sz w:val="18"/>
                <w:szCs w:val="18"/>
                <w:lang w:eastAsia="en-AU"/>
              </w:rPr>
              <w:t>50,000 to 99,999</w:t>
            </w:r>
          </w:p>
        </w:tc>
        <w:tc>
          <w:tcPr>
            <w:tcW w:w="1868" w:type="pct"/>
            <w:tcBorders>
              <w:top w:val="nil"/>
              <w:left w:val="nil"/>
              <w:bottom w:val="single" w:sz="8" w:space="0" w:color="44546A"/>
              <w:right w:val="nil"/>
            </w:tcBorders>
            <w:shd w:val="clear" w:color="auto" w:fill="auto"/>
            <w:hideMark/>
          </w:tcPr>
          <w:p w14:paraId="6BA8817C" w14:textId="4B4BFCCD" w:rsidR="00BF2531" w:rsidRPr="006C7B74" w:rsidRDefault="00BF2531" w:rsidP="00BF2531">
            <w:pPr>
              <w:jc w:val="center"/>
              <w:rPr>
                <w:rFonts w:ascii="Calibri" w:hAnsi="Calibri" w:cs="Calibri"/>
                <w:color w:val="000000"/>
                <w:sz w:val="18"/>
                <w:szCs w:val="18"/>
                <w:lang w:eastAsia="en-AU"/>
              </w:rPr>
            </w:pPr>
            <w:r w:rsidRPr="006C7B74">
              <w:rPr>
                <w:sz w:val="18"/>
                <w:szCs w:val="18"/>
              </w:rPr>
              <w:t>39</w:t>
            </w:r>
          </w:p>
        </w:tc>
        <w:tc>
          <w:tcPr>
            <w:tcW w:w="1482" w:type="pct"/>
            <w:tcBorders>
              <w:top w:val="nil"/>
              <w:left w:val="nil"/>
              <w:bottom w:val="single" w:sz="8" w:space="0" w:color="44546A"/>
              <w:right w:val="nil"/>
            </w:tcBorders>
            <w:shd w:val="clear" w:color="auto" w:fill="auto"/>
            <w:hideMark/>
          </w:tcPr>
          <w:p w14:paraId="3A7C6D61" w14:textId="3D2E2308" w:rsidR="00BF2531" w:rsidRPr="006C7B74" w:rsidRDefault="00BF2531" w:rsidP="00BF2531">
            <w:pPr>
              <w:jc w:val="center"/>
              <w:rPr>
                <w:rFonts w:ascii="Calibri" w:hAnsi="Calibri" w:cs="Calibri"/>
                <w:color w:val="000000"/>
                <w:sz w:val="18"/>
                <w:szCs w:val="18"/>
                <w:lang w:eastAsia="en-AU"/>
              </w:rPr>
            </w:pPr>
            <w:r w:rsidRPr="006C7B74">
              <w:rPr>
                <w:sz w:val="18"/>
                <w:szCs w:val="18"/>
              </w:rPr>
              <w:t>2,794,450</w:t>
            </w:r>
          </w:p>
        </w:tc>
      </w:tr>
      <w:tr w:rsidR="00BF2531" w:rsidRPr="006C7B74" w14:paraId="79436C12" w14:textId="77777777" w:rsidTr="006C7B74">
        <w:trPr>
          <w:trHeight w:val="315"/>
        </w:trPr>
        <w:tc>
          <w:tcPr>
            <w:tcW w:w="1650" w:type="pct"/>
            <w:tcBorders>
              <w:top w:val="nil"/>
              <w:left w:val="nil"/>
              <w:bottom w:val="single" w:sz="8" w:space="0" w:color="44546A"/>
              <w:right w:val="nil"/>
            </w:tcBorders>
            <w:shd w:val="clear" w:color="auto" w:fill="auto"/>
            <w:vAlign w:val="center"/>
            <w:hideMark/>
          </w:tcPr>
          <w:p w14:paraId="1FC85DF9" w14:textId="77777777" w:rsidR="00BF2531" w:rsidRPr="006C7B74" w:rsidRDefault="00BF2531" w:rsidP="00BF2531">
            <w:pPr>
              <w:rPr>
                <w:rFonts w:ascii="Calibri" w:hAnsi="Calibri" w:cs="Calibri"/>
                <w:color w:val="000000"/>
                <w:sz w:val="18"/>
                <w:szCs w:val="18"/>
                <w:lang w:eastAsia="en-AU"/>
              </w:rPr>
            </w:pPr>
            <w:r w:rsidRPr="006C7B74">
              <w:rPr>
                <w:rFonts w:ascii="Calibri" w:hAnsi="Calibri" w:cs="Calibri"/>
                <w:color w:val="000000"/>
                <w:sz w:val="18"/>
                <w:szCs w:val="18"/>
                <w:lang w:eastAsia="en-AU"/>
              </w:rPr>
              <w:t>100,000 +</w:t>
            </w:r>
          </w:p>
        </w:tc>
        <w:tc>
          <w:tcPr>
            <w:tcW w:w="1868" w:type="pct"/>
            <w:tcBorders>
              <w:top w:val="nil"/>
              <w:left w:val="nil"/>
              <w:bottom w:val="single" w:sz="8" w:space="0" w:color="44546A"/>
              <w:right w:val="nil"/>
            </w:tcBorders>
            <w:shd w:val="clear" w:color="auto" w:fill="auto"/>
            <w:hideMark/>
          </w:tcPr>
          <w:p w14:paraId="64C9ED73" w14:textId="2E02CC97" w:rsidR="00BF2531" w:rsidRPr="006C7B74" w:rsidRDefault="00455B28" w:rsidP="00BF2531">
            <w:pPr>
              <w:jc w:val="center"/>
              <w:rPr>
                <w:rFonts w:ascii="Calibri" w:hAnsi="Calibri" w:cs="Calibri"/>
                <w:color w:val="000000"/>
                <w:sz w:val="18"/>
                <w:szCs w:val="18"/>
                <w:lang w:eastAsia="en-AU"/>
              </w:rPr>
            </w:pPr>
            <w:r w:rsidRPr="006C7B74">
              <w:rPr>
                <w:sz w:val="18"/>
                <w:szCs w:val="18"/>
              </w:rPr>
              <w:t>49</w:t>
            </w:r>
          </w:p>
        </w:tc>
        <w:tc>
          <w:tcPr>
            <w:tcW w:w="1482" w:type="pct"/>
            <w:tcBorders>
              <w:top w:val="nil"/>
              <w:left w:val="nil"/>
              <w:bottom w:val="single" w:sz="8" w:space="0" w:color="44546A"/>
              <w:right w:val="nil"/>
            </w:tcBorders>
            <w:shd w:val="clear" w:color="auto" w:fill="auto"/>
            <w:hideMark/>
          </w:tcPr>
          <w:p w14:paraId="31A7465F" w14:textId="1B7A0FF1" w:rsidR="00BF2531" w:rsidRPr="006C7B74" w:rsidRDefault="00BF2531" w:rsidP="00BF2531">
            <w:pPr>
              <w:jc w:val="center"/>
              <w:rPr>
                <w:rFonts w:ascii="Calibri" w:hAnsi="Calibri" w:cs="Calibri"/>
                <w:color w:val="000000"/>
                <w:sz w:val="18"/>
                <w:szCs w:val="18"/>
                <w:lang w:eastAsia="en-AU"/>
              </w:rPr>
            </w:pPr>
            <w:r w:rsidRPr="006C7B74">
              <w:rPr>
                <w:sz w:val="18"/>
                <w:szCs w:val="18"/>
              </w:rPr>
              <w:t>14,</w:t>
            </w:r>
            <w:r w:rsidR="00455B28" w:rsidRPr="006C7B74">
              <w:rPr>
                <w:sz w:val="18"/>
                <w:szCs w:val="18"/>
              </w:rPr>
              <w:t>812,650</w:t>
            </w:r>
          </w:p>
        </w:tc>
      </w:tr>
      <w:tr w:rsidR="00BF2531" w:rsidRPr="006C7B74" w14:paraId="6BEFD266" w14:textId="77777777" w:rsidTr="006C7B74">
        <w:trPr>
          <w:trHeight w:val="315"/>
        </w:trPr>
        <w:tc>
          <w:tcPr>
            <w:tcW w:w="1650" w:type="pct"/>
            <w:tcBorders>
              <w:top w:val="nil"/>
              <w:left w:val="nil"/>
              <w:bottom w:val="single" w:sz="8" w:space="0" w:color="44546A"/>
              <w:right w:val="nil"/>
            </w:tcBorders>
            <w:shd w:val="clear" w:color="auto" w:fill="auto"/>
            <w:vAlign w:val="center"/>
            <w:hideMark/>
          </w:tcPr>
          <w:p w14:paraId="2A95EC45" w14:textId="77777777" w:rsidR="00BF2531" w:rsidRPr="006C7B74" w:rsidRDefault="00BF2531" w:rsidP="00BF2531">
            <w:pPr>
              <w:rPr>
                <w:rFonts w:ascii="Calibri" w:hAnsi="Calibri" w:cs="Calibri"/>
                <w:b/>
                <w:bCs/>
                <w:color w:val="000000"/>
                <w:sz w:val="18"/>
                <w:szCs w:val="18"/>
                <w:lang w:eastAsia="en-AU"/>
              </w:rPr>
            </w:pPr>
            <w:r w:rsidRPr="006C7B74">
              <w:rPr>
                <w:rFonts w:ascii="Calibri" w:hAnsi="Calibri" w:cs="Calibri"/>
                <w:b/>
                <w:bCs/>
                <w:color w:val="000000"/>
                <w:sz w:val="18"/>
                <w:szCs w:val="18"/>
                <w:lang w:eastAsia="en-AU"/>
              </w:rPr>
              <w:t>Total</w:t>
            </w:r>
          </w:p>
        </w:tc>
        <w:tc>
          <w:tcPr>
            <w:tcW w:w="1868" w:type="pct"/>
            <w:tcBorders>
              <w:top w:val="nil"/>
              <w:left w:val="nil"/>
              <w:bottom w:val="single" w:sz="8" w:space="0" w:color="44546A"/>
              <w:right w:val="nil"/>
            </w:tcBorders>
            <w:shd w:val="clear" w:color="auto" w:fill="auto"/>
            <w:hideMark/>
          </w:tcPr>
          <w:p w14:paraId="5495E51D" w14:textId="34C23E42" w:rsidR="00BF2531" w:rsidRPr="006C7B74" w:rsidRDefault="00BF2531" w:rsidP="00BF2531">
            <w:pPr>
              <w:jc w:val="center"/>
              <w:rPr>
                <w:rFonts w:ascii="Calibri" w:hAnsi="Calibri" w:cs="Calibri"/>
                <w:b/>
                <w:color w:val="000000"/>
                <w:sz w:val="18"/>
                <w:szCs w:val="18"/>
                <w:lang w:eastAsia="en-AU"/>
              </w:rPr>
            </w:pPr>
            <w:r w:rsidRPr="006C7B74">
              <w:rPr>
                <w:b/>
                <w:sz w:val="18"/>
                <w:szCs w:val="18"/>
              </w:rPr>
              <w:t>1,</w:t>
            </w:r>
            <w:r w:rsidR="00455B28" w:rsidRPr="006C7B74">
              <w:rPr>
                <w:b/>
                <w:sz w:val="18"/>
                <w:szCs w:val="18"/>
              </w:rPr>
              <w:t>151</w:t>
            </w:r>
          </w:p>
        </w:tc>
        <w:tc>
          <w:tcPr>
            <w:tcW w:w="1482" w:type="pct"/>
            <w:tcBorders>
              <w:top w:val="nil"/>
              <w:left w:val="nil"/>
              <w:bottom w:val="single" w:sz="8" w:space="0" w:color="44546A"/>
              <w:right w:val="nil"/>
            </w:tcBorders>
            <w:shd w:val="clear" w:color="auto" w:fill="auto"/>
            <w:hideMark/>
          </w:tcPr>
          <w:p w14:paraId="15835F68" w14:textId="67A047C9" w:rsidR="00BF2531" w:rsidRPr="006C7B74" w:rsidRDefault="00BF2531" w:rsidP="00BF2531">
            <w:pPr>
              <w:jc w:val="center"/>
              <w:rPr>
                <w:rFonts w:ascii="Calibri" w:hAnsi="Calibri" w:cs="Calibri"/>
                <w:b/>
                <w:color w:val="000000"/>
                <w:sz w:val="18"/>
                <w:szCs w:val="18"/>
                <w:lang w:eastAsia="en-AU"/>
              </w:rPr>
            </w:pPr>
            <w:r w:rsidRPr="006C7B74">
              <w:rPr>
                <w:b/>
                <w:sz w:val="18"/>
                <w:szCs w:val="18"/>
              </w:rPr>
              <w:t>24,</w:t>
            </w:r>
            <w:r w:rsidR="00455B28" w:rsidRPr="006C7B74">
              <w:rPr>
                <w:b/>
                <w:sz w:val="18"/>
                <w:szCs w:val="18"/>
              </w:rPr>
              <w:t>191,800</w:t>
            </w:r>
          </w:p>
        </w:tc>
      </w:tr>
    </w:tbl>
    <w:p w14:paraId="5E7F0DF4" w14:textId="17A37BC4" w:rsidR="004C0272" w:rsidRPr="006C7B74" w:rsidRDefault="00DC580D" w:rsidP="00DC580D">
      <w:pPr>
        <w:pStyle w:val="Quote"/>
      </w:pPr>
      <w:r w:rsidRPr="006C7B74">
        <w:t>Source:</w:t>
      </w:r>
      <w:r w:rsidR="007C154C" w:rsidRPr="006C7B74">
        <w:t xml:space="preserve"> </w:t>
      </w:r>
      <w:r w:rsidRPr="006C7B74">
        <w:t>Department of Environment, Land, Water and Planning, unpublished data (</w:t>
      </w:r>
      <w:r w:rsidR="009512D9">
        <w:t>2020</w:t>
      </w:r>
      <w:r w:rsidRPr="006C7B74">
        <w:t>)</w:t>
      </w:r>
    </w:p>
    <w:p w14:paraId="343389A4" w14:textId="77777777" w:rsidR="00973591" w:rsidRPr="006C7B74" w:rsidRDefault="00973591" w:rsidP="00973591"/>
    <w:p w14:paraId="4649FC1C" w14:textId="246AE08D" w:rsidR="007C0CE7" w:rsidRPr="006C7B74" w:rsidRDefault="005110D0" w:rsidP="008510B6">
      <w:pPr>
        <w:pStyle w:val="Heading5"/>
      </w:pPr>
      <w:r w:rsidRPr="006C7B74">
        <w:t xml:space="preserve">Map </w:t>
      </w:r>
      <w:r w:rsidR="00D90DAF" w:rsidRPr="006C7B74">
        <w:t>3</w:t>
      </w:r>
      <w:r w:rsidRPr="006C7B74">
        <w:t xml:space="preserve">: </w:t>
      </w:r>
      <w:r w:rsidR="00273BCA">
        <w:t>E</w:t>
      </w:r>
      <w:r w:rsidRPr="006C7B74">
        <w:t xml:space="preserve">xisting and </w:t>
      </w:r>
      <w:r w:rsidR="0048181F" w:rsidRPr="006C7B74">
        <w:t>f</w:t>
      </w:r>
      <w:r w:rsidRPr="006C7B74">
        <w:t xml:space="preserve">uture </w:t>
      </w:r>
      <w:r w:rsidR="0048181F" w:rsidRPr="006C7B74">
        <w:t>c</w:t>
      </w:r>
      <w:r w:rsidRPr="006C7B74">
        <w:t xml:space="preserve">ommercial </w:t>
      </w:r>
      <w:r w:rsidR="0048181F" w:rsidRPr="006C7B74">
        <w:t>l</w:t>
      </w:r>
      <w:r w:rsidRPr="006C7B74">
        <w:t>and</w:t>
      </w:r>
    </w:p>
    <w:p w14:paraId="48CB5D57" w14:textId="77777777" w:rsidR="00BC577C" w:rsidRPr="006C7B74" w:rsidRDefault="00BC577C" w:rsidP="00BC577C">
      <w:pPr>
        <w:pStyle w:val="Quote"/>
      </w:pPr>
      <w:r w:rsidRPr="006C7B74">
        <w:t xml:space="preserve">Source: Department of Environment, Land, Water and Planning </w:t>
      </w:r>
    </w:p>
    <w:p w14:paraId="2BF9F470" w14:textId="1D97F937" w:rsidR="005110D0" w:rsidRPr="006C7B74" w:rsidRDefault="005110D0" w:rsidP="005110D0">
      <w:pPr>
        <w:spacing w:after="120"/>
        <w:rPr>
          <w:rFonts w:eastAsiaTheme="majorEastAsia" w:cstheme="minorHAnsi"/>
          <w:b/>
          <w:color w:val="4EBAC5" w:themeColor="accent1" w:themeShade="BF"/>
        </w:rPr>
      </w:pPr>
    </w:p>
    <w:p w14:paraId="2F23275C" w14:textId="77777777" w:rsidR="005110D0" w:rsidRPr="008510B6" w:rsidRDefault="005110D0" w:rsidP="008510B6">
      <w:pPr>
        <w:pStyle w:val="Heading3"/>
      </w:pPr>
      <w:r w:rsidRPr="008510B6">
        <w:lastRenderedPageBreak/>
        <w:t>Demand for commercial land</w:t>
      </w:r>
    </w:p>
    <w:p w14:paraId="72A9B083" w14:textId="7FA7907E" w:rsidR="005110D0" w:rsidRPr="006C7B74" w:rsidRDefault="005110D0" w:rsidP="005110D0">
      <w:pPr>
        <w:pStyle w:val="BodyText"/>
        <w:spacing w:before="0" w:line="240" w:lineRule="auto"/>
      </w:pPr>
      <w:r w:rsidRPr="006C7B74">
        <w:t>Demand for and growth in office floorspace in Melbourne’s CBD over the last 50 years has been relatively strong.</w:t>
      </w:r>
      <w:r w:rsidR="005011CA" w:rsidRPr="006C7B74">
        <w:t xml:space="preserve"> </w:t>
      </w:r>
      <w:r w:rsidRPr="006C7B74">
        <w:t>Melbourne’s growth has been tracking fairly closely with Sydney’s although the</w:t>
      </w:r>
      <w:r w:rsidR="005011CA" w:rsidRPr="006C7B74">
        <w:t xml:space="preserve"> </w:t>
      </w:r>
      <w:r w:rsidRPr="006C7B74">
        <w:t xml:space="preserve">overall supply of CBD office space in Melbourne has increased at a somewhat greater rate than Sydney. </w:t>
      </w:r>
    </w:p>
    <w:p w14:paraId="72E5855A" w14:textId="10945B01" w:rsidR="005110D0" w:rsidRPr="006C7B74" w:rsidRDefault="005110D0" w:rsidP="005110D0">
      <w:pPr>
        <w:pStyle w:val="BodyText"/>
        <w:spacing w:before="0" w:line="240" w:lineRule="auto"/>
      </w:pPr>
      <w:r w:rsidRPr="006C7B74">
        <w:t>Fifty years ago, Melbourne’s CBD had</w:t>
      </w:r>
      <w:r w:rsidR="005011CA" w:rsidRPr="006C7B74">
        <w:t xml:space="preserve"> </w:t>
      </w:r>
      <w:r w:rsidRPr="006C7B74">
        <w:t>around half the office floorspace of Sydney’s CBD, whereas now each have office supply of between around 4.5 and 5 million square metres. This increase in Melbourne office space reflects the way the economy has evolved over time, with growth occurring in office-based employment such as finance, insurance and professional services showing strong demand for office floorspace.</w:t>
      </w:r>
    </w:p>
    <w:p w14:paraId="6A39BFF5" w14:textId="77777777" w:rsidR="005110D0" w:rsidRPr="006C7B74" w:rsidRDefault="005110D0" w:rsidP="005110D0">
      <w:pPr>
        <w:pStyle w:val="BodyText"/>
        <w:spacing w:before="0" w:line="240" w:lineRule="auto"/>
      </w:pPr>
    </w:p>
    <w:p w14:paraId="44861A5B" w14:textId="019A113D" w:rsidR="005110D0" w:rsidRPr="006C7B74" w:rsidRDefault="005110D0" w:rsidP="005110D0">
      <w:pPr>
        <w:pStyle w:val="Heading5"/>
      </w:pPr>
      <w:r w:rsidRPr="006C7B74">
        <w:t xml:space="preserve">Figure </w:t>
      </w:r>
      <w:r w:rsidR="004E2A3A" w:rsidRPr="006C7B74">
        <w:t>9</w:t>
      </w:r>
      <w:r w:rsidRPr="006C7B74">
        <w:t>: Stock of office floor</w:t>
      </w:r>
      <w:r w:rsidR="002D3536" w:rsidRPr="006C7B74">
        <w:t>space</w:t>
      </w:r>
      <w:r w:rsidRPr="006C7B74">
        <w:t>, Sydney CBD and Melbourne CBD, 1970 to 2017</w:t>
      </w:r>
    </w:p>
    <w:p w14:paraId="67ADF4AA" w14:textId="04BFD5FC" w:rsidR="005110D0" w:rsidRPr="006C7B74" w:rsidRDefault="00FF4DBB" w:rsidP="005110D0">
      <w:pPr>
        <w:pStyle w:val="BodyText"/>
        <w:spacing w:before="0" w:line="240" w:lineRule="auto"/>
      </w:pPr>
      <w:r w:rsidRPr="006C7B74">
        <w:rPr>
          <w:noProof/>
        </w:rPr>
        <w:drawing>
          <wp:inline distT="0" distB="0" distL="0" distR="0" wp14:anchorId="4DCF4E26" wp14:editId="75DD8E01">
            <wp:extent cx="5641675" cy="3848473"/>
            <wp:effectExtent l="0" t="0" r="0" b="0"/>
            <wp:docPr id="32" name="Picture 32" descr="Graph showing stock of office floorspace, Sydney CBD and Melbourne CBD, 1970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8. Figure 8.png"/>
                    <pic:cNvPicPr/>
                  </pic:nvPicPr>
                  <pic:blipFill>
                    <a:blip r:embed="rId35"/>
                    <a:stretch>
                      <a:fillRect/>
                    </a:stretch>
                  </pic:blipFill>
                  <pic:spPr>
                    <a:xfrm>
                      <a:off x="0" y="0"/>
                      <a:ext cx="5645589" cy="3851143"/>
                    </a:xfrm>
                    <a:prstGeom prst="rect">
                      <a:avLst/>
                    </a:prstGeom>
                  </pic:spPr>
                </pic:pic>
              </a:graphicData>
            </a:graphic>
          </wp:inline>
        </w:drawing>
      </w:r>
    </w:p>
    <w:p w14:paraId="17901545" w14:textId="77777777" w:rsidR="005110D0" w:rsidRPr="006C7B74" w:rsidRDefault="005110D0" w:rsidP="005110D0">
      <w:pPr>
        <w:pStyle w:val="Quote"/>
      </w:pPr>
      <w:r w:rsidRPr="006C7B74">
        <w:t>Source: BIS Oxford Economics and Savills</w:t>
      </w:r>
    </w:p>
    <w:p w14:paraId="0D8CC70B" w14:textId="77777777" w:rsidR="005110D0" w:rsidRPr="006C7B74" w:rsidRDefault="005110D0" w:rsidP="005110D0">
      <w:pPr>
        <w:pStyle w:val="BodyText"/>
        <w:spacing w:before="0" w:line="240" w:lineRule="auto"/>
      </w:pPr>
    </w:p>
    <w:p w14:paraId="6CBCB5B4" w14:textId="6336CEB7" w:rsidR="005110D0" w:rsidRPr="006C7B74" w:rsidRDefault="005110D0" w:rsidP="005110D0">
      <w:pPr>
        <w:pStyle w:val="BodyText"/>
        <w:spacing w:before="0" w:line="240" w:lineRule="auto"/>
      </w:pPr>
      <w:r w:rsidRPr="006C7B74">
        <w:t>Between 201</w:t>
      </w:r>
      <w:r w:rsidR="00965864" w:rsidRPr="006C7B74">
        <w:t>6</w:t>
      </w:r>
      <w:r w:rsidRPr="006C7B74">
        <w:t xml:space="preserve"> and 2031 it is estimated that </w:t>
      </w:r>
      <w:r w:rsidR="002C697A">
        <w:t>nearly</w:t>
      </w:r>
      <w:r w:rsidR="002C697A" w:rsidRPr="006C7B74">
        <w:t xml:space="preserve"> </w:t>
      </w:r>
      <w:r w:rsidR="00C13CC0" w:rsidRPr="006C7B74">
        <w:t>10</w:t>
      </w:r>
      <w:r w:rsidRPr="006C7B74">
        <w:t xml:space="preserve"> million square metres of </w:t>
      </w:r>
      <w:r w:rsidR="00965864" w:rsidRPr="006C7B74">
        <w:t xml:space="preserve">additional </w:t>
      </w:r>
      <w:r w:rsidRPr="006C7B74">
        <w:t xml:space="preserve">commercial floorspace will be required across metropolitan Melbourne to meet projected demand. </w:t>
      </w:r>
    </w:p>
    <w:p w14:paraId="1E93A9E3" w14:textId="29E8E031" w:rsidR="005110D0" w:rsidRPr="006C7B74" w:rsidRDefault="005110D0" w:rsidP="005110D0">
      <w:pPr>
        <w:pStyle w:val="BodyText"/>
        <w:spacing w:before="0" w:line="240" w:lineRule="auto"/>
      </w:pPr>
      <w:r w:rsidRPr="006C7B74">
        <w:t xml:space="preserve">The Inner Metro Region, and particularly the City of Melbourne, will continue to be a key focus for growth, with the region anticipated to need almost 40 per cent (approximately </w:t>
      </w:r>
      <w:r w:rsidR="00F524D6" w:rsidRPr="006C7B74">
        <w:t>4</w:t>
      </w:r>
      <w:r w:rsidRPr="006C7B74">
        <w:t xml:space="preserve"> million square metres) of the total metropolitan commercial floorspace required by 2031. </w:t>
      </w:r>
      <w:r w:rsidR="00DA62C7" w:rsidRPr="006C7B74">
        <w:t>Over</w:t>
      </w:r>
      <w:r w:rsidR="00415C6C" w:rsidRPr="006C7B74">
        <w:t xml:space="preserve"> 80</w:t>
      </w:r>
      <w:r w:rsidRPr="006C7B74">
        <w:t xml:space="preserve"> per cent of this demand will be required for office floorspace.</w:t>
      </w:r>
    </w:p>
    <w:p w14:paraId="21E927BB" w14:textId="77777777" w:rsidR="005110D0" w:rsidRPr="006C7B74" w:rsidRDefault="005110D0" w:rsidP="005110D0">
      <w:pPr>
        <w:pStyle w:val="BodyText"/>
        <w:spacing w:before="0" w:line="240" w:lineRule="auto"/>
      </w:pPr>
    </w:p>
    <w:p w14:paraId="08A6089A" w14:textId="77777777" w:rsidR="005110D0" w:rsidRPr="006C7B74" w:rsidRDefault="005110D0" w:rsidP="005110D0">
      <w:pPr>
        <w:spacing w:after="120"/>
        <w:rPr>
          <w:rFonts w:cstheme="minorHAnsi"/>
          <w:b/>
          <w:sz w:val="20"/>
          <w:szCs w:val="20"/>
        </w:rPr>
      </w:pPr>
      <w:r w:rsidRPr="006C7B74">
        <w:rPr>
          <w:rFonts w:cstheme="minorHAnsi"/>
          <w:b/>
          <w:sz w:val="20"/>
          <w:szCs w:val="20"/>
        </w:rPr>
        <w:br w:type="page"/>
      </w:r>
    </w:p>
    <w:p w14:paraId="64A4C35A" w14:textId="7FC2FDE8" w:rsidR="005110D0" w:rsidRPr="006C7B74" w:rsidRDefault="005110D0" w:rsidP="005110D0">
      <w:pPr>
        <w:pStyle w:val="Heading5"/>
      </w:pPr>
      <w:r w:rsidRPr="006C7B74">
        <w:lastRenderedPageBreak/>
        <w:t xml:space="preserve">Table 8: Commercial </w:t>
      </w:r>
      <w:r w:rsidR="00A218A5" w:rsidRPr="006C7B74">
        <w:t>f</w:t>
      </w:r>
      <w:r w:rsidRPr="006C7B74">
        <w:t xml:space="preserve">loorspace by </w:t>
      </w:r>
      <w:r w:rsidR="00A218A5" w:rsidRPr="006C7B74">
        <w:t>r</w:t>
      </w:r>
      <w:r w:rsidRPr="006C7B74">
        <w:t>egion</w:t>
      </w:r>
      <w:r w:rsidR="00DA34E3" w:rsidRPr="006C7B74">
        <w:t>,</w:t>
      </w:r>
      <w:r w:rsidRPr="006C7B74">
        <w:t xml:space="preserve"> </w:t>
      </w:r>
      <w:r w:rsidR="00A218A5" w:rsidRPr="006C7B74">
        <w:t>e</w:t>
      </w:r>
      <w:r w:rsidRPr="006C7B74">
        <w:t xml:space="preserve">xisting and </w:t>
      </w:r>
      <w:r w:rsidR="00A218A5" w:rsidRPr="006C7B74">
        <w:t>f</w:t>
      </w:r>
      <w:r w:rsidRPr="006C7B74">
        <w:t xml:space="preserve">uture </w:t>
      </w:r>
    </w:p>
    <w:tbl>
      <w:tblPr>
        <w:tblW w:w="5000" w:type="pct"/>
        <w:tblLook w:val="04A0" w:firstRow="1" w:lastRow="0" w:firstColumn="1" w:lastColumn="0" w:noHBand="0" w:noVBand="1"/>
      </w:tblPr>
      <w:tblGrid>
        <w:gridCol w:w="2836"/>
        <w:gridCol w:w="3262"/>
        <w:gridCol w:w="2922"/>
      </w:tblGrid>
      <w:tr w:rsidR="00AD59D3" w:rsidRPr="006C7B74" w14:paraId="5C4F311A" w14:textId="77777777" w:rsidTr="00D427F3">
        <w:trPr>
          <w:trHeight w:val="626"/>
        </w:trPr>
        <w:tc>
          <w:tcPr>
            <w:tcW w:w="1572" w:type="pct"/>
            <w:tcBorders>
              <w:top w:val="nil"/>
              <w:left w:val="nil"/>
              <w:bottom w:val="nil"/>
              <w:right w:val="nil"/>
            </w:tcBorders>
            <w:shd w:val="clear" w:color="000000" w:fill="4D446C"/>
            <w:vAlign w:val="center"/>
            <w:hideMark/>
          </w:tcPr>
          <w:p w14:paraId="1FE73182" w14:textId="61F00E05" w:rsidR="00AD59D3" w:rsidRPr="006C7B74" w:rsidRDefault="00AD59D3" w:rsidP="008510B6">
            <w:pPr>
              <w:pStyle w:val="TableHeaderRow"/>
            </w:pPr>
            <w:r w:rsidRPr="006C7B74">
              <w:t>Region</w:t>
            </w:r>
          </w:p>
        </w:tc>
        <w:tc>
          <w:tcPr>
            <w:tcW w:w="1808" w:type="pct"/>
            <w:tcBorders>
              <w:top w:val="nil"/>
              <w:left w:val="nil"/>
              <w:bottom w:val="nil"/>
              <w:right w:val="nil"/>
            </w:tcBorders>
            <w:shd w:val="clear" w:color="000000" w:fill="4D446C"/>
            <w:vAlign w:val="center"/>
            <w:hideMark/>
          </w:tcPr>
          <w:p w14:paraId="03630B97" w14:textId="7D63F46E" w:rsidR="00AD59D3" w:rsidRPr="006C7B74" w:rsidRDefault="00AD59D3" w:rsidP="008510B6">
            <w:pPr>
              <w:pStyle w:val="TableHeaderRow"/>
              <w:jc w:val="center"/>
            </w:pPr>
            <w:r w:rsidRPr="006C7B74">
              <w:t xml:space="preserve">Existing </w:t>
            </w:r>
            <w:r w:rsidR="00E0187A" w:rsidRPr="006C7B74">
              <w:t xml:space="preserve">commercial </w:t>
            </w:r>
            <w:r w:rsidRPr="006C7B74">
              <w:t>floorspace</w:t>
            </w:r>
            <w:r w:rsidRPr="006C7B74">
              <w:br/>
            </w:r>
            <w:r w:rsidR="00083877" w:rsidRPr="006C7B74">
              <w:t xml:space="preserve">2018 </w:t>
            </w:r>
            <w:r w:rsidRPr="006C7B74">
              <w:t>(m</w:t>
            </w:r>
            <w:r w:rsidRPr="006C7B74">
              <w:rPr>
                <w:vertAlign w:val="superscript"/>
              </w:rPr>
              <w:t>2</w:t>
            </w:r>
            <w:r w:rsidRPr="006C7B74">
              <w:t>)</w:t>
            </w:r>
          </w:p>
        </w:tc>
        <w:tc>
          <w:tcPr>
            <w:tcW w:w="1620" w:type="pct"/>
            <w:tcBorders>
              <w:top w:val="nil"/>
              <w:left w:val="nil"/>
              <w:bottom w:val="nil"/>
              <w:right w:val="nil"/>
            </w:tcBorders>
            <w:shd w:val="clear" w:color="000000" w:fill="4D446C"/>
            <w:vAlign w:val="center"/>
            <w:hideMark/>
          </w:tcPr>
          <w:p w14:paraId="32C7F761" w14:textId="62919904" w:rsidR="009F7F40" w:rsidRPr="006C7B74" w:rsidRDefault="006870FA" w:rsidP="008510B6">
            <w:pPr>
              <w:pStyle w:val="TableHeaderRow"/>
              <w:jc w:val="center"/>
            </w:pPr>
            <w:r>
              <w:t xml:space="preserve">Estimated </w:t>
            </w:r>
            <w:r w:rsidR="001825D9">
              <w:t>a</w:t>
            </w:r>
            <w:r w:rsidR="001825D9" w:rsidRPr="006C7B74">
              <w:t xml:space="preserve">dditional </w:t>
            </w:r>
            <w:r w:rsidR="009F7F40" w:rsidRPr="006C7B74">
              <w:t>commercial floorspace</w:t>
            </w:r>
          </w:p>
          <w:p w14:paraId="09C05EA6" w14:textId="7DB6E78A" w:rsidR="00AD59D3" w:rsidRPr="006C7B74" w:rsidRDefault="009F7F40" w:rsidP="008510B6">
            <w:pPr>
              <w:pStyle w:val="TableHeaderRow"/>
              <w:jc w:val="center"/>
            </w:pPr>
            <w:r w:rsidRPr="006C7B74">
              <w:t>2016 to 2031 (m</w:t>
            </w:r>
            <w:r w:rsidRPr="006C7B74">
              <w:rPr>
                <w:vertAlign w:val="superscript"/>
              </w:rPr>
              <w:t>2</w:t>
            </w:r>
            <w:r w:rsidRPr="006C7B74">
              <w:t>)</w:t>
            </w:r>
          </w:p>
        </w:tc>
      </w:tr>
      <w:tr w:rsidR="00D427F3" w:rsidRPr="006C7B74" w14:paraId="0E301DA4" w14:textId="77777777" w:rsidTr="006C7B74">
        <w:trPr>
          <w:trHeight w:val="313"/>
        </w:trPr>
        <w:tc>
          <w:tcPr>
            <w:tcW w:w="1572" w:type="pct"/>
            <w:tcBorders>
              <w:top w:val="nil"/>
              <w:left w:val="nil"/>
              <w:bottom w:val="single" w:sz="8" w:space="0" w:color="44546A"/>
              <w:right w:val="nil"/>
            </w:tcBorders>
            <w:shd w:val="clear" w:color="auto" w:fill="auto"/>
            <w:vAlign w:val="center"/>
            <w:hideMark/>
          </w:tcPr>
          <w:p w14:paraId="651B92E0" w14:textId="77777777" w:rsidR="00D427F3" w:rsidRPr="006C7B74" w:rsidRDefault="00D427F3" w:rsidP="00D427F3">
            <w:pPr>
              <w:rPr>
                <w:rFonts w:ascii="Calibri" w:hAnsi="Calibri" w:cs="Calibri"/>
                <w:color w:val="000000"/>
                <w:sz w:val="18"/>
                <w:szCs w:val="18"/>
                <w:lang w:eastAsia="en-AU"/>
              </w:rPr>
            </w:pPr>
            <w:r w:rsidRPr="006C7B74">
              <w:rPr>
                <w:rFonts w:ascii="Calibri" w:hAnsi="Calibri" w:cs="Calibri"/>
                <w:color w:val="000000"/>
                <w:sz w:val="18"/>
                <w:szCs w:val="18"/>
                <w:lang w:eastAsia="en-AU"/>
              </w:rPr>
              <w:t>Inner Metro</w:t>
            </w:r>
          </w:p>
        </w:tc>
        <w:tc>
          <w:tcPr>
            <w:tcW w:w="1808" w:type="pct"/>
            <w:tcBorders>
              <w:top w:val="nil"/>
              <w:left w:val="nil"/>
              <w:bottom w:val="single" w:sz="8" w:space="0" w:color="44546A"/>
              <w:right w:val="nil"/>
            </w:tcBorders>
            <w:shd w:val="clear" w:color="auto" w:fill="auto"/>
            <w:hideMark/>
          </w:tcPr>
          <w:p w14:paraId="6DDE92CF" w14:textId="778F5433" w:rsidR="00D427F3" w:rsidRPr="006C7B74" w:rsidRDefault="00D427F3" w:rsidP="00D427F3">
            <w:pPr>
              <w:jc w:val="center"/>
              <w:rPr>
                <w:rFonts w:ascii="Calibri" w:hAnsi="Calibri" w:cs="Calibri"/>
                <w:color w:val="000000"/>
                <w:sz w:val="18"/>
                <w:szCs w:val="18"/>
                <w:lang w:eastAsia="en-AU"/>
              </w:rPr>
            </w:pPr>
            <w:r w:rsidRPr="006C7B74">
              <w:rPr>
                <w:sz w:val="18"/>
                <w:szCs w:val="18"/>
              </w:rPr>
              <w:t>9,0</w:t>
            </w:r>
            <w:r w:rsidR="000B7C24">
              <w:rPr>
                <w:sz w:val="18"/>
                <w:szCs w:val="18"/>
              </w:rPr>
              <w:t>67</w:t>
            </w:r>
            <w:r w:rsidRPr="006C7B74">
              <w:rPr>
                <w:sz w:val="18"/>
                <w:szCs w:val="18"/>
              </w:rPr>
              <w:t>,</w:t>
            </w:r>
            <w:r w:rsidR="000B7C24">
              <w:rPr>
                <w:sz w:val="18"/>
                <w:szCs w:val="18"/>
              </w:rPr>
              <w:t>3</w:t>
            </w:r>
            <w:r w:rsidRPr="006C7B74">
              <w:rPr>
                <w:sz w:val="18"/>
                <w:szCs w:val="18"/>
              </w:rPr>
              <w:t>50</w:t>
            </w:r>
          </w:p>
        </w:tc>
        <w:tc>
          <w:tcPr>
            <w:tcW w:w="1620" w:type="pct"/>
            <w:tcBorders>
              <w:top w:val="nil"/>
              <w:left w:val="nil"/>
              <w:bottom w:val="single" w:sz="8" w:space="0" w:color="44546A"/>
              <w:right w:val="nil"/>
            </w:tcBorders>
            <w:shd w:val="clear" w:color="auto" w:fill="auto"/>
            <w:hideMark/>
          </w:tcPr>
          <w:p w14:paraId="0EB2FD92" w14:textId="3A55D7F3" w:rsidR="00D427F3" w:rsidRPr="006C7B74" w:rsidRDefault="00D427F3" w:rsidP="00D427F3">
            <w:pPr>
              <w:jc w:val="center"/>
              <w:rPr>
                <w:rFonts w:ascii="Calibri" w:hAnsi="Calibri" w:cs="Calibri"/>
                <w:color w:val="000000"/>
                <w:sz w:val="18"/>
                <w:szCs w:val="18"/>
                <w:lang w:eastAsia="en-AU"/>
              </w:rPr>
            </w:pPr>
            <w:r w:rsidRPr="006C7B74">
              <w:rPr>
                <w:sz w:val="18"/>
                <w:szCs w:val="18"/>
              </w:rPr>
              <w:t>4,007,0</w:t>
            </w:r>
            <w:r w:rsidR="00114263" w:rsidRPr="006C7B74">
              <w:rPr>
                <w:sz w:val="18"/>
                <w:szCs w:val="18"/>
              </w:rPr>
              <w:t>00</w:t>
            </w:r>
          </w:p>
        </w:tc>
      </w:tr>
      <w:tr w:rsidR="00D427F3" w:rsidRPr="006C7B74" w14:paraId="35633650" w14:textId="77777777" w:rsidTr="006C7B74">
        <w:trPr>
          <w:trHeight w:val="313"/>
        </w:trPr>
        <w:tc>
          <w:tcPr>
            <w:tcW w:w="1572" w:type="pct"/>
            <w:tcBorders>
              <w:top w:val="nil"/>
              <w:left w:val="nil"/>
              <w:bottom w:val="single" w:sz="8" w:space="0" w:color="44546A"/>
              <w:right w:val="nil"/>
            </w:tcBorders>
            <w:shd w:val="clear" w:color="auto" w:fill="auto"/>
            <w:vAlign w:val="center"/>
            <w:hideMark/>
          </w:tcPr>
          <w:p w14:paraId="66EDDA3E" w14:textId="77777777" w:rsidR="00D427F3" w:rsidRPr="006C7B74" w:rsidRDefault="00D427F3" w:rsidP="00D427F3">
            <w:pPr>
              <w:rPr>
                <w:rFonts w:ascii="Calibri" w:hAnsi="Calibri" w:cs="Calibri"/>
                <w:color w:val="000000"/>
                <w:sz w:val="18"/>
                <w:szCs w:val="18"/>
                <w:lang w:eastAsia="en-AU"/>
              </w:rPr>
            </w:pPr>
            <w:r w:rsidRPr="006C7B74">
              <w:rPr>
                <w:rFonts w:ascii="Calibri" w:hAnsi="Calibri" w:cs="Calibri"/>
                <w:color w:val="000000"/>
                <w:sz w:val="18"/>
                <w:szCs w:val="18"/>
                <w:lang w:eastAsia="en-AU"/>
              </w:rPr>
              <w:t>Western</w:t>
            </w:r>
          </w:p>
        </w:tc>
        <w:tc>
          <w:tcPr>
            <w:tcW w:w="1808" w:type="pct"/>
            <w:tcBorders>
              <w:top w:val="nil"/>
              <w:left w:val="nil"/>
              <w:bottom w:val="single" w:sz="8" w:space="0" w:color="44546A"/>
              <w:right w:val="nil"/>
            </w:tcBorders>
            <w:shd w:val="clear" w:color="auto" w:fill="auto"/>
            <w:hideMark/>
          </w:tcPr>
          <w:p w14:paraId="4DDA692B" w14:textId="0A4A48DE" w:rsidR="00D427F3" w:rsidRPr="006C7B74" w:rsidRDefault="00D427F3" w:rsidP="00D427F3">
            <w:pPr>
              <w:jc w:val="center"/>
              <w:rPr>
                <w:rFonts w:ascii="Calibri" w:hAnsi="Calibri" w:cs="Calibri"/>
                <w:color w:val="000000"/>
                <w:sz w:val="18"/>
                <w:szCs w:val="18"/>
                <w:lang w:eastAsia="en-AU"/>
              </w:rPr>
            </w:pPr>
            <w:r w:rsidRPr="006C7B74">
              <w:rPr>
                <w:sz w:val="18"/>
                <w:szCs w:val="18"/>
              </w:rPr>
              <w:t>2,909,700</w:t>
            </w:r>
          </w:p>
        </w:tc>
        <w:tc>
          <w:tcPr>
            <w:tcW w:w="1620" w:type="pct"/>
            <w:tcBorders>
              <w:top w:val="nil"/>
              <w:left w:val="nil"/>
              <w:bottom w:val="single" w:sz="8" w:space="0" w:color="44546A"/>
              <w:right w:val="nil"/>
            </w:tcBorders>
            <w:shd w:val="clear" w:color="auto" w:fill="auto"/>
            <w:hideMark/>
          </w:tcPr>
          <w:p w14:paraId="4F017EFF" w14:textId="702387E6" w:rsidR="00D427F3" w:rsidRPr="006C7B74" w:rsidRDefault="00D427F3" w:rsidP="00D427F3">
            <w:pPr>
              <w:jc w:val="center"/>
              <w:rPr>
                <w:rFonts w:ascii="Calibri" w:hAnsi="Calibri" w:cs="Calibri"/>
                <w:color w:val="000000"/>
                <w:sz w:val="18"/>
                <w:szCs w:val="18"/>
                <w:lang w:eastAsia="en-AU"/>
              </w:rPr>
            </w:pPr>
            <w:r w:rsidRPr="006C7B74">
              <w:rPr>
                <w:sz w:val="18"/>
                <w:szCs w:val="18"/>
              </w:rPr>
              <w:t>1,548,</w:t>
            </w:r>
            <w:r w:rsidR="00224722" w:rsidRPr="006C7B74">
              <w:rPr>
                <w:sz w:val="18"/>
                <w:szCs w:val="18"/>
              </w:rPr>
              <w:t>000</w:t>
            </w:r>
          </w:p>
        </w:tc>
      </w:tr>
      <w:tr w:rsidR="00D427F3" w:rsidRPr="006C7B74" w14:paraId="49A3DC2B" w14:textId="77777777" w:rsidTr="006C7B74">
        <w:trPr>
          <w:trHeight w:val="313"/>
        </w:trPr>
        <w:tc>
          <w:tcPr>
            <w:tcW w:w="1572" w:type="pct"/>
            <w:tcBorders>
              <w:top w:val="nil"/>
              <w:left w:val="nil"/>
              <w:bottom w:val="single" w:sz="8" w:space="0" w:color="44546A"/>
              <w:right w:val="nil"/>
            </w:tcBorders>
            <w:shd w:val="clear" w:color="auto" w:fill="auto"/>
            <w:vAlign w:val="center"/>
            <w:hideMark/>
          </w:tcPr>
          <w:p w14:paraId="3A27653E" w14:textId="77777777" w:rsidR="00D427F3" w:rsidRPr="006C7B74" w:rsidRDefault="00D427F3" w:rsidP="00D427F3">
            <w:pPr>
              <w:rPr>
                <w:rFonts w:ascii="Calibri" w:hAnsi="Calibri" w:cs="Calibri"/>
                <w:color w:val="000000"/>
                <w:sz w:val="18"/>
                <w:szCs w:val="18"/>
                <w:lang w:eastAsia="en-AU"/>
              </w:rPr>
            </w:pPr>
            <w:r w:rsidRPr="006C7B74">
              <w:rPr>
                <w:rFonts w:ascii="Calibri" w:hAnsi="Calibri" w:cs="Calibri"/>
                <w:color w:val="000000"/>
                <w:sz w:val="18"/>
                <w:szCs w:val="18"/>
                <w:lang w:eastAsia="en-AU"/>
              </w:rPr>
              <w:t>Northern</w:t>
            </w:r>
          </w:p>
        </w:tc>
        <w:tc>
          <w:tcPr>
            <w:tcW w:w="1808" w:type="pct"/>
            <w:tcBorders>
              <w:top w:val="nil"/>
              <w:left w:val="nil"/>
              <w:bottom w:val="single" w:sz="8" w:space="0" w:color="44546A"/>
              <w:right w:val="nil"/>
            </w:tcBorders>
            <w:shd w:val="clear" w:color="auto" w:fill="auto"/>
            <w:hideMark/>
          </w:tcPr>
          <w:p w14:paraId="1463CE9F" w14:textId="1E217AF8" w:rsidR="00D427F3" w:rsidRPr="006C7B74" w:rsidRDefault="00D427F3" w:rsidP="00D427F3">
            <w:pPr>
              <w:jc w:val="center"/>
              <w:rPr>
                <w:rFonts w:ascii="Calibri" w:hAnsi="Calibri" w:cs="Calibri"/>
                <w:color w:val="000000"/>
                <w:sz w:val="18"/>
                <w:szCs w:val="18"/>
                <w:lang w:eastAsia="en-AU"/>
              </w:rPr>
            </w:pPr>
            <w:r w:rsidRPr="006C7B74">
              <w:rPr>
                <w:sz w:val="18"/>
                <w:szCs w:val="18"/>
              </w:rPr>
              <w:t>3,239,150</w:t>
            </w:r>
          </w:p>
        </w:tc>
        <w:tc>
          <w:tcPr>
            <w:tcW w:w="1620" w:type="pct"/>
            <w:tcBorders>
              <w:top w:val="nil"/>
              <w:left w:val="nil"/>
              <w:bottom w:val="single" w:sz="8" w:space="0" w:color="44546A"/>
              <w:right w:val="nil"/>
            </w:tcBorders>
            <w:shd w:val="clear" w:color="auto" w:fill="auto"/>
            <w:hideMark/>
          </w:tcPr>
          <w:p w14:paraId="53FA6E18" w14:textId="10282E32" w:rsidR="00D427F3" w:rsidRPr="006C7B74" w:rsidRDefault="00D427F3" w:rsidP="00D427F3">
            <w:pPr>
              <w:jc w:val="center"/>
              <w:rPr>
                <w:rFonts w:ascii="Calibri" w:hAnsi="Calibri" w:cs="Calibri"/>
                <w:color w:val="000000"/>
                <w:sz w:val="18"/>
                <w:szCs w:val="18"/>
                <w:lang w:eastAsia="en-AU"/>
              </w:rPr>
            </w:pPr>
            <w:r w:rsidRPr="006C7B74">
              <w:rPr>
                <w:sz w:val="18"/>
                <w:szCs w:val="18"/>
              </w:rPr>
              <w:t>1,41</w:t>
            </w:r>
            <w:r w:rsidR="000C7853" w:rsidRPr="006C7B74">
              <w:rPr>
                <w:sz w:val="18"/>
                <w:szCs w:val="18"/>
              </w:rPr>
              <w:t>4</w:t>
            </w:r>
            <w:r w:rsidRPr="006C7B74">
              <w:rPr>
                <w:sz w:val="18"/>
                <w:szCs w:val="18"/>
              </w:rPr>
              <w:t>,</w:t>
            </w:r>
            <w:r w:rsidR="000C7853" w:rsidRPr="006C7B74">
              <w:rPr>
                <w:sz w:val="18"/>
                <w:szCs w:val="18"/>
              </w:rPr>
              <w:t>000</w:t>
            </w:r>
          </w:p>
        </w:tc>
      </w:tr>
      <w:tr w:rsidR="00D427F3" w:rsidRPr="006C7B74" w14:paraId="5C86A242" w14:textId="77777777" w:rsidTr="006C7B74">
        <w:trPr>
          <w:trHeight w:val="313"/>
        </w:trPr>
        <w:tc>
          <w:tcPr>
            <w:tcW w:w="1572" w:type="pct"/>
            <w:tcBorders>
              <w:top w:val="nil"/>
              <w:left w:val="nil"/>
              <w:bottom w:val="single" w:sz="8" w:space="0" w:color="44546A"/>
              <w:right w:val="nil"/>
            </w:tcBorders>
            <w:shd w:val="clear" w:color="auto" w:fill="auto"/>
            <w:vAlign w:val="center"/>
            <w:hideMark/>
          </w:tcPr>
          <w:p w14:paraId="2E42336A" w14:textId="77777777" w:rsidR="00D427F3" w:rsidRPr="006C7B74" w:rsidRDefault="00D427F3" w:rsidP="00D427F3">
            <w:pPr>
              <w:rPr>
                <w:rFonts w:ascii="Calibri" w:hAnsi="Calibri" w:cs="Calibri"/>
                <w:color w:val="000000"/>
                <w:sz w:val="18"/>
                <w:szCs w:val="18"/>
                <w:lang w:eastAsia="en-AU"/>
              </w:rPr>
            </w:pPr>
            <w:r w:rsidRPr="006C7B74">
              <w:rPr>
                <w:rFonts w:ascii="Calibri" w:hAnsi="Calibri" w:cs="Calibri"/>
                <w:color w:val="000000"/>
                <w:sz w:val="18"/>
                <w:szCs w:val="18"/>
                <w:lang w:eastAsia="en-AU"/>
              </w:rPr>
              <w:t>Eastern</w:t>
            </w:r>
          </w:p>
        </w:tc>
        <w:tc>
          <w:tcPr>
            <w:tcW w:w="1808" w:type="pct"/>
            <w:tcBorders>
              <w:top w:val="nil"/>
              <w:left w:val="nil"/>
              <w:bottom w:val="single" w:sz="8" w:space="0" w:color="44546A"/>
              <w:right w:val="nil"/>
            </w:tcBorders>
            <w:shd w:val="clear" w:color="auto" w:fill="auto"/>
            <w:hideMark/>
          </w:tcPr>
          <w:p w14:paraId="3CBB4286" w14:textId="7080EEE8" w:rsidR="00D427F3" w:rsidRPr="006C7B74" w:rsidRDefault="00D427F3" w:rsidP="00D427F3">
            <w:pPr>
              <w:jc w:val="center"/>
              <w:rPr>
                <w:rFonts w:ascii="Calibri" w:hAnsi="Calibri" w:cs="Calibri"/>
                <w:color w:val="000000"/>
                <w:sz w:val="18"/>
                <w:szCs w:val="18"/>
                <w:lang w:eastAsia="en-AU"/>
              </w:rPr>
            </w:pPr>
            <w:r w:rsidRPr="006C7B74">
              <w:rPr>
                <w:sz w:val="18"/>
                <w:szCs w:val="18"/>
              </w:rPr>
              <w:t>2,817,650</w:t>
            </w:r>
          </w:p>
        </w:tc>
        <w:tc>
          <w:tcPr>
            <w:tcW w:w="1620" w:type="pct"/>
            <w:tcBorders>
              <w:top w:val="nil"/>
              <w:left w:val="nil"/>
              <w:bottom w:val="single" w:sz="8" w:space="0" w:color="44546A"/>
              <w:right w:val="nil"/>
            </w:tcBorders>
            <w:shd w:val="clear" w:color="auto" w:fill="auto"/>
            <w:hideMark/>
          </w:tcPr>
          <w:p w14:paraId="76F3E06C" w14:textId="2618A01C" w:rsidR="00D427F3" w:rsidRPr="006C7B74" w:rsidRDefault="00D427F3" w:rsidP="00D427F3">
            <w:pPr>
              <w:jc w:val="center"/>
              <w:rPr>
                <w:rFonts w:ascii="Calibri" w:hAnsi="Calibri" w:cs="Calibri"/>
                <w:color w:val="000000"/>
                <w:sz w:val="18"/>
                <w:szCs w:val="18"/>
                <w:lang w:eastAsia="en-AU"/>
              </w:rPr>
            </w:pPr>
            <w:r w:rsidRPr="006C7B74">
              <w:rPr>
                <w:sz w:val="18"/>
                <w:szCs w:val="18"/>
              </w:rPr>
              <w:t>837</w:t>
            </w:r>
            <w:r w:rsidR="00822ABA" w:rsidRPr="006C7B74">
              <w:rPr>
                <w:sz w:val="18"/>
                <w:szCs w:val="18"/>
              </w:rPr>
              <w:t>,000</w:t>
            </w:r>
          </w:p>
        </w:tc>
      </w:tr>
      <w:tr w:rsidR="00D427F3" w:rsidRPr="006C7B74" w14:paraId="5662DD6F" w14:textId="77777777" w:rsidTr="006C7B74">
        <w:trPr>
          <w:trHeight w:val="313"/>
        </w:trPr>
        <w:tc>
          <w:tcPr>
            <w:tcW w:w="1572" w:type="pct"/>
            <w:tcBorders>
              <w:top w:val="nil"/>
              <w:left w:val="nil"/>
              <w:bottom w:val="single" w:sz="8" w:space="0" w:color="44546A"/>
              <w:right w:val="nil"/>
            </w:tcBorders>
            <w:shd w:val="clear" w:color="auto" w:fill="auto"/>
            <w:vAlign w:val="center"/>
            <w:hideMark/>
          </w:tcPr>
          <w:p w14:paraId="340B980B" w14:textId="77777777" w:rsidR="00D427F3" w:rsidRPr="006C7B74" w:rsidRDefault="00D427F3" w:rsidP="00D427F3">
            <w:pPr>
              <w:rPr>
                <w:rFonts w:ascii="Calibri" w:hAnsi="Calibri" w:cs="Calibri"/>
                <w:color w:val="000000"/>
                <w:sz w:val="18"/>
                <w:szCs w:val="18"/>
                <w:lang w:eastAsia="en-AU"/>
              </w:rPr>
            </w:pPr>
            <w:r w:rsidRPr="006C7B74">
              <w:rPr>
                <w:rFonts w:ascii="Calibri" w:hAnsi="Calibri" w:cs="Calibri"/>
                <w:color w:val="000000"/>
                <w:sz w:val="18"/>
                <w:szCs w:val="18"/>
                <w:lang w:eastAsia="en-AU"/>
              </w:rPr>
              <w:t>Southern</w:t>
            </w:r>
          </w:p>
        </w:tc>
        <w:tc>
          <w:tcPr>
            <w:tcW w:w="1808" w:type="pct"/>
            <w:tcBorders>
              <w:top w:val="nil"/>
              <w:left w:val="nil"/>
              <w:bottom w:val="single" w:sz="8" w:space="0" w:color="44546A"/>
              <w:right w:val="nil"/>
            </w:tcBorders>
            <w:shd w:val="clear" w:color="auto" w:fill="auto"/>
            <w:hideMark/>
          </w:tcPr>
          <w:p w14:paraId="3BD49E36" w14:textId="19C32558" w:rsidR="00D427F3" w:rsidRPr="006C7B74" w:rsidRDefault="00D427F3" w:rsidP="00D427F3">
            <w:pPr>
              <w:jc w:val="center"/>
              <w:rPr>
                <w:rFonts w:ascii="Calibri" w:hAnsi="Calibri" w:cs="Calibri"/>
                <w:color w:val="000000"/>
                <w:sz w:val="18"/>
                <w:szCs w:val="18"/>
                <w:lang w:eastAsia="en-AU"/>
              </w:rPr>
            </w:pPr>
            <w:r w:rsidRPr="006C7B74">
              <w:rPr>
                <w:sz w:val="18"/>
                <w:szCs w:val="18"/>
              </w:rPr>
              <w:t>3,166,750</w:t>
            </w:r>
          </w:p>
        </w:tc>
        <w:tc>
          <w:tcPr>
            <w:tcW w:w="1620" w:type="pct"/>
            <w:tcBorders>
              <w:top w:val="nil"/>
              <w:left w:val="nil"/>
              <w:bottom w:val="single" w:sz="8" w:space="0" w:color="44546A"/>
              <w:right w:val="nil"/>
            </w:tcBorders>
            <w:shd w:val="clear" w:color="auto" w:fill="auto"/>
            <w:hideMark/>
          </w:tcPr>
          <w:p w14:paraId="66C64AA4" w14:textId="2B55924F" w:rsidR="00D427F3" w:rsidRPr="006C7B74" w:rsidRDefault="00D427F3" w:rsidP="00D427F3">
            <w:pPr>
              <w:jc w:val="center"/>
              <w:rPr>
                <w:rFonts w:ascii="Calibri" w:hAnsi="Calibri" w:cs="Calibri"/>
                <w:color w:val="000000"/>
                <w:sz w:val="18"/>
                <w:szCs w:val="18"/>
                <w:lang w:eastAsia="en-AU"/>
              </w:rPr>
            </w:pPr>
            <w:r w:rsidRPr="006C7B74">
              <w:rPr>
                <w:sz w:val="18"/>
                <w:szCs w:val="18"/>
              </w:rPr>
              <w:t>1,371,0</w:t>
            </w:r>
            <w:r w:rsidR="0016671F" w:rsidRPr="006C7B74">
              <w:rPr>
                <w:sz w:val="18"/>
                <w:szCs w:val="18"/>
              </w:rPr>
              <w:t>00</w:t>
            </w:r>
          </w:p>
        </w:tc>
      </w:tr>
      <w:tr w:rsidR="00D427F3" w:rsidRPr="006C7B74" w14:paraId="5139F34D" w14:textId="77777777" w:rsidTr="006C7B74">
        <w:trPr>
          <w:trHeight w:val="313"/>
        </w:trPr>
        <w:tc>
          <w:tcPr>
            <w:tcW w:w="1572" w:type="pct"/>
            <w:tcBorders>
              <w:top w:val="nil"/>
              <w:left w:val="nil"/>
              <w:bottom w:val="single" w:sz="8" w:space="0" w:color="44546A"/>
              <w:right w:val="nil"/>
            </w:tcBorders>
            <w:shd w:val="clear" w:color="auto" w:fill="auto"/>
            <w:vAlign w:val="center"/>
            <w:hideMark/>
          </w:tcPr>
          <w:p w14:paraId="29D5C637" w14:textId="77777777" w:rsidR="00D427F3" w:rsidRPr="006C7B74" w:rsidRDefault="00D427F3" w:rsidP="00D427F3">
            <w:pPr>
              <w:rPr>
                <w:rFonts w:ascii="Calibri" w:hAnsi="Calibri" w:cs="Calibri"/>
                <w:color w:val="000000"/>
                <w:sz w:val="18"/>
                <w:szCs w:val="18"/>
                <w:lang w:eastAsia="en-AU"/>
              </w:rPr>
            </w:pPr>
            <w:r w:rsidRPr="006C7B74">
              <w:rPr>
                <w:rFonts w:ascii="Calibri" w:hAnsi="Calibri" w:cs="Calibri"/>
                <w:color w:val="000000"/>
                <w:sz w:val="18"/>
                <w:szCs w:val="18"/>
                <w:lang w:eastAsia="en-AU"/>
              </w:rPr>
              <w:t>Inner South East</w:t>
            </w:r>
          </w:p>
        </w:tc>
        <w:tc>
          <w:tcPr>
            <w:tcW w:w="1808" w:type="pct"/>
            <w:tcBorders>
              <w:top w:val="nil"/>
              <w:left w:val="nil"/>
              <w:bottom w:val="single" w:sz="8" w:space="0" w:color="44546A"/>
              <w:right w:val="nil"/>
            </w:tcBorders>
            <w:shd w:val="clear" w:color="auto" w:fill="auto"/>
            <w:hideMark/>
          </w:tcPr>
          <w:p w14:paraId="0921EC1F" w14:textId="5D039179" w:rsidR="00D427F3" w:rsidRPr="006C7B74" w:rsidRDefault="00D427F3" w:rsidP="00D427F3">
            <w:pPr>
              <w:jc w:val="center"/>
              <w:rPr>
                <w:rFonts w:ascii="Calibri" w:hAnsi="Calibri" w:cs="Calibri"/>
                <w:color w:val="000000"/>
                <w:sz w:val="18"/>
                <w:szCs w:val="18"/>
                <w:lang w:eastAsia="en-AU"/>
              </w:rPr>
            </w:pPr>
            <w:r w:rsidRPr="006C7B74">
              <w:rPr>
                <w:sz w:val="18"/>
                <w:szCs w:val="18"/>
              </w:rPr>
              <w:t>2,99</w:t>
            </w:r>
            <w:r w:rsidR="00F54C2F">
              <w:rPr>
                <w:sz w:val="18"/>
                <w:szCs w:val="18"/>
              </w:rPr>
              <w:t>1</w:t>
            </w:r>
            <w:r w:rsidRPr="006C7B74">
              <w:rPr>
                <w:sz w:val="18"/>
                <w:szCs w:val="18"/>
              </w:rPr>
              <w:t>,</w:t>
            </w:r>
            <w:r w:rsidR="000338A8">
              <w:rPr>
                <w:sz w:val="18"/>
                <w:szCs w:val="18"/>
              </w:rPr>
              <w:t>200</w:t>
            </w:r>
          </w:p>
        </w:tc>
        <w:tc>
          <w:tcPr>
            <w:tcW w:w="1620" w:type="pct"/>
            <w:tcBorders>
              <w:top w:val="nil"/>
              <w:left w:val="nil"/>
              <w:bottom w:val="single" w:sz="8" w:space="0" w:color="44546A"/>
              <w:right w:val="nil"/>
            </w:tcBorders>
            <w:shd w:val="clear" w:color="auto" w:fill="auto"/>
            <w:hideMark/>
          </w:tcPr>
          <w:p w14:paraId="756C2751" w14:textId="15949880" w:rsidR="00D427F3" w:rsidRPr="006C7B74" w:rsidRDefault="00D427F3" w:rsidP="00D427F3">
            <w:pPr>
              <w:jc w:val="center"/>
              <w:rPr>
                <w:rFonts w:ascii="Calibri" w:hAnsi="Calibri" w:cs="Calibri"/>
                <w:color w:val="000000"/>
                <w:sz w:val="18"/>
                <w:szCs w:val="18"/>
                <w:lang w:eastAsia="en-AU"/>
              </w:rPr>
            </w:pPr>
            <w:r w:rsidRPr="006C7B74">
              <w:rPr>
                <w:sz w:val="18"/>
                <w:szCs w:val="18"/>
              </w:rPr>
              <w:t>783</w:t>
            </w:r>
            <w:r w:rsidR="00A824E6" w:rsidRPr="006C7B74">
              <w:rPr>
                <w:sz w:val="18"/>
                <w:szCs w:val="18"/>
              </w:rPr>
              <w:t>,000</w:t>
            </w:r>
          </w:p>
        </w:tc>
      </w:tr>
      <w:tr w:rsidR="00D427F3" w:rsidRPr="006C7B74" w14:paraId="41B03EA7" w14:textId="77777777" w:rsidTr="006C7B74">
        <w:trPr>
          <w:trHeight w:val="313"/>
        </w:trPr>
        <w:tc>
          <w:tcPr>
            <w:tcW w:w="1572" w:type="pct"/>
            <w:tcBorders>
              <w:top w:val="nil"/>
              <w:left w:val="nil"/>
              <w:bottom w:val="single" w:sz="8" w:space="0" w:color="44546A"/>
              <w:right w:val="nil"/>
            </w:tcBorders>
            <w:shd w:val="clear" w:color="auto" w:fill="auto"/>
            <w:vAlign w:val="center"/>
            <w:hideMark/>
          </w:tcPr>
          <w:p w14:paraId="3737BD52" w14:textId="77777777" w:rsidR="00D427F3" w:rsidRPr="006C7B74" w:rsidRDefault="00D427F3" w:rsidP="00D427F3">
            <w:pPr>
              <w:rPr>
                <w:rFonts w:ascii="Calibri" w:hAnsi="Calibri" w:cs="Calibri"/>
                <w:b/>
                <w:bCs/>
                <w:color w:val="000000"/>
                <w:sz w:val="18"/>
                <w:szCs w:val="18"/>
                <w:lang w:eastAsia="en-AU"/>
              </w:rPr>
            </w:pPr>
            <w:r w:rsidRPr="006C7B74">
              <w:rPr>
                <w:rFonts w:ascii="Calibri" w:hAnsi="Calibri" w:cs="Calibri"/>
                <w:b/>
                <w:bCs/>
                <w:color w:val="000000"/>
                <w:sz w:val="18"/>
                <w:szCs w:val="18"/>
                <w:lang w:eastAsia="en-AU"/>
              </w:rPr>
              <w:t>Total</w:t>
            </w:r>
          </w:p>
        </w:tc>
        <w:tc>
          <w:tcPr>
            <w:tcW w:w="1808" w:type="pct"/>
            <w:tcBorders>
              <w:top w:val="nil"/>
              <w:left w:val="nil"/>
              <w:bottom w:val="single" w:sz="8" w:space="0" w:color="44546A"/>
              <w:right w:val="nil"/>
            </w:tcBorders>
            <w:shd w:val="clear" w:color="auto" w:fill="auto"/>
            <w:hideMark/>
          </w:tcPr>
          <w:p w14:paraId="7066BF4A" w14:textId="67ED0741" w:rsidR="00D427F3" w:rsidRPr="006C7B74" w:rsidRDefault="00D427F3" w:rsidP="00D427F3">
            <w:pPr>
              <w:jc w:val="center"/>
              <w:rPr>
                <w:rFonts w:ascii="Calibri" w:hAnsi="Calibri" w:cs="Calibri"/>
                <w:b/>
                <w:color w:val="000000"/>
                <w:sz w:val="18"/>
                <w:szCs w:val="18"/>
                <w:lang w:eastAsia="en-AU"/>
              </w:rPr>
            </w:pPr>
            <w:r w:rsidRPr="006C7B74">
              <w:rPr>
                <w:b/>
                <w:sz w:val="18"/>
                <w:szCs w:val="18"/>
              </w:rPr>
              <w:t>24,1</w:t>
            </w:r>
            <w:r w:rsidR="000338A8">
              <w:rPr>
                <w:b/>
                <w:sz w:val="18"/>
                <w:szCs w:val="18"/>
              </w:rPr>
              <w:t>91</w:t>
            </w:r>
            <w:r w:rsidRPr="006C7B74">
              <w:rPr>
                <w:b/>
                <w:sz w:val="18"/>
                <w:szCs w:val="18"/>
              </w:rPr>
              <w:t>,</w:t>
            </w:r>
            <w:r w:rsidR="000338A8">
              <w:rPr>
                <w:b/>
                <w:sz w:val="18"/>
                <w:szCs w:val="18"/>
              </w:rPr>
              <w:t>80</w:t>
            </w:r>
            <w:r w:rsidRPr="006C7B74">
              <w:rPr>
                <w:b/>
                <w:sz w:val="18"/>
                <w:szCs w:val="18"/>
              </w:rPr>
              <w:t>0</w:t>
            </w:r>
          </w:p>
        </w:tc>
        <w:tc>
          <w:tcPr>
            <w:tcW w:w="1620" w:type="pct"/>
            <w:tcBorders>
              <w:top w:val="nil"/>
              <w:left w:val="nil"/>
              <w:bottom w:val="single" w:sz="8" w:space="0" w:color="44546A"/>
              <w:right w:val="nil"/>
            </w:tcBorders>
            <w:shd w:val="clear" w:color="auto" w:fill="auto"/>
            <w:hideMark/>
          </w:tcPr>
          <w:p w14:paraId="30C5652E" w14:textId="0542BF04" w:rsidR="00D427F3" w:rsidRPr="006C7B74" w:rsidRDefault="00D427F3" w:rsidP="00D427F3">
            <w:pPr>
              <w:jc w:val="center"/>
              <w:rPr>
                <w:rFonts w:ascii="Calibri" w:hAnsi="Calibri" w:cs="Calibri"/>
                <w:b/>
                <w:color w:val="000000"/>
                <w:sz w:val="18"/>
                <w:szCs w:val="18"/>
                <w:lang w:eastAsia="en-AU"/>
              </w:rPr>
            </w:pPr>
            <w:r w:rsidRPr="006C7B74">
              <w:rPr>
                <w:b/>
                <w:sz w:val="18"/>
                <w:szCs w:val="18"/>
              </w:rPr>
              <w:t>9,96</w:t>
            </w:r>
            <w:r w:rsidR="002A1BC4" w:rsidRPr="006C7B74">
              <w:rPr>
                <w:b/>
                <w:sz w:val="18"/>
                <w:szCs w:val="18"/>
              </w:rPr>
              <w:t>0</w:t>
            </w:r>
            <w:r w:rsidRPr="006C7B74">
              <w:rPr>
                <w:b/>
                <w:sz w:val="18"/>
                <w:szCs w:val="18"/>
              </w:rPr>
              <w:t>,</w:t>
            </w:r>
            <w:r w:rsidR="002A1BC4" w:rsidRPr="006C7B74">
              <w:rPr>
                <w:b/>
                <w:sz w:val="18"/>
                <w:szCs w:val="18"/>
              </w:rPr>
              <w:t>000</w:t>
            </w:r>
          </w:p>
        </w:tc>
      </w:tr>
    </w:tbl>
    <w:p w14:paraId="0A211CB6" w14:textId="0B3C2B4C" w:rsidR="005110D0" w:rsidRPr="006C7B74" w:rsidRDefault="00DC580D" w:rsidP="000D058C">
      <w:pPr>
        <w:pStyle w:val="Quote"/>
      </w:pPr>
      <w:r w:rsidRPr="006C7B74">
        <w:t>Source: Department of Environment, Land, Water and Planning, unpublished data (</w:t>
      </w:r>
      <w:r w:rsidR="00185079" w:rsidRPr="006C7B74">
        <w:t>20</w:t>
      </w:r>
      <w:r w:rsidR="00185079">
        <w:t>20</w:t>
      </w:r>
      <w:r w:rsidRPr="006C7B74">
        <w:t>)</w:t>
      </w:r>
    </w:p>
    <w:p w14:paraId="42EB4F02" w14:textId="77777777" w:rsidR="00DC580D" w:rsidRPr="006C7B74" w:rsidRDefault="00DC580D" w:rsidP="005110D0">
      <w:pPr>
        <w:pStyle w:val="BodyText"/>
        <w:spacing w:before="0" w:line="240" w:lineRule="auto"/>
      </w:pPr>
    </w:p>
    <w:p w14:paraId="3357387A" w14:textId="5145144E" w:rsidR="005110D0" w:rsidRPr="006C7B74" w:rsidRDefault="005110D0" w:rsidP="005110D0">
      <w:pPr>
        <w:pStyle w:val="BodyText"/>
        <w:spacing w:before="0" w:line="240" w:lineRule="auto"/>
      </w:pPr>
      <w:r w:rsidRPr="006C7B74">
        <w:t xml:space="preserve">There is also expected to be significant commercial floorspace required in the Western, Southern and Northern Regions, with each of these regions anticipated to require upward of a </w:t>
      </w:r>
      <w:r w:rsidR="007E7557" w:rsidRPr="006C7B74">
        <w:t xml:space="preserve">40 </w:t>
      </w:r>
      <w:r w:rsidRPr="006C7B74">
        <w:t>per cent increase in their supply of commercial floorspace. Much of this demand for commercial floorspace will be in the growth area municipalities.</w:t>
      </w:r>
    </w:p>
    <w:p w14:paraId="341E694D" w14:textId="77777777" w:rsidR="005110D0" w:rsidRPr="006C7B74" w:rsidRDefault="005110D0" w:rsidP="005110D0">
      <w:pPr>
        <w:pStyle w:val="BodyText"/>
        <w:spacing w:before="0" w:line="240" w:lineRule="auto"/>
      </w:pPr>
    </w:p>
    <w:p w14:paraId="0DBA85AB" w14:textId="74EC60F1" w:rsidR="005110D0" w:rsidRPr="006C7B74" w:rsidRDefault="005110D0" w:rsidP="005110D0">
      <w:pPr>
        <w:pStyle w:val="Heading5"/>
      </w:pPr>
      <w:r w:rsidRPr="006C7B74">
        <w:t xml:space="preserve">Figure </w:t>
      </w:r>
      <w:r w:rsidR="004E2A3A" w:rsidRPr="006C7B74">
        <w:t>10</w:t>
      </w:r>
      <w:r w:rsidRPr="006C7B74">
        <w:t xml:space="preserve">: </w:t>
      </w:r>
      <w:r w:rsidR="00847D18">
        <w:t xml:space="preserve">Estimated </w:t>
      </w:r>
      <w:r w:rsidR="00A010C3">
        <w:t xml:space="preserve">additional </w:t>
      </w:r>
      <w:r w:rsidRPr="006C7B74">
        <w:t>commercial floorspace by region, 2016 to 2031</w:t>
      </w:r>
    </w:p>
    <w:p w14:paraId="4E9F3F25" w14:textId="50D613FF" w:rsidR="005110D0" w:rsidRPr="006C7B74" w:rsidRDefault="006F1AF0" w:rsidP="00DC580D">
      <w:pPr>
        <w:pStyle w:val="Quote"/>
      </w:pPr>
      <w:r>
        <w:rPr>
          <w:noProof/>
        </w:rPr>
        <w:drawing>
          <wp:inline distT="0" distB="0" distL="0" distR="0" wp14:anchorId="3FC9FAB3" wp14:editId="024AAB74">
            <wp:extent cx="5727700" cy="2620010"/>
            <wp:effectExtent l="0" t="0" r="0" b="0"/>
            <wp:docPr id="1" name="Chart 1" descr="Bar graph - Estimated additional commercial floorspace by metropolitan region, 2016 to 2031. Shows estimates required for office and retail floorspace.">
              <a:extLst xmlns:a="http://schemas.openxmlformats.org/drawingml/2006/main">
                <a:ext uri="{FF2B5EF4-FFF2-40B4-BE49-F238E27FC236}">
                  <a16:creationId xmlns:a16="http://schemas.microsoft.com/office/drawing/2014/main" id="{BF4838FD-D81C-4569-B597-6804278BBE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00DC580D" w:rsidRPr="006C7B74">
        <w:t>Source:</w:t>
      </w:r>
      <w:r w:rsidR="007C154C" w:rsidRPr="006C7B74">
        <w:t xml:space="preserve"> </w:t>
      </w:r>
      <w:r w:rsidR="00DC580D" w:rsidRPr="006C7B74">
        <w:t>Department of Environment, Land, Water and Planning, unpublished data (</w:t>
      </w:r>
      <w:r w:rsidR="001D5B2C" w:rsidRPr="006C7B74">
        <w:t>20</w:t>
      </w:r>
      <w:r w:rsidR="001D5B2C">
        <w:t>20</w:t>
      </w:r>
      <w:r w:rsidR="00DC580D" w:rsidRPr="006C7B74">
        <w:t>)</w:t>
      </w:r>
    </w:p>
    <w:p w14:paraId="7B38E9A2" w14:textId="3BBA81D9" w:rsidR="00195426" w:rsidRPr="006C7B74" w:rsidRDefault="00195426" w:rsidP="00934C4D">
      <w:pPr>
        <w:spacing w:after="120"/>
        <w:rPr>
          <w:rFonts w:cstheme="minorHAnsi"/>
          <w:b/>
          <w:sz w:val="20"/>
          <w:szCs w:val="20"/>
        </w:rPr>
      </w:pPr>
      <w:bookmarkStart w:id="26" w:name="_Toc529914374"/>
    </w:p>
    <w:p w14:paraId="1C053090" w14:textId="77777777" w:rsidR="00104209" w:rsidRPr="006C7B74" w:rsidRDefault="00104209">
      <w:pPr>
        <w:rPr>
          <w:rFonts w:asciiTheme="majorHAnsi" w:eastAsiaTheme="majorEastAsia" w:hAnsiTheme="majorHAnsi" w:cstheme="majorBidi"/>
          <w:b/>
          <w:color w:val="201547"/>
          <w:sz w:val="32"/>
          <w:szCs w:val="32"/>
        </w:rPr>
      </w:pPr>
      <w:bookmarkStart w:id="27" w:name="_Toc508025002"/>
      <w:bookmarkEnd w:id="26"/>
      <w:r w:rsidRPr="006C7B74">
        <w:br w:type="page"/>
      </w:r>
    </w:p>
    <w:p w14:paraId="1AAC4C72" w14:textId="10C977CA" w:rsidR="00350849" w:rsidRPr="006C7B74" w:rsidRDefault="00AE2320" w:rsidP="001A002E">
      <w:pPr>
        <w:pStyle w:val="Heading2-Contenttable"/>
      </w:pPr>
      <w:bookmarkStart w:id="28" w:name="_Toc21694808"/>
      <w:r w:rsidRPr="006C7B74">
        <w:lastRenderedPageBreak/>
        <w:t>Approach to p</w:t>
      </w:r>
      <w:r w:rsidR="00350849" w:rsidRPr="006C7B74">
        <w:t>lan</w:t>
      </w:r>
      <w:r w:rsidR="003A1A4F" w:rsidRPr="006C7B74">
        <w:t>ning</w:t>
      </w:r>
      <w:r w:rsidR="00350849" w:rsidRPr="006C7B74">
        <w:t xml:space="preserve"> for industrial and commercial land</w:t>
      </w:r>
      <w:bookmarkEnd w:id="28"/>
    </w:p>
    <w:p w14:paraId="04C8766F" w14:textId="4B9A5B62" w:rsidR="00350849" w:rsidRPr="006C7B74" w:rsidRDefault="00350849" w:rsidP="007420C4">
      <w:pPr>
        <w:pStyle w:val="BodyText"/>
        <w:spacing w:before="0" w:line="240" w:lineRule="auto"/>
      </w:pPr>
      <w:r w:rsidRPr="006C7B74">
        <w:t>As Melbourne’s population continues to grow so to</w:t>
      </w:r>
      <w:r w:rsidR="00E81232" w:rsidRPr="006C7B74">
        <w:t>o</w:t>
      </w:r>
      <w:r w:rsidRPr="006C7B74">
        <w:t xml:space="preserve"> does demand for industrial and commercial space to support this growth. </w:t>
      </w:r>
    </w:p>
    <w:p w14:paraId="19742604" w14:textId="76A4EEFF" w:rsidR="00350849" w:rsidRPr="006C7B74" w:rsidRDefault="00350849" w:rsidP="007420C4">
      <w:pPr>
        <w:pStyle w:val="BodyText"/>
        <w:spacing w:before="0" w:line="240" w:lineRule="auto"/>
      </w:pPr>
      <w:r w:rsidRPr="006C7B74">
        <w:t xml:space="preserve">There is strong growth forecast in the financial and professional services sectors as well as other population serving industries such as education and health care and social assistance. While the </w:t>
      </w:r>
      <w:r w:rsidR="003731E4" w:rsidRPr="006C7B74">
        <w:t>C</w:t>
      </w:r>
      <w:r w:rsidRPr="006C7B74">
        <w:t xml:space="preserve">entral </w:t>
      </w:r>
      <w:r w:rsidR="003731E4" w:rsidRPr="006C7B74">
        <w:t>C</w:t>
      </w:r>
      <w:r w:rsidRPr="006C7B74">
        <w:t>ity will continue to play a key role in accommodating jobs growth, there will also be a need for significant commercial space to support population and jobs growth in suburban locations, particularly in Melbourne’s growth areas.</w:t>
      </w:r>
    </w:p>
    <w:p w14:paraId="17E328F1" w14:textId="3B7FDA55" w:rsidR="00350849" w:rsidRPr="006C7B74" w:rsidRDefault="004A1BFD" w:rsidP="007420C4">
      <w:pPr>
        <w:pStyle w:val="BodyText"/>
        <w:spacing w:before="0" w:line="240" w:lineRule="auto"/>
      </w:pPr>
      <w:r w:rsidRPr="006C7B74">
        <w:t xml:space="preserve">With </w:t>
      </w:r>
      <w:r w:rsidR="00350849" w:rsidRPr="006C7B74">
        <w:t>Melbourne’s economy transition</w:t>
      </w:r>
      <w:r w:rsidR="00C45B79" w:rsidRPr="006C7B74">
        <w:t>ing away</w:t>
      </w:r>
      <w:r w:rsidR="00350849" w:rsidRPr="006C7B74">
        <w:t xml:space="preserve"> from traditional manufacturing to</w:t>
      </w:r>
      <w:r w:rsidR="00C13E23" w:rsidRPr="006C7B74">
        <w:t>ward</w:t>
      </w:r>
      <w:r w:rsidR="0040296F" w:rsidRPr="006C7B74">
        <w:t>s</w:t>
      </w:r>
      <w:r w:rsidR="00C13E23" w:rsidRPr="006C7B74">
        <w:t xml:space="preserve"> one focussed on</w:t>
      </w:r>
      <w:r w:rsidR="00350849" w:rsidRPr="006C7B74">
        <w:t xml:space="preserve"> the production and delivery of services</w:t>
      </w:r>
      <w:r w:rsidR="00774BE8" w:rsidRPr="006C7B74">
        <w:t>, it is</w:t>
      </w:r>
      <w:r w:rsidR="000228CC" w:rsidRPr="006C7B74">
        <w:t xml:space="preserve"> increasingly reliant on an efficient freight and logistics system.</w:t>
      </w:r>
      <w:r w:rsidR="00774BE8" w:rsidRPr="006C7B74">
        <w:t xml:space="preserve"> </w:t>
      </w:r>
      <w:r w:rsidR="000228CC" w:rsidRPr="006C7B74">
        <w:t>As such</w:t>
      </w:r>
      <w:r w:rsidR="00076C21" w:rsidRPr="006C7B74">
        <w:t>,</w:t>
      </w:r>
      <w:r w:rsidR="00350849" w:rsidRPr="006C7B74">
        <w:t xml:space="preserve"> the use of industrial land is transforming. Traditional manufacturing plants within industrial areas are now joined by a range of other services and uses that support the city as it grows. </w:t>
      </w:r>
      <w:r w:rsidR="00335EB1" w:rsidRPr="006C7B74">
        <w:t>More and more</w:t>
      </w:r>
      <w:r w:rsidR="00350849" w:rsidRPr="006C7B74">
        <w:t xml:space="preserve">, industrial areas are being utilised for a much broader range of uses, including retailing and professional services. While some of these uses may complement industrial uses, they can also have a negative impact by increasing land values and rents and potentially impact on day-to-day operations. </w:t>
      </w:r>
    </w:p>
    <w:p w14:paraId="6DABEC7B" w14:textId="709AA360" w:rsidR="00EC4D26" w:rsidRPr="006C7B74" w:rsidRDefault="00D44990" w:rsidP="00EC4D26">
      <w:pPr>
        <w:pStyle w:val="BodyText"/>
        <w:spacing w:before="0" w:line="240" w:lineRule="auto"/>
      </w:pPr>
      <w:r w:rsidRPr="006C7B74">
        <w:t xml:space="preserve">While these changes may lead to a </w:t>
      </w:r>
      <w:r w:rsidR="00C63A8C" w:rsidRPr="006C7B74">
        <w:t>belief that</w:t>
      </w:r>
      <w:r w:rsidRPr="006C7B74">
        <w:t xml:space="preserve"> there is no longer a need to provide a substantial supply of industrial land,</w:t>
      </w:r>
      <w:r w:rsidR="00C63A8C" w:rsidRPr="006C7B74">
        <w:t xml:space="preserve"> i</w:t>
      </w:r>
      <w:r w:rsidR="00EC4D26" w:rsidRPr="006C7B74">
        <w:t xml:space="preserve">t </w:t>
      </w:r>
      <w:r w:rsidR="00C63A8C" w:rsidRPr="006C7B74">
        <w:t>will continue to be</w:t>
      </w:r>
      <w:r w:rsidR="00EC4D26" w:rsidRPr="006C7B74">
        <w:t xml:space="preserve"> important to ensure there is enough industrial and commercial land to meet future demand for economic activity and employment purposes. </w:t>
      </w:r>
    </w:p>
    <w:p w14:paraId="7627CBAE" w14:textId="098F95AB" w:rsidR="00C32DF3" w:rsidRPr="006C7B74" w:rsidRDefault="00C32DF3" w:rsidP="00153967">
      <w:pPr>
        <w:pStyle w:val="BodyText"/>
        <w:spacing w:before="0" w:line="240" w:lineRule="auto"/>
      </w:pPr>
      <w:r w:rsidRPr="006C7B74">
        <w:t>Work undertaken has highlighted a range of issues and matters that require consideration as follows:</w:t>
      </w:r>
    </w:p>
    <w:p w14:paraId="6FBDDAA7" w14:textId="77777777" w:rsidR="00C32DF3" w:rsidRPr="006C7B74" w:rsidRDefault="00C32DF3" w:rsidP="00153967">
      <w:pPr>
        <w:pStyle w:val="BodyText"/>
        <w:numPr>
          <w:ilvl w:val="0"/>
          <w:numId w:val="82"/>
        </w:numPr>
        <w:spacing w:before="0" w:line="240" w:lineRule="auto"/>
      </w:pPr>
      <w:r w:rsidRPr="006C7B74">
        <w:t>There is need to ensure that strategic planning for industrial and commercial areas is robust and appropriate and does not reduce viability for industry and commerce.</w:t>
      </w:r>
    </w:p>
    <w:p w14:paraId="617A3007" w14:textId="77777777" w:rsidR="00C32DF3" w:rsidRPr="006C7B74" w:rsidRDefault="00C32DF3" w:rsidP="00153967">
      <w:pPr>
        <w:pStyle w:val="BodyText"/>
        <w:numPr>
          <w:ilvl w:val="0"/>
          <w:numId w:val="82"/>
        </w:numPr>
        <w:spacing w:before="0" w:line="240" w:lineRule="auto"/>
      </w:pPr>
      <w:r w:rsidRPr="006C7B74">
        <w:t>There is ongoing pressure to rezone or use industrial land for other non-industrial uses such as accommodation or retail uses which are best located in activity centres. Key industrial areas need to be retained as a source of business activity and employment.</w:t>
      </w:r>
    </w:p>
    <w:p w14:paraId="27916405" w14:textId="2F8D05A0" w:rsidR="00C32DF3" w:rsidRPr="006C7B74" w:rsidRDefault="00C32DF3" w:rsidP="00153967">
      <w:pPr>
        <w:pStyle w:val="BodyText"/>
        <w:numPr>
          <w:ilvl w:val="0"/>
          <w:numId w:val="82"/>
        </w:numPr>
        <w:spacing w:before="0" w:line="240" w:lineRule="auto"/>
      </w:pPr>
      <w:r w:rsidRPr="006C7B74">
        <w:t>There is a need to retain sufficient opportunities for commercial development, particularly on Commercial 1 zoned land, and balance the ongoing demand to develop residential uses above ground floor levels. Once developed for a residential use, it is unlikely to</w:t>
      </w:r>
      <w:r w:rsidR="00A46DE5" w:rsidRPr="006C7B74">
        <w:t xml:space="preserve"> be</w:t>
      </w:r>
      <w:r w:rsidRPr="006C7B74">
        <w:t xml:space="preserve"> available to the market for future commercial purposes.</w:t>
      </w:r>
    </w:p>
    <w:p w14:paraId="0FB6E7BD" w14:textId="77777777" w:rsidR="00C32DF3" w:rsidRPr="006C7B74" w:rsidRDefault="00C32DF3" w:rsidP="00153967">
      <w:pPr>
        <w:pStyle w:val="BodyText"/>
        <w:numPr>
          <w:ilvl w:val="0"/>
          <w:numId w:val="82"/>
        </w:numPr>
        <w:spacing w:before="0" w:line="240" w:lineRule="auto"/>
      </w:pPr>
      <w:r w:rsidRPr="006C7B74">
        <w:t xml:space="preserve">The business needs of developers, </w:t>
      </w:r>
      <w:proofErr w:type="gramStart"/>
      <w:r w:rsidRPr="006C7B74">
        <w:t>land owners</w:t>
      </w:r>
      <w:proofErr w:type="gramEnd"/>
      <w:r w:rsidRPr="006C7B74">
        <w:t xml:space="preserve"> and end users and their operating environment need to be better understood to inform policy development.</w:t>
      </w:r>
    </w:p>
    <w:p w14:paraId="76E501EB" w14:textId="77777777" w:rsidR="00C32DF3" w:rsidRPr="006C7B74" w:rsidRDefault="00C32DF3" w:rsidP="00153967">
      <w:pPr>
        <w:pStyle w:val="BodyText"/>
        <w:numPr>
          <w:ilvl w:val="0"/>
          <w:numId w:val="82"/>
        </w:numPr>
        <w:spacing w:before="0" w:line="240" w:lineRule="auto"/>
      </w:pPr>
      <w:r w:rsidRPr="006C7B74">
        <w:t>Planning frameworks need to enable new business models to be accommodated and employment areas to evolve over time.</w:t>
      </w:r>
    </w:p>
    <w:p w14:paraId="5AEFFC41" w14:textId="77777777" w:rsidR="00453277" w:rsidRPr="006C7B74" w:rsidRDefault="00453277" w:rsidP="00453277">
      <w:pPr>
        <w:pStyle w:val="BodyText"/>
        <w:numPr>
          <w:ilvl w:val="0"/>
          <w:numId w:val="82"/>
        </w:numPr>
        <w:spacing w:before="0" w:line="240" w:lineRule="auto"/>
      </w:pPr>
      <w:r w:rsidRPr="006C7B74">
        <w:t>In select locations there is a need to promote the creation of dense, economically diverse, affordable, accessible and amenity-rich enterprise precincts which are attractive to new and emerging businesses.</w:t>
      </w:r>
    </w:p>
    <w:p w14:paraId="4A87806B" w14:textId="77777777" w:rsidR="00C32DF3" w:rsidRPr="006C7B74" w:rsidRDefault="00C32DF3" w:rsidP="00153967">
      <w:pPr>
        <w:pStyle w:val="BodyText"/>
        <w:numPr>
          <w:ilvl w:val="0"/>
          <w:numId w:val="82"/>
        </w:numPr>
        <w:spacing w:before="0" w:line="240" w:lineRule="auto"/>
      </w:pPr>
      <w:r w:rsidRPr="006C7B74">
        <w:t>Road, rail, airport and port infrastructure needs to support industry and allow for efficient freight, logistics and distribution of goods across the city as the population and economy grows.</w:t>
      </w:r>
    </w:p>
    <w:p w14:paraId="4B566003" w14:textId="77777777" w:rsidR="00C32DF3" w:rsidRPr="006C7B74" w:rsidRDefault="00C32DF3" w:rsidP="00153967">
      <w:pPr>
        <w:pStyle w:val="BodyText"/>
        <w:numPr>
          <w:ilvl w:val="0"/>
          <w:numId w:val="82"/>
        </w:numPr>
        <w:spacing w:before="0" w:line="240" w:lineRule="auto"/>
      </w:pPr>
      <w:r w:rsidRPr="006C7B74">
        <w:t>There is a need to recognise that many industrial areas will have lower relative job densities and will not be locations for jobs growth, however they will continue to play a critical role as places for industry and economic activity.</w:t>
      </w:r>
    </w:p>
    <w:p w14:paraId="4BAE3672" w14:textId="77777777" w:rsidR="00C32DF3" w:rsidRPr="006C7B74" w:rsidRDefault="00C32DF3" w:rsidP="00153967">
      <w:pPr>
        <w:pStyle w:val="BodyText"/>
        <w:numPr>
          <w:ilvl w:val="0"/>
          <w:numId w:val="82"/>
        </w:numPr>
        <w:spacing w:before="0" w:line="240" w:lineRule="auto"/>
      </w:pPr>
      <w:r w:rsidRPr="006C7B74">
        <w:t>There is a need to plan for amenity and interface issues that may arise where sensitive uses locate close to or adjacent to industrial operations.</w:t>
      </w:r>
    </w:p>
    <w:p w14:paraId="70118808" w14:textId="5E788FA6" w:rsidR="000A1EB3" w:rsidRPr="006C7B74" w:rsidRDefault="00C32DF3" w:rsidP="00CE4256">
      <w:pPr>
        <w:pStyle w:val="BodyText"/>
        <w:numPr>
          <w:ilvl w:val="0"/>
          <w:numId w:val="82"/>
        </w:numPr>
        <w:spacing w:before="0" w:line="240" w:lineRule="auto"/>
      </w:pPr>
      <w:r w:rsidRPr="006C7B74">
        <w:t>There are a range of urban services required across the city, such as mechanics, self-storage facilities, construction services, cabinetry manufacturers and the like, that need to locate in proximity to their customers. Opportunity for these to establish and operate need to be retained.</w:t>
      </w:r>
    </w:p>
    <w:p w14:paraId="2CE70F42" w14:textId="77777777" w:rsidR="00F83057" w:rsidRPr="006C7B74" w:rsidRDefault="00F83057" w:rsidP="00153967">
      <w:pPr>
        <w:rPr>
          <w:rFonts w:cstheme="minorHAnsi"/>
          <w:sz w:val="20"/>
          <w:szCs w:val="20"/>
        </w:rPr>
      </w:pPr>
    </w:p>
    <w:p w14:paraId="697A1901" w14:textId="77777777" w:rsidR="00FA21B7" w:rsidRDefault="00FA21B7">
      <w:pPr>
        <w:rPr>
          <w:rFonts w:asciiTheme="majorHAnsi" w:eastAsiaTheme="majorEastAsia" w:hAnsiTheme="majorHAnsi" w:cstheme="majorBidi"/>
          <w:b/>
          <w:color w:val="642667"/>
          <w:sz w:val="28"/>
        </w:rPr>
      </w:pPr>
      <w:bookmarkStart w:id="29" w:name="_Toc21694809"/>
      <w:r>
        <w:br w:type="page"/>
      </w:r>
    </w:p>
    <w:p w14:paraId="7D3E37D1" w14:textId="76E50938" w:rsidR="00350849" w:rsidRPr="002353A3" w:rsidRDefault="00350849" w:rsidP="002353A3">
      <w:pPr>
        <w:pStyle w:val="Heading3"/>
      </w:pPr>
      <w:r w:rsidRPr="002353A3">
        <w:lastRenderedPageBreak/>
        <w:t>Principles and strategies to guide planning for industrial and commercial land</w:t>
      </w:r>
      <w:bookmarkEnd w:id="29"/>
    </w:p>
    <w:p w14:paraId="232B7E6E" w14:textId="5B6C7144" w:rsidR="006708FB" w:rsidRPr="006C7B74" w:rsidRDefault="006708FB" w:rsidP="006708FB">
      <w:pPr>
        <w:pStyle w:val="BodyText"/>
        <w:spacing w:before="0" w:line="240" w:lineRule="auto"/>
      </w:pPr>
      <w:r w:rsidRPr="006C7B74">
        <w:t>To ensure industrial and commercial areas are able to operate efficiently and effectively and remain viable, there is a need for clarity and certainty around how these areas are planned.</w:t>
      </w:r>
    </w:p>
    <w:p w14:paraId="569E058C" w14:textId="14EF6081" w:rsidR="006708FB" w:rsidRDefault="006708FB" w:rsidP="00F765AB">
      <w:pPr>
        <w:pStyle w:val="BodyText"/>
        <w:spacing w:before="0" w:line="240" w:lineRule="auto"/>
      </w:pPr>
      <w:r w:rsidRPr="006C7B74">
        <w:t xml:space="preserve">To support </w:t>
      </w:r>
      <w:r w:rsidR="00B55D0B" w:rsidRPr="006C7B74">
        <w:t>and guide</w:t>
      </w:r>
      <w:r w:rsidRPr="006C7B74">
        <w:t xml:space="preserve"> planning for industrial and commercial land, the following principles and strategies have been developed. </w:t>
      </w:r>
      <w:r w:rsidR="001F2EE0" w:rsidRPr="006C7B74">
        <w:t xml:space="preserve">Some </w:t>
      </w:r>
      <w:r w:rsidR="00BB5526" w:rsidRPr="006C7B74">
        <w:t xml:space="preserve">strategies </w:t>
      </w:r>
      <w:r w:rsidR="001F2EE0" w:rsidRPr="006C7B74">
        <w:t xml:space="preserve">have been derived from existing </w:t>
      </w:r>
      <w:r w:rsidR="00536A83" w:rsidRPr="006C7B74">
        <w:t>strategies within the</w:t>
      </w:r>
      <w:r w:rsidR="004501EE" w:rsidRPr="006C7B74">
        <w:t xml:space="preserve"> Planning Policy Framework of the Victoria Planning Provisions, and other</w:t>
      </w:r>
      <w:r w:rsidR="00BB5526" w:rsidRPr="006C7B74">
        <w:t>s</w:t>
      </w:r>
      <w:r w:rsidR="004501EE" w:rsidRPr="006C7B74">
        <w:t xml:space="preserve"> are new and have been developed to support the </w:t>
      </w:r>
      <w:r w:rsidR="00BB5526" w:rsidRPr="006C7B74">
        <w:t>principles.</w:t>
      </w:r>
    </w:p>
    <w:p w14:paraId="5D5E2AA1" w14:textId="5818F3F6" w:rsidR="00350849" w:rsidRPr="006C7B74" w:rsidRDefault="00350849" w:rsidP="002353A3">
      <w:pPr>
        <w:pStyle w:val="Heading4"/>
      </w:pPr>
      <w:r w:rsidRPr="006C7B74">
        <w:t>Principle 1</w:t>
      </w:r>
    </w:p>
    <w:p w14:paraId="603DD434" w14:textId="0C566857" w:rsidR="00FC5869" w:rsidRPr="006C7B74" w:rsidRDefault="00155A97" w:rsidP="003D1C96">
      <w:pPr>
        <w:pStyle w:val="BodyText"/>
        <w:spacing w:before="0" w:line="240" w:lineRule="auto"/>
      </w:pPr>
      <w:r w:rsidRPr="006C7B74">
        <w:t>A</w:t>
      </w:r>
      <w:r w:rsidR="00350849" w:rsidRPr="006C7B74">
        <w:t xml:space="preserve">dequate long-term </w:t>
      </w:r>
      <w:r w:rsidR="00937C51" w:rsidRPr="006C7B74">
        <w:t xml:space="preserve">commercial and industrial </w:t>
      </w:r>
      <w:r w:rsidR="00350849" w:rsidRPr="006C7B74">
        <w:t xml:space="preserve">land supply </w:t>
      </w:r>
      <w:r w:rsidR="00C744BD" w:rsidRPr="006C7B74">
        <w:t>will be identified</w:t>
      </w:r>
      <w:r w:rsidR="00350849" w:rsidRPr="006C7B74">
        <w:t xml:space="preserve"> and set aside to support future industry and business growth.</w:t>
      </w:r>
    </w:p>
    <w:p w14:paraId="1F55CB86" w14:textId="299938A8" w:rsidR="00350849" w:rsidRPr="006C7B74" w:rsidRDefault="00350849" w:rsidP="00350849">
      <w:pPr>
        <w:spacing w:after="120"/>
        <w:rPr>
          <w:rFonts w:cstheme="minorHAnsi"/>
          <w:i/>
          <w:sz w:val="20"/>
          <w:szCs w:val="20"/>
        </w:rPr>
      </w:pPr>
      <w:r w:rsidRPr="006C7B74">
        <w:rPr>
          <w:rFonts w:cstheme="minorHAnsi"/>
          <w:i/>
          <w:sz w:val="20"/>
          <w:szCs w:val="20"/>
        </w:rPr>
        <w:t>Strategies</w:t>
      </w:r>
    </w:p>
    <w:p w14:paraId="59CCFB6E" w14:textId="77777777" w:rsidR="00706716" w:rsidRPr="006C7B74" w:rsidDel="00FF51AF" w:rsidRDefault="00706716" w:rsidP="00706716">
      <w:pPr>
        <w:pStyle w:val="ListParagraph"/>
        <w:numPr>
          <w:ilvl w:val="0"/>
          <w:numId w:val="43"/>
        </w:numPr>
        <w:spacing w:after="120"/>
        <w:rPr>
          <w:rFonts w:cstheme="minorHAnsi"/>
          <w:sz w:val="20"/>
          <w:szCs w:val="20"/>
        </w:rPr>
      </w:pPr>
      <w:r w:rsidRPr="006C7B74" w:rsidDel="00FF51AF">
        <w:rPr>
          <w:rFonts w:cstheme="minorHAnsi"/>
          <w:sz w:val="20"/>
          <w:szCs w:val="20"/>
        </w:rPr>
        <w:t xml:space="preserve">Provide an overarching land use planning framework for industrial and commercial areas. </w:t>
      </w:r>
    </w:p>
    <w:p w14:paraId="396DA581" w14:textId="57AA0D37" w:rsidR="00350849" w:rsidRPr="006C7B74" w:rsidRDefault="00E3522D" w:rsidP="00350849">
      <w:pPr>
        <w:pStyle w:val="ListParagraph"/>
        <w:numPr>
          <w:ilvl w:val="0"/>
          <w:numId w:val="43"/>
        </w:numPr>
        <w:spacing w:after="120"/>
        <w:rPr>
          <w:rFonts w:cstheme="minorHAnsi"/>
          <w:sz w:val="20"/>
          <w:szCs w:val="20"/>
        </w:rPr>
      </w:pPr>
      <w:r w:rsidRPr="006C7B74">
        <w:rPr>
          <w:rFonts w:cstheme="minorHAnsi"/>
          <w:sz w:val="20"/>
          <w:szCs w:val="20"/>
        </w:rPr>
        <w:t>I</w:t>
      </w:r>
      <w:r w:rsidR="00350849" w:rsidRPr="006C7B74">
        <w:rPr>
          <w:rFonts w:cstheme="minorHAnsi"/>
          <w:sz w:val="20"/>
          <w:szCs w:val="20"/>
        </w:rPr>
        <w:t>dentify how growth will be accommodated over the long term (at least 30 years)</w:t>
      </w:r>
      <w:r w:rsidR="000A4C3E" w:rsidRPr="006C7B74">
        <w:rPr>
          <w:rFonts w:cstheme="minorHAnsi"/>
          <w:sz w:val="20"/>
          <w:szCs w:val="20"/>
        </w:rPr>
        <w:t xml:space="preserve"> through state, regional and local assessments of land supply and demand</w:t>
      </w:r>
      <w:r w:rsidR="00350849" w:rsidRPr="006C7B74">
        <w:rPr>
          <w:rFonts w:cstheme="minorHAnsi"/>
          <w:sz w:val="20"/>
          <w:szCs w:val="20"/>
        </w:rPr>
        <w:t>.</w:t>
      </w:r>
    </w:p>
    <w:p w14:paraId="5F92F52F" w14:textId="25D6F3BA" w:rsidR="00350849" w:rsidRPr="006C7B74" w:rsidRDefault="00F14E94" w:rsidP="00350849">
      <w:pPr>
        <w:pStyle w:val="ListParagraph"/>
        <w:numPr>
          <w:ilvl w:val="0"/>
          <w:numId w:val="43"/>
        </w:numPr>
        <w:spacing w:after="120"/>
        <w:rPr>
          <w:rFonts w:cstheme="minorHAnsi"/>
          <w:sz w:val="20"/>
          <w:szCs w:val="20"/>
        </w:rPr>
      </w:pPr>
      <w:r w:rsidRPr="006C7B74">
        <w:rPr>
          <w:rFonts w:cstheme="minorHAnsi"/>
          <w:sz w:val="20"/>
          <w:szCs w:val="20"/>
        </w:rPr>
        <w:t>P</w:t>
      </w:r>
      <w:r w:rsidR="00350849" w:rsidRPr="006C7B74">
        <w:rPr>
          <w:rFonts w:cstheme="minorHAnsi"/>
          <w:sz w:val="20"/>
          <w:szCs w:val="20"/>
        </w:rPr>
        <w:t xml:space="preserve">rovide </w:t>
      </w:r>
      <w:r w:rsidR="007D0387" w:rsidRPr="006C7B74">
        <w:rPr>
          <w:rFonts w:cstheme="minorHAnsi"/>
          <w:sz w:val="20"/>
          <w:szCs w:val="20"/>
        </w:rPr>
        <w:t xml:space="preserve">and retain an </w:t>
      </w:r>
      <w:r w:rsidR="001E2477" w:rsidRPr="006C7B74">
        <w:rPr>
          <w:rFonts w:cstheme="minorHAnsi"/>
          <w:sz w:val="20"/>
          <w:szCs w:val="20"/>
        </w:rPr>
        <w:t>adequate</w:t>
      </w:r>
      <w:r w:rsidR="007D0387" w:rsidRPr="006C7B74">
        <w:rPr>
          <w:rFonts w:cstheme="minorHAnsi"/>
          <w:sz w:val="20"/>
          <w:szCs w:val="20"/>
        </w:rPr>
        <w:t xml:space="preserve"> supply of</w:t>
      </w:r>
      <w:r w:rsidR="00350849" w:rsidRPr="006C7B74">
        <w:rPr>
          <w:rFonts w:cstheme="minorHAnsi"/>
          <w:sz w:val="20"/>
          <w:szCs w:val="20"/>
        </w:rPr>
        <w:t xml:space="preserve"> </w:t>
      </w:r>
      <w:r w:rsidR="003C7F33" w:rsidRPr="006C7B74">
        <w:rPr>
          <w:rFonts w:cstheme="minorHAnsi"/>
          <w:sz w:val="20"/>
          <w:szCs w:val="20"/>
        </w:rPr>
        <w:t xml:space="preserve">well-located </w:t>
      </w:r>
      <w:r w:rsidR="00350849" w:rsidRPr="006C7B74">
        <w:rPr>
          <w:rFonts w:cstheme="minorHAnsi"/>
          <w:sz w:val="20"/>
          <w:szCs w:val="20"/>
        </w:rPr>
        <w:t xml:space="preserve">zoned land to accommodate growth </w:t>
      </w:r>
      <w:r w:rsidR="003C7F33" w:rsidRPr="006C7B74">
        <w:rPr>
          <w:rFonts w:cstheme="minorHAnsi"/>
          <w:sz w:val="20"/>
          <w:szCs w:val="20"/>
        </w:rPr>
        <w:t>for industrial and commercial uses</w:t>
      </w:r>
      <w:r w:rsidR="00350849" w:rsidRPr="006C7B74">
        <w:rPr>
          <w:rFonts w:cstheme="minorHAnsi"/>
          <w:sz w:val="20"/>
          <w:szCs w:val="20"/>
        </w:rPr>
        <w:t>, including sufficient stocks of large</w:t>
      </w:r>
      <w:r w:rsidR="001A4F78" w:rsidRPr="006C7B74">
        <w:rPr>
          <w:rFonts w:cstheme="minorHAnsi"/>
          <w:sz w:val="20"/>
          <w:szCs w:val="20"/>
        </w:rPr>
        <w:t>r</w:t>
      </w:r>
      <w:r w:rsidR="00350849" w:rsidRPr="006C7B74">
        <w:rPr>
          <w:rFonts w:cstheme="minorHAnsi"/>
          <w:sz w:val="20"/>
          <w:szCs w:val="20"/>
        </w:rPr>
        <w:t xml:space="preserve"> sites </w:t>
      </w:r>
      <w:r w:rsidR="00896349">
        <w:rPr>
          <w:rFonts w:cstheme="minorHAnsi"/>
          <w:sz w:val="20"/>
          <w:szCs w:val="20"/>
        </w:rPr>
        <w:t>f</w:t>
      </w:r>
      <w:r w:rsidR="00350849" w:rsidRPr="006C7B74">
        <w:rPr>
          <w:rFonts w:cstheme="minorHAnsi"/>
          <w:sz w:val="20"/>
          <w:szCs w:val="20"/>
        </w:rPr>
        <w:t xml:space="preserve">or strategic </w:t>
      </w:r>
      <w:r w:rsidR="00E313EA" w:rsidRPr="006C7B74">
        <w:rPr>
          <w:rFonts w:cstheme="minorHAnsi"/>
          <w:sz w:val="20"/>
          <w:szCs w:val="20"/>
        </w:rPr>
        <w:t>investment</w:t>
      </w:r>
      <w:r w:rsidR="00A56603" w:rsidRPr="006C7B74">
        <w:rPr>
          <w:rFonts w:cstheme="minorHAnsi"/>
          <w:sz w:val="20"/>
          <w:szCs w:val="20"/>
        </w:rPr>
        <w:t>.</w:t>
      </w:r>
      <w:r w:rsidR="00350E19" w:rsidRPr="006C7B74">
        <w:rPr>
          <w:rFonts w:cstheme="minorHAnsi"/>
          <w:sz w:val="20"/>
          <w:szCs w:val="20"/>
        </w:rPr>
        <w:t xml:space="preserve"> </w:t>
      </w:r>
    </w:p>
    <w:p w14:paraId="41129963" w14:textId="769193E2" w:rsidR="000D3CF7" w:rsidRPr="006C7B74" w:rsidRDefault="00350849" w:rsidP="000D3CF7">
      <w:pPr>
        <w:pStyle w:val="ListParagraph"/>
        <w:numPr>
          <w:ilvl w:val="0"/>
          <w:numId w:val="43"/>
        </w:numPr>
        <w:spacing w:after="120"/>
        <w:rPr>
          <w:rFonts w:cstheme="minorHAnsi"/>
          <w:sz w:val="20"/>
          <w:szCs w:val="20"/>
        </w:rPr>
      </w:pPr>
      <w:r w:rsidRPr="006C7B74">
        <w:rPr>
          <w:rFonts w:cstheme="minorHAnsi"/>
          <w:sz w:val="20"/>
          <w:szCs w:val="20"/>
        </w:rPr>
        <w:t>Retain</w:t>
      </w:r>
      <w:r w:rsidR="0033327C" w:rsidRPr="006C7B74">
        <w:rPr>
          <w:rFonts w:cstheme="minorHAnsi"/>
          <w:sz w:val="20"/>
          <w:szCs w:val="20"/>
        </w:rPr>
        <w:t xml:space="preserve"> and protect</w:t>
      </w:r>
      <w:r w:rsidRPr="006C7B74">
        <w:rPr>
          <w:rFonts w:cstheme="minorHAnsi"/>
          <w:sz w:val="20"/>
          <w:szCs w:val="20"/>
        </w:rPr>
        <w:t xml:space="preserve"> land identified for strategic </w:t>
      </w:r>
      <w:r w:rsidR="00E313EA" w:rsidRPr="006C7B74">
        <w:rPr>
          <w:rFonts w:cstheme="minorHAnsi"/>
          <w:sz w:val="20"/>
          <w:szCs w:val="20"/>
        </w:rPr>
        <w:t>long-term</w:t>
      </w:r>
      <w:r w:rsidRPr="006C7B74">
        <w:rPr>
          <w:rFonts w:cstheme="minorHAnsi"/>
          <w:sz w:val="20"/>
          <w:szCs w:val="20"/>
        </w:rPr>
        <w:t xml:space="preserve"> growth for its intended purpose</w:t>
      </w:r>
      <w:r w:rsidR="004B0699" w:rsidRPr="006C7B74">
        <w:rPr>
          <w:rFonts w:cstheme="minorHAnsi"/>
          <w:sz w:val="20"/>
          <w:szCs w:val="20"/>
        </w:rPr>
        <w:t>.</w:t>
      </w:r>
    </w:p>
    <w:p w14:paraId="22B81EEC" w14:textId="5159FB37" w:rsidR="00F7504E" w:rsidRPr="006C7B74" w:rsidRDefault="00737F18" w:rsidP="00350849">
      <w:pPr>
        <w:pStyle w:val="ListParagraph"/>
        <w:numPr>
          <w:ilvl w:val="0"/>
          <w:numId w:val="43"/>
        </w:numPr>
        <w:spacing w:after="120"/>
        <w:rPr>
          <w:rFonts w:cstheme="minorHAnsi"/>
          <w:sz w:val="20"/>
          <w:szCs w:val="20"/>
        </w:rPr>
      </w:pPr>
      <w:r w:rsidRPr="006C7B74">
        <w:rPr>
          <w:rFonts w:cstheme="minorHAnsi"/>
          <w:sz w:val="20"/>
          <w:szCs w:val="20"/>
        </w:rPr>
        <w:t xml:space="preserve">Ensure proposals for land use change identify </w:t>
      </w:r>
      <w:r w:rsidR="00EE6C43" w:rsidRPr="006C7B74">
        <w:rPr>
          <w:rFonts w:cstheme="minorHAnsi"/>
          <w:sz w:val="20"/>
          <w:szCs w:val="20"/>
        </w:rPr>
        <w:t xml:space="preserve">either </w:t>
      </w:r>
      <w:r w:rsidRPr="006C7B74">
        <w:rPr>
          <w:rFonts w:cstheme="minorHAnsi"/>
          <w:sz w:val="20"/>
          <w:szCs w:val="20"/>
        </w:rPr>
        <w:t xml:space="preserve">how </w:t>
      </w:r>
      <w:r w:rsidR="0086180E" w:rsidRPr="006C7B74">
        <w:rPr>
          <w:rFonts w:cstheme="minorHAnsi"/>
          <w:sz w:val="20"/>
          <w:szCs w:val="20"/>
        </w:rPr>
        <w:t xml:space="preserve">they will accommodate local and regional employment needs, or how these can be satisfied </w:t>
      </w:r>
      <w:r w:rsidR="00EE6C43" w:rsidRPr="006C7B74">
        <w:rPr>
          <w:rFonts w:cstheme="minorHAnsi"/>
          <w:sz w:val="20"/>
          <w:szCs w:val="20"/>
        </w:rPr>
        <w:t xml:space="preserve">by alternative means. </w:t>
      </w:r>
    </w:p>
    <w:p w14:paraId="49E34F32" w14:textId="4D786747" w:rsidR="004E5424" w:rsidRPr="006C7B74" w:rsidRDefault="004E5424" w:rsidP="00C758C2">
      <w:pPr>
        <w:pStyle w:val="ListParagraph"/>
        <w:numPr>
          <w:ilvl w:val="0"/>
          <w:numId w:val="43"/>
        </w:numPr>
        <w:spacing w:after="120"/>
        <w:rPr>
          <w:rFonts w:cstheme="minorHAnsi"/>
          <w:sz w:val="20"/>
          <w:szCs w:val="20"/>
        </w:rPr>
      </w:pPr>
      <w:r w:rsidRPr="006C7B74">
        <w:rPr>
          <w:rFonts w:cstheme="minorHAnsi"/>
          <w:sz w:val="20"/>
          <w:szCs w:val="20"/>
        </w:rPr>
        <w:t>Ensure the location and attributes of planned commercial and industrial areas will support their intended strategic function and user needs.</w:t>
      </w:r>
    </w:p>
    <w:p w14:paraId="5546A07A" w14:textId="1CA64BD8" w:rsidR="00350849" w:rsidRPr="006C7B74" w:rsidRDefault="00350849" w:rsidP="007420C4">
      <w:pPr>
        <w:pStyle w:val="ListParagraph"/>
        <w:numPr>
          <w:ilvl w:val="0"/>
          <w:numId w:val="43"/>
        </w:numPr>
        <w:spacing w:after="120"/>
        <w:rPr>
          <w:rFonts w:cstheme="minorHAnsi"/>
          <w:sz w:val="20"/>
          <w:szCs w:val="20"/>
        </w:rPr>
      </w:pPr>
      <w:r w:rsidRPr="006C7B74">
        <w:rPr>
          <w:rFonts w:cstheme="minorHAnsi"/>
          <w:sz w:val="20"/>
          <w:szCs w:val="20"/>
        </w:rPr>
        <w:t>Monitor development trends, land supply and demand for industrial and commercial land</w:t>
      </w:r>
      <w:r w:rsidR="004B0699" w:rsidRPr="006C7B74">
        <w:rPr>
          <w:rFonts w:cstheme="minorHAnsi"/>
          <w:sz w:val="20"/>
          <w:szCs w:val="20"/>
        </w:rPr>
        <w:t>.</w:t>
      </w:r>
      <w:r w:rsidRPr="006C7B74">
        <w:rPr>
          <w:rFonts w:cstheme="minorHAnsi"/>
          <w:sz w:val="20"/>
          <w:szCs w:val="20"/>
        </w:rPr>
        <w:t xml:space="preserve"> </w:t>
      </w:r>
    </w:p>
    <w:p w14:paraId="5BAD6C75" w14:textId="77777777" w:rsidR="00350849" w:rsidRPr="006C7B74" w:rsidRDefault="00350849" w:rsidP="002353A3">
      <w:pPr>
        <w:pStyle w:val="Heading4"/>
      </w:pPr>
      <w:r w:rsidRPr="006C7B74">
        <w:t>Principle 2</w:t>
      </w:r>
    </w:p>
    <w:p w14:paraId="2726A9CF" w14:textId="0B967E66" w:rsidR="00350849" w:rsidRPr="006C7B74" w:rsidRDefault="00C758C2" w:rsidP="00350849">
      <w:pPr>
        <w:spacing w:after="120"/>
        <w:rPr>
          <w:rFonts w:cstheme="minorHAnsi"/>
          <w:sz w:val="20"/>
          <w:szCs w:val="20"/>
        </w:rPr>
      </w:pPr>
      <w:r w:rsidRPr="006C7B74">
        <w:rPr>
          <w:rFonts w:cstheme="minorHAnsi"/>
          <w:sz w:val="20"/>
          <w:szCs w:val="20"/>
        </w:rPr>
        <w:t>I</w:t>
      </w:r>
      <w:r w:rsidR="00350849" w:rsidRPr="006C7B74">
        <w:rPr>
          <w:rFonts w:cstheme="minorHAnsi"/>
          <w:sz w:val="20"/>
          <w:szCs w:val="20"/>
        </w:rPr>
        <w:t xml:space="preserve">ndustrial and commercial areas </w:t>
      </w:r>
      <w:r w:rsidRPr="006C7B74">
        <w:rPr>
          <w:rFonts w:cstheme="minorHAnsi"/>
          <w:sz w:val="20"/>
          <w:szCs w:val="20"/>
        </w:rPr>
        <w:t xml:space="preserve">that </w:t>
      </w:r>
      <w:r w:rsidR="002E4945" w:rsidRPr="006C7B74">
        <w:rPr>
          <w:rFonts w:cstheme="minorHAnsi"/>
          <w:sz w:val="20"/>
          <w:szCs w:val="20"/>
        </w:rPr>
        <w:t>provide an ongoing</w:t>
      </w:r>
      <w:r w:rsidR="00350849" w:rsidRPr="006C7B74">
        <w:rPr>
          <w:rFonts w:cstheme="minorHAnsi"/>
          <w:sz w:val="20"/>
          <w:szCs w:val="20"/>
        </w:rPr>
        <w:t xml:space="preserve"> economic</w:t>
      </w:r>
      <w:r w:rsidR="000F7682" w:rsidRPr="006C7B74">
        <w:rPr>
          <w:rFonts w:cstheme="minorHAnsi"/>
          <w:sz w:val="20"/>
          <w:szCs w:val="20"/>
        </w:rPr>
        <w:t>, urban servicing</w:t>
      </w:r>
      <w:r w:rsidR="00350849" w:rsidRPr="006C7B74">
        <w:rPr>
          <w:rFonts w:cstheme="minorHAnsi"/>
          <w:sz w:val="20"/>
          <w:szCs w:val="20"/>
        </w:rPr>
        <w:t xml:space="preserve"> </w:t>
      </w:r>
      <w:r w:rsidR="0088053B" w:rsidRPr="006C7B74">
        <w:rPr>
          <w:rFonts w:cstheme="minorHAnsi"/>
          <w:sz w:val="20"/>
          <w:szCs w:val="20"/>
        </w:rPr>
        <w:t xml:space="preserve">or </w:t>
      </w:r>
      <w:r w:rsidR="00350849" w:rsidRPr="006C7B74">
        <w:rPr>
          <w:rFonts w:cstheme="minorHAnsi"/>
          <w:sz w:val="20"/>
          <w:szCs w:val="20"/>
        </w:rPr>
        <w:t xml:space="preserve">employment contribution to local communities, regions and the </w:t>
      </w:r>
      <w:r w:rsidR="00215979" w:rsidRPr="006C7B74">
        <w:rPr>
          <w:rFonts w:cstheme="minorHAnsi"/>
          <w:sz w:val="20"/>
          <w:szCs w:val="20"/>
        </w:rPr>
        <w:t>s</w:t>
      </w:r>
      <w:r w:rsidR="00350849" w:rsidRPr="006C7B74">
        <w:rPr>
          <w:rFonts w:cstheme="minorHAnsi"/>
          <w:sz w:val="20"/>
          <w:szCs w:val="20"/>
        </w:rPr>
        <w:t>tate</w:t>
      </w:r>
      <w:r w:rsidR="00063937" w:rsidRPr="006C7B74">
        <w:rPr>
          <w:rFonts w:cstheme="minorHAnsi"/>
          <w:sz w:val="20"/>
          <w:szCs w:val="20"/>
        </w:rPr>
        <w:t xml:space="preserve"> will be recognised and retained as a critical economic resource</w:t>
      </w:r>
      <w:r w:rsidR="00350849" w:rsidRPr="006C7B74">
        <w:rPr>
          <w:rFonts w:cstheme="minorHAnsi"/>
          <w:sz w:val="20"/>
          <w:szCs w:val="20"/>
        </w:rPr>
        <w:t>.</w:t>
      </w:r>
    </w:p>
    <w:p w14:paraId="114D33DB" w14:textId="77777777" w:rsidR="00350849" w:rsidRPr="006C7B74" w:rsidRDefault="00350849" w:rsidP="00350849">
      <w:pPr>
        <w:spacing w:after="120"/>
        <w:rPr>
          <w:rFonts w:cstheme="minorHAnsi"/>
          <w:i/>
          <w:sz w:val="20"/>
          <w:szCs w:val="20"/>
        </w:rPr>
      </w:pPr>
      <w:r w:rsidRPr="006C7B74">
        <w:rPr>
          <w:rFonts w:cstheme="minorHAnsi"/>
          <w:i/>
          <w:sz w:val="20"/>
          <w:szCs w:val="20"/>
        </w:rPr>
        <w:t>Strategies</w:t>
      </w:r>
    </w:p>
    <w:p w14:paraId="59CB213D" w14:textId="77777777" w:rsidR="00350849" w:rsidRPr="006C7B74" w:rsidRDefault="00350849" w:rsidP="00350849">
      <w:pPr>
        <w:pStyle w:val="ListParagraph"/>
        <w:numPr>
          <w:ilvl w:val="0"/>
          <w:numId w:val="43"/>
        </w:numPr>
        <w:spacing w:after="120"/>
        <w:rPr>
          <w:rFonts w:cstheme="minorHAnsi"/>
          <w:sz w:val="20"/>
          <w:szCs w:val="20"/>
        </w:rPr>
      </w:pPr>
      <w:r w:rsidRPr="006C7B74">
        <w:rPr>
          <w:rFonts w:cstheme="minorHAnsi"/>
          <w:sz w:val="20"/>
          <w:szCs w:val="20"/>
        </w:rPr>
        <w:t>Ensure that state, regional and local policies are aligned to support industrial and commercial areas.</w:t>
      </w:r>
    </w:p>
    <w:p w14:paraId="35532929" w14:textId="5272669C" w:rsidR="00350849" w:rsidRPr="006C7B74" w:rsidRDefault="00350849" w:rsidP="00350849">
      <w:pPr>
        <w:pStyle w:val="ListParagraph"/>
        <w:numPr>
          <w:ilvl w:val="0"/>
          <w:numId w:val="43"/>
        </w:numPr>
        <w:spacing w:after="120"/>
        <w:rPr>
          <w:rFonts w:cstheme="minorHAnsi"/>
          <w:sz w:val="20"/>
          <w:szCs w:val="20"/>
        </w:rPr>
      </w:pPr>
      <w:r w:rsidRPr="006C7B74">
        <w:rPr>
          <w:rFonts w:cstheme="minorHAnsi"/>
          <w:sz w:val="20"/>
          <w:szCs w:val="20"/>
        </w:rPr>
        <w:t xml:space="preserve">Clarify and strengthen the role and function of commercial centres as primary locations for commercial development and employment, prioritising economic activity and business synergies. </w:t>
      </w:r>
    </w:p>
    <w:p w14:paraId="525ED678" w14:textId="09D76031" w:rsidR="00350849" w:rsidRPr="006C7B74" w:rsidRDefault="00EC0D9C" w:rsidP="00350849">
      <w:pPr>
        <w:pStyle w:val="ListParagraph"/>
        <w:numPr>
          <w:ilvl w:val="0"/>
          <w:numId w:val="43"/>
        </w:numPr>
        <w:spacing w:after="120"/>
        <w:rPr>
          <w:rFonts w:cstheme="minorHAnsi"/>
          <w:sz w:val="20"/>
          <w:szCs w:val="20"/>
        </w:rPr>
      </w:pPr>
      <w:r w:rsidRPr="006C7B74">
        <w:rPr>
          <w:rFonts w:cstheme="minorHAnsi"/>
          <w:sz w:val="20"/>
          <w:szCs w:val="20"/>
        </w:rPr>
        <w:t>Prioritise industrial uses in industrial areas and a</w:t>
      </w:r>
      <w:r w:rsidR="00350849" w:rsidRPr="006C7B74">
        <w:rPr>
          <w:rFonts w:cstheme="minorHAnsi"/>
          <w:sz w:val="20"/>
          <w:szCs w:val="20"/>
        </w:rPr>
        <w:t xml:space="preserve">void </w:t>
      </w:r>
      <w:r w:rsidR="00E55854" w:rsidRPr="006C7B74">
        <w:rPr>
          <w:rFonts w:cstheme="minorHAnsi"/>
          <w:sz w:val="20"/>
          <w:szCs w:val="20"/>
        </w:rPr>
        <w:t xml:space="preserve">the </w:t>
      </w:r>
      <w:r w:rsidR="00350849" w:rsidRPr="006C7B74">
        <w:rPr>
          <w:rFonts w:cstheme="minorHAnsi"/>
          <w:sz w:val="20"/>
          <w:szCs w:val="20"/>
        </w:rPr>
        <w:t>approv</w:t>
      </w:r>
      <w:r w:rsidR="00E55854" w:rsidRPr="006C7B74">
        <w:rPr>
          <w:rFonts w:cstheme="minorHAnsi"/>
          <w:sz w:val="20"/>
          <w:szCs w:val="20"/>
        </w:rPr>
        <w:t>al of</w:t>
      </w:r>
      <w:r w:rsidR="00350849" w:rsidRPr="006C7B74">
        <w:rPr>
          <w:rFonts w:cstheme="minorHAnsi"/>
          <w:sz w:val="20"/>
          <w:szCs w:val="20"/>
        </w:rPr>
        <w:t xml:space="preserve"> non-industrial land uses that will prejudice the availability of land in identified industrial areas for future industrial uses. </w:t>
      </w:r>
    </w:p>
    <w:p w14:paraId="6A44988F" w14:textId="7F8C8F23" w:rsidR="006D1CB3" w:rsidRPr="006C7B74" w:rsidRDefault="00260B32" w:rsidP="006D1CB3">
      <w:pPr>
        <w:pStyle w:val="ListParagraph"/>
        <w:numPr>
          <w:ilvl w:val="0"/>
          <w:numId w:val="43"/>
        </w:numPr>
        <w:spacing w:after="120"/>
        <w:rPr>
          <w:rFonts w:cstheme="minorHAnsi"/>
          <w:sz w:val="20"/>
          <w:szCs w:val="20"/>
        </w:rPr>
      </w:pPr>
      <w:r w:rsidRPr="006C7B74">
        <w:rPr>
          <w:rFonts w:cstheme="minorHAnsi"/>
          <w:sz w:val="20"/>
          <w:szCs w:val="20"/>
        </w:rPr>
        <w:t>Ensure that l</w:t>
      </w:r>
      <w:r w:rsidR="006D1CB3" w:rsidRPr="006C7B74">
        <w:rPr>
          <w:rFonts w:cstheme="minorHAnsi"/>
          <w:sz w:val="20"/>
          <w:szCs w:val="20"/>
        </w:rPr>
        <w:t xml:space="preserve">and identified as being of local significance for industrial purposes </w:t>
      </w:r>
      <w:r w:rsidRPr="006C7B74">
        <w:rPr>
          <w:rFonts w:cstheme="minorHAnsi"/>
          <w:sz w:val="20"/>
          <w:szCs w:val="20"/>
        </w:rPr>
        <w:t>is</w:t>
      </w:r>
      <w:r w:rsidR="006D1CB3" w:rsidRPr="006C7B74">
        <w:rPr>
          <w:rFonts w:cstheme="minorHAnsi"/>
          <w:sz w:val="20"/>
          <w:szCs w:val="20"/>
        </w:rPr>
        <w:t xml:space="preserve"> only considered for mixed-use or residential purposes where strategic analysis can clearly demonstrate that the land is no longer required for industry, business or employment purposes and long-term demand can be met.</w:t>
      </w:r>
    </w:p>
    <w:p w14:paraId="649D845B" w14:textId="07CB7976" w:rsidR="006D1CB3" w:rsidRPr="006C7B74" w:rsidRDefault="006D1CB3" w:rsidP="006D1CB3">
      <w:pPr>
        <w:pStyle w:val="ListParagraph"/>
        <w:numPr>
          <w:ilvl w:val="0"/>
          <w:numId w:val="43"/>
        </w:numPr>
        <w:spacing w:after="120"/>
        <w:rPr>
          <w:rFonts w:cstheme="minorHAnsi"/>
          <w:sz w:val="20"/>
          <w:szCs w:val="20"/>
        </w:rPr>
      </w:pPr>
      <w:r w:rsidRPr="006C7B74">
        <w:rPr>
          <w:rFonts w:cstheme="minorHAnsi"/>
          <w:sz w:val="20"/>
          <w:szCs w:val="20"/>
        </w:rPr>
        <w:t>Plan for land use transition by identifying areas of expected change and protecting land which will be required for future and emerging industry</w:t>
      </w:r>
      <w:r w:rsidR="00E27439" w:rsidRPr="00E27439">
        <w:rPr>
          <w:rFonts w:cstheme="minorHAnsi"/>
          <w:sz w:val="20"/>
          <w:szCs w:val="20"/>
        </w:rPr>
        <w:t xml:space="preserve"> </w:t>
      </w:r>
      <w:r w:rsidR="00E27439" w:rsidRPr="006C7B74">
        <w:rPr>
          <w:rFonts w:cstheme="minorHAnsi"/>
          <w:sz w:val="20"/>
          <w:szCs w:val="20"/>
        </w:rPr>
        <w:t>over the long</w:t>
      </w:r>
      <w:r w:rsidR="00C71E4A">
        <w:rPr>
          <w:rFonts w:cstheme="minorHAnsi"/>
          <w:sz w:val="20"/>
          <w:szCs w:val="20"/>
        </w:rPr>
        <w:t>er</w:t>
      </w:r>
      <w:r w:rsidR="00E27439" w:rsidRPr="006C7B74">
        <w:rPr>
          <w:rFonts w:cstheme="minorHAnsi"/>
          <w:sz w:val="20"/>
          <w:szCs w:val="20"/>
        </w:rPr>
        <w:t xml:space="preserve"> term</w:t>
      </w:r>
      <w:r w:rsidRPr="006C7B74">
        <w:rPr>
          <w:rFonts w:cstheme="minorHAnsi"/>
          <w:sz w:val="20"/>
          <w:szCs w:val="20"/>
        </w:rPr>
        <w:t xml:space="preserve">. </w:t>
      </w:r>
    </w:p>
    <w:p w14:paraId="50231A62" w14:textId="39904BE6" w:rsidR="00350849" w:rsidRPr="006C7B74" w:rsidRDefault="00350849" w:rsidP="002353A3">
      <w:pPr>
        <w:pStyle w:val="Heading4"/>
      </w:pPr>
      <w:r w:rsidRPr="006C7B74">
        <w:t>Principle 3</w:t>
      </w:r>
    </w:p>
    <w:p w14:paraId="6DB7F6DE" w14:textId="480CE82E" w:rsidR="00350849" w:rsidRPr="006C7B74" w:rsidRDefault="00350849" w:rsidP="00350849">
      <w:pPr>
        <w:spacing w:after="120"/>
        <w:rPr>
          <w:rFonts w:cstheme="minorHAnsi"/>
          <w:sz w:val="20"/>
          <w:szCs w:val="20"/>
        </w:rPr>
      </w:pPr>
      <w:r w:rsidRPr="006C7B74">
        <w:rPr>
          <w:rFonts w:cstheme="minorHAnsi"/>
          <w:sz w:val="20"/>
          <w:szCs w:val="20"/>
        </w:rPr>
        <w:t xml:space="preserve">Planning for industrial and commercial land </w:t>
      </w:r>
      <w:r w:rsidR="00434AD6" w:rsidRPr="006C7B74">
        <w:rPr>
          <w:rFonts w:cstheme="minorHAnsi"/>
          <w:sz w:val="20"/>
          <w:szCs w:val="20"/>
        </w:rPr>
        <w:t>will</w:t>
      </w:r>
      <w:r w:rsidRPr="006C7B74">
        <w:rPr>
          <w:rFonts w:cstheme="minorHAnsi"/>
          <w:sz w:val="20"/>
          <w:szCs w:val="20"/>
        </w:rPr>
        <w:t xml:space="preserve"> provide clarity and certainty about how and where industry and business can grow over time to support and guide long term investment and locational decisions.</w:t>
      </w:r>
    </w:p>
    <w:p w14:paraId="4586979D" w14:textId="77777777" w:rsidR="00350849" w:rsidRPr="006C7B74" w:rsidRDefault="00350849" w:rsidP="007420C4">
      <w:pPr>
        <w:spacing w:after="120"/>
        <w:rPr>
          <w:rFonts w:cstheme="minorHAnsi"/>
          <w:i/>
          <w:sz w:val="20"/>
          <w:szCs w:val="20"/>
        </w:rPr>
      </w:pPr>
      <w:r w:rsidRPr="006C7B74">
        <w:rPr>
          <w:rFonts w:cstheme="minorHAnsi"/>
          <w:i/>
          <w:sz w:val="20"/>
          <w:szCs w:val="20"/>
        </w:rPr>
        <w:t>Strategies</w:t>
      </w:r>
    </w:p>
    <w:p w14:paraId="57732A57" w14:textId="541F983C" w:rsidR="00350849" w:rsidRPr="006C7B74" w:rsidRDefault="00350849" w:rsidP="00350849">
      <w:pPr>
        <w:pStyle w:val="ListParagraph"/>
        <w:numPr>
          <w:ilvl w:val="0"/>
          <w:numId w:val="43"/>
        </w:numPr>
        <w:spacing w:after="120"/>
        <w:rPr>
          <w:rFonts w:cstheme="minorHAnsi"/>
          <w:sz w:val="20"/>
          <w:szCs w:val="20"/>
        </w:rPr>
      </w:pPr>
      <w:r w:rsidRPr="006C7B74">
        <w:rPr>
          <w:rFonts w:cstheme="minorHAnsi"/>
          <w:sz w:val="20"/>
          <w:szCs w:val="20"/>
        </w:rPr>
        <w:t xml:space="preserve">Provide clear direction on locations where growth should occur. </w:t>
      </w:r>
    </w:p>
    <w:p w14:paraId="7C03CBCA" w14:textId="0CCF99B1" w:rsidR="00D92ADD" w:rsidRPr="006C7B74" w:rsidRDefault="00923877" w:rsidP="007420C4">
      <w:pPr>
        <w:pStyle w:val="ListParagraph"/>
        <w:numPr>
          <w:ilvl w:val="0"/>
          <w:numId w:val="43"/>
        </w:numPr>
        <w:spacing w:after="120"/>
        <w:rPr>
          <w:rFonts w:cstheme="minorHAnsi"/>
          <w:sz w:val="20"/>
          <w:szCs w:val="20"/>
        </w:rPr>
      </w:pPr>
      <w:r w:rsidRPr="006C7B74">
        <w:rPr>
          <w:rFonts w:cstheme="minorHAnsi"/>
          <w:sz w:val="20"/>
          <w:szCs w:val="20"/>
        </w:rPr>
        <w:t xml:space="preserve">Protect </w:t>
      </w:r>
      <w:r w:rsidR="002E534F" w:rsidRPr="006C7B74" w:rsidDel="00453BF3">
        <w:rPr>
          <w:rFonts w:cstheme="minorHAnsi"/>
          <w:sz w:val="20"/>
          <w:szCs w:val="20"/>
        </w:rPr>
        <w:t>s</w:t>
      </w:r>
      <w:r w:rsidRPr="006C7B74" w:rsidDel="00453BF3">
        <w:rPr>
          <w:rFonts w:cstheme="minorHAnsi"/>
          <w:sz w:val="20"/>
          <w:szCs w:val="20"/>
        </w:rPr>
        <w:t>tate</w:t>
      </w:r>
      <w:r w:rsidR="00B50849" w:rsidRPr="006C7B74" w:rsidDel="00453BF3">
        <w:rPr>
          <w:rFonts w:cstheme="minorHAnsi"/>
          <w:sz w:val="20"/>
          <w:szCs w:val="20"/>
        </w:rPr>
        <w:t>-</w:t>
      </w:r>
      <w:r w:rsidRPr="006C7B74" w:rsidDel="00453BF3">
        <w:rPr>
          <w:rFonts w:cstheme="minorHAnsi"/>
          <w:sz w:val="20"/>
          <w:szCs w:val="20"/>
        </w:rPr>
        <w:t>significant industrial precincts</w:t>
      </w:r>
      <w:r w:rsidRPr="006C7B74">
        <w:rPr>
          <w:rFonts w:cstheme="minorHAnsi"/>
          <w:sz w:val="20"/>
          <w:szCs w:val="20"/>
        </w:rPr>
        <w:t xml:space="preserve"> from incompatible land uses to allow for future growth</w:t>
      </w:r>
      <w:r w:rsidR="00D92ADD" w:rsidRPr="006C7B74">
        <w:rPr>
          <w:rFonts w:cstheme="minorHAnsi"/>
          <w:sz w:val="20"/>
          <w:szCs w:val="20"/>
        </w:rPr>
        <w:t>.</w:t>
      </w:r>
      <w:r w:rsidR="004C419C" w:rsidRPr="006C7B74">
        <w:rPr>
          <w:rFonts w:cstheme="minorHAnsi"/>
          <w:sz w:val="20"/>
          <w:szCs w:val="20"/>
        </w:rPr>
        <w:t xml:space="preserve"> </w:t>
      </w:r>
    </w:p>
    <w:p w14:paraId="63C9B2F5" w14:textId="7167B1EF" w:rsidR="00D90BFB" w:rsidRPr="006C7B74" w:rsidRDefault="00D90BFB" w:rsidP="00D90BFB">
      <w:pPr>
        <w:pStyle w:val="ListParagraph"/>
        <w:numPr>
          <w:ilvl w:val="0"/>
          <w:numId w:val="43"/>
        </w:numPr>
        <w:spacing w:after="120"/>
        <w:rPr>
          <w:rFonts w:cstheme="minorHAnsi"/>
          <w:sz w:val="20"/>
          <w:szCs w:val="20"/>
        </w:rPr>
      </w:pPr>
      <w:r w:rsidRPr="006C7B74">
        <w:rPr>
          <w:rFonts w:cstheme="minorHAnsi"/>
          <w:sz w:val="20"/>
          <w:szCs w:val="20"/>
        </w:rPr>
        <w:t>Ensure that significant regional and local industrial and commercial precincts are retained through appropriate zones</w:t>
      </w:r>
      <w:r w:rsidR="00395B01" w:rsidRPr="006C7B74">
        <w:rPr>
          <w:rFonts w:cstheme="minorHAnsi"/>
          <w:sz w:val="20"/>
          <w:szCs w:val="20"/>
        </w:rPr>
        <w:t>.</w:t>
      </w:r>
    </w:p>
    <w:p w14:paraId="4610252A" w14:textId="280947CD" w:rsidR="00350849" w:rsidRPr="006C7B74" w:rsidRDefault="00350849" w:rsidP="00350849">
      <w:pPr>
        <w:pStyle w:val="ListParagraph"/>
        <w:numPr>
          <w:ilvl w:val="0"/>
          <w:numId w:val="43"/>
        </w:numPr>
        <w:spacing w:after="120"/>
        <w:rPr>
          <w:rFonts w:cstheme="minorHAnsi"/>
          <w:sz w:val="20"/>
          <w:szCs w:val="20"/>
        </w:rPr>
      </w:pPr>
      <w:r w:rsidRPr="006C7B74">
        <w:rPr>
          <w:rFonts w:cstheme="minorHAnsi"/>
          <w:sz w:val="20"/>
          <w:szCs w:val="20"/>
        </w:rPr>
        <w:t xml:space="preserve">Ensure that sensitive uses do not limit the operation of business in </w:t>
      </w:r>
      <w:r w:rsidR="00C25650" w:rsidRPr="006C7B74" w:rsidDel="00CE5ABD">
        <w:rPr>
          <w:rFonts w:cstheme="minorHAnsi"/>
          <w:sz w:val="20"/>
          <w:szCs w:val="20"/>
        </w:rPr>
        <w:t>s</w:t>
      </w:r>
      <w:r w:rsidRPr="006C7B74" w:rsidDel="00CE5ABD">
        <w:rPr>
          <w:rFonts w:cstheme="minorHAnsi"/>
          <w:sz w:val="20"/>
          <w:szCs w:val="20"/>
        </w:rPr>
        <w:t xml:space="preserve">tate or </w:t>
      </w:r>
      <w:proofErr w:type="gramStart"/>
      <w:r w:rsidR="00C25650" w:rsidRPr="006C7B74" w:rsidDel="00CE5ABD">
        <w:rPr>
          <w:rFonts w:cstheme="minorHAnsi"/>
          <w:sz w:val="20"/>
          <w:szCs w:val="20"/>
        </w:rPr>
        <w:t>r</w:t>
      </w:r>
      <w:r w:rsidRPr="006C7B74" w:rsidDel="00CE5ABD">
        <w:rPr>
          <w:rFonts w:cstheme="minorHAnsi"/>
          <w:sz w:val="20"/>
          <w:szCs w:val="20"/>
        </w:rPr>
        <w:t>egionally</w:t>
      </w:r>
      <w:r w:rsidR="00E23DBD" w:rsidRPr="006C7B74" w:rsidDel="00CE5ABD">
        <w:rPr>
          <w:rFonts w:cstheme="minorHAnsi"/>
          <w:sz w:val="20"/>
          <w:szCs w:val="20"/>
        </w:rPr>
        <w:t>-</w:t>
      </w:r>
      <w:r w:rsidRPr="006C7B74" w:rsidDel="00CE5ABD">
        <w:rPr>
          <w:rFonts w:cstheme="minorHAnsi"/>
          <w:sz w:val="20"/>
          <w:szCs w:val="20"/>
        </w:rPr>
        <w:t>significant</w:t>
      </w:r>
      <w:proofErr w:type="gramEnd"/>
      <w:r w:rsidRPr="006C7B74" w:rsidDel="00CE5ABD">
        <w:rPr>
          <w:rFonts w:cstheme="minorHAnsi"/>
          <w:sz w:val="20"/>
          <w:szCs w:val="20"/>
        </w:rPr>
        <w:t xml:space="preserve"> industrial </w:t>
      </w:r>
      <w:r w:rsidR="0046322B" w:rsidRPr="006C7B74">
        <w:rPr>
          <w:rFonts w:cstheme="minorHAnsi"/>
          <w:sz w:val="20"/>
          <w:szCs w:val="20"/>
        </w:rPr>
        <w:t>precincts</w:t>
      </w:r>
      <w:r w:rsidRPr="006C7B74">
        <w:rPr>
          <w:rFonts w:cstheme="minorHAnsi"/>
          <w:sz w:val="20"/>
          <w:szCs w:val="20"/>
        </w:rPr>
        <w:t xml:space="preserve">, through the provision of adequate separation and buffer areas. </w:t>
      </w:r>
    </w:p>
    <w:p w14:paraId="30203B33" w14:textId="77777777" w:rsidR="00731EF6" w:rsidRPr="006C7B74" w:rsidRDefault="00731EF6" w:rsidP="000D058C">
      <w:pPr>
        <w:spacing w:after="120"/>
        <w:rPr>
          <w:rFonts w:cstheme="minorHAnsi"/>
          <w:sz w:val="20"/>
          <w:szCs w:val="20"/>
        </w:rPr>
      </w:pPr>
    </w:p>
    <w:p w14:paraId="1B8C85AE" w14:textId="77777777" w:rsidR="00350849" w:rsidRPr="006C7B74" w:rsidRDefault="00350849" w:rsidP="002353A3">
      <w:pPr>
        <w:pStyle w:val="Heading4"/>
      </w:pPr>
      <w:r w:rsidRPr="006C7B74">
        <w:lastRenderedPageBreak/>
        <w:t>Principle 4</w:t>
      </w:r>
    </w:p>
    <w:p w14:paraId="78F11583" w14:textId="201B1770" w:rsidR="00350849" w:rsidRPr="006C7B74" w:rsidRDefault="00434AD6" w:rsidP="00350849">
      <w:pPr>
        <w:spacing w:after="120"/>
        <w:rPr>
          <w:rFonts w:cstheme="minorHAnsi"/>
          <w:sz w:val="20"/>
          <w:szCs w:val="20"/>
        </w:rPr>
      </w:pPr>
      <w:r w:rsidRPr="006C7B74">
        <w:rPr>
          <w:rFonts w:cstheme="minorHAnsi"/>
          <w:sz w:val="20"/>
          <w:szCs w:val="20"/>
        </w:rPr>
        <w:t>Planning will support i</w:t>
      </w:r>
      <w:r w:rsidR="00350849" w:rsidRPr="006C7B74">
        <w:rPr>
          <w:rFonts w:cstheme="minorHAnsi"/>
          <w:sz w:val="20"/>
          <w:szCs w:val="20"/>
        </w:rPr>
        <w:t xml:space="preserve">ndustry and business to innovate and </w:t>
      </w:r>
      <w:r w:rsidRPr="006C7B74">
        <w:rPr>
          <w:rFonts w:cstheme="minorHAnsi"/>
          <w:sz w:val="20"/>
          <w:szCs w:val="20"/>
        </w:rPr>
        <w:t xml:space="preserve">grow </w:t>
      </w:r>
      <w:r w:rsidR="00350849" w:rsidRPr="006C7B74">
        <w:rPr>
          <w:rFonts w:cstheme="minorHAnsi"/>
          <w:sz w:val="20"/>
          <w:szCs w:val="20"/>
        </w:rPr>
        <w:t>in areas identified for these purposes.</w:t>
      </w:r>
    </w:p>
    <w:p w14:paraId="53D3305C" w14:textId="77777777" w:rsidR="00350849" w:rsidRPr="006C7B74" w:rsidRDefault="00350849" w:rsidP="00350849">
      <w:pPr>
        <w:spacing w:after="120"/>
        <w:rPr>
          <w:rFonts w:cstheme="minorHAnsi"/>
          <w:i/>
          <w:sz w:val="20"/>
          <w:szCs w:val="20"/>
        </w:rPr>
      </w:pPr>
      <w:r w:rsidRPr="006C7B74">
        <w:rPr>
          <w:rFonts w:cstheme="minorHAnsi"/>
          <w:i/>
          <w:sz w:val="20"/>
          <w:szCs w:val="20"/>
        </w:rPr>
        <w:t>Strategies</w:t>
      </w:r>
    </w:p>
    <w:p w14:paraId="3D1C53C3" w14:textId="77777777" w:rsidR="00466B04" w:rsidRPr="006C7B74" w:rsidRDefault="00466B04" w:rsidP="00466B04">
      <w:pPr>
        <w:pStyle w:val="ListParagraph"/>
        <w:numPr>
          <w:ilvl w:val="0"/>
          <w:numId w:val="44"/>
        </w:numPr>
        <w:spacing w:after="120"/>
        <w:rPr>
          <w:rFonts w:cstheme="minorHAnsi"/>
          <w:sz w:val="20"/>
          <w:szCs w:val="20"/>
        </w:rPr>
      </w:pPr>
      <w:r w:rsidRPr="006C7B74">
        <w:rPr>
          <w:rFonts w:cstheme="minorHAnsi"/>
          <w:sz w:val="20"/>
          <w:szCs w:val="20"/>
        </w:rPr>
        <w:t>Provide opportunities for a wide range of industry and business activities to establish and operate both across Melbourne and in local areas.</w:t>
      </w:r>
    </w:p>
    <w:p w14:paraId="02C62980" w14:textId="77777777" w:rsidR="00466B04" w:rsidRPr="006C7B74" w:rsidRDefault="00466B04" w:rsidP="00466B04">
      <w:pPr>
        <w:pStyle w:val="ListParagraph"/>
        <w:numPr>
          <w:ilvl w:val="0"/>
          <w:numId w:val="44"/>
        </w:numPr>
        <w:spacing w:after="120"/>
        <w:rPr>
          <w:rFonts w:cstheme="minorHAnsi"/>
          <w:sz w:val="20"/>
          <w:szCs w:val="20"/>
        </w:rPr>
      </w:pPr>
      <w:r w:rsidRPr="006C7B74">
        <w:rPr>
          <w:rFonts w:cstheme="minorHAnsi"/>
          <w:sz w:val="20"/>
          <w:szCs w:val="20"/>
        </w:rPr>
        <w:t xml:space="preserve">Support the development or re-use of buildings that provide affordable, flexible and innovative spaces for businesses.  </w:t>
      </w:r>
    </w:p>
    <w:p w14:paraId="6EF4B6F9" w14:textId="1E210790" w:rsidR="00466B04" w:rsidRPr="006C7B74" w:rsidRDefault="00466B04" w:rsidP="00863762">
      <w:pPr>
        <w:pStyle w:val="ListParagraph"/>
        <w:numPr>
          <w:ilvl w:val="0"/>
          <w:numId w:val="44"/>
        </w:numPr>
        <w:spacing w:after="120"/>
        <w:rPr>
          <w:rFonts w:cstheme="minorHAnsi"/>
          <w:sz w:val="20"/>
          <w:szCs w:val="20"/>
        </w:rPr>
      </w:pPr>
      <w:r w:rsidRPr="006C7B74">
        <w:rPr>
          <w:rFonts w:cstheme="minorHAnsi"/>
          <w:sz w:val="20"/>
          <w:szCs w:val="20"/>
        </w:rPr>
        <w:t xml:space="preserve">Encourage the development and expansion of specialised industry clusters. </w:t>
      </w:r>
    </w:p>
    <w:p w14:paraId="4F23EFF3" w14:textId="66DF5D66" w:rsidR="00BE779E" w:rsidRPr="006C7B74" w:rsidRDefault="00350849" w:rsidP="00350849">
      <w:pPr>
        <w:pStyle w:val="ListParagraph"/>
        <w:numPr>
          <w:ilvl w:val="0"/>
          <w:numId w:val="44"/>
        </w:numPr>
        <w:spacing w:after="120"/>
        <w:rPr>
          <w:rFonts w:cstheme="minorHAnsi"/>
          <w:sz w:val="20"/>
          <w:szCs w:val="20"/>
        </w:rPr>
      </w:pPr>
      <w:r w:rsidRPr="006C7B74">
        <w:rPr>
          <w:rFonts w:cstheme="minorHAnsi"/>
          <w:sz w:val="20"/>
          <w:szCs w:val="20"/>
        </w:rPr>
        <w:t>Provide for significant local employment opportunities</w:t>
      </w:r>
      <w:r w:rsidR="00BE779E" w:rsidRPr="006C7B74">
        <w:rPr>
          <w:rFonts w:cstheme="minorHAnsi"/>
          <w:sz w:val="20"/>
          <w:szCs w:val="20"/>
        </w:rPr>
        <w:t xml:space="preserve"> to encourage local trip making and a compact city</w:t>
      </w:r>
      <w:r w:rsidR="003169BB">
        <w:rPr>
          <w:rFonts w:cstheme="minorHAnsi"/>
          <w:sz w:val="20"/>
          <w:szCs w:val="20"/>
        </w:rPr>
        <w:t>.</w:t>
      </w:r>
      <w:r w:rsidRPr="006C7B74">
        <w:rPr>
          <w:rFonts w:cstheme="minorHAnsi"/>
          <w:sz w:val="20"/>
          <w:szCs w:val="20"/>
        </w:rPr>
        <w:t xml:space="preserve"> </w:t>
      </w:r>
    </w:p>
    <w:p w14:paraId="73D1FC06" w14:textId="36D55C60" w:rsidR="00350849" w:rsidRPr="006C7B74" w:rsidRDefault="00BE779E" w:rsidP="00350849">
      <w:pPr>
        <w:pStyle w:val="ListParagraph"/>
        <w:numPr>
          <w:ilvl w:val="0"/>
          <w:numId w:val="44"/>
        </w:numPr>
        <w:spacing w:after="120"/>
        <w:rPr>
          <w:rFonts w:cstheme="minorHAnsi"/>
          <w:sz w:val="20"/>
          <w:szCs w:val="20"/>
        </w:rPr>
      </w:pPr>
      <w:r w:rsidRPr="006C7B74">
        <w:rPr>
          <w:rFonts w:cstheme="minorHAnsi"/>
          <w:sz w:val="20"/>
          <w:szCs w:val="20"/>
        </w:rPr>
        <w:t>P</w:t>
      </w:r>
      <w:r w:rsidR="00350849" w:rsidRPr="006C7B74">
        <w:rPr>
          <w:rFonts w:cstheme="minorHAnsi"/>
          <w:sz w:val="20"/>
          <w:szCs w:val="20"/>
        </w:rPr>
        <w:t xml:space="preserve">rovide for large scale industrial or regional employment </w:t>
      </w:r>
      <w:r w:rsidR="00E23B7A" w:rsidRPr="006C7B74">
        <w:rPr>
          <w:rFonts w:cstheme="minorHAnsi"/>
          <w:sz w:val="20"/>
          <w:szCs w:val="20"/>
        </w:rPr>
        <w:t>generators</w:t>
      </w:r>
      <w:r w:rsidR="00863762" w:rsidRPr="006C7B74">
        <w:rPr>
          <w:rFonts w:cstheme="minorHAnsi"/>
          <w:sz w:val="20"/>
          <w:szCs w:val="20"/>
        </w:rPr>
        <w:t xml:space="preserve"> in locations suitable for such uses</w:t>
      </w:r>
      <w:r w:rsidR="00B5516E" w:rsidRPr="006C7B74">
        <w:rPr>
          <w:rFonts w:cstheme="minorHAnsi"/>
          <w:sz w:val="20"/>
          <w:szCs w:val="20"/>
        </w:rPr>
        <w:t>.</w:t>
      </w:r>
    </w:p>
    <w:p w14:paraId="1DCF27BB" w14:textId="6710656E" w:rsidR="00553AC7" w:rsidRPr="006C7B74" w:rsidRDefault="00553AC7" w:rsidP="00C8582E">
      <w:pPr>
        <w:pStyle w:val="ListParagraph"/>
        <w:numPr>
          <w:ilvl w:val="0"/>
          <w:numId w:val="44"/>
        </w:numPr>
        <w:spacing w:after="120"/>
        <w:rPr>
          <w:rFonts w:cstheme="minorHAnsi"/>
          <w:sz w:val="20"/>
          <w:szCs w:val="20"/>
        </w:rPr>
      </w:pPr>
      <w:r w:rsidRPr="006C7B74">
        <w:rPr>
          <w:rFonts w:cstheme="minorHAnsi"/>
          <w:sz w:val="20"/>
          <w:szCs w:val="20"/>
        </w:rPr>
        <w:t xml:space="preserve">Support the development of infrastructure and services which facilitate the development or growth of industrial and commercial areas. </w:t>
      </w:r>
    </w:p>
    <w:p w14:paraId="7B4ADEEE" w14:textId="77777777" w:rsidR="00350849" w:rsidRPr="006C7B74" w:rsidRDefault="00350849" w:rsidP="00350849">
      <w:pPr>
        <w:spacing w:after="120"/>
        <w:rPr>
          <w:rFonts w:cstheme="minorHAnsi"/>
          <w:sz w:val="20"/>
          <w:szCs w:val="20"/>
        </w:rPr>
      </w:pPr>
    </w:p>
    <w:p w14:paraId="5CBB7455" w14:textId="5EBA3C1A" w:rsidR="009B2E64" w:rsidRPr="006C7B74" w:rsidRDefault="009B2E64" w:rsidP="002353A3">
      <w:pPr>
        <w:pStyle w:val="Heading3"/>
      </w:pPr>
      <w:bookmarkStart w:id="30" w:name="_Toc21694810"/>
      <w:r w:rsidRPr="006C7B74">
        <w:t xml:space="preserve">Planning </w:t>
      </w:r>
      <w:r w:rsidR="009F5773" w:rsidRPr="006C7B74">
        <w:t>f</w:t>
      </w:r>
      <w:r w:rsidRPr="006C7B74">
        <w:t xml:space="preserve">ramework for </w:t>
      </w:r>
      <w:r w:rsidR="009F5773" w:rsidRPr="006C7B74">
        <w:t>i</w:t>
      </w:r>
      <w:r w:rsidRPr="006C7B74">
        <w:t xml:space="preserve">ndustrial and </w:t>
      </w:r>
      <w:r w:rsidR="009F5773" w:rsidRPr="006C7B74">
        <w:t>c</w:t>
      </w:r>
      <w:r w:rsidRPr="006C7B74">
        <w:t xml:space="preserve">ommercial </w:t>
      </w:r>
      <w:r w:rsidR="009F5773" w:rsidRPr="006C7B74">
        <w:t>l</w:t>
      </w:r>
      <w:r w:rsidRPr="006C7B74">
        <w:t>and</w:t>
      </w:r>
      <w:bookmarkEnd w:id="30"/>
    </w:p>
    <w:p w14:paraId="65EDCCD7" w14:textId="5FDDFAF9" w:rsidR="00471EA5" w:rsidRPr="006C7B74" w:rsidRDefault="009B2E64" w:rsidP="009B2E64">
      <w:pPr>
        <w:spacing w:after="120"/>
        <w:rPr>
          <w:rFonts w:cstheme="minorHAnsi"/>
          <w:sz w:val="20"/>
          <w:szCs w:val="20"/>
        </w:rPr>
      </w:pPr>
      <w:r w:rsidRPr="006C7B74">
        <w:rPr>
          <w:rFonts w:cstheme="minorHAnsi"/>
          <w:sz w:val="20"/>
          <w:szCs w:val="20"/>
        </w:rPr>
        <w:t xml:space="preserve">To support planning for industrial and commercial land, it is proposed to put in place a classification system that can assist how these areas are planned. </w:t>
      </w:r>
    </w:p>
    <w:p w14:paraId="5D25F945" w14:textId="5EC86C66" w:rsidR="00B633A4" w:rsidRPr="006C7B74" w:rsidRDefault="009B2E64" w:rsidP="009B2E64">
      <w:pPr>
        <w:spacing w:after="120"/>
        <w:rPr>
          <w:rFonts w:cstheme="minorHAnsi"/>
          <w:sz w:val="20"/>
          <w:szCs w:val="20"/>
        </w:rPr>
      </w:pPr>
      <w:r w:rsidRPr="006C7B74">
        <w:rPr>
          <w:rFonts w:cstheme="minorHAnsi"/>
          <w:sz w:val="20"/>
          <w:szCs w:val="20"/>
        </w:rPr>
        <w:t xml:space="preserve">The following </w:t>
      </w:r>
      <w:r w:rsidR="00471EA5" w:rsidRPr="006C7B74">
        <w:rPr>
          <w:rFonts w:cstheme="minorHAnsi"/>
          <w:sz w:val="20"/>
          <w:szCs w:val="20"/>
        </w:rPr>
        <w:t xml:space="preserve">framework </w:t>
      </w:r>
      <w:r w:rsidRPr="006C7B74">
        <w:rPr>
          <w:rFonts w:cstheme="minorHAnsi"/>
          <w:sz w:val="20"/>
          <w:szCs w:val="20"/>
        </w:rPr>
        <w:t xml:space="preserve">has been developed to </w:t>
      </w:r>
      <w:r w:rsidR="00471EA5" w:rsidRPr="006C7B74">
        <w:rPr>
          <w:rFonts w:cstheme="minorHAnsi"/>
          <w:sz w:val="20"/>
          <w:szCs w:val="20"/>
        </w:rPr>
        <w:t xml:space="preserve">enable </w:t>
      </w:r>
      <w:r w:rsidR="000C2832" w:rsidRPr="006C7B74">
        <w:rPr>
          <w:rFonts w:cstheme="minorHAnsi"/>
          <w:sz w:val="20"/>
          <w:szCs w:val="20"/>
        </w:rPr>
        <w:t xml:space="preserve">industrial and commercial </w:t>
      </w:r>
      <w:r w:rsidR="00471EA5" w:rsidRPr="006C7B74">
        <w:rPr>
          <w:rFonts w:cstheme="minorHAnsi"/>
          <w:sz w:val="20"/>
          <w:szCs w:val="20"/>
        </w:rPr>
        <w:t>land to be categorised as being either of state, regional or local significance</w:t>
      </w:r>
      <w:r w:rsidR="00B633A4" w:rsidRPr="006C7B74">
        <w:rPr>
          <w:rFonts w:cstheme="minorHAnsi"/>
          <w:sz w:val="20"/>
          <w:szCs w:val="20"/>
        </w:rPr>
        <w:t xml:space="preserve"> to </w:t>
      </w:r>
      <w:r w:rsidR="00B32905" w:rsidRPr="006C7B74">
        <w:rPr>
          <w:rFonts w:cstheme="minorHAnsi"/>
          <w:sz w:val="20"/>
          <w:szCs w:val="20"/>
        </w:rPr>
        <w:t>provide greater clarity</w:t>
      </w:r>
      <w:r w:rsidR="00F715FE" w:rsidRPr="006C7B74">
        <w:rPr>
          <w:rFonts w:cstheme="minorHAnsi"/>
          <w:sz w:val="20"/>
          <w:szCs w:val="20"/>
        </w:rPr>
        <w:t xml:space="preserve"> </w:t>
      </w:r>
      <w:r w:rsidR="00B32905" w:rsidRPr="006C7B74">
        <w:rPr>
          <w:rFonts w:cstheme="minorHAnsi"/>
          <w:sz w:val="20"/>
          <w:szCs w:val="20"/>
        </w:rPr>
        <w:t xml:space="preserve">about the strategic </w:t>
      </w:r>
      <w:r w:rsidR="00752289" w:rsidRPr="006C7B74">
        <w:rPr>
          <w:rFonts w:cstheme="minorHAnsi"/>
          <w:sz w:val="20"/>
          <w:szCs w:val="20"/>
        </w:rPr>
        <w:t xml:space="preserve">land use </w:t>
      </w:r>
      <w:r w:rsidR="00B32905" w:rsidRPr="006C7B74">
        <w:rPr>
          <w:rFonts w:cstheme="minorHAnsi"/>
          <w:sz w:val="20"/>
          <w:szCs w:val="20"/>
        </w:rPr>
        <w:t>intent</w:t>
      </w:r>
      <w:r w:rsidRPr="006C7B74">
        <w:rPr>
          <w:rFonts w:cstheme="minorHAnsi"/>
          <w:sz w:val="20"/>
          <w:szCs w:val="20"/>
        </w:rPr>
        <w:t>.</w:t>
      </w:r>
    </w:p>
    <w:p w14:paraId="7AC05B68" w14:textId="13A22419" w:rsidR="00D3697C" w:rsidRPr="006C7B74" w:rsidRDefault="00CC0DC4" w:rsidP="00DF7373">
      <w:pPr>
        <w:spacing w:after="120"/>
        <w:rPr>
          <w:rFonts w:cstheme="minorHAnsi"/>
          <w:sz w:val="20"/>
          <w:szCs w:val="20"/>
        </w:rPr>
      </w:pPr>
      <w:r w:rsidRPr="006C7B74">
        <w:rPr>
          <w:rFonts w:cstheme="minorHAnsi"/>
          <w:sz w:val="20"/>
          <w:szCs w:val="20"/>
        </w:rPr>
        <w:t xml:space="preserve">The </w:t>
      </w:r>
      <w:r w:rsidR="00F2097F" w:rsidRPr="006C7B74">
        <w:rPr>
          <w:rFonts w:cstheme="minorHAnsi"/>
          <w:sz w:val="20"/>
          <w:szCs w:val="20"/>
        </w:rPr>
        <w:t xml:space="preserve">level of significance in the hierarchy does not </w:t>
      </w:r>
      <w:r w:rsidR="00627D45" w:rsidRPr="006C7B74">
        <w:rPr>
          <w:rFonts w:cstheme="minorHAnsi"/>
          <w:sz w:val="20"/>
          <w:szCs w:val="20"/>
        </w:rPr>
        <w:t>in itself</w:t>
      </w:r>
      <w:r w:rsidR="005F36E3" w:rsidRPr="006C7B74">
        <w:rPr>
          <w:rFonts w:cstheme="minorHAnsi"/>
          <w:sz w:val="20"/>
          <w:szCs w:val="20"/>
        </w:rPr>
        <w:t xml:space="preserve"> </w:t>
      </w:r>
      <w:r w:rsidR="00E511F5" w:rsidRPr="006C7B74">
        <w:rPr>
          <w:rFonts w:cstheme="minorHAnsi"/>
          <w:sz w:val="20"/>
          <w:szCs w:val="20"/>
        </w:rPr>
        <w:t>i</w:t>
      </w:r>
      <w:r w:rsidR="00A13529" w:rsidRPr="006C7B74">
        <w:rPr>
          <w:rFonts w:cstheme="minorHAnsi"/>
          <w:sz w:val="20"/>
          <w:szCs w:val="20"/>
        </w:rPr>
        <w:t>ndicate</w:t>
      </w:r>
      <w:r w:rsidR="00E511F5" w:rsidRPr="006C7B74">
        <w:rPr>
          <w:rFonts w:cstheme="minorHAnsi"/>
          <w:sz w:val="20"/>
          <w:szCs w:val="20"/>
        </w:rPr>
        <w:t xml:space="preserve"> whether la</w:t>
      </w:r>
      <w:r w:rsidR="00814B64" w:rsidRPr="006C7B74">
        <w:rPr>
          <w:rFonts w:cstheme="minorHAnsi"/>
          <w:sz w:val="20"/>
          <w:szCs w:val="20"/>
        </w:rPr>
        <w:t xml:space="preserve">nd should be retained for </w:t>
      </w:r>
      <w:r w:rsidR="00820824" w:rsidRPr="006C7B74">
        <w:rPr>
          <w:rFonts w:cstheme="minorHAnsi"/>
          <w:sz w:val="20"/>
          <w:szCs w:val="20"/>
        </w:rPr>
        <w:t xml:space="preserve">current </w:t>
      </w:r>
      <w:r w:rsidR="00E322FD" w:rsidRPr="006C7B74">
        <w:rPr>
          <w:rFonts w:cstheme="minorHAnsi"/>
          <w:sz w:val="20"/>
          <w:szCs w:val="20"/>
        </w:rPr>
        <w:t xml:space="preserve">industrial </w:t>
      </w:r>
      <w:r w:rsidR="00CB2459" w:rsidRPr="006C7B74">
        <w:rPr>
          <w:rFonts w:cstheme="minorHAnsi"/>
          <w:sz w:val="20"/>
          <w:szCs w:val="20"/>
        </w:rPr>
        <w:t>or</w:t>
      </w:r>
      <w:r w:rsidR="00E322FD" w:rsidRPr="006C7B74">
        <w:rPr>
          <w:rFonts w:cstheme="minorHAnsi"/>
          <w:sz w:val="20"/>
          <w:szCs w:val="20"/>
        </w:rPr>
        <w:t xml:space="preserve"> employment </w:t>
      </w:r>
      <w:proofErr w:type="gramStart"/>
      <w:r w:rsidR="00E322FD" w:rsidRPr="006C7B74">
        <w:rPr>
          <w:rFonts w:cstheme="minorHAnsi"/>
          <w:sz w:val="20"/>
          <w:szCs w:val="20"/>
        </w:rPr>
        <w:t>uses</w:t>
      </w:r>
      <w:r w:rsidR="00814B64" w:rsidRPr="006C7B74">
        <w:rPr>
          <w:rFonts w:cstheme="minorHAnsi"/>
          <w:sz w:val="20"/>
          <w:szCs w:val="20"/>
        </w:rPr>
        <w:t xml:space="preserve">, </w:t>
      </w:r>
      <w:r w:rsidR="00D83AD4" w:rsidRPr="006C7B74">
        <w:rPr>
          <w:rFonts w:cstheme="minorHAnsi"/>
          <w:sz w:val="20"/>
          <w:szCs w:val="20"/>
        </w:rPr>
        <w:t>or</w:t>
      </w:r>
      <w:proofErr w:type="gramEnd"/>
      <w:r w:rsidR="00D83AD4" w:rsidRPr="006C7B74">
        <w:rPr>
          <w:rFonts w:cstheme="minorHAnsi"/>
          <w:sz w:val="20"/>
          <w:szCs w:val="20"/>
        </w:rPr>
        <w:t xml:space="preserve"> considered for alternative uses. </w:t>
      </w:r>
      <w:r w:rsidR="00471105" w:rsidRPr="006C7B74">
        <w:rPr>
          <w:rFonts w:cstheme="minorHAnsi"/>
          <w:sz w:val="20"/>
          <w:szCs w:val="20"/>
        </w:rPr>
        <w:t xml:space="preserve">Future </w:t>
      </w:r>
      <w:r w:rsidR="00D73CB9" w:rsidRPr="006C7B74">
        <w:rPr>
          <w:rFonts w:cstheme="minorHAnsi"/>
          <w:sz w:val="20"/>
          <w:szCs w:val="20"/>
        </w:rPr>
        <w:t xml:space="preserve">land use </w:t>
      </w:r>
      <w:r w:rsidR="00605BDF" w:rsidRPr="006C7B74">
        <w:rPr>
          <w:rFonts w:cstheme="minorHAnsi"/>
          <w:sz w:val="20"/>
          <w:szCs w:val="20"/>
        </w:rPr>
        <w:t xml:space="preserve">will </w:t>
      </w:r>
      <w:r w:rsidR="00796B51">
        <w:rPr>
          <w:rFonts w:cstheme="minorHAnsi"/>
          <w:sz w:val="20"/>
          <w:szCs w:val="20"/>
        </w:rPr>
        <w:t xml:space="preserve">need to </w:t>
      </w:r>
      <w:r w:rsidR="00605BDF" w:rsidRPr="006C7B74">
        <w:rPr>
          <w:rFonts w:cstheme="minorHAnsi"/>
          <w:sz w:val="20"/>
          <w:szCs w:val="20"/>
        </w:rPr>
        <w:t>be</w:t>
      </w:r>
      <w:r w:rsidR="00471105" w:rsidRPr="006C7B74">
        <w:rPr>
          <w:rFonts w:cstheme="minorHAnsi"/>
          <w:sz w:val="20"/>
          <w:szCs w:val="20"/>
        </w:rPr>
        <w:t xml:space="preserve"> determined</w:t>
      </w:r>
      <w:r w:rsidR="00D83AD4" w:rsidRPr="006C7B74">
        <w:rPr>
          <w:rFonts w:cstheme="minorHAnsi"/>
          <w:sz w:val="20"/>
          <w:szCs w:val="20"/>
        </w:rPr>
        <w:t xml:space="preserve"> </w:t>
      </w:r>
      <w:r w:rsidR="00453641" w:rsidRPr="006C7B74">
        <w:rPr>
          <w:rFonts w:cstheme="minorHAnsi"/>
          <w:sz w:val="20"/>
          <w:szCs w:val="20"/>
        </w:rPr>
        <w:t>by the relevant planning agencies</w:t>
      </w:r>
      <w:r w:rsidR="00471105" w:rsidRPr="006C7B74">
        <w:rPr>
          <w:rFonts w:cstheme="minorHAnsi"/>
          <w:sz w:val="20"/>
          <w:szCs w:val="20"/>
        </w:rPr>
        <w:t xml:space="preserve"> </w:t>
      </w:r>
      <w:r w:rsidR="00605BDF" w:rsidRPr="006C7B74">
        <w:rPr>
          <w:rFonts w:cstheme="minorHAnsi"/>
          <w:sz w:val="20"/>
          <w:szCs w:val="20"/>
        </w:rPr>
        <w:t>through</w:t>
      </w:r>
      <w:r w:rsidR="00471105" w:rsidRPr="006C7B74">
        <w:rPr>
          <w:rFonts w:cstheme="minorHAnsi"/>
          <w:sz w:val="20"/>
          <w:szCs w:val="20"/>
        </w:rPr>
        <w:t xml:space="preserve"> their strategic land use plans</w:t>
      </w:r>
      <w:r w:rsidR="00C8582E" w:rsidRPr="006C7B74">
        <w:rPr>
          <w:rFonts w:cstheme="minorHAnsi"/>
          <w:sz w:val="20"/>
          <w:szCs w:val="20"/>
        </w:rPr>
        <w:t>, including Plan Melbourne</w:t>
      </w:r>
      <w:r w:rsidR="00471105" w:rsidRPr="006C7B74">
        <w:rPr>
          <w:rFonts w:cstheme="minorHAnsi"/>
          <w:sz w:val="20"/>
          <w:szCs w:val="20"/>
        </w:rPr>
        <w:t>.</w:t>
      </w:r>
      <w:r w:rsidR="009D6771" w:rsidRPr="006C7B74">
        <w:rPr>
          <w:rFonts w:cstheme="minorHAnsi"/>
          <w:sz w:val="20"/>
          <w:szCs w:val="20"/>
        </w:rPr>
        <w:t xml:space="preserve"> </w:t>
      </w:r>
    </w:p>
    <w:p w14:paraId="4B332A8D" w14:textId="27FD102A" w:rsidR="000C3D2A" w:rsidRPr="006C7B74" w:rsidRDefault="009D6771" w:rsidP="000C3D2A">
      <w:pPr>
        <w:spacing w:after="120"/>
        <w:rPr>
          <w:rFonts w:cstheme="minorHAnsi"/>
          <w:sz w:val="20"/>
          <w:szCs w:val="20"/>
        </w:rPr>
      </w:pPr>
      <w:r w:rsidRPr="006C7B74">
        <w:rPr>
          <w:rFonts w:cstheme="minorHAnsi"/>
          <w:sz w:val="20"/>
          <w:szCs w:val="20"/>
        </w:rPr>
        <w:t xml:space="preserve">All planning agencies will need to give weight to the </w:t>
      </w:r>
      <w:r w:rsidR="005B2356" w:rsidRPr="006C7B74">
        <w:rPr>
          <w:rFonts w:cstheme="minorHAnsi"/>
          <w:sz w:val="20"/>
          <w:szCs w:val="20"/>
        </w:rPr>
        <w:t>classification</w:t>
      </w:r>
      <w:r w:rsidRPr="006C7B74">
        <w:rPr>
          <w:rFonts w:cstheme="minorHAnsi"/>
          <w:sz w:val="20"/>
          <w:szCs w:val="20"/>
        </w:rPr>
        <w:t xml:space="preserve"> of t</w:t>
      </w:r>
      <w:r w:rsidR="00567EEF" w:rsidRPr="006C7B74">
        <w:rPr>
          <w:rFonts w:cstheme="minorHAnsi"/>
          <w:sz w:val="20"/>
          <w:szCs w:val="20"/>
        </w:rPr>
        <w:t xml:space="preserve">he </w:t>
      </w:r>
      <w:r w:rsidR="004C0D07" w:rsidRPr="006C7B74">
        <w:rPr>
          <w:rFonts w:cstheme="minorHAnsi"/>
          <w:sz w:val="20"/>
          <w:szCs w:val="20"/>
        </w:rPr>
        <w:t>land in the hierarchy</w:t>
      </w:r>
      <w:r w:rsidRPr="006C7B74">
        <w:rPr>
          <w:rFonts w:cstheme="minorHAnsi"/>
          <w:sz w:val="20"/>
          <w:szCs w:val="20"/>
        </w:rPr>
        <w:t xml:space="preserve"> </w:t>
      </w:r>
      <w:r w:rsidR="00820824" w:rsidRPr="006C7B74">
        <w:rPr>
          <w:rFonts w:cstheme="minorHAnsi"/>
          <w:sz w:val="20"/>
          <w:szCs w:val="20"/>
        </w:rPr>
        <w:t xml:space="preserve">and the directions </w:t>
      </w:r>
      <w:r w:rsidR="00A50B63" w:rsidRPr="006C7B74">
        <w:rPr>
          <w:rFonts w:cstheme="minorHAnsi"/>
          <w:sz w:val="20"/>
          <w:szCs w:val="20"/>
        </w:rPr>
        <w:t xml:space="preserve">in this plan </w:t>
      </w:r>
      <w:r w:rsidR="00CC75CC" w:rsidRPr="006C7B74">
        <w:rPr>
          <w:rFonts w:cstheme="minorHAnsi"/>
          <w:sz w:val="20"/>
          <w:szCs w:val="20"/>
        </w:rPr>
        <w:t xml:space="preserve">and other state policy </w:t>
      </w:r>
      <w:r w:rsidRPr="006C7B74">
        <w:rPr>
          <w:rFonts w:cstheme="minorHAnsi"/>
          <w:sz w:val="20"/>
          <w:szCs w:val="20"/>
        </w:rPr>
        <w:t>when considering future land use and development opportunities</w:t>
      </w:r>
      <w:r w:rsidR="002C56E2">
        <w:rPr>
          <w:rFonts w:cstheme="minorHAnsi"/>
          <w:sz w:val="20"/>
          <w:szCs w:val="20"/>
        </w:rPr>
        <w:t>.</w:t>
      </w:r>
      <w:r w:rsidR="00C62933">
        <w:rPr>
          <w:rFonts w:cstheme="minorHAnsi"/>
          <w:sz w:val="20"/>
          <w:szCs w:val="20"/>
        </w:rPr>
        <w:t xml:space="preserve"> </w:t>
      </w:r>
      <w:r w:rsidR="00C639EE" w:rsidRPr="006C7B74">
        <w:rPr>
          <w:rFonts w:cstheme="minorHAnsi"/>
          <w:sz w:val="20"/>
          <w:szCs w:val="20"/>
        </w:rPr>
        <w:t xml:space="preserve">A </w:t>
      </w:r>
      <w:r w:rsidR="005B2356" w:rsidRPr="006C7B74">
        <w:rPr>
          <w:rFonts w:cstheme="minorHAnsi"/>
          <w:sz w:val="20"/>
          <w:szCs w:val="20"/>
        </w:rPr>
        <w:t>classification</w:t>
      </w:r>
      <w:r w:rsidR="00C639EE" w:rsidRPr="006C7B74">
        <w:rPr>
          <w:rFonts w:cstheme="minorHAnsi"/>
          <w:sz w:val="20"/>
          <w:szCs w:val="20"/>
        </w:rPr>
        <w:t xml:space="preserve"> of state, regional, or local significance reflects </w:t>
      </w:r>
      <w:r w:rsidR="0081161D" w:rsidRPr="006C7B74">
        <w:rPr>
          <w:rFonts w:cstheme="minorHAnsi"/>
          <w:sz w:val="20"/>
          <w:szCs w:val="20"/>
        </w:rPr>
        <w:t>the pol</w:t>
      </w:r>
      <w:r w:rsidR="001A0228" w:rsidRPr="006C7B74">
        <w:rPr>
          <w:rFonts w:cstheme="minorHAnsi"/>
          <w:sz w:val="20"/>
          <w:szCs w:val="20"/>
        </w:rPr>
        <w:t>icy aspira</w:t>
      </w:r>
      <w:r w:rsidR="00232A47" w:rsidRPr="006C7B74">
        <w:rPr>
          <w:rFonts w:cstheme="minorHAnsi"/>
          <w:sz w:val="20"/>
          <w:szCs w:val="20"/>
        </w:rPr>
        <w:t xml:space="preserve">tion for the area or precinct. </w:t>
      </w:r>
      <w:r w:rsidR="009655C4" w:rsidRPr="006C7B74">
        <w:rPr>
          <w:rFonts w:cstheme="minorHAnsi"/>
          <w:sz w:val="20"/>
          <w:szCs w:val="20"/>
        </w:rPr>
        <w:t>Th</w:t>
      </w:r>
      <w:r w:rsidR="005B2356" w:rsidRPr="006C7B74">
        <w:rPr>
          <w:rFonts w:cstheme="minorHAnsi"/>
          <w:sz w:val="20"/>
          <w:szCs w:val="20"/>
        </w:rPr>
        <w:t>e classification may arise</w:t>
      </w:r>
      <w:r w:rsidR="00810502" w:rsidRPr="006C7B74">
        <w:rPr>
          <w:rFonts w:cstheme="minorHAnsi"/>
          <w:sz w:val="20"/>
          <w:szCs w:val="20"/>
        </w:rPr>
        <w:t xml:space="preserve"> </w:t>
      </w:r>
      <w:r w:rsidR="00274C1B" w:rsidRPr="006C7B74">
        <w:rPr>
          <w:rFonts w:cstheme="minorHAnsi"/>
          <w:sz w:val="20"/>
          <w:szCs w:val="20"/>
        </w:rPr>
        <w:t>because</w:t>
      </w:r>
      <w:r w:rsidR="00810502" w:rsidRPr="006C7B74">
        <w:rPr>
          <w:rFonts w:cstheme="minorHAnsi"/>
          <w:sz w:val="20"/>
          <w:szCs w:val="20"/>
        </w:rPr>
        <w:t xml:space="preserve"> either </w:t>
      </w:r>
      <w:r w:rsidR="00274C1B" w:rsidRPr="006C7B74">
        <w:rPr>
          <w:rFonts w:cstheme="minorHAnsi"/>
          <w:sz w:val="20"/>
          <w:szCs w:val="20"/>
        </w:rPr>
        <w:t>a location</w:t>
      </w:r>
      <w:r w:rsidR="00810502" w:rsidRPr="006C7B74">
        <w:rPr>
          <w:rFonts w:cstheme="minorHAnsi"/>
          <w:sz w:val="20"/>
          <w:szCs w:val="20"/>
        </w:rPr>
        <w:t xml:space="preserve"> has been </w:t>
      </w:r>
      <w:r w:rsidR="007862EA" w:rsidRPr="006C7B74">
        <w:rPr>
          <w:rFonts w:cstheme="minorHAnsi"/>
          <w:sz w:val="20"/>
          <w:szCs w:val="20"/>
        </w:rPr>
        <w:t>assigned a</w:t>
      </w:r>
      <w:r w:rsidR="00274C1B" w:rsidRPr="006C7B74">
        <w:rPr>
          <w:rFonts w:cstheme="minorHAnsi"/>
          <w:sz w:val="20"/>
          <w:szCs w:val="20"/>
        </w:rPr>
        <w:t xml:space="preserve"> level of significance through a strategic land use plan, or because of the location’s existing attributes</w:t>
      </w:r>
      <w:r w:rsidR="00263499" w:rsidRPr="006C7B74">
        <w:rPr>
          <w:rFonts w:cstheme="minorHAnsi"/>
          <w:sz w:val="20"/>
          <w:szCs w:val="20"/>
        </w:rPr>
        <w:t xml:space="preserve">. State </w:t>
      </w:r>
      <w:r w:rsidR="00EF7DA3">
        <w:rPr>
          <w:rFonts w:cstheme="minorHAnsi"/>
          <w:sz w:val="20"/>
          <w:szCs w:val="20"/>
        </w:rPr>
        <w:t>g</w:t>
      </w:r>
      <w:r w:rsidR="003B4415">
        <w:rPr>
          <w:rFonts w:cstheme="minorHAnsi"/>
          <w:sz w:val="20"/>
          <w:szCs w:val="20"/>
        </w:rPr>
        <w:t>o</w:t>
      </w:r>
      <w:r w:rsidR="00A22D20">
        <w:rPr>
          <w:rFonts w:cstheme="minorHAnsi"/>
          <w:sz w:val="20"/>
          <w:szCs w:val="20"/>
        </w:rPr>
        <w:t>vernment will</w:t>
      </w:r>
      <w:r w:rsidR="003B4415">
        <w:rPr>
          <w:rFonts w:cstheme="minorHAnsi"/>
          <w:sz w:val="20"/>
          <w:szCs w:val="20"/>
        </w:rPr>
        <w:t xml:space="preserve"> be</w:t>
      </w:r>
      <w:r w:rsidR="00263499" w:rsidRPr="006C7B74">
        <w:rPr>
          <w:rFonts w:cstheme="minorHAnsi"/>
          <w:sz w:val="20"/>
          <w:szCs w:val="20"/>
        </w:rPr>
        <w:t xml:space="preserve"> responsible for </w:t>
      </w:r>
      <w:r w:rsidR="00EA6B3C">
        <w:rPr>
          <w:rFonts w:cstheme="minorHAnsi"/>
          <w:sz w:val="20"/>
          <w:szCs w:val="20"/>
        </w:rPr>
        <w:t>designating</w:t>
      </w:r>
      <w:r w:rsidR="00EA6B3C" w:rsidRPr="006C7B74">
        <w:rPr>
          <w:rFonts w:cstheme="minorHAnsi"/>
          <w:sz w:val="20"/>
          <w:szCs w:val="20"/>
        </w:rPr>
        <w:t xml:space="preserve"> </w:t>
      </w:r>
      <w:r w:rsidR="00263499" w:rsidRPr="006C7B74">
        <w:rPr>
          <w:rFonts w:cstheme="minorHAnsi"/>
          <w:sz w:val="20"/>
          <w:szCs w:val="20"/>
        </w:rPr>
        <w:t xml:space="preserve">state and </w:t>
      </w:r>
      <w:proofErr w:type="gramStart"/>
      <w:r w:rsidR="00263499" w:rsidRPr="006C7B74">
        <w:rPr>
          <w:rFonts w:cstheme="minorHAnsi"/>
          <w:sz w:val="20"/>
          <w:szCs w:val="20"/>
        </w:rPr>
        <w:t>regionally</w:t>
      </w:r>
      <w:r w:rsidR="004722CA" w:rsidRPr="006C7B74">
        <w:rPr>
          <w:rFonts w:cstheme="minorHAnsi"/>
          <w:sz w:val="20"/>
          <w:szCs w:val="20"/>
        </w:rPr>
        <w:t>-</w:t>
      </w:r>
      <w:r w:rsidR="00263499" w:rsidRPr="006C7B74">
        <w:rPr>
          <w:rFonts w:cstheme="minorHAnsi"/>
          <w:sz w:val="20"/>
          <w:szCs w:val="20"/>
        </w:rPr>
        <w:t>significant</w:t>
      </w:r>
      <w:proofErr w:type="gramEnd"/>
      <w:r w:rsidR="00263499" w:rsidRPr="006C7B74">
        <w:rPr>
          <w:rFonts w:cstheme="minorHAnsi"/>
          <w:sz w:val="20"/>
          <w:szCs w:val="20"/>
        </w:rPr>
        <w:t xml:space="preserve"> </w:t>
      </w:r>
      <w:r w:rsidR="00672622" w:rsidRPr="006C7B74">
        <w:rPr>
          <w:rFonts w:cstheme="minorHAnsi"/>
          <w:sz w:val="20"/>
          <w:szCs w:val="20"/>
        </w:rPr>
        <w:t xml:space="preserve">industrial </w:t>
      </w:r>
      <w:r w:rsidR="006E4033">
        <w:rPr>
          <w:rFonts w:cstheme="minorHAnsi"/>
          <w:sz w:val="20"/>
          <w:szCs w:val="20"/>
        </w:rPr>
        <w:t>and</w:t>
      </w:r>
      <w:r w:rsidR="0030157F">
        <w:rPr>
          <w:rFonts w:cstheme="minorHAnsi"/>
          <w:sz w:val="20"/>
          <w:szCs w:val="20"/>
        </w:rPr>
        <w:t xml:space="preserve"> commercial </w:t>
      </w:r>
      <w:r w:rsidR="00263499" w:rsidRPr="006C7B74">
        <w:rPr>
          <w:rFonts w:cstheme="minorHAnsi"/>
          <w:sz w:val="20"/>
          <w:szCs w:val="20"/>
        </w:rPr>
        <w:t>land</w:t>
      </w:r>
      <w:r w:rsidR="0000505E" w:rsidRPr="006C7B74">
        <w:rPr>
          <w:rFonts w:cstheme="minorHAnsi"/>
          <w:sz w:val="20"/>
          <w:szCs w:val="20"/>
        </w:rPr>
        <w:t xml:space="preserve"> when undertaking</w:t>
      </w:r>
      <w:r w:rsidR="00672622" w:rsidRPr="006C7B74">
        <w:rPr>
          <w:rFonts w:cstheme="minorHAnsi"/>
          <w:sz w:val="20"/>
          <w:szCs w:val="20"/>
        </w:rPr>
        <w:t xml:space="preserve"> metropolitan</w:t>
      </w:r>
      <w:r w:rsidR="00ED7867" w:rsidRPr="006C7B74">
        <w:rPr>
          <w:rFonts w:cstheme="minorHAnsi"/>
          <w:sz w:val="20"/>
          <w:szCs w:val="20"/>
        </w:rPr>
        <w:t xml:space="preserve">, or regional </w:t>
      </w:r>
      <w:r w:rsidR="007D0FF6">
        <w:rPr>
          <w:rFonts w:cstheme="minorHAnsi"/>
          <w:sz w:val="20"/>
          <w:szCs w:val="20"/>
        </w:rPr>
        <w:t>wide</w:t>
      </w:r>
      <w:r w:rsidR="00ED7867" w:rsidRPr="006C7B74">
        <w:rPr>
          <w:rFonts w:cstheme="minorHAnsi"/>
          <w:sz w:val="20"/>
          <w:szCs w:val="20"/>
        </w:rPr>
        <w:t xml:space="preserve"> planning</w:t>
      </w:r>
      <w:r w:rsidR="00263499" w:rsidRPr="006C7B74">
        <w:rPr>
          <w:rFonts w:cstheme="minorHAnsi"/>
          <w:sz w:val="20"/>
          <w:szCs w:val="20"/>
        </w:rPr>
        <w:t>.</w:t>
      </w:r>
    </w:p>
    <w:p w14:paraId="078DA0E7" w14:textId="77777777" w:rsidR="002353A3" w:rsidRPr="00EA37FD" w:rsidRDefault="002353A3" w:rsidP="002353A3">
      <w:pPr>
        <w:pStyle w:val="Heading4"/>
      </w:pPr>
      <w:r>
        <w:t xml:space="preserve">Changes to state and </w:t>
      </w:r>
      <w:proofErr w:type="gramStart"/>
      <w:r>
        <w:t>regionally-significant</w:t>
      </w:r>
      <w:proofErr w:type="gramEnd"/>
      <w:r>
        <w:t xml:space="preserve"> industrial and commercial land </w:t>
      </w:r>
    </w:p>
    <w:p w14:paraId="5F62779C" w14:textId="77777777" w:rsidR="002353A3" w:rsidRPr="002353A3" w:rsidRDefault="002353A3" w:rsidP="002353A3">
      <w:pPr>
        <w:pStyle w:val="BodyText"/>
      </w:pPr>
      <w:r w:rsidRPr="002353A3">
        <w:t>State-significant places are identified and put in place through the metropolitan planning strategy – Plan Melbourne. They are supported by state and regional policy included within the Planning Policy Framework in the Victoria Planning Provisions. Any future changes to these places would normally occur through a review of Plan Melbourne.</w:t>
      </w:r>
    </w:p>
    <w:p w14:paraId="5F9396A1" w14:textId="77777777" w:rsidR="002353A3" w:rsidRPr="002353A3" w:rsidRDefault="002353A3" w:rsidP="002353A3">
      <w:pPr>
        <w:pStyle w:val="BodyText"/>
      </w:pPr>
      <w:proofErr w:type="gramStart"/>
      <w:r w:rsidRPr="002353A3">
        <w:t>Regionally-significant</w:t>
      </w:r>
      <w:proofErr w:type="gramEnd"/>
      <w:r w:rsidRPr="002353A3">
        <w:t xml:space="preserve"> industrial and commercial land is identified through the Melbourne Industrial and Commercial Land Use Plan and are intended to be supported by regional policy in the Planning Policy Framework in the Victoria Planning Provisions. Any future changes to the extent of these areas would only be anticipated to occur following broader strategic work being led by either state or local government that justifies such a change. Subsequent planning scheme amendments would be required. </w:t>
      </w:r>
    </w:p>
    <w:p w14:paraId="3C067B1A" w14:textId="77777777" w:rsidR="002353A3" w:rsidRPr="002353A3" w:rsidRDefault="002353A3" w:rsidP="002353A3">
      <w:pPr>
        <w:pStyle w:val="BodyText"/>
      </w:pPr>
      <w:r w:rsidRPr="002353A3">
        <w:t xml:space="preserve">Examples of the type of strategic work that might require subsequent changes to the extent of regionally-significant industrial or commercial land includes strategic work being undertaken and led by state government such as the development of Land Use Framework Plans, planning for national employment and innovation clusters and priority precincts, precinct structure planning for growth areas and other major infrastructure projects such as the Suburban Rail Loop. </w:t>
      </w:r>
    </w:p>
    <w:p w14:paraId="5FAD5B67" w14:textId="77777777" w:rsidR="002353A3" w:rsidRPr="002353A3" w:rsidRDefault="002353A3" w:rsidP="002353A3">
      <w:pPr>
        <w:pStyle w:val="BodyText"/>
      </w:pPr>
      <w:r w:rsidRPr="002353A3">
        <w:t xml:space="preserve">There may also be instances where strategic planning work being led by local government, either municipal-wide or at a larger precinct-scale, may require subsequent changes to the extent of the </w:t>
      </w:r>
      <w:proofErr w:type="gramStart"/>
      <w:r w:rsidRPr="002353A3">
        <w:t>regionally-significant</w:t>
      </w:r>
      <w:proofErr w:type="gramEnd"/>
      <w:r w:rsidRPr="002353A3">
        <w:t xml:space="preserve"> industrial or commercial land. An example of such planning is the work underway by the City of Darebin for the Northland Urban Renewal Precinct in East Preston. This area includes the Northland Major Activity Centre and an area of industrial land identified as a </w:t>
      </w:r>
      <w:proofErr w:type="gramStart"/>
      <w:r w:rsidRPr="002353A3">
        <w:t>regionally-significant</w:t>
      </w:r>
      <w:proofErr w:type="gramEnd"/>
      <w:r w:rsidRPr="002353A3">
        <w:t xml:space="preserve"> industrial precinct by the Melbourne </w:t>
      </w:r>
      <w:r w:rsidRPr="002353A3">
        <w:lastRenderedPageBreak/>
        <w:t xml:space="preserve">Industrial and Commercial Land Use Plan. It also forms part of the broader La Trobe National Employment and Innovation Cluster. </w:t>
      </w:r>
    </w:p>
    <w:p w14:paraId="189858C9" w14:textId="77777777" w:rsidR="002353A3" w:rsidRPr="002353A3" w:rsidRDefault="002353A3" w:rsidP="002353A3">
      <w:pPr>
        <w:pStyle w:val="BodyText"/>
      </w:pPr>
      <w:r w:rsidRPr="002353A3">
        <w:t xml:space="preserve">The Northland Urban Renewal Precinct is a long-term planning project with </w:t>
      </w:r>
      <w:proofErr w:type="gramStart"/>
      <w:r w:rsidRPr="002353A3">
        <w:t>an</w:t>
      </w:r>
      <w:proofErr w:type="gramEnd"/>
      <w:r w:rsidRPr="002353A3">
        <w:t xml:space="preserve"> horizon of 30+ years. Considerable strategic work has already been completed by council, with objectives to facilitate greater diversity of employment and increased residential population within the precinct. Upon completion of this work by council realignment or changes to the overall extent of commercial and industrial land will likely be required.</w:t>
      </w:r>
    </w:p>
    <w:p w14:paraId="2AEC29EE" w14:textId="73B2B863" w:rsidR="00535011" w:rsidRPr="006C7B74" w:rsidRDefault="00535011" w:rsidP="00535011">
      <w:pPr>
        <w:pStyle w:val="Heading3"/>
      </w:pPr>
      <w:r>
        <w:t>Industrial precincts</w:t>
      </w:r>
    </w:p>
    <w:p w14:paraId="70CD5AB9" w14:textId="071444BD" w:rsidR="009B2E64" w:rsidRPr="006C7B74" w:rsidRDefault="009B2E64" w:rsidP="00153967">
      <w:pPr>
        <w:pStyle w:val="Heading4"/>
      </w:pPr>
      <w:r w:rsidRPr="006C7B74">
        <w:t>State</w:t>
      </w:r>
      <w:r w:rsidR="00AD03A6" w:rsidRPr="006C7B74">
        <w:t>-</w:t>
      </w:r>
      <w:r w:rsidR="00CE06B2" w:rsidRPr="006C7B74">
        <w:t>s</w:t>
      </w:r>
      <w:r w:rsidRPr="006C7B74">
        <w:t xml:space="preserve">ignificant </w:t>
      </w:r>
      <w:r w:rsidR="00CE06B2" w:rsidRPr="006C7B74">
        <w:t>i</w:t>
      </w:r>
      <w:r w:rsidRPr="006C7B74">
        <w:t xml:space="preserve">ndustrial </w:t>
      </w:r>
      <w:r w:rsidR="00CE06B2" w:rsidRPr="006C7B74">
        <w:t>p</w:t>
      </w:r>
      <w:r w:rsidRPr="006C7B74">
        <w:t>recincts</w:t>
      </w:r>
    </w:p>
    <w:p w14:paraId="111E5EE6" w14:textId="6D6BBBFA" w:rsidR="009B2E64" w:rsidRPr="006C7B74" w:rsidRDefault="009B2E64" w:rsidP="009B2E64">
      <w:pPr>
        <w:spacing w:after="120"/>
        <w:rPr>
          <w:rFonts w:cstheme="minorHAnsi"/>
          <w:sz w:val="20"/>
          <w:szCs w:val="20"/>
        </w:rPr>
      </w:pPr>
      <w:r w:rsidRPr="006C7B74">
        <w:rPr>
          <w:rFonts w:cstheme="minorHAnsi"/>
          <w:sz w:val="20"/>
          <w:szCs w:val="20"/>
        </w:rPr>
        <w:t>State</w:t>
      </w:r>
      <w:r w:rsidR="00B50849" w:rsidRPr="006C7B74">
        <w:rPr>
          <w:rFonts w:cstheme="minorHAnsi"/>
          <w:sz w:val="20"/>
          <w:szCs w:val="20"/>
        </w:rPr>
        <w:t>-s</w:t>
      </w:r>
      <w:r w:rsidRPr="006C7B74">
        <w:rPr>
          <w:rFonts w:cstheme="minorHAnsi"/>
          <w:sz w:val="20"/>
          <w:szCs w:val="20"/>
        </w:rPr>
        <w:t xml:space="preserve">ignificant </w:t>
      </w:r>
      <w:r w:rsidR="00B50849" w:rsidRPr="006C7B74">
        <w:rPr>
          <w:rFonts w:cstheme="minorHAnsi"/>
          <w:sz w:val="20"/>
          <w:szCs w:val="20"/>
        </w:rPr>
        <w:t>i</w:t>
      </w:r>
      <w:r w:rsidRPr="006C7B74">
        <w:rPr>
          <w:rFonts w:cstheme="minorHAnsi"/>
          <w:sz w:val="20"/>
          <w:szCs w:val="20"/>
        </w:rPr>
        <w:t xml:space="preserve">ndustrial </w:t>
      </w:r>
      <w:r w:rsidR="00B50849" w:rsidRPr="006C7B74">
        <w:rPr>
          <w:rFonts w:cstheme="minorHAnsi"/>
          <w:sz w:val="20"/>
          <w:szCs w:val="20"/>
        </w:rPr>
        <w:t>p</w:t>
      </w:r>
      <w:r w:rsidRPr="006C7B74">
        <w:rPr>
          <w:rFonts w:cstheme="minorHAnsi"/>
          <w:sz w:val="20"/>
          <w:szCs w:val="20"/>
        </w:rPr>
        <w:t xml:space="preserve">recincts </w:t>
      </w:r>
      <w:r w:rsidRPr="006C7B74" w:rsidDel="00374DEA">
        <w:rPr>
          <w:rFonts w:cstheme="minorHAnsi"/>
          <w:sz w:val="20"/>
          <w:szCs w:val="20"/>
        </w:rPr>
        <w:t xml:space="preserve">(SSIPs) </w:t>
      </w:r>
      <w:r w:rsidRPr="006C7B74">
        <w:rPr>
          <w:rFonts w:cstheme="minorHAnsi"/>
          <w:sz w:val="20"/>
          <w:szCs w:val="20"/>
        </w:rPr>
        <w:t xml:space="preserve">are identified </w:t>
      </w:r>
      <w:r w:rsidR="00E17DE4" w:rsidRPr="006C7B74">
        <w:rPr>
          <w:rFonts w:cstheme="minorHAnsi"/>
          <w:sz w:val="20"/>
          <w:szCs w:val="20"/>
        </w:rPr>
        <w:t>in</w:t>
      </w:r>
      <w:r w:rsidRPr="006C7B74">
        <w:rPr>
          <w:rFonts w:cstheme="minorHAnsi"/>
          <w:sz w:val="20"/>
          <w:szCs w:val="20"/>
        </w:rPr>
        <w:t xml:space="preserve"> Plan Melbourne </w:t>
      </w:r>
      <w:r w:rsidR="00B411AE" w:rsidRPr="006C7B74">
        <w:rPr>
          <w:rFonts w:cstheme="minorHAnsi"/>
          <w:sz w:val="20"/>
          <w:szCs w:val="20"/>
        </w:rPr>
        <w:t>and the Victoria Planning Provisions</w:t>
      </w:r>
      <w:r w:rsidRPr="006C7B74">
        <w:rPr>
          <w:rFonts w:cstheme="minorHAnsi"/>
          <w:sz w:val="20"/>
          <w:szCs w:val="20"/>
        </w:rPr>
        <w:t xml:space="preserve">. </w:t>
      </w:r>
      <w:r w:rsidR="007B1098" w:rsidRPr="006C7B74">
        <w:rPr>
          <w:rFonts w:cstheme="minorHAnsi"/>
          <w:sz w:val="20"/>
          <w:szCs w:val="20"/>
        </w:rPr>
        <w:t>There are five SSIPs identified across metropolitan Melbourne: Western SSIP, No</w:t>
      </w:r>
      <w:r w:rsidR="00B0210F" w:rsidRPr="006C7B74">
        <w:rPr>
          <w:rFonts w:cstheme="minorHAnsi"/>
          <w:sz w:val="20"/>
          <w:szCs w:val="20"/>
        </w:rPr>
        <w:t>rthern SSIP, Southern SSIP, Officer-Pakenham SSIP and Hastings SSIP.</w:t>
      </w:r>
    </w:p>
    <w:p w14:paraId="552B626A" w14:textId="59175EC1" w:rsidR="009B2E64" w:rsidRPr="006C7B74" w:rsidRDefault="009B2E64" w:rsidP="009B2E64">
      <w:pPr>
        <w:spacing w:after="120"/>
        <w:rPr>
          <w:rFonts w:cstheme="minorHAnsi"/>
          <w:sz w:val="20"/>
          <w:szCs w:val="20"/>
        </w:rPr>
      </w:pPr>
      <w:r w:rsidRPr="006C7B74">
        <w:rPr>
          <w:rFonts w:cstheme="minorHAnsi"/>
          <w:sz w:val="20"/>
          <w:szCs w:val="20"/>
        </w:rPr>
        <w:t xml:space="preserve">As outlined </w:t>
      </w:r>
      <w:r w:rsidR="00AC2DB2" w:rsidRPr="006C7B74">
        <w:rPr>
          <w:rFonts w:cstheme="minorHAnsi"/>
          <w:sz w:val="20"/>
          <w:szCs w:val="20"/>
        </w:rPr>
        <w:t>in</w:t>
      </w:r>
      <w:r w:rsidRPr="006C7B74">
        <w:rPr>
          <w:rFonts w:cstheme="minorHAnsi"/>
          <w:sz w:val="20"/>
          <w:szCs w:val="20"/>
        </w:rPr>
        <w:t xml:space="preserve"> that strategy, the purpose of SSIPs is to provide strategically located land for major industrial development linked to the </w:t>
      </w:r>
      <w:r w:rsidR="00E96035" w:rsidRPr="006C7B74">
        <w:rPr>
          <w:rFonts w:cstheme="minorHAnsi"/>
          <w:sz w:val="20"/>
          <w:szCs w:val="20"/>
        </w:rPr>
        <w:t>PFN</w:t>
      </w:r>
      <w:r w:rsidRPr="006C7B74">
        <w:rPr>
          <w:rFonts w:cstheme="minorHAnsi"/>
          <w:sz w:val="20"/>
          <w:szCs w:val="20"/>
        </w:rPr>
        <w:t xml:space="preserve"> and transport gateways. Future </w:t>
      </w:r>
      <w:r w:rsidR="00520C2E" w:rsidRPr="006C7B74">
        <w:rPr>
          <w:rFonts w:cstheme="minorHAnsi"/>
          <w:sz w:val="20"/>
          <w:szCs w:val="20"/>
        </w:rPr>
        <w:t>s</w:t>
      </w:r>
      <w:r w:rsidRPr="006C7B74">
        <w:rPr>
          <w:rFonts w:cstheme="minorHAnsi"/>
          <w:sz w:val="20"/>
          <w:szCs w:val="20"/>
        </w:rPr>
        <w:t>tate</w:t>
      </w:r>
      <w:r w:rsidR="003C14DB" w:rsidRPr="006C7B74">
        <w:rPr>
          <w:rFonts w:cstheme="minorHAnsi"/>
          <w:sz w:val="20"/>
          <w:szCs w:val="20"/>
        </w:rPr>
        <w:t>-</w:t>
      </w:r>
      <w:r w:rsidRPr="006C7B74">
        <w:rPr>
          <w:rFonts w:cstheme="minorHAnsi"/>
          <w:sz w:val="20"/>
          <w:szCs w:val="20"/>
        </w:rPr>
        <w:t xml:space="preserve">significant industrial land has also been identified to ensure there is sufficient land </w:t>
      </w:r>
      <w:r w:rsidR="00743087" w:rsidRPr="006C7B74">
        <w:rPr>
          <w:rFonts w:cstheme="minorHAnsi"/>
          <w:sz w:val="20"/>
          <w:szCs w:val="20"/>
        </w:rPr>
        <w:t xml:space="preserve">supply </w:t>
      </w:r>
      <w:r w:rsidRPr="006C7B74">
        <w:rPr>
          <w:rFonts w:cstheme="minorHAnsi"/>
          <w:sz w:val="20"/>
          <w:szCs w:val="20"/>
        </w:rPr>
        <w:t>available for major industrial development.</w:t>
      </w:r>
    </w:p>
    <w:p w14:paraId="7C6B5392" w14:textId="77777777" w:rsidR="009B2E64" w:rsidRPr="006C7B74" w:rsidRDefault="009B2E64" w:rsidP="009B2E64">
      <w:pPr>
        <w:spacing w:after="120"/>
        <w:rPr>
          <w:rFonts w:cstheme="minorHAnsi"/>
          <w:sz w:val="20"/>
          <w:szCs w:val="20"/>
        </w:rPr>
      </w:pPr>
      <w:r w:rsidRPr="006C7B74">
        <w:rPr>
          <w:rFonts w:cstheme="minorHAnsi"/>
          <w:sz w:val="20"/>
          <w:szCs w:val="20"/>
        </w:rPr>
        <w:t xml:space="preserve">It is state policy that these areas are to be protected from incompatible land uses to allow continual growth in freight, logistics and manufacturing investment. </w:t>
      </w:r>
    </w:p>
    <w:p w14:paraId="3C720ACA" w14:textId="77777777" w:rsidR="009B2E64" w:rsidRPr="006C7B74" w:rsidRDefault="009B2E64" w:rsidP="009B2E64">
      <w:pPr>
        <w:spacing w:after="120"/>
        <w:rPr>
          <w:rFonts w:cstheme="minorHAnsi"/>
          <w:sz w:val="20"/>
          <w:szCs w:val="20"/>
        </w:rPr>
      </w:pPr>
    </w:p>
    <w:p w14:paraId="7E14BFDF" w14:textId="709AF28B" w:rsidR="009B2E64" w:rsidRPr="006C7B74" w:rsidRDefault="009B2E64" w:rsidP="00153967">
      <w:pPr>
        <w:pStyle w:val="Heading4"/>
      </w:pPr>
      <w:proofErr w:type="gramStart"/>
      <w:r w:rsidRPr="006C7B74">
        <w:t>Regionally</w:t>
      </w:r>
      <w:r w:rsidR="00AD03A6" w:rsidRPr="006C7B74">
        <w:t>-</w:t>
      </w:r>
      <w:r w:rsidR="00C42950" w:rsidRPr="006C7B74">
        <w:t>s</w:t>
      </w:r>
      <w:r w:rsidRPr="006C7B74">
        <w:t>ignificant</w:t>
      </w:r>
      <w:proofErr w:type="gramEnd"/>
      <w:r w:rsidRPr="006C7B74">
        <w:t xml:space="preserve"> </w:t>
      </w:r>
      <w:r w:rsidR="00C42950" w:rsidRPr="006C7B74">
        <w:t>i</w:t>
      </w:r>
      <w:r w:rsidRPr="006C7B74">
        <w:t xml:space="preserve">ndustrial </w:t>
      </w:r>
      <w:r w:rsidR="00C42950" w:rsidRPr="006C7B74">
        <w:t>p</w:t>
      </w:r>
      <w:r w:rsidRPr="006C7B74">
        <w:t>recincts</w:t>
      </w:r>
    </w:p>
    <w:p w14:paraId="689D3BC9" w14:textId="3261D3FB" w:rsidR="00E80A5E" w:rsidRPr="006C7B74" w:rsidRDefault="009B2E64" w:rsidP="009B2E64">
      <w:pPr>
        <w:spacing w:after="120"/>
        <w:rPr>
          <w:rFonts w:cstheme="minorHAnsi"/>
          <w:sz w:val="20"/>
          <w:szCs w:val="20"/>
        </w:rPr>
      </w:pPr>
      <w:r w:rsidRPr="006C7B74">
        <w:rPr>
          <w:rFonts w:cstheme="minorHAnsi"/>
          <w:sz w:val="20"/>
          <w:szCs w:val="20"/>
        </w:rPr>
        <w:t xml:space="preserve">Across metropolitan Melbourne there are numerous key industrial </w:t>
      </w:r>
      <w:r w:rsidR="005B6F00" w:rsidRPr="006C7B74">
        <w:rPr>
          <w:rFonts w:cstheme="minorHAnsi"/>
          <w:sz w:val="20"/>
          <w:szCs w:val="20"/>
        </w:rPr>
        <w:t>and employment</w:t>
      </w:r>
      <w:r w:rsidR="00A6050B" w:rsidRPr="006C7B74">
        <w:rPr>
          <w:rFonts w:cstheme="minorHAnsi"/>
          <w:sz w:val="20"/>
          <w:szCs w:val="20"/>
        </w:rPr>
        <w:t xml:space="preserve"> </w:t>
      </w:r>
      <w:r w:rsidRPr="006C7B74">
        <w:rPr>
          <w:rFonts w:cstheme="minorHAnsi"/>
          <w:sz w:val="20"/>
          <w:szCs w:val="20"/>
        </w:rPr>
        <w:t xml:space="preserve">areas that contribute significantly to local and regional economies. Some of these areas are well established and support a range of industrial uses while others are transitioning </w:t>
      </w:r>
      <w:r w:rsidR="00A6050B" w:rsidRPr="006C7B74">
        <w:rPr>
          <w:rFonts w:cstheme="minorHAnsi"/>
          <w:sz w:val="20"/>
          <w:szCs w:val="20"/>
        </w:rPr>
        <w:t>to</w:t>
      </w:r>
      <w:r w:rsidRPr="006C7B74">
        <w:rPr>
          <w:rFonts w:cstheme="minorHAnsi"/>
          <w:sz w:val="20"/>
          <w:szCs w:val="20"/>
        </w:rPr>
        <w:t xml:space="preserve"> support</w:t>
      </w:r>
      <w:r w:rsidR="00A6050B" w:rsidRPr="006C7B74">
        <w:rPr>
          <w:rFonts w:cstheme="minorHAnsi"/>
          <w:sz w:val="20"/>
          <w:szCs w:val="20"/>
        </w:rPr>
        <w:t xml:space="preserve"> higher order</w:t>
      </w:r>
      <w:r w:rsidRPr="006C7B74">
        <w:rPr>
          <w:rFonts w:cstheme="minorHAnsi"/>
          <w:sz w:val="20"/>
          <w:szCs w:val="20"/>
        </w:rPr>
        <w:t xml:space="preserve"> uses</w:t>
      </w:r>
      <w:r w:rsidR="00C50955" w:rsidRPr="006C7B74">
        <w:rPr>
          <w:rFonts w:cstheme="minorHAnsi"/>
          <w:sz w:val="20"/>
          <w:szCs w:val="20"/>
        </w:rPr>
        <w:t xml:space="preserve"> and providing </w:t>
      </w:r>
      <w:r w:rsidR="006136E1" w:rsidRPr="006C7B74">
        <w:rPr>
          <w:rFonts w:cstheme="minorHAnsi"/>
          <w:sz w:val="20"/>
          <w:szCs w:val="20"/>
        </w:rPr>
        <w:t xml:space="preserve">a </w:t>
      </w:r>
      <w:r w:rsidR="00C50955" w:rsidRPr="006C7B74">
        <w:rPr>
          <w:rFonts w:cstheme="minorHAnsi"/>
          <w:sz w:val="20"/>
          <w:szCs w:val="20"/>
        </w:rPr>
        <w:t xml:space="preserve">broader </w:t>
      </w:r>
      <w:r w:rsidR="006136E1" w:rsidRPr="006C7B74">
        <w:rPr>
          <w:rFonts w:cstheme="minorHAnsi"/>
          <w:sz w:val="20"/>
          <w:szCs w:val="20"/>
        </w:rPr>
        <w:t xml:space="preserve">range of </w:t>
      </w:r>
      <w:r w:rsidR="00C50955" w:rsidRPr="006C7B74">
        <w:rPr>
          <w:rFonts w:cstheme="minorHAnsi"/>
          <w:sz w:val="20"/>
          <w:szCs w:val="20"/>
        </w:rPr>
        <w:t>employment opportunities</w:t>
      </w:r>
      <w:r w:rsidRPr="006C7B74">
        <w:rPr>
          <w:rFonts w:cstheme="minorHAnsi"/>
          <w:sz w:val="20"/>
          <w:szCs w:val="20"/>
        </w:rPr>
        <w:t xml:space="preserve">. In addition, future employment areas have been identified through </w:t>
      </w:r>
      <w:r w:rsidR="00065271" w:rsidRPr="006C7B74">
        <w:rPr>
          <w:sz w:val="20"/>
          <w:szCs w:val="20"/>
        </w:rPr>
        <w:t>Growth Corridor Plans</w:t>
      </w:r>
      <w:r w:rsidRPr="006C7B74">
        <w:rPr>
          <w:rFonts w:cstheme="minorHAnsi"/>
          <w:sz w:val="20"/>
          <w:szCs w:val="20"/>
        </w:rPr>
        <w:t xml:space="preserve"> to support not just employment growth in outer areas, but to also meet Melbourne’s longer term industrial and logistics needs. </w:t>
      </w:r>
      <w:r w:rsidR="00640C78" w:rsidRPr="006C7B74">
        <w:rPr>
          <w:rFonts w:cstheme="minorHAnsi"/>
          <w:sz w:val="20"/>
          <w:szCs w:val="20"/>
        </w:rPr>
        <w:t xml:space="preserve"> </w:t>
      </w:r>
    </w:p>
    <w:p w14:paraId="2C5AE599" w14:textId="2E8D0B53" w:rsidR="009B2E64" w:rsidRPr="006C7B74" w:rsidRDefault="009B2E64" w:rsidP="009B2E64">
      <w:pPr>
        <w:spacing w:after="120"/>
        <w:rPr>
          <w:rFonts w:cstheme="minorHAnsi"/>
          <w:sz w:val="20"/>
          <w:szCs w:val="20"/>
        </w:rPr>
      </w:pPr>
      <w:r w:rsidRPr="006C7B74">
        <w:rPr>
          <w:rFonts w:cstheme="minorHAnsi"/>
          <w:sz w:val="20"/>
          <w:szCs w:val="20"/>
        </w:rPr>
        <w:t xml:space="preserve">To support economic growth, industrial areas of </w:t>
      </w:r>
      <w:proofErr w:type="gramStart"/>
      <w:r w:rsidRPr="006C7B74">
        <w:rPr>
          <w:rFonts w:cstheme="minorHAnsi"/>
          <w:sz w:val="20"/>
          <w:szCs w:val="20"/>
        </w:rPr>
        <w:t>regional</w:t>
      </w:r>
      <w:r w:rsidR="00EB5026" w:rsidRPr="006C7B74">
        <w:rPr>
          <w:rFonts w:cstheme="minorHAnsi"/>
          <w:sz w:val="20"/>
          <w:szCs w:val="20"/>
        </w:rPr>
        <w:t>-</w:t>
      </w:r>
      <w:r w:rsidRPr="006C7B74">
        <w:rPr>
          <w:rFonts w:cstheme="minorHAnsi"/>
          <w:sz w:val="20"/>
          <w:szCs w:val="20"/>
        </w:rPr>
        <w:t>significance</w:t>
      </w:r>
      <w:proofErr w:type="gramEnd"/>
      <w:r w:rsidRPr="006C7B74">
        <w:rPr>
          <w:rFonts w:cstheme="minorHAnsi"/>
          <w:sz w:val="20"/>
          <w:szCs w:val="20"/>
        </w:rPr>
        <w:t xml:space="preserve"> have been identified. These areas need to be planned for and retained either </w:t>
      </w:r>
      <w:r w:rsidR="004737DE" w:rsidRPr="006C7B74">
        <w:rPr>
          <w:rFonts w:cstheme="minorHAnsi"/>
          <w:sz w:val="20"/>
          <w:szCs w:val="20"/>
        </w:rPr>
        <w:t xml:space="preserve">with a focus </w:t>
      </w:r>
      <w:r w:rsidRPr="006C7B74">
        <w:rPr>
          <w:rFonts w:cstheme="minorHAnsi"/>
          <w:sz w:val="20"/>
          <w:szCs w:val="20"/>
        </w:rPr>
        <w:t xml:space="preserve">as </w:t>
      </w:r>
      <w:r w:rsidR="005E5283" w:rsidRPr="006C7B74">
        <w:rPr>
          <w:rFonts w:cstheme="minorHAnsi"/>
          <w:sz w:val="20"/>
          <w:szCs w:val="20"/>
        </w:rPr>
        <w:t xml:space="preserve">a </w:t>
      </w:r>
      <w:r w:rsidRPr="006C7B74">
        <w:rPr>
          <w:rFonts w:cstheme="minorHAnsi"/>
          <w:sz w:val="20"/>
          <w:szCs w:val="20"/>
        </w:rPr>
        <w:t xml:space="preserve">key industrial area or </w:t>
      </w:r>
      <w:r w:rsidR="00CC49B6" w:rsidRPr="006C7B74">
        <w:rPr>
          <w:rFonts w:cstheme="minorHAnsi"/>
          <w:sz w:val="20"/>
          <w:szCs w:val="20"/>
        </w:rPr>
        <w:t xml:space="preserve">as </w:t>
      </w:r>
      <w:r w:rsidR="00885C86" w:rsidRPr="006C7B74">
        <w:rPr>
          <w:rFonts w:cstheme="minorHAnsi"/>
          <w:sz w:val="20"/>
          <w:szCs w:val="20"/>
        </w:rPr>
        <w:t xml:space="preserve">a </w:t>
      </w:r>
      <w:r w:rsidRPr="006C7B74">
        <w:rPr>
          <w:rFonts w:cstheme="minorHAnsi"/>
          <w:sz w:val="20"/>
          <w:szCs w:val="20"/>
        </w:rPr>
        <w:t xml:space="preserve">location that can </w:t>
      </w:r>
      <w:r w:rsidR="00CC49B6" w:rsidRPr="006C7B74">
        <w:rPr>
          <w:rFonts w:cstheme="minorHAnsi"/>
          <w:sz w:val="20"/>
          <w:szCs w:val="20"/>
        </w:rPr>
        <w:t xml:space="preserve">provide for, or </w:t>
      </w:r>
      <w:r w:rsidRPr="006C7B74">
        <w:rPr>
          <w:rFonts w:cstheme="minorHAnsi"/>
          <w:sz w:val="20"/>
          <w:szCs w:val="20"/>
        </w:rPr>
        <w:t>transition to</w:t>
      </w:r>
      <w:r w:rsidR="00CC49B6" w:rsidRPr="006C7B74">
        <w:rPr>
          <w:rFonts w:cstheme="minorHAnsi"/>
          <w:sz w:val="20"/>
          <w:szCs w:val="20"/>
        </w:rPr>
        <w:t>,</w:t>
      </w:r>
      <w:r w:rsidRPr="006C7B74">
        <w:rPr>
          <w:rFonts w:cstheme="minorHAnsi"/>
          <w:sz w:val="20"/>
          <w:szCs w:val="20"/>
        </w:rPr>
        <w:t xml:space="preserve"> a broader range of employment opportunities</w:t>
      </w:r>
      <w:r w:rsidR="005E5283" w:rsidRPr="006C7B74">
        <w:rPr>
          <w:rFonts w:cstheme="minorHAnsi"/>
          <w:sz w:val="20"/>
          <w:szCs w:val="20"/>
        </w:rPr>
        <w:t xml:space="preserve">. </w:t>
      </w:r>
      <w:r w:rsidR="00885C86" w:rsidRPr="006C7B74">
        <w:rPr>
          <w:rFonts w:cstheme="minorHAnsi"/>
          <w:sz w:val="20"/>
          <w:szCs w:val="20"/>
        </w:rPr>
        <w:t xml:space="preserve">Industrial focussed </w:t>
      </w:r>
      <w:r w:rsidR="000D5454" w:rsidRPr="006C7B74">
        <w:rPr>
          <w:rFonts w:cstheme="minorHAnsi"/>
          <w:sz w:val="20"/>
          <w:szCs w:val="20"/>
        </w:rPr>
        <w:t>precincts</w:t>
      </w:r>
      <w:r w:rsidR="00CD7ED8" w:rsidRPr="006C7B74">
        <w:rPr>
          <w:rFonts w:cstheme="minorHAnsi"/>
          <w:sz w:val="20"/>
          <w:szCs w:val="20"/>
        </w:rPr>
        <w:t xml:space="preserve"> would normal provide for </w:t>
      </w:r>
      <w:r w:rsidR="00AE473B" w:rsidRPr="006C7B74">
        <w:rPr>
          <w:rFonts w:cstheme="minorHAnsi"/>
          <w:sz w:val="20"/>
          <w:szCs w:val="20"/>
        </w:rPr>
        <w:t xml:space="preserve">a range of </w:t>
      </w:r>
      <w:r w:rsidR="00CD7ED8" w:rsidRPr="006C7B74">
        <w:rPr>
          <w:rFonts w:cstheme="minorHAnsi"/>
          <w:sz w:val="20"/>
          <w:szCs w:val="20"/>
        </w:rPr>
        <w:t>traditional industrial uses such as manufacturing, warehousing</w:t>
      </w:r>
      <w:r w:rsidR="000264E0" w:rsidRPr="006C7B74">
        <w:rPr>
          <w:rFonts w:cstheme="minorHAnsi"/>
          <w:sz w:val="20"/>
          <w:szCs w:val="20"/>
        </w:rPr>
        <w:t xml:space="preserve"> and other industry. </w:t>
      </w:r>
      <w:r w:rsidR="003F04C5" w:rsidRPr="006C7B74">
        <w:rPr>
          <w:rFonts w:cstheme="minorHAnsi"/>
          <w:sz w:val="20"/>
          <w:szCs w:val="20"/>
        </w:rPr>
        <w:t>In o</w:t>
      </w:r>
      <w:r w:rsidR="00063327" w:rsidRPr="006C7B74">
        <w:rPr>
          <w:rFonts w:cstheme="minorHAnsi"/>
          <w:sz w:val="20"/>
          <w:szCs w:val="20"/>
        </w:rPr>
        <w:t xml:space="preserve">ther </w:t>
      </w:r>
      <w:r w:rsidR="00513350" w:rsidRPr="006C7B74">
        <w:rPr>
          <w:rFonts w:cstheme="minorHAnsi"/>
          <w:sz w:val="20"/>
          <w:szCs w:val="20"/>
        </w:rPr>
        <w:t>precincts</w:t>
      </w:r>
      <w:r w:rsidR="000620A1" w:rsidRPr="006C7B74">
        <w:rPr>
          <w:rFonts w:cstheme="minorHAnsi"/>
          <w:sz w:val="20"/>
          <w:szCs w:val="20"/>
        </w:rPr>
        <w:t xml:space="preserve"> </w:t>
      </w:r>
      <w:r w:rsidR="003F04C5" w:rsidRPr="006C7B74">
        <w:rPr>
          <w:rFonts w:cstheme="minorHAnsi"/>
          <w:sz w:val="20"/>
          <w:szCs w:val="20"/>
        </w:rPr>
        <w:t>there may be a</w:t>
      </w:r>
      <w:r w:rsidR="006A627B" w:rsidRPr="006C7B74">
        <w:rPr>
          <w:rFonts w:cstheme="minorHAnsi"/>
          <w:sz w:val="20"/>
          <w:szCs w:val="20"/>
        </w:rPr>
        <w:t xml:space="preserve"> </w:t>
      </w:r>
      <w:r w:rsidR="001860DF" w:rsidRPr="006C7B74">
        <w:rPr>
          <w:rFonts w:cstheme="minorHAnsi"/>
          <w:sz w:val="20"/>
          <w:szCs w:val="20"/>
        </w:rPr>
        <w:t xml:space="preserve">desire to </w:t>
      </w:r>
      <w:r w:rsidR="00C00FCF" w:rsidRPr="006C7B74">
        <w:rPr>
          <w:rFonts w:cstheme="minorHAnsi"/>
          <w:sz w:val="20"/>
          <w:szCs w:val="20"/>
        </w:rPr>
        <w:t>promote</w:t>
      </w:r>
      <w:r w:rsidR="00C211D4" w:rsidRPr="006C7B74">
        <w:rPr>
          <w:rFonts w:cstheme="minorHAnsi"/>
          <w:sz w:val="20"/>
          <w:szCs w:val="20"/>
        </w:rPr>
        <w:t xml:space="preserve"> a different employment focussed outcome</w:t>
      </w:r>
      <w:r w:rsidR="009E4531" w:rsidRPr="006C7B74">
        <w:rPr>
          <w:rFonts w:cstheme="minorHAnsi"/>
          <w:sz w:val="20"/>
          <w:szCs w:val="20"/>
        </w:rPr>
        <w:t xml:space="preserve"> offering a higher amenity to workers and economic vibrancy</w:t>
      </w:r>
      <w:r w:rsidR="0050064C" w:rsidRPr="006C7B74">
        <w:rPr>
          <w:rFonts w:cstheme="minorHAnsi"/>
          <w:sz w:val="20"/>
          <w:szCs w:val="20"/>
        </w:rPr>
        <w:t>. T</w:t>
      </w:r>
      <w:r w:rsidR="00C211D4" w:rsidRPr="006C7B74">
        <w:rPr>
          <w:rFonts w:cstheme="minorHAnsi"/>
          <w:sz w:val="20"/>
          <w:szCs w:val="20"/>
        </w:rPr>
        <w:t>his could include</w:t>
      </w:r>
      <w:r w:rsidR="00957AE1" w:rsidRPr="006C7B74">
        <w:rPr>
          <w:rFonts w:cstheme="minorHAnsi"/>
          <w:sz w:val="20"/>
          <w:szCs w:val="20"/>
        </w:rPr>
        <w:t xml:space="preserve"> a greater focus on </w:t>
      </w:r>
      <w:r w:rsidR="00DC4608" w:rsidRPr="006C7B74">
        <w:rPr>
          <w:rFonts w:cstheme="minorHAnsi"/>
          <w:sz w:val="20"/>
          <w:szCs w:val="20"/>
        </w:rPr>
        <w:t>office</w:t>
      </w:r>
      <w:r w:rsidR="00123F46" w:rsidRPr="006C7B74">
        <w:rPr>
          <w:rFonts w:cstheme="minorHAnsi"/>
          <w:sz w:val="20"/>
          <w:szCs w:val="20"/>
        </w:rPr>
        <w:t xml:space="preserve"> or business park</w:t>
      </w:r>
      <w:r w:rsidR="00DC4608" w:rsidRPr="006C7B74">
        <w:rPr>
          <w:rFonts w:cstheme="minorHAnsi"/>
          <w:sz w:val="20"/>
          <w:szCs w:val="20"/>
        </w:rPr>
        <w:t xml:space="preserve"> development or </w:t>
      </w:r>
      <w:r w:rsidR="00DD2565" w:rsidRPr="006C7B74">
        <w:rPr>
          <w:rFonts w:cstheme="minorHAnsi"/>
          <w:sz w:val="20"/>
          <w:szCs w:val="20"/>
        </w:rPr>
        <w:t xml:space="preserve">support for </w:t>
      </w:r>
      <w:r w:rsidR="00E55F7F" w:rsidRPr="006C7B74">
        <w:rPr>
          <w:rFonts w:cstheme="minorHAnsi"/>
          <w:sz w:val="20"/>
          <w:szCs w:val="20"/>
        </w:rPr>
        <w:t xml:space="preserve">new and emerging </w:t>
      </w:r>
      <w:r w:rsidR="003177C7" w:rsidRPr="006C7B74">
        <w:rPr>
          <w:rFonts w:cstheme="minorHAnsi"/>
          <w:sz w:val="20"/>
          <w:szCs w:val="20"/>
        </w:rPr>
        <w:t>innovation and enterprise</w:t>
      </w:r>
      <w:r w:rsidR="0083627C" w:rsidRPr="006C7B74">
        <w:rPr>
          <w:rFonts w:cstheme="minorHAnsi"/>
          <w:sz w:val="20"/>
          <w:szCs w:val="20"/>
        </w:rPr>
        <w:t>-</w:t>
      </w:r>
      <w:r w:rsidR="00A802B1" w:rsidRPr="006C7B74">
        <w:rPr>
          <w:rFonts w:cstheme="minorHAnsi"/>
          <w:sz w:val="20"/>
          <w:szCs w:val="20"/>
        </w:rPr>
        <w:t>based businesses</w:t>
      </w:r>
      <w:r w:rsidR="002D0831" w:rsidRPr="006C7B74">
        <w:rPr>
          <w:rFonts w:cstheme="minorHAnsi"/>
          <w:sz w:val="20"/>
          <w:szCs w:val="20"/>
        </w:rPr>
        <w:t xml:space="preserve">. </w:t>
      </w:r>
    </w:p>
    <w:p w14:paraId="0117A07C" w14:textId="4D91BC23" w:rsidR="00016F67" w:rsidRPr="006C7B74" w:rsidRDefault="00CA3B9E" w:rsidP="009B2E64">
      <w:pPr>
        <w:spacing w:after="120"/>
        <w:rPr>
          <w:rFonts w:cstheme="minorHAnsi"/>
          <w:sz w:val="20"/>
          <w:szCs w:val="20"/>
        </w:rPr>
      </w:pPr>
      <w:r w:rsidRPr="006C7B74">
        <w:rPr>
          <w:rFonts w:cstheme="minorHAnsi"/>
          <w:sz w:val="20"/>
          <w:szCs w:val="20"/>
        </w:rPr>
        <w:t xml:space="preserve">State </w:t>
      </w:r>
      <w:r w:rsidR="00DE2D98" w:rsidRPr="006C7B74">
        <w:rPr>
          <w:rFonts w:cstheme="minorHAnsi"/>
          <w:sz w:val="20"/>
          <w:szCs w:val="20"/>
        </w:rPr>
        <w:t>or</w:t>
      </w:r>
      <w:r w:rsidRPr="006C7B74">
        <w:rPr>
          <w:rFonts w:cstheme="minorHAnsi"/>
          <w:sz w:val="20"/>
          <w:szCs w:val="20"/>
        </w:rPr>
        <w:t xml:space="preserve"> local </w:t>
      </w:r>
      <w:r w:rsidR="00DE2D98" w:rsidRPr="006C7B74">
        <w:rPr>
          <w:rFonts w:cstheme="minorHAnsi"/>
          <w:sz w:val="20"/>
          <w:szCs w:val="20"/>
        </w:rPr>
        <w:t>government</w:t>
      </w:r>
      <w:r w:rsidR="00016F67" w:rsidRPr="006C7B74">
        <w:rPr>
          <w:rFonts w:cstheme="minorHAnsi"/>
          <w:sz w:val="20"/>
          <w:szCs w:val="20"/>
        </w:rPr>
        <w:t xml:space="preserve"> </w:t>
      </w:r>
      <w:r w:rsidR="00332BB5" w:rsidRPr="006C7B74">
        <w:rPr>
          <w:rFonts w:cstheme="minorHAnsi"/>
          <w:sz w:val="20"/>
          <w:szCs w:val="20"/>
        </w:rPr>
        <w:t xml:space="preserve">will generally be responsible </w:t>
      </w:r>
      <w:r w:rsidR="00854426" w:rsidRPr="006C7B74">
        <w:rPr>
          <w:rFonts w:cstheme="minorHAnsi"/>
          <w:sz w:val="20"/>
          <w:szCs w:val="20"/>
        </w:rPr>
        <w:t xml:space="preserve">for planning </w:t>
      </w:r>
      <w:proofErr w:type="gramStart"/>
      <w:r w:rsidR="00854426" w:rsidRPr="006C7B74">
        <w:rPr>
          <w:rFonts w:cstheme="minorHAnsi"/>
          <w:sz w:val="20"/>
          <w:szCs w:val="20"/>
        </w:rPr>
        <w:t>regionally</w:t>
      </w:r>
      <w:r w:rsidR="00A274F7" w:rsidRPr="006C7B74">
        <w:rPr>
          <w:rFonts w:cstheme="minorHAnsi"/>
          <w:sz w:val="20"/>
          <w:szCs w:val="20"/>
        </w:rPr>
        <w:t>-</w:t>
      </w:r>
      <w:r w:rsidR="008A1673" w:rsidRPr="006C7B74">
        <w:rPr>
          <w:rFonts w:cstheme="minorHAnsi"/>
          <w:sz w:val="20"/>
          <w:szCs w:val="20"/>
        </w:rPr>
        <w:t>significant</w:t>
      </w:r>
      <w:proofErr w:type="gramEnd"/>
      <w:r w:rsidR="00854426" w:rsidRPr="006C7B74">
        <w:rPr>
          <w:rFonts w:cstheme="minorHAnsi"/>
          <w:sz w:val="20"/>
          <w:szCs w:val="20"/>
        </w:rPr>
        <w:t xml:space="preserve"> industrial </w:t>
      </w:r>
      <w:r w:rsidR="008A1673" w:rsidRPr="006C7B74">
        <w:rPr>
          <w:rFonts w:cstheme="minorHAnsi"/>
          <w:sz w:val="20"/>
          <w:szCs w:val="20"/>
        </w:rPr>
        <w:t>precincts</w:t>
      </w:r>
      <w:r w:rsidR="00854426" w:rsidRPr="006C7B74">
        <w:rPr>
          <w:rFonts w:cstheme="minorHAnsi"/>
          <w:sz w:val="20"/>
          <w:szCs w:val="20"/>
        </w:rPr>
        <w:t xml:space="preserve"> as part of developing </w:t>
      </w:r>
      <w:r w:rsidR="00096A95" w:rsidRPr="006C7B74">
        <w:rPr>
          <w:rFonts w:cstheme="minorHAnsi"/>
          <w:sz w:val="20"/>
          <w:szCs w:val="20"/>
        </w:rPr>
        <w:t>local</w:t>
      </w:r>
      <w:r w:rsidR="004924AB" w:rsidRPr="006C7B74">
        <w:rPr>
          <w:rFonts w:cstheme="minorHAnsi"/>
          <w:sz w:val="20"/>
          <w:szCs w:val="20"/>
        </w:rPr>
        <w:t xml:space="preserve"> industrial </w:t>
      </w:r>
      <w:r w:rsidR="009B607B" w:rsidRPr="006C7B74">
        <w:rPr>
          <w:rFonts w:cstheme="minorHAnsi"/>
          <w:sz w:val="20"/>
          <w:szCs w:val="20"/>
        </w:rPr>
        <w:t xml:space="preserve">land use </w:t>
      </w:r>
      <w:r w:rsidR="004924AB" w:rsidRPr="006C7B74">
        <w:rPr>
          <w:rFonts w:cstheme="minorHAnsi"/>
          <w:sz w:val="20"/>
          <w:szCs w:val="20"/>
        </w:rPr>
        <w:t>strategies</w:t>
      </w:r>
      <w:r w:rsidR="00235B81" w:rsidRPr="006C7B74">
        <w:rPr>
          <w:rFonts w:cstheme="minorHAnsi"/>
          <w:sz w:val="20"/>
          <w:szCs w:val="20"/>
        </w:rPr>
        <w:t xml:space="preserve">, or other </w:t>
      </w:r>
      <w:r w:rsidR="00B0000C" w:rsidRPr="006C7B74">
        <w:rPr>
          <w:rFonts w:cstheme="minorHAnsi"/>
          <w:sz w:val="20"/>
          <w:szCs w:val="20"/>
        </w:rPr>
        <w:t>strategic plans</w:t>
      </w:r>
      <w:r w:rsidR="00096A95" w:rsidRPr="006C7B74">
        <w:rPr>
          <w:rFonts w:cstheme="minorHAnsi"/>
          <w:sz w:val="20"/>
          <w:szCs w:val="20"/>
        </w:rPr>
        <w:t xml:space="preserve">. </w:t>
      </w:r>
    </w:p>
    <w:p w14:paraId="4EA69445" w14:textId="760A8D3E" w:rsidR="003805F8" w:rsidRPr="006C7B74" w:rsidRDefault="004D3078" w:rsidP="009B2E64">
      <w:pPr>
        <w:spacing w:after="120"/>
        <w:rPr>
          <w:rFonts w:cstheme="minorHAnsi"/>
          <w:sz w:val="20"/>
          <w:szCs w:val="20"/>
        </w:rPr>
      </w:pPr>
      <w:r w:rsidRPr="006C7B74">
        <w:rPr>
          <w:rFonts w:cstheme="minorHAnsi"/>
          <w:sz w:val="20"/>
          <w:szCs w:val="20"/>
        </w:rPr>
        <w:t>A</w:t>
      </w:r>
      <w:r w:rsidR="00F736EB" w:rsidRPr="006C7B74">
        <w:rPr>
          <w:rFonts w:cstheme="minorHAnsi"/>
          <w:sz w:val="20"/>
          <w:szCs w:val="20"/>
        </w:rPr>
        <w:t>ppropriate land use outcome</w:t>
      </w:r>
      <w:r w:rsidRPr="006C7B74">
        <w:rPr>
          <w:rFonts w:cstheme="minorHAnsi"/>
          <w:sz w:val="20"/>
          <w:szCs w:val="20"/>
        </w:rPr>
        <w:t>s for such precincts should be determined</w:t>
      </w:r>
      <w:r w:rsidR="00034305" w:rsidRPr="006C7B74">
        <w:rPr>
          <w:rFonts w:cstheme="minorHAnsi"/>
          <w:sz w:val="20"/>
          <w:szCs w:val="20"/>
        </w:rPr>
        <w:t xml:space="preserve"> through these processes</w:t>
      </w:r>
      <w:r w:rsidR="004758F7" w:rsidRPr="006C7B74">
        <w:rPr>
          <w:rFonts w:cstheme="minorHAnsi"/>
          <w:sz w:val="20"/>
          <w:szCs w:val="20"/>
        </w:rPr>
        <w:t xml:space="preserve"> having re</w:t>
      </w:r>
      <w:r w:rsidR="00270C16" w:rsidRPr="006C7B74">
        <w:rPr>
          <w:rFonts w:cstheme="minorHAnsi"/>
          <w:sz w:val="20"/>
          <w:szCs w:val="20"/>
        </w:rPr>
        <w:t>g</w:t>
      </w:r>
      <w:r w:rsidR="004758F7" w:rsidRPr="006C7B74">
        <w:rPr>
          <w:rFonts w:cstheme="minorHAnsi"/>
          <w:sz w:val="20"/>
          <w:szCs w:val="20"/>
        </w:rPr>
        <w:t xml:space="preserve">ard to </w:t>
      </w:r>
      <w:r w:rsidR="00212D5D" w:rsidRPr="006C7B74">
        <w:rPr>
          <w:rFonts w:cstheme="minorHAnsi"/>
          <w:sz w:val="20"/>
          <w:szCs w:val="20"/>
        </w:rPr>
        <w:t xml:space="preserve">the principles and strategies of </w:t>
      </w:r>
      <w:r w:rsidR="004F1654" w:rsidRPr="006C7B74">
        <w:rPr>
          <w:rFonts w:cstheme="minorHAnsi"/>
          <w:sz w:val="20"/>
          <w:szCs w:val="20"/>
        </w:rPr>
        <w:t xml:space="preserve">this plan </w:t>
      </w:r>
      <w:r w:rsidR="00270C16" w:rsidRPr="006C7B74">
        <w:rPr>
          <w:rFonts w:cstheme="minorHAnsi"/>
          <w:sz w:val="20"/>
          <w:szCs w:val="20"/>
        </w:rPr>
        <w:t xml:space="preserve">and </w:t>
      </w:r>
      <w:r w:rsidR="004F1654" w:rsidRPr="006C7B74">
        <w:rPr>
          <w:rFonts w:cstheme="minorHAnsi"/>
          <w:sz w:val="20"/>
          <w:szCs w:val="20"/>
        </w:rPr>
        <w:t>achiev</w:t>
      </w:r>
      <w:r w:rsidR="00270C16" w:rsidRPr="006C7B74">
        <w:rPr>
          <w:rFonts w:cstheme="minorHAnsi"/>
          <w:sz w:val="20"/>
          <w:szCs w:val="20"/>
        </w:rPr>
        <w:t>ing</w:t>
      </w:r>
      <w:r w:rsidR="0083510C" w:rsidRPr="006C7B74">
        <w:rPr>
          <w:rFonts w:cstheme="minorHAnsi"/>
          <w:sz w:val="20"/>
          <w:szCs w:val="20"/>
        </w:rPr>
        <w:t xml:space="preserve"> sufficient </w:t>
      </w:r>
      <w:r w:rsidR="0028053D" w:rsidRPr="006C7B74">
        <w:rPr>
          <w:rFonts w:cstheme="minorHAnsi"/>
          <w:sz w:val="20"/>
          <w:szCs w:val="20"/>
        </w:rPr>
        <w:t xml:space="preserve">land supply </w:t>
      </w:r>
      <w:r w:rsidR="000775A5" w:rsidRPr="006C7B74">
        <w:rPr>
          <w:rFonts w:cstheme="minorHAnsi"/>
          <w:sz w:val="20"/>
          <w:szCs w:val="20"/>
        </w:rPr>
        <w:t xml:space="preserve">to </w:t>
      </w:r>
      <w:r w:rsidR="00256355" w:rsidRPr="006C7B74">
        <w:rPr>
          <w:rFonts w:cstheme="minorHAnsi"/>
          <w:sz w:val="20"/>
          <w:szCs w:val="20"/>
        </w:rPr>
        <w:t>support</w:t>
      </w:r>
      <w:r w:rsidR="000775A5" w:rsidRPr="006C7B74">
        <w:rPr>
          <w:rFonts w:cstheme="minorHAnsi"/>
          <w:sz w:val="20"/>
          <w:szCs w:val="20"/>
        </w:rPr>
        <w:t xml:space="preserve"> the </w:t>
      </w:r>
      <w:r w:rsidR="00C750A5" w:rsidRPr="006C7B74">
        <w:rPr>
          <w:rFonts w:cstheme="minorHAnsi"/>
          <w:sz w:val="20"/>
          <w:szCs w:val="20"/>
        </w:rPr>
        <w:t>long</w:t>
      </w:r>
      <w:r w:rsidR="00256355" w:rsidRPr="006C7B74">
        <w:rPr>
          <w:rFonts w:cstheme="minorHAnsi"/>
          <w:sz w:val="20"/>
          <w:szCs w:val="20"/>
        </w:rPr>
        <w:t>-</w:t>
      </w:r>
      <w:r w:rsidR="00C750A5" w:rsidRPr="006C7B74">
        <w:rPr>
          <w:rFonts w:cstheme="minorHAnsi"/>
          <w:sz w:val="20"/>
          <w:szCs w:val="20"/>
        </w:rPr>
        <w:t xml:space="preserve">term </w:t>
      </w:r>
      <w:r w:rsidR="000775A5" w:rsidRPr="006C7B74">
        <w:rPr>
          <w:rFonts w:cstheme="minorHAnsi"/>
          <w:sz w:val="20"/>
          <w:szCs w:val="20"/>
        </w:rPr>
        <w:t xml:space="preserve">economic interests of the region and the state. </w:t>
      </w:r>
    </w:p>
    <w:p w14:paraId="119BE1A3" w14:textId="49AE6131" w:rsidR="0052312F" w:rsidRPr="006C7B74" w:rsidRDefault="0052312F" w:rsidP="0052312F">
      <w:pPr>
        <w:spacing w:after="120"/>
        <w:rPr>
          <w:rFonts w:cstheme="minorHAnsi"/>
          <w:sz w:val="20"/>
          <w:szCs w:val="20"/>
        </w:rPr>
      </w:pPr>
      <w:r w:rsidRPr="006C7B74">
        <w:rPr>
          <w:rFonts w:cstheme="minorHAnsi"/>
          <w:sz w:val="20"/>
          <w:szCs w:val="20"/>
        </w:rPr>
        <w:t xml:space="preserve">The following criteria has been used as a basis for identifying </w:t>
      </w:r>
      <w:proofErr w:type="gramStart"/>
      <w:r w:rsidRPr="006C7B74" w:rsidDel="00CE5ABD">
        <w:rPr>
          <w:rFonts w:cstheme="minorHAnsi"/>
          <w:sz w:val="20"/>
          <w:szCs w:val="20"/>
        </w:rPr>
        <w:t>regionally-significant</w:t>
      </w:r>
      <w:proofErr w:type="gramEnd"/>
      <w:r w:rsidRPr="006C7B74" w:rsidDel="00CE5ABD">
        <w:rPr>
          <w:rFonts w:cstheme="minorHAnsi"/>
          <w:sz w:val="20"/>
          <w:szCs w:val="20"/>
        </w:rPr>
        <w:t xml:space="preserve"> industrial precincts</w:t>
      </w:r>
      <w:r w:rsidRPr="006C7B74">
        <w:rPr>
          <w:rFonts w:cstheme="minorHAnsi"/>
          <w:sz w:val="20"/>
          <w:szCs w:val="20"/>
        </w:rPr>
        <w:t>.</w:t>
      </w:r>
      <w:r w:rsidR="004A457E" w:rsidRPr="006C7B74">
        <w:rPr>
          <w:rFonts w:cstheme="minorHAnsi"/>
          <w:sz w:val="20"/>
          <w:szCs w:val="20"/>
        </w:rPr>
        <w:t xml:space="preserve"> </w:t>
      </w:r>
      <w:r w:rsidR="003C0BB4" w:rsidRPr="006C7B74">
        <w:rPr>
          <w:rFonts w:cstheme="minorHAnsi"/>
          <w:sz w:val="20"/>
          <w:szCs w:val="20"/>
        </w:rPr>
        <w:t xml:space="preserve">For a precinct to be considered </w:t>
      </w:r>
      <w:proofErr w:type="gramStart"/>
      <w:r w:rsidR="003C0BB4" w:rsidRPr="006C7B74">
        <w:rPr>
          <w:rFonts w:cstheme="minorHAnsi"/>
          <w:sz w:val="20"/>
          <w:szCs w:val="20"/>
        </w:rPr>
        <w:t>regionally-significant</w:t>
      </w:r>
      <w:proofErr w:type="gramEnd"/>
      <w:r w:rsidR="00537923" w:rsidRPr="006C7B74">
        <w:rPr>
          <w:rFonts w:cstheme="minorHAnsi"/>
          <w:sz w:val="20"/>
          <w:szCs w:val="20"/>
        </w:rPr>
        <w:t>,</w:t>
      </w:r>
      <w:r w:rsidR="003C0BB4" w:rsidRPr="006C7B74">
        <w:rPr>
          <w:rFonts w:cstheme="minorHAnsi"/>
          <w:sz w:val="20"/>
          <w:szCs w:val="20"/>
        </w:rPr>
        <w:t xml:space="preserve"> it </w:t>
      </w:r>
      <w:r w:rsidR="00BD3F8D" w:rsidRPr="006C7B74">
        <w:rPr>
          <w:rFonts w:cstheme="minorHAnsi"/>
          <w:sz w:val="20"/>
          <w:szCs w:val="20"/>
        </w:rPr>
        <w:t xml:space="preserve">should </w:t>
      </w:r>
      <w:r w:rsidR="002F3A99" w:rsidRPr="006C7B74">
        <w:rPr>
          <w:rFonts w:cstheme="minorHAnsi"/>
          <w:sz w:val="20"/>
          <w:szCs w:val="20"/>
        </w:rPr>
        <w:t xml:space="preserve">generally </w:t>
      </w:r>
      <w:r w:rsidR="00BD3F8D" w:rsidRPr="006C7B74">
        <w:rPr>
          <w:rFonts w:cstheme="minorHAnsi"/>
          <w:sz w:val="20"/>
          <w:szCs w:val="20"/>
        </w:rPr>
        <w:t xml:space="preserve">satisfy </w:t>
      </w:r>
      <w:r w:rsidR="00E33DDA" w:rsidRPr="006C7B74">
        <w:rPr>
          <w:rFonts w:cstheme="minorHAnsi"/>
          <w:sz w:val="20"/>
          <w:szCs w:val="20"/>
        </w:rPr>
        <w:t xml:space="preserve">at </w:t>
      </w:r>
      <w:r w:rsidR="00CC7603" w:rsidRPr="006C7B74">
        <w:rPr>
          <w:rFonts w:cstheme="minorHAnsi"/>
          <w:sz w:val="20"/>
          <w:szCs w:val="20"/>
        </w:rPr>
        <w:t xml:space="preserve">least </w:t>
      </w:r>
      <w:r w:rsidR="00312ED2" w:rsidRPr="006C7B74">
        <w:rPr>
          <w:rFonts w:cstheme="minorHAnsi"/>
          <w:sz w:val="20"/>
          <w:szCs w:val="20"/>
        </w:rPr>
        <w:t xml:space="preserve">one aspect of </w:t>
      </w:r>
      <w:r w:rsidR="002F3A99" w:rsidRPr="006C7B74">
        <w:rPr>
          <w:rFonts w:cstheme="minorHAnsi"/>
          <w:sz w:val="20"/>
          <w:szCs w:val="20"/>
        </w:rPr>
        <w:t xml:space="preserve">two of the following </w:t>
      </w:r>
      <w:r w:rsidR="00BD3F8D" w:rsidRPr="006C7B74">
        <w:rPr>
          <w:rFonts w:cstheme="minorHAnsi"/>
          <w:sz w:val="20"/>
          <w:szCs w:val="20"/>
        </w:rPr>
        <w:t xml:space="preserve">criteria. </w:t>
      </w:r>
    </w:p>
    <w:p w14:paraId="242BE6D5" w14:textId="5A0BDA4B" w:rsidR="0052312F" w:rsidRPr="006C7B74" w:rsidRDefault="002239B6" w:rsidP="0052312F">
      <w:pPr>
        <w:pStyle w:val="Heading4"/>
      </w:pPr>
      <w:r w:rsidRPr="006C7B74">
        <w:t>Criteri</w:t>
      </w:r>
      <w:r w:rsidR="00E454FA" w:rsidRPr="006C7B74">
        <w:t>on</w:t>
      </w:r>
      <w:r w:rsidRPr="006C7B74">
        <w:t xml:space="preserve"> 1: </w:t>
      </w:r>
      <w:r w:rsidR="0052312F" w:rsidRPr="006C7B74">
        <w:t>Policy alignment</w:t>
      </w:r>
    </w:p>
    <w:p w14:paraId="43435132" w14:textId="68D234FF" w:rsidR="0052312F" w:rsidRPr="006C7B74" w:rsidRDefault="0052312F" w:rsidP="0052312F">
      <w:pPr>
        <w:pStyle w:val="ListParagraph"/>
        <w:numPr>
          <w:ilvl w:val="0"/>
          <w:numId w:val="47"/>
        </w:numPr>
        <w:spacing w:after="120"/>
        <w:rPr>
          <w:rFonts w:cstheme="minorBidi"/>
          <w:sz w:val="20"/>
          <w:szCs w:val="20"/>
        </w:rPr>
      </w:pPr>
      <w:r w:rsidRPr="006C7B74">
        <w:rPr>
          <w:rFonts w:cstheme="minorBidi"/>
          <w:sz w:val="20"/>
          <w:szCs w:val="20"/>
        </w:rPr>
        <w:t>The area exhibits a strong relationship with or supports other places of state significance such as national employment and innovation clusters (</w:t>
      </w:r>
      <w:r w:rsidR="004F0A3E" w:rsidRPr="006C7B74">
        <w:rPr>
          <w:rFonts w:cstheme="minorBidi"/>
          <w:sz w:val="20"/>
          <w:szCs w:val="20"/>
        </w:rPr>
        <w:t>N</w:t>
      </w:r>
      <w:r w:rsidR="00CC1D47" w:rsidRPr="006C7B74">
        <w:rPr>
          <w:rFonts w:cstheme="minorBidi"/>
          <w:sz w:val="20"/>
          <w:szCs w:val="20"/>
        </w:rPr>
        <w:t>EIC</w:t>
      </w:r>
      <w:r w:rsidR="529F83D6" w:rsidRPr="006C7B74">
        <w:rPr>
          <w:rFonts w:cstheme="minorBidi"/>
          <w:sz w:val="20"/>
          <w:szCs w:val="20"/>
        </w:rPr>
        <w:t>s</w:t>
      </w:r>
      <w:r w:rsidRPr="006C7B74">
        <w:rPr>
          <w:rFonts w:cstheme="minorBidi"/>
          <w:sz w:val="20"/>
          <w:szCs w:val="20"/>
        </w:rPr>
        <w:t>) or transport gateways.</w:t>
      </w:r>
    </w:p>
    <w:p w14:paraId="088EC083" w14:textId="77777777" w:rsidR="0052312F" w:rsidRPr="006C7B74" w:rsidRDefault="0052312F" w:rsidP="0052312F">
      <w:pPr>
        <w:pStyle w:val="ListParagraph"/>
        <w:numPr>
          <w:ilvl w:val="0"/>
          <w:numId w:val="47"/>
        </w:numPr>
        <w:spacing w:after="120"/>
        <w:rPr>
          <w:rFonts w:cstheme="minorHAnsi"/>
          <w:sz w:val="20"/>
          <w:szCs w:val="20"/>
        </w:rPr>
      </w:pPr>
      <w:r w:rsidRPr="006C7B74">
        <w:rPr>
          <w:rFonts w:cstheme="minorHAnsi"/>
          <w:sz w:val="20"/>
          <w:szCs w:val="20"/>
        </w:rPr>
        <w:t>The area has been identified through growth area planning as a larger industrial estate offering good freeway and arterial road access and can provide for the industrial land requirements of firms that serve metropolitan wide, national or international markets.</w:t>
      </w:r>
    </w:p>
    <w:p w14:paraId="677C10CB" w14:textId="77777777" w:rsidR="0052312F" w:rsidRPr="006C7B74" w:rsidRDefault="0052312F" w:rsidP="0052312F">
      <w:pPr>
        <w:pStyle w:val="ListParagraph"/>
        <w:numPr>
          <w:ilvl w:val="0"/>
          <w:numId w:val="47"/>
        </w:numPr>
        <w:spacing w:after="120"/>
        <w:rPr>
          <w:rFonts w:cstheme="minorHAnsi"/>
          <w:sz w:val="20"/>
          <w:szCs w:val="20"/>
        </w:rPr>
      </w:pPr>
      <w:r w:rsidRPr="006C7B74">
        <w:rPr>
          <w:rFonts w:cstheme="minorHAnsi"/>
          <w:sz w:val="20"/>
          <w:szCs w:val="20"/>
        </w:rPr>
        <w:t>The area has been identified in council strategies as being a core or primary industrial area that should be retained, or that provides for significant employment opportunities by virtue of the size of the area.</w:t>
      </w:r>
    </w:p>
    <w:p w14:paraId="1D9D2639" w14:textId="60F0C0A5" w:rsidR="0052312F" w:rsidRPr="006C7B74" w:rsidRDefault="002239B6" w:rsidP="0052312F">
      <w:pPr>
        <w:pStyle w:val="Heading4"/>
      </w:pPr>
      <w:r w:rsidRPr="006C7B74">
        <w:lastRenderedPageBreak/>
        <w:t>Criteri</w:t>
      </w:r>
      <w:r w:rsidR="002403B6" w:rsidRPr="006C7B74">
        <w:t>on</w:t>
      </w:r>
      <w:r w:rsidRPr="006C7B74">
        <w:t xml:space="preserve"> 2: </w:t>
      </w:r>
      <w:r w:rsidR="0052312F" w:rsidRPr="006C7B74">
        <w:t>Accessibility and business clustering</w:t>
      </w:r>
    </w:p>
    <w:p w14:paraId="30D01074" w14:textId="6347F6DF" w:rsidR="0052312F" w:rsidRPr="006C7B74" w:rsidRDefault="0052312F" w:rsidP="0052312F">
      <w:pPr>
        <w:pStyle w:val="ListParagraph"/>
        <w:numPr>
          <w:ilvl w:val="0"/>
          <w:numId w:val="47"/>
        </w:numPr>
        <w:spacing w:after="120"/>
        <w:rPr>
          <w:rFonts w:cstheme="minorHAnsi"/>
          <w:sz w:val="20"/>
          <w:szCs w:val="20"/>
        </w:rPr>
      </w:pPr>
      <w:r w:rsidRPr="006C7B74">
        <w:rPr>
          <w:rFonts w:cstheme="minorHAnsi"/>
          <w:sz w:val="20"/>
          <w:szCs w:val="20"/>
        </w:rPr>
        <w:t>The area or precinct can leverage off existing or proposed rail</w:t>
      </w:r>
      <w:r w:rsidR="002D59C1" w:rsidRPr="006C7B74">
        <w:rPr>
          <w:rFonts w:cstheme="minorHAnsi"/>
          <w:sz w:val="20"/>
          <w:szCs w:val="20"/>
        </w:rPr>
        <w:t>,</w:t>
      </w:r>
      <w:r w:rsidRPr="006C7B74" w:rsidDel="002D59C1">
        <w:rPr>
          <w:rFonts w:cstheme="minorHAnsi"/>
          <w:sz w:val="20"/>
          <w:szCs w:val="20"/>
        </w:rPr>
        <w:t xml:space="preserve"> </w:t>
      </w:r>
      <w:r w:rsidRPr="006C7B74">
        <w:rPr>
          <w:rFonts w:cstheme="minorHAnsi"/>
          <w:sz w:val="20"/>
          <w:szCs w:val="20"/>
        </w:rPr>
        <w:t>road</w:t>
      </w:r>
      <w:r w:rsidR="00915A4C" w:rsidRPr="006C7B74">
        <w:rPr>
          <w:rFonts w:cstheme="minorHAnsi"/>
          <w:sz w:val="20"/>
          <w:szCs w:val="20"/>
        </w:rPr>
        <w:t xml:space="preserve"> and</w:t>
      </w:r>
      <w:r w:rsidR="002D59C1" w:rsidRPr="006C7B74">
        <w:rPr>
          <w:rFonts w:cstheme="minorHAnsi"/>
          <w:sz w:val="20"/>
          <w:szCs w:val="20"/>
        </w:rPr>
        <w:t xml:space="preserve"> </w:t>
      </w:r>
      <w:r w:rsidR="00915A4C" w:rsidRPr="006C7B74">
        <w:rPr>
          <w:rFonts w:cstheme="minorHAnsi"/>
          <w:sz w:val="20"/>
          <w:szCs w:val="20"/>
        </w:rPr>
        <w:t>data</w:t>
      </w:r>
      <w:r w:rsidRPr="006C7B74">
        <w:rPr>
          <w:rFonts w:cstheme="minorHAnsi"/>
          <w:sz w:val="20"/>
          <w:szCs w:val="20"/>
        </w:rPr>
        <w:t xml:space="preserve"> networks and infrastructure, including the PFN.</w:t>
      </w:r>
    </w:p>
    <w:p w14:paraId="39141160" w14:textId="6DDF608F" w:rsidR="0052312F" w:rsidRPr="006C7B74" w:rsidRDefault="0052312F" w:rsidP="0052312F">
      <w:pPr>
        <w:pStyle w:val="ListParagraph"/>
        <w:numPr>
          <w:ilvl w:val="0"/>
          <w:numId w:val="47"/>
        </w:numPr>
        <w:spacing w:after="120"/>
        <w:rPr>
          <w:rFonts w:cstheme="minorHAnsi"/>
          <w:sz w:val="20"/>
          <w:szCs w:val="20"/>
        </w:rPr>
      </w:pPr>
      <w:r w:rsidRPr="006C7B74">
        <w:rPr>
          <w:rFonts w:cstheme="minorHAnsi"/>
          <w:sz w:val="20"/>
          <w:szCs w:val="20"/>
        </w:rPr>
        <w:t>The area provides for</w:t>
      </w:r>
      <w:r w:rsidR="002A6687" w:rsidRPr="006C7B74">
        <w:rPr>
          <w:rFonts w:cstheme="minorHAnsi"/>
          <w:sz w:val="20"/>
          <w:szCs w:val="20"/>
        </w:rPr>
        <w:t>,</w:t>
      </w:r>
      <w:r w:rsidRPr="006C7B74">
        <w:rPr>
          <w:rFonts w:cstheme="minorHAnsi"/>
          <w:sz w:val="20"/>
          <w:szCs w:val="20"/>
        </w:rPr>
        <w:t xml:space="preserve"> </w:t>
      </w:r>
      <w:r w:rsidR="00C040D9" w:rsidRPr="006C7B74">
        <w:rPr>
          <w:rFonts w:cstheme="minorHAnsi"/>
          <w:sz w:val="20"/>
          <w:szCs w:val="20"/>
        </w:rPr>
        <w:t>or has the potential to provide for</w:t>
      </w:r>
      <w:r w:rsidR="002A6687" w:rsidRPr="006C7B74">
        <w:rPr>
          <w:rFonts w:cstheme="minorHAnsi"/>
          <w:sz w:val="20"/>
          <w:szCs w:val="20"/>
        </w:rPr>
        <w:t>,</w:t>
      </w:r>
      <w:r w:rsidRPr="006C7B74">
        <w:rPr>
          <w:rFonts w:cstheme="minorHAnsi"/>
          <w:sz w:val="20"/>
          <w:szCs w:val="20"/>
        </w:rPr>
        <w:t xml:space="preserve"> the clustering of industrial </w:t>
      </w:r>
      <w:r w:rsidR="003C2488" w:rsidRPr="006C7B74">
        <w:rPr>
          <w:rFonts w:cstheme="minorHAnsi"/>
          <w:sz w:val="20"/>
          <w:szCs w:val="20"/>
        </w:rPr>
        <w:t xml:space="preserve">and employment </w:t>
      </w:r>
      <w:r w:rsidRPr="006C7B74">
        <w:rPr>
          <w:rFonts w:cstheme="minorHAnsi"/>
          <w:sz w:val="20"/>
          <w:szCs w:val="20"/>
        </w:rPr>
        <w:t xml:space="preserve">uses with limited or no residential intrusion and can be adequately buffered from sensitive uses. </w:t>
      </w:r>
    </w:p>
    <w:p w14:paraId="51EB648B" w14:textId="7C6C462D" w:rsidR="0052312F" w:rsidRPr="006C7B74" w:rsidRDefault="0052312F" w:rsidP="0052312F">
      <w:pPr>
        <w:pStyle w:val="ListParagraph"/>
        <w:numPr>
          <w:ilvl w:val="0"/>
          <w:numId w:val="47"/>
        </w:numPr>
        <w:spacing w:after="120"/>
        <w:rPr>
          <w:rFonts w:cstheme="minorHAnsi"/>
          <w:sz w:val="20"/>
          <w:szCs w:val="20"/>
        </w:rPr>
      </w:pPr>
      <w:r w:rsidRPr="006C7B74">
        <w:rPr>
          <w:rFonts w:cstheme="minorHAnsi"/>
          <w:sz w:val="20"/>
          <w:szCs w:val="20"/>
        </w:rPr>
        <w:t xml:space="preserve">The precinct provides for contiguous areas of industry </w:t>
      </w:r>
      <w:r w:rsidR="0014179F" w:rsidRPr="006C7B74">
        <w:rPr>
          <w:rFonts w:cstheme="minorHAnsi"/>
          <w:sz w:val="20"/>
          <w:szCs w:val="20"/>
        </w:rPr>
        <w:t xml:space="preserve">or employment </w:t>
      </w:r>
      <w:r w:rsidRPr="006C7B74">
        <w:rPr>
          <w:rFonts w:cstheme="minorHAnsi"/>
          <w:sz w:val="20"/>
          <w:szCs w:val="20"/>
        </w:rPr>
        <w:t>with similar, related or dependent industrial or commercial activities</w:t>
      </w:r>
      <w:r w:rsidR="0017563F" w:rsidRPr="006C7B74">
        <w:rPr>
          <w:rFonts w:cstheme="minorHAnsi"/>
          <w:sz w:val="20"/>
          <w:szCs w:val="20"/>
        </w:rPr>
        <w:t xml:space="preserve">, such as </w:t>
      </w:r>
      <w:r w:rsidR="00304496" w:rsidRPr="006C7B74">
        <w:rPr>
          <w:rFonts w:cstheme="minorHAnsi"/>
          <w:sz w:val="20"/>
          <w:szCs w:val="20"/>
        </w:rPr>
        <w:t xml:space="preserve">economic clusters and </w:t>
      </w:r>
      <w:r w:rsidR="009E29A6" w:rsidRPr="006C7B74">
        <w:rPr>
          <w:rFonts w:cstheme="minorHAnsi"/>
          <w:sz w:val="20"/>
          <w:szCs w:val="20"/>
        </w:rPr>
        <w:t>supply chains</w:t>
      </w:r>
      <w:r w:rsidRPr="006C7B74">
        <w:rPr>
          <w:rFonts w:cstheme="minorHAnsi"/>
          <w:sz w:val="20"/>
          <w:szCs w:val="20"/>
        </w:rPr>
        <w:t>.</w:t>
      </w:r>
    </w:p>
    <w:p w14:paraId="4E7D0C13" w14:textId="20184CDA" w:rsidR="0052312F" w:rsidRPr="006C7B74" w:rsidRDefault="002239B6" w:rsidP="0052312F">
      <w:pPr>
        <w:pStyle w:val="Heading4"/>
      </w:pPr>
      <w:r w:rsidRPr="006C7B74">
        <w:t>Criteri</w:t>
      </w:r>
      <w:r w:rsidR="002403B6" w:rsidRPr="006C7B74">
        <w:t>on</w:t>
      </w:r>
      <w:r w:rsidRPr="006C7B74">
        <w:t xml:space="preserve"> 3: </w:t>
      </w:r>
      <w:r w:rsidR="0052312F" w:rsidRPr="006C7B74">
        <w:t>Economic or employment contribution</w:t>
      </w:r>
    </w:p>
    <w:p w14:paraId="2E451E1A" w14:textId="0CACC168" w:rsidR="0052312F" w:rsidRPr="006C7B74" w:rsidRDefault="0052312F" w:rsidP="0052312F">
      <w:pPr>
        <w:pStyle w:val="ListParagraph"/>
        <w:numPr>
          <w:ilvl w:val="0"/>
          <w:numId w:val="47"/>
        </w:numPr>
        <w:spacing w:after="120"/>
        <w:rPr>
          <w:rFonts w:cstheme="minorHAnsi"/>
          <w:sz w:val="20"/>
          <w:szCs w:val="20"/>
        </w:rPr>
      </w:pPr>
      <w:r w:rsidRPr="006C7B74">
        <w:rPr>
          <w:rFonts w:cstheme="minorHAnsi"/>
          <w:sz w:val="20"/>
          <w:szCs w:val="20"/>
        </w:rPr>
        <w:t>The area generates</w:t>
      </w:r>
      <w:r w:rsidR="00337817" w:rsidRPr="006C7B74">
        <w:rPr>
          <w:rFonts w:cstheme="minorHAnsi"/>
          <w:sz w:val="20"/>
          <w:szCs w:val="20"/>
        </w:rPr>
        <w:t>, or has the potential to generate,</w:t>
      </w:r>
      <w:r w:rsidRPr="006C7B74">
        <w:rPr>
          <w:rFonts w:cstheme="minorHAnsi"/>
          <w:sz w:val="20"/>
          <w:szCs w:val="20"/>
        </w:rPr>
        <w:t xml:space="preserve"> a relatively high and ongoing economic output contributing to the region and state’s economy.</w:t>
      </w:r>
    </w:p>
    <w:p w14:paraId="2CA0A62F" w14:textId="1FAC5879" w:rsidR="0052312F" w:rsidRPr="006C7B74" w:rsidRDefault="00874E08" w:rsidP="0052312F">
      <w:pPr>
        <w:pStyle w:val="ListParagraph"/>
        <w:numPr>
          <w:ilvl w:val="0"/>
          <w:numId w:val="47"/>
        </w:numPr>
        <w:spacing w:after="120"/>
        <w:rPr>
          <w:rFonts w:cstheme="minorHAnsi"/>
          <w:sz w:val="20"/>
          <w:szCs w:val="20"/>
        </w:rPr>
      </w:pPr>
      <w:r w:rsidRPr="006C7B74">
        <w:rPr>
          <w:rFonts w:cstheme="minorHAnsi"/>
          <w:sz w:val="20"/>
          <w:szCs w:val="20"/>
        </w:rPr>
        <w:t>Within that region t</w:t>
      </w:r>
      <w:r w:rsidR="0052312F" w:rsidRPr="006C7B74">
        <w:rPr>
          <w:rFonts w:cstheme="minorHAnsi"/>
          <w:sz w:val="20"/>
          <w:szCs w:val="20"/>
        </w:rPr>
        <w:t xml:space="preserve">he area </w:t>
      </w:r>
      <w:r w:rsidR="00C8278A" w:rsidRPr="006C7B74">
        <w:rPr>
          <w:rFonts w:cstheme="minorHAnsi"/>
          <w:sz w:val="20"/>
          <w:szCs w:val="20"/>
        </w:rPr>
        <w:t>e</w:t>
      </w:r>
      <w:r w:rsidR="00913547" w:rsidRPr="006C7B74">
        <w:rPr>
          <w:rFonts w:cstheme="minorHAnsi"/>
          <w:sz w:val="20"/>
          <w:szCs w:val="20"/>
        </w:rPr>
        <w:t>ither is</w:t>
      </w:r>
      <w:r w:rsidR="00C8278A" w:rsidRPr="006C7B74">
        <w:rPr>
          <w:rFonts w:cstheme="minorHAnsi"/>
          <w:sz w:val="20"/>
          <w:szCs w:val="20"/>
        </w:rPr>
        <w:t>,</w:t>
      </w:r>
      <w:r w:rsidR="00913547" w:rsidRPr="006C7B74">
        <w:rPr>
          <w:rFonts w:cstheme="minorHAnsi"/>
          <w:sz w:val="20"/>
          <w:szCs w:val="20"/>
        </w:rPr>
        <w:t xml:space="preserve"> or has the potential to</w:t>
      </w:r>
      <w:r w:rsidR="0094344E" w:rsidRPr="006C7B74">
        <w:rPr>
          <w:rFonts w:cstheme="minorHAnsi"/>
          <w:sz w:val="20"/>
          <w:szCs w:val="20"/>
        </w:rPr>
        <w:t xml:space="preserve"> be</w:t>
      </w:r>
      <w:r w:rsidR="00C8278A" w:rsidRPr="006C7B74">
        <w:rPr>
          <w:rFonts w:cstheme="minorHAnsi"/>
          <w:sz w:val="20"/>
          <w:szCs w:val="20"/>
        </w:rPr>
        <w:t>,</w:t>
      </w:r>
      <w:r w:rsidR="0052312F" w:rsidRPr="006C7B74">
        <w:rPr>
          <w:rFonts w:cstheme="minorHAnsi"/>
          <w:sz w:val="20"/>
          <w:szCs w:val="20"/>
        </w:rPr>
        <w:t xml:space="preserve"> a location of </w:t>
      </w:r>
      <w:r w:rsidR="00A92102" w:rsidRPr="006C7B74">
        <w:rPr>
          <w:rFonts w:cstheme="minorHAnsi"/>
          <w:sz w:val="20"/>
          <w:szCs w:val="20"/>
        </w:rPr>
        <w:t xml:space="preserve">relatively </w:t>
      </w:r>
      <w:r w:rsidR="0052312F" w:rsidRPr="006C7B74">
        <w:rPr>
          <w:rFonts w:cstheme="minorHAnsi"/>
          <w:sz w:val="20"/>
          <w:szCs w:val="20"/>
        </w:rPr>
        <w:t>high levels of employment and/or capital goods, generating wider regional employment and economic benefits.</w:t>
      </w:r>
    </w:p>
    <w:p w14:paraId="2A0782A1" w14:textId="22DC83E4" w:rsidR="00876FF6" w:rsidRPr="006C7B74" w:rsidRDefault="009D3202" w:rsidP="0052312F">
      <w:pPr>
        <w:pStyle w:val="ListParagraph"/>
        <w:numPr>
          <w:ilvl w:val="0"/>
          <w:numId w:val="47"/>
        </w:numPr>
        <w:spacing w:after="120"/>
        <w:rPr>
          <w:rFonts w:cstheme="minorHAnsi"/>
          <w:sz w:val="20"/>
          <w:szCs w:val="20"/>
        </w:rPr>
      </w:pPr>
      <w:r w:rsidRPr="006C7B74">
        <w:rPr>
          <w:rFonts w:cstheme="minorHAnsi"/>
          <w:sz w:val="20"/>
          <w:szCs w:val="20"/>
        </w:rPr>
        <w:t xml:space="preserve">The area supports </w:t>
      </w:r>
      <w:r w:rsidR="008D61F6" w:rsidRPr="006C7B74">
        <w:rPr>
          <w:rFonts w:cstheme="minorHAnsi"/>
          <w:sz w:val="20"/>
          <w:szCs w:val="20"/>
        </w:rPr>
        <w:t xml:space="preserve">critical </w:t>
      </w:r>
      <w:r w:rsidR="004F2870" w:rsidRPr="006C7B74">
        <w:rPr>
          <w:rFonts w:cstheme="minorHAnsi"/>
          <w:sz w:val="20"/>
          <w:szCs w:val="20"/>
        </w:rPr>
        <w:t>or</w:t>
      </w:r>
      <w:r w:rsidR="0020077B" w:rsidRPr="006C7B74">
        <w:rPr>
          <w:rFonts w:cstheme="minorHAnsi"/>
          <w:sz w:val="20"/>
          <w:szCs w:val="20"/>
        </w:rPr>
        <w:t xml:space="preserve"> specialised </w:t>
      </w:r>
      <w:r w:rsidR="00827598" w:rsidRPr="006C7B74">
        <w:rPr>
          <w:rFonts w:cstheme="minorHAnsi"/>
          <w:sz w:val="20"/>
          <w:szCs w:val="20"/>
        </w:rPr>
        <w:t xml:space="preserve">urban </w:t>
      </w:r>
      <w:r w:rsidR="00EC603D" w:rsidRPr="006C7B74">
        <w:rPr>
          <w:rFonts w:cstheme="minorHAnsi"/>
          <w:sz w:val="20"/>
          <w:szCs w:val="20"/>
        </w:rPr>
        <w:t>serv</w:t>
      </w:r>
      <w:r w:rsidR="002F5827" w:rsidRPr="006C7B74">
        <w:rPr>
          <w:rFonts w:cstheme="minorHAnsi"/>
          <w:sz w:val="20"/>
          <w:szCs w:val="20"/>
        </w:rPr>
        <w:t xml:space="preserve">ices which </w:t>
      </w:r>
      <w:r w:rsidR="00CE0665" w:rsidRPr="006C7B74">
        <w:rPr>
          <w:rFonts w:cstheme="minorHAnsi"/>
          <w:sz w:val="20"/>
          <w:szCs w:val="20"/>
        </w:rPr>
        <w:t xml:space="preserve">play a </w:t>
      </w:r>
      <w:r w:rsidR="008D61F6" w:rsidRPr="006C7B74">
        <w:rPr>
          <w:rFonts w:cstheme="minorHAnsi"/>
          <w:sz w:val="20"/>
          <w:szCs w:val="20"/>
        </w:rPr>
        <w:t>unique function in the region</w:t>
      </w:r>
      <w:r w:rsidR="00E95C4C" w:rsidRPr="006C7B74">
        <w:rPr>
          <w:rFonts w:cstheme="minorHAnsi"/>
          <w:sz w:val="20"/>
          <w:szCs w:val="20"/>
        </w:rPr>
        <w:t xml:space="preserve"> and enable </w:t>
      </w:r>
      <w:r w:rsidR="00E555A9">
        <w:rPr>
          <w:rFonts w:cstheme="minorHAnsi"/>
          <w:sz w:val="20"/>
          <w:szCs w:val="20"/>
        </w:rPr>
        <w:t xml:space="preserve">and support </w:t>
      </w:r>
      <w:r w:rsidR="00E95C4C" w:rsidRPr="006C7B74">
        <w:rPr>
          <w:rFonts w:cstheme="minorHAnsi"/>
          <w:sz w:val="20"/>
          <w:szCs w:val="20"/>
        </w:rPr>
        <w:t>other economic activity</w:t>
      </w:r>
      <w:r w:rsidR="008D61F6" w:rsidRPr="006C7B74">
        <w:rPr>
          <w:rFonts w:cstheme="minorHAnsi"/>
          <w:sz w:val="20"/>
          <w:szCs w:val="20"/>
        </w:rPr>
        <w:t xml:space="preserve">. </w:t>
      </w:r>
    </w:p>
    <w:p w14:paraId="0DCAEDE2" w14:textId="55E01BEB" w:rsidR="009B2E64" w:rsidRPr="006C7B74" w:rsidRDefault="009B2E64" w:rsidP="002353A3">
      <w:pPr>
        <w:pStyle w:val="Heading4"/>
      </w:pPr>
    </w:p>
    <w:p w14:paraId="3D14A2DC" w14:textId="32FFBFDB" w:rsidR="009B2E64" w:rsidRPr="006C7B74" w:rsidRDefault="009B2E64" w:rsidP="002353A3">
      <w:pPr>
        <w:pStyle w:val="Heading4"/>
      </w:pPr>
      <w:r w:rsidRPr="006C7B74">
        <w:t xml:space="preserve">Local </w:t>
      </w:r>
      <w:r w:rsidR="00A3745C" w:rsidRPr="006C7B74">
        <w:t>i</w:t>
      </w:r>
      <w:r w:rsidRPr="006C7B74">
        <w:t xml:space="preserve">ndustrial </w:t>
      </w:r>
      <w:r w:rsidR="00A3745C" w:rsidRPr="006C7B74">
        <w:t>p</w:t>
      </w:r>
      <w:r w:rsidRPr="006C7B74">
        <w:t>recincts</w:t>
      </w:r>
    </w:p>
    <w:p w14:paraId="751610F8" w14:textId="1E1F2547" w:rsidR="00BB009D" w:rsidRPr="006C7B74" w:rsidRDefault="009B2E64" w:rsidP="009B2E64">
      <w:pPr>
        <w:spacing w:after="120"/>
        <w:rPr>
          <w:rFonts w:cstheme="minorHAnsi"/>
          <w:sz w:val="20"/>
          <w:szCs w:val="20"/>
        </w:rPr>
      </w:pPr>
      <w:r w:rsidRPr="006C7B74">
        <w:rPr>
          <w:rFonts w:cstheme="minorHAnsi"/>
          <w:sz w:val="20"/>
          <w:szCs w:val="20"/>
        </w:rPr>
        <w:t>If an area is not identified as being of state or regional</w:t>
      </w:r>
      <w:r w:rsidR="00F905C3" w:rsidRPr="006C7B74">
        <w:rPr>
          <w:rFonts w:cstheme="minorHAnsi"/>
          <w:sz w:val="20"/>
          <w:szCs w:val="20"/>
        </w:rPr>
        <w:t xml:space="preserve"> </w:t>
      </w:r>
      <w:r w:rsidRPr="006C7B74">
        <w:rPr>
          <w:rFonts w:cstheme="minorHAnsi"/>
          <w:sz w:val="20"/>
          <w:szCs w:val="20"/>
        </w:rPr>
        <w:t xml:space="preserve">significance, then it is of local significance. </w:t>
      </w:r>
      <w:r w:rsidR="00CA6312" w:rsidRPr="006C7B74">
        <w:rPr>
          <w:rFonts w:cstheme="minorHAnsi"/>
          <w:sz w:val="20"/>
          <w:szCs w:val="20"/>
        </w:rPr>
        <w:t>Being identified as a local industrial precinct does not mean that it is not still i</w:t>
      </w:r>
      <w:r w:rsidR="00272EFB" w:rsidRPr="006C7B74">
        <w:rPr>
          <w:rFonts w:cstheme="minorHAnsi"/>
          <w:sz w:val="20"/>
          <w:szCs w:val="20"/>
        </w:rPr>
        <w:t>mportan</w:t>
      </w:r>
      <w:r w:rsidR="0059178A" w:rsidRPr="006C7B74">
        <w:rPr>
          <w:rFonts w:cstheme="minorHAnsi"/>
          <w:sz w:val="20"/>
          <w:szCs w:val="20"/>
        </w:rPr>
        <w:t>t to be retained either for industrial purposes or other employment purposes</w:t>
      </w:r>
      <w:r w:rsidR="00821FAC" w:rsidRPr="006C7B74">
        <w:rPr>
          <w:rFonts w:cstheme="minorHAnsi"/>
          <w:sz w:val="20"/>
          <w:szCs w:val="20"/>
        </w:rPr>
        <w:t>.</w:t>
      </w:r>
    </w:p>
    <w:p w14:paraId="5BB8AEC2" w14:textId="31CAE81C" w:rsidR="009B2E64" w:rsidRPr="006C7B74" w:rsidRDefault="009B2E64" w:rsidP="009B2E64">
      <w:pPr>
        <w:spacing w:after="120"/>
        <w:rPr>
          <w:rFonts w:cstheme="minorHAnsi"/>
          <w:sz w:val="20"/>
          <w:szCs w:val="20"/>
        </w:rPr>
      </w:pPr>
      <w:r w:rsidRPr="006C7B74">
        <w:rPr>
          <w:rFonts w:cstheme="minorHAnsi"/>
          <w:sz w:val="20"/>
          <w:szCs w:val="20"/>
        </w:rPr>
        <w:t xml:space="preserve">Councils </w:t>
      </w:r>
      <w:r w:rsidR="00720088" w:rsidRPr="006C7B74">
        <w:rPr>
          <w:rFonts w:cstheme="minorHAnsi"/>
          <w:sz w:val="20"/>
          <w:szCs w:val="20"/>
        </w:rPr>
        <w:t>are best placed to</w:t>
      </w:r>
      <w:r w:rsidR="00AD031A" w:rsidRPr="006C7B74">
        <w:rPr>
          <w:rFonts w:cstheme="minorHAnsi"/>
          <w:sz w:val="20"/>
          <w:szCs w:val="20"/>
        </w:rPr>
        <w:t xml:space="preserve"> </w:t>
      </w:r>
      <w:r w:rsidRPr="006C7B74">
        <w:rPr>
          <w:rFonts w:cstheme="minorHAnsi"/>
          <w:sz w:val="20"/>
          <w:szCs w:val="20"/>
        </w:rPr>
        <w:t xml:space="preserve">determine how these industrial areas are </w:t>
      </w:r>
      <w:r w:rsidR="00AD031A" w:rsidRPr="006C7B74">
        <w:rPr>
          <w:rFonts w:cstheme="minorHAnsi"/>
          <w:sz w:val="20"/>
          <w:szCs w:val="20"/>
        </w:rPr>
        <w:t xml:space="preserve">to be </w:t>
      </w:r>
      <w:r w:rsidRPr="006C7B74">
        <w:rPr>
          <w:rFonts w:cstheme="minorHAnsi"/>
          <w:sz w:val="20"/>
          <w:szCs w:val="20"/>
        </w:rPr>
        <w:t>planned for. This could include identifying when industrial land should be retained, when it could transition to other employment generating uses, or if it is no longer required,</w:t>
      </w:r>
      <w:r w:rsidR="00D73868" w:rsidRPr="006C7B74">
        <w:rPr>
          <w:rFonts w:cstheme="minorHAnsi"/>
          <w:sz w:val="20"/>
          <w:szCs w:val="20"/>
        </w:rPr>
        <w:t xml:space="preserve"> when it</w:t>
      </w:r>
      <w:r w:rsidRPr="006C7B74">
        <w:rPr>
          <w:rFonts w:cstheme="minorHAnsi"/>
          <w:sz w:val="20"/>
          <w:szCs w:val="20"/>
        </w:rPr>
        <w:t xml:space="preserve"> could transition to other mixed</w:t>
      </w:r>
      <w:r w:rsidR="00D044E1" w:rsidRPr="006C7B74">
        <w:rPr>
          <w:rFonts w:cstheme="minorHAnsi"/>
          <w:sz w:val="20"/>
          <w:szCs w:val="20"/>
        </w:rPr>
        <w:t>-</w:t>
      </w:r>
      <w:r w:rsidRPr="006C7B74">
        <w:rPr>
          <w:rFonts w:cstheme="minorHAnsi"/>
          <w:sz w:val="20"/>
          <w:szCs w:val="20"/>
        </w:rPr>
        <w:t xml:space="preserve">use </w:t>
      </w:r>
      <w:r w:rsidR="009C75AB" w:rsidRPr="006C7B74">
        <w:rPr>
          <w:rFonts w:cstheme="minorHAnsi"/>
          <w:sz w:val="20"/>
          <w:szCs w:val="20"/>
        </w:rPr>
        <w:t>or non-employment focussed uses</w:t>
      </w:r>
      <w:r w:rsidRPr="006C7B74">
        <w:rPr>
          <w:rFonts w:cstheme="minorHAnsi"/>
          <w:sz w:val="20"/>
          <w:szCs w:val="20"/>
        </w:rPr>
        <w:t>.</w:t>
      </w:r>
      <w:r w:rsidR="00071DC4" w:rsidRPr="006C7B74">
        <w:rPr>
          <w:rFonts w:cstheme="minorHAnsi"/>
          <w:sz w:val="20"/>
          <w:szCs w:val="20"/>
        </w:rPr>
        <w:t xml:space="preserve"> </w:t>
      </w:r>
    </w:p>
    <w:p w14:paraId="57152456" w14:textId="72770D19" w:rsidR="009B2E64" w:rsidRPr="006C7B74" w:rsidRDefault="009B2E64" w:rsidP="009B2E64">
      <w:pPr>
        <w:spacing w:after="120"/>
        <w:rPr>
          <w:rFonts w:cstheme="minorHAnsi"/>
          <w:sz w:val="20"/>
          <w:szCs w:val="20"/>
        </w:rPr>
      </w:pPr>
      <w:r w:rsidRPr="006C7B74">
        <w:rPr>
          <w:rFonts w:cstheme="minorHAnsi"/>
          <w:sz w:val="20"/>
          <w:szCs w:val="20"/>
        </w:rPr>
        <w:t>Councils should undertake an industrial land use strategy</w:t>
      </w:r>
      <w:r w:rsidR="009F0422" w:rsidRPr="006C7B74">
        <w:rPr>
          <w:rFonts w:cstheme="minorHAnsi"/>
          <w:sz w:val="20"/>
          <w:szCs w:val="20"/>
        </w:rPr>
        <w:t>,</w:t>
      </w:r>
      <w:r w:rsidR="006E558E" w:rsidRPr="006C7B74">
        <w:rPr>
          <w:rFonts w:cstheme="minorHAnsi"/>
          <w:sz w:val="20"/>
          <w:szCs w:val="20"/>
        </w:rPr>
        <w:t xml:space="preserve"> or similar strategic work for precincts,</w:t>
      </w:r>
      <w:r w:rsidRPr="006C7B74">
        <w:rPr>
          <w:rFonts w:cstheme="minorHAnsi"/>
          <w:sz w:val="20"/>
          <w:szCs w:val="20"/>
        </w:rPr>
        <w:t xml:space="preserve"> to support their planning policies for industrial land.</w:t>
      </w:r>
      <w:r w:rsidR="00B45B3D" w:rsidRPr="006C7B74">
        <w:rPr>
          <w:rFonts w:cstheme="minorHAnsi"/>
          <w:sz w:val="20"/>
          <w:szCs w:val="20"/>
        </w:rPr>
        <w:t xml:space="preserve"> </w:t>
      </w:r>
      <w:r w:rsidR="002E20F9" w:rsidRPr="006C7B74">
        <w:rPr>
          <w:rFonts w:cstheme="minorHAnsi"/>
          <w:sz w:val="20"/>
          <w:szCs w:val="20"/>
        </w:rPr>
        <w:t>Draft g</w:t>
      </w:r>
      <w:r w:rsidR="00B45B3D" w:rsidRPr="006C7B74">
        <w:rPr>
          <w:rFonts w:cstheme="minorHAnsi"/>
          <w:sz w:val="20"/>
          <w:szCs w:val="20"/>
        </w:rPr>
        <w:t xml:space="preserve">uidance for developing an industrial land use strategy is provided at Appendix </w:t>
      </w:r>
      <w:r w:rsidR="00D50166" w:rsidRPr="006C7B74">
        <w:rPr>
          <w:rFonts w:cstheme="minorHAnsi"/>
          <w:sz w:val="20"/>
          <w:szCs w:val="20"/>
        </w:rPr>
        <w:t>2</w:t>
      </w:r>
      <w:r w:rsidR="00C234B2" w:rsidRPr="006C7B74">
        <w:rPr>
          <w:rFonts w:cstheme="minorHAnsi"/>
          <w:sz w:val="20"/>
          <w:szCs w:val="20"/>
        </w:rPr>
        <w:t>.</w:t>
      </w:r>
      <w:r w:rsidR="00675277" w:rsidRPr="006C7B74">
        <w:rPr>
          <w:rFonts w:cstheme="minorHAnsi"/>
          <w:sz w:val="20"/>
          <w:szCs w:val="20"/>
        </w:rPr>
        <w:t xml:space="preserve"> This will be </w:t>
      </w:r>
      <w:r w:rsidR="00AB3621" w:rsidRPr="006C7B74">
        <w:rPr>
          <w:rFonts w:cstheme="minorHAnsi"/>
          <w:sz w:val="20"/>
          <w:szCs w:val="20"/>
        </w:rPr>
        <w:t xml:space="preserve">further developed into a practice note to assist councils in undertaking </w:t>
      </w:r>
      <w:r w:rsidR="009F0422" w:rsidRPr="006C7B74">
        <w:rPr>
          <w:rFonts w:cstheme="minorHAnsi"/>
          <w:sz w:val="20"/>
          <w:szCs w:val="20"/>
        </w:rPr>
        <w:t xml:space="preserve">this </w:t>
      </w:r>
      <w:r w:rsidR="00AB3621" w:rsidRPr="006C7B74">
        <w:rPr>
          <w:rFonts w:cstheme="minorHAnsi"/>
          <w:sz w:val="20"/>
          <w:szCs w:val="20"/>
        </w:rPr>
        <w:t xml:space="preserve">strategic work, including criteria for considering changes of land use. </w:t>
      </w:r>
    </w:p>
    <w:p w14:paraId="2F767FDE" w14:textId="77777777" w:rsidR="00B90792" w:rsidRPr="006C7B74" w:rsidRDefault="00B90792" w:rsidP="009B2E64">
      <w:pPr>
        <w:spacing w:after="120"/>
        <w:rPr>
          <w:rFonts w:cstheme="minorHAnsi"/>
          <w:sz w:val="20"/>
          <w:szCs w:val="20"/>
        </w:rPr>
      </w:pPr>
    </w:p>
    <w:p w14:paraId="7C7E96C3" w14:textId="77777777" w:rsidR="00FA21B7" w:rsidRDefault="00FA21B7">
      <w:pPr>
        <w:rPr>
          <w:rFonts w:asciiTheme="majorHAnsi" w:eastAsiaTheme="majorEastAsia" w:hAnsiTheme="majorHAnsi" w:cstheme="majorHAnsi"/>
          <w:b/>
          <w:color w:val="642667"/>
          <w:sz w:val="24"/>
          <w:szCs w:val="22"/>
        </w:rPr>
      </w:pPr>
      <w:r>
        <w:br w:type="page"/>
      </w:r>
    </w:p>
    <w:p w14:paraId="611FEB9B" w14:textId="25F3E5D6" w:rsidR="009B2E64" w:rsidRPr="006C7B74" w:rsidRDefault="00D1227B" w:rsidP="002353A3">
      <w:pPr>
        <w:pStyle w:val="Heading4"/>
      </w:pPr>
      <w:r w:rsidRPr="006C7B74">
        <w:lastRenderedPageBreak/>
        <w:t xml:space="preserve">Planning for industrial precincts </w:t>
      </w:r>
    </w:p>
    <w:tbl>
      <w:tblPr>
        <w:tblStyle w:val="TableGridLight"/>
        <w:tblW w:w="9209" w:type="dxa"/>
        <w:tblLook w:val="04A0" w:firstRow="1" w:lastRow="0" w:firstColumn="1" w:lastColumn="0" w:noHBand="0" w:noVBand="1"/>
      </w:tblPr>
      <w:tblGrid>
        <w:gridCol w:w="4957"/>
        <w:gridCol w:w="4252"/>
      </w:tblGrid>
      <w:tr w:rsidR="00D3429D" w:rsidRPr="006C7B74" w14:paraId="427449DC" w14:textId="77777777" w:rsidTr="009E62B1">
        <w:tc>
          <w:tcPr>
            <w:tcW w:w="4957" w:type="dxa"/>
          </w:tcPr>
          <w:p w14:paraId="66509FD4" w14:textId="18C4F6F8" w:rsidR="00D3429D" w:rsidRPr="00090B37" w:rsidRDefault="00D3429D" w:rsidP="002353A3">
            <w:pPr>
              <w:pStyle w:val="Heading6"/>
              <w:outlineLvl w:val="5"/>
              <w:rPr>
                <w:color w:val="88568A"/>
              </w:rPr>
            </w:pPr>
            <w:r w:rsidRPr="00090B37">
              <w:rPr>
                <w:color w:val="88568A"/>
              </w:rPr>
              <w:t>State</w:t>
            </w:r>
            <w:r w:rsidR="00A3745C" w:rsidRPr="00090B37">
              <w:rPr>
                <w:color w:val="88568A"/>
              </w:rPr>
              <w:t>-s</w:t>
            </w:r>
            <w:r w:rsidRPr="00090B37">
              <w:rPr>
                <w:color w:val="88568A"/>
              </w:rPr>
              <w:t xml:space="preserve">ignificant </w:t>
            </w:r>
            <w:r w:rsidR="00A3745C" w:rsidRPr="00090B37">
              <w:rPr>
                <w:color w:val="88568A"/>
              </w:rPr>
              <w:t>i</w:t>
            </w:r>
            <w:r w:rsidRPr="00090B37">
              <w:rPr>
                <w:color w:val="88568A"/>
              </w:rPr>
              <w:t xml:space="preserve">ndustrial </w:t>
            </w:r>
            <w:r w:rsidR="00A3745C" w:rsidRPr="00090B37">
              <w:rPr>
                <w:color w:val="88568A"/>
              </w:rPr>
              <w:t>p</w:t>
            </w:r>
            <w:r w:rsidRPr="00090B37">
              <w:rPr>
                <w:color w:val="88568A"/>
              </w:rPr>
              <w:t>recincts</w:t>
            </w:r>
          </w:p>
          <w:p w14:paraId="3E10866C" w14:textId="77777777" w:rsidR="00D3429D" w:rsidRPr="006C7B74" w:rsidRDefault="00D3429D" w:rsidP="009E62B1">
            <w:pPr>
              <w:spacing w:after="120"/>
              <w:rPr>
                <w:rFonts w:cstheme="minorHAnsi"/>
                <w:i/>
                <w:sz w:val="18"/>
                <w:szCs w:val="18"/>
              </w:rPr>
            </w:pPr>
            <w:r w:rsidRPr="006C7B74">
              <w:rPr>
                <w:rFonts w:cstheme="minorHAnsi"/>
                <w:b/>
                <w:i/>
                <w:sz w:val="18"/>
                <w:szCs w:val="18"/>
              </w:rPr>
              <w:t>Purpose</w:t>
            </w:r>
            <w:r w:rsidRPr="006C7B74">
              <w:rPr>
                <w:rFonts w:cstheme="minorHAnsi"/>
                <w:i/>
                <w:sz w:val="18"/>
                <w:szCs w:val="18"/>
              </w:rPr>
              <w:t>:</w:t>
            </w:r>
          </w:p>
          <w:p w14:paraId="1B01A11F" w14:textId="574352B9" w:rsidR="00D3429D" w:rsidRPr="006C7B74" w:rsidRDefault="00D3429D" w:rsidP="009E62B1">
            <w:pPr>
              <w:spacing w:after="120"/>
              <w:rPr>
                <w:rFonts w:cstheme="minorHAnsi"/>
                <w:sz w:val="18"/>
                <w:szCs w:val="18"/>
              </w:rPr>
            </w:pPr>
            <w:r w:rsidRPr="006C7B74">
              <w:rPr>
                <w:rFonts w:cstheme="minorHAnsi"/>
                <w:sz w:val="18"/>
                <w:szCs w:val="18"/>
              </w:rPr>
              <w:t xml:space="preserve">To provide strategically located land for major industrial development linked to the </w:t>
            </w:r>
            <w:r w:rsidRPr="006C7B74" w:rsidDel="00E96035">
              <w:rPr>
                <w:rFonts w:cstheme="minorHAnsi"/>
                <w:sz w:val="18"/>
                <w:szCs w:val="18"/>
              </w:rPr>
              <w:t>Principal Freight Network</w:t>
            </w:r>
            <w:r w:rsidRPr="006C7B74">
              <w:rPr>
                <w:rFonts w:cstheme="minorHAnsi"/>
                <w:sz w:val="18"/>
                <w:szCs w:val="18"/>
              </w:rPr>
              <w:t xml:space="preserve"> and transport gateways. </w:t>
            </w:r>
          </w:p>
          <w:p w14:paraId="288EEB78" w14:textId="4DDDEDA1" w:rsidR="00D3429D" w:rsidRPr="006C7B74" w:rsidRDefault="00D3429D" w:rsidP="009E62B1">
            <w:pPr>
              <w:spacing w:after="120"/>
              <w:rPr>
                <w:rFonts w:cstheme="minorHAnsi"/>
                <w:color w:val="000000"/>
                <w:sz w:val="18"/>
                <w:szCs w:val="18"/>
              </w:rPr>
            </w:pPr>
            <w:r w:rsidRPr="006C7B74">
              <w:rPr>
                <w:rFonts w:cstheme="minorHAnsi"/>
                <w:sz w:val="18"/>
                <w:szCs w:val="18"/>
              </w:rPr>
              <w:t>They will be protected from incompatible land uses to allow continual growth in freight, logistics and manufacturing investment.</w:t>
            </w:r>
            <w:r w:rsidRPr="006C7B74">
              <w:rPr>
                <w:rFonts w:cstheme="minorHAnsi"/>
                <w:color w:val="000000"/>
                <w:sz w:val="18"/>
                <w:szCs w:val="18"/>
              </w:rPr>
              <w:t xml:space="preserve"> </w:t>
            </w:r>
          </w:p>
          <w:p w14:paraId="0DEC1FD5" w14:textId="77777777" w:rsidR="00D3429D" w:rsidRPr="006C7B74" w:rsidRDefault="00D3429D" w:rsidP="009E62B1">
            <w:pPr>
              <w:spacing w:after="120"/>
              <w:rPr>
                <w:rFonts w:cstheme="minorHAnsi"/>
                <w:sz w:val="18"/>
                <w:szCs w:val="18"/>
              </w:rPr>
            </w:pPr>
          </w:p>
        </w:tc>
        <w:tc>
          <w:tcPr>
            <w:tcW w:w="4252" w:type="dxa"/>
          </w:tcPr>
          <w:p w14:paraId="368DDB90" w14:textId="77777777" w:rsidR="00D3429D" w:rsidRPr="006C7B74" w:rsidRDefault="00D3429D" w:rsidP="009E62B1">
            <w:pPr>
              <w:spacing w:after="120"/>
              <w:rPr>
                <w:rFonts w:cstheme="minorHAnsi"/>
                <w:sz w:val="18"/>
                <w:szCs w:val="18"/>
              </w:rPr>
            </w:pPr>
          </w:p>
          <w:p w14:paraId="7B2CEB17" w14:textId="5C3E7EF4" w:rsidR="00D3429D" w:rsidRPr="006C7B74" w:rsidRDefault="002C4832" w:rsidP="009E62B1">
            <w:pPr>
              <w:spacing w:after="120"/>
              <w:rPr>
                <w:rFonts w:cstheme="minorHAnsi"/>
                <w:sz w:val="18"/>
                <w:szCs w:val="18"/>
              </w:rPr>
            </w:pPr>
            <w:r w:rsidRPr="006C7B74">
              <w:rPr>
                <w:rFonts w:cstheme="minorHAnsi"/>
                <w:sz w:val="18"/>
                <w:szCs w:val="18"/>
              </w:rPr>
              <w:t>Z</w:t>
            </w:r>
            <w:r w:rsidR="004E1017" w:rsidRPr="006C7B74">
              <w:rPr>
                <w:rFonts w:cstheme="minorHAnsi"/>
                <w:sz w:val="18"/>
                <w:szCs w:val="18"/>
              </w:rPr>
              <w:t>one</w:t>
            </w:r>
            <w:r w:rsidR="00D04B85" w:rsidRPr="006C7B74">
              <w:rPr>
                <w:rFonts w:cstheme="minorHAnsi"/>
                <w:sz w:val="18"/>
                <w:szCs w:val="18"/>
              </w:rPr>
              <w:t xml:space="preserve"> guidance</w:t>
            </w:r>
            <w:r w:rsidR="00D3429D" w:rsidRPr="006C7B74">
              <w:rPr>
                <w:rFonts w:cstheme="minorHAnsi"/>
                <w:sz w:val="18"/>
                <w:szCs w:val="18"/>
              </w:rPr>
              <w:t>:</w:t>
            </w:r>
          </w:p>
          <w:p w14:paraId="0543D203" w14:textId="64992EAE" w:rsidR="00D3429D" w:rsidRPr="006C7B74" w:rsidRDefault="00D3429D" w:rsidP="00D3429D">
            <w:pPr>
              <w:pStyle w:val="ListParagraph"/>
              <w:numPr>
                <w:ilvl w:val="0"/>
                <w:numId w:val="46"/>
              </w:numPr>
              <w:spacing w:after="120"/>
              <w:rPr>
                <w:rFonts w:cstheme="minorHAnsi"/>
                <w:sz w:val="18"/>
                <w:szCs w:val="18"/>
              </w:rPr>
            </w:pPr>
            <w:r w:rsidRPr="006C7B74">
              <w:rPr>
                <w:rFonts w:cstheme="minorHAnsi"/>
                <w:sz w:val="18"/>
                <w:szCs w:val="18"/>
              </w:rPr>
              <w:t>Industrial 1</w:t>
            </w:r>
            <w:r w:rsidR="00C12F4A" w:rsidRPr="006C7B74">
              <w:rPr>
                <w:rFonts w:cstheme="minorHAnsi"/>
                <w:sz w:val="18"/>
                <w:szCs w:val="18"/>
              </w:rPr>
              <w:t xml:space="preserve"> </w:t>
            </w:r>
            <w:r w:rsidR="006C3715" w:rsidRPr="006C7B74">
              <w:rPr>
                <w:rFonts w:cstheme="minorHAnsi"/>
                <w:sz w:val="18"/>
                <w:szCs w:val="18"/>
              </w:rPr>
              <w:t xml:space="preserve">Zone </w:t>
            </w:r>
            <w:r w:rsidR="005043CF" w:rsidRPr="006C7B74">
              <w:rPr>
                <w:rFonts w:cstheme="minorHAnsi"/>
                <w:sz w:val="18"/>
                <w:szCs w:val="18"/>
              </w:rPr>
              <w:t>would usually</w:t>
            </w:r>
            <w:r w:rsidR="00C12F4A" w:rsidRPr="006C7B74">
              <w:rPr>
                <w:rFonts w:cstheme="minorHAnsi"/>
                <w:sz w:val="18"/>
                <w:szCs w:val="18"/>
              </w:rPr>
              <w:t xml:space="preserve"> be applied to land within a</w:t>
            </w:r>
            <w:r w:rsidR="00EE4B3E" w:rsidRPr="006C7B74">
              <w:rPr>
                <w:rFonts w:cstheme="minorHAnsi"/>
                <w:sz w:val="18"/>
                <w:szCs w:val="18"/>
              </w:rPr>
              <w:t xml:space="preserve"> </w:t>
            </w:r>
            <w:r w:rsidR="00F750BA" w:rsidRPr="006C7B74" w:rsidDel="00EE4B3E">
              <w:rPr>
                <w:rFonts w:cstheme="minorHAnsi"/>
                <w:sz w:val="18"/>
                <w:szCs w:val="18"/>
              </w:rPr>
              <w:t>s</w:t>
            </w:r>
            <w:r w:rsidR="00C12F4A" w:rsidRPr="006C7B74" w:rsidDel="00EE4B3E">
              <w:rPr>
                <w:rFonts w:cstheme="minorHAnsi"/>
                <w:sz w:val="18"/>
                <w:szCs w:val="18"/>
              </w:rPr>
              <w:t>tate</w:t>
            </w:r>
            <w:r w:rsidR="003C14DB" w:rsidRPr="006C7B74" w:rsidDel="00EE4B3E">
              <w:rPr>
                <w:rFonts w:cstheme="minorHAnsi"/>
                <w:sz w:val="18"/>
                <w:szCs w:val="18"/>
              </w:rPr>
              <w:t>-s</w:t>
            </w:r>
            <w:r w:rsidR="00C12F4A" w:rsidRPr="006C7B74" w:rsidDel="00EE4B3E">
              <w:rPr>
                <w:rFonts w:cstheme="minorHAnsi"/>
                <w:sz w:val="18"/>
                <w:szCs w:val="18"/>
              </w:rPr>
              <w:t xml:space="preserve">ignificant </w:t>
            </w:r>
            <w:r w:rsidR="003C14DB" w:rsidRPr="006C7B74" w:rsidDel="00EE4B3E">
              <w:rPr>
                <w:rFonts w:cstheme="minorHAnsi"/>
                <w:sz w:val="18"/>
                <w:szCs w:val="18"/>
              </w:rPr>
              <w:t>i</w:t>
            </w:r>
            <w:r w:rsidR="00C12F4A" w:rsidRPr="006C7B74" w:rsidDel="00EE4B3E">
              <w:rPr>
                <w:rFonts w:cstheme="minorHAnsi"/>
                <w:sz w:val="18"/>
                <w:szCs w:val="18"/>
              </w:rPr>
              <w:t xml:space="preserve">ndustrial </w:t>
            </w:r>
            <w:r w:rsidR="003C14DB" w:rsidRPr="006C7B74" w:rsidDel="00EE4B3E">
              <w:rPr>
                <w:rFonts w:cstheme="minorHAnsi"/>
                <w:sz w:val="18"/>
                <w:szCs w:val="18"/>
              </w:rPr>
              <w:t>p</w:t>
            </w:r>
            <w:r w:rsidR="00C12F4A" w:rsidRPr="006C7B74" w:rsidDel="00EE4B3E">
              <w:rPr>
                <w:rFonts w:cstheme="minorHAnsi"/>
                <w:sz w:val="18"/>
                <w:szCs w:val="18"/>
              </w:rPr>
              <w:t>recinct</w:t>
            </w:r>
            <w:r w:rsidRPr="006C7B74">
              <w:rPr>
                <w:rFonts w:cstheme="minorHAnsi"/>
                <w:sz w:val="18"/>
                <w:szCs w:val="18"/>
              </w:rPr>
              <w:t>.</w:t>
            </w:r>
          </w:p>
          <w:p w14:paraId="15DC6BEC" w14:textId="011ADE75" w:rsidR="004B005A" w:rsidRPr="006C7B74" w:rsidRDefault="00D3429D" w:rsidP="004B005A">
            <w:pPr>
              <w:pStyle w:val="ListParagraph"/>
              <w:numPr>
                <w:ilvl w:val="0"/>
                <w:numId w:val="46"/>
              </w:numPr>
              <w:spacing w:after="120"/>
              <w:rPr>
                <w:rFonts w:cstheme="minorHAnsi"/>
                <w:sz w:val="18"/>
                <w:szCs w:val="18"/>
              </w:rPr>
            </w:pPr>
            <w:r w:rsidRPr="006C7B74">
              <w:rPr>
                <w:rFonts w:cstheme="minorHAnsi"/>
                <w:sz w:val="18"/>
                <w:szCs w:val="18"/>
              </w:rPr>
              <w:t xml:space="preserve">Industrial 2 </w:t>
            </w:r>
            <w:r w:rsidR="006C3715" w:rsidRPr="006C7B74">
              <w:rPr>
                <w:rFonts w:cstheme="minorHAnsi"/>
                <w:sz w:val="18"/>
                <w:szCs w:val="18"/>
              </w:rPr>
              <w:t xml:space="preserve">Zone </w:t>
            </w:r>
            <w:r w:rsidR="00C12F4A" w:rsidRPr="006C7B74">
              <w:rPr>
                <w:rFonts w:cstheme="minorHAnsi"/>
                <w:sz w:val="18"/>
                <w:szCs w:val="18"/>
              </w:rPr>
              <w:t xml:space="preserve">should be applied </w:t>
            </w:r>
            <w:r w:rsidRPr="006C7B74">
              <w:rPr>
                <w:rFonts w:cstheme="minorHAnsi"/>
                <w:sz w:val="18"/>
                <w:szCs w:val="18"/>
              </w:rPr>
              <w:t>in specific instances where manufacturing industries and storage facilities require a substantial threshold distance</w:t>
            </w:r>
            <w:r w:rsidR="00C12F4A" w:rsidRPr="006C7B74">
              <w:rPr>
                <w:rFonts w:cstheme="minorHAnsi"/>
                <w:sz w:val="18"/>
                <w:szCs w:val="18"/>
              </w:rPr>
              <w:t>s</w:t>
            </w:r>
            <w:r w:rsidR="00ED1198" w:rsidRPr="006C7B74">
              <w:rPr>
                <w:rFonts w:cstheme="minorHAnsi"/>
                <w:sz w:val="18"/>
                <w:szCs w:val="18"/>
              </w:rPr>
              <w:t xml:space="preserve"> so as not to affect the safety and amenity of local communities</w:t>
            </w:r>
            <w:r w:rsidR="00087265" w:rsidRPr="006C7B74">
              <w:rPr>
                <w:rFonts w:cstheme="minorHAnsi"/>
                <w:sz w:val="18"/>
                <w:szCs w:val="18"/>
              </w:rPr>
              <w:t>.</w:t>
            </w:r>
          </w:p>
          <w:p w14:paraId="57858070" w14:textId="18FB7D11" w:rsidR="00C12F4A" w:rsidRPr="006C7B74" w:rsidRDefault="00C12F4A" w:rsidP="001612B1">
            <w:pPr>
              <w:pStyle w:val="ListParagraph"/>
              <w:numPr>
                <w:ilvl w:val="0"/>
                <w:numId w:val="46"/>
              </w:numPr>
              <w:spacing w:after="120"/>
              <w:rPr>
                <w:rFonts w:cstheme="minorHAnsi"/>
                <w:sz w:val="18"/>
                <w:szCs w:val="18"/>
              </w:rPr>
            </w:pPr>
            <w:r w:rsidRPr="006C7B74">
              <w:rPr>
                <w:rFonts w:cstheme="minorHAnsi"/>
                <w:sz w:val="18"/>
                <w:szCs w:val="18"/>
              </w:rPr>
              <w:t xml:space="preserve">Industrial 3 </w:t>
            </w:r>
            <w:r w:rsidR="006C3715" w:rsidRPr="006C7B74">
              <w:rPr>
                <w:rFonts w:cstheme="minorHAnsi"/>
                <w:sz w:val="18"/>
                <w:szCs w:val="18"/>
              </w:rPr>
              <w:t xml:space="preserve">Zone </w:t>
            </w:r>
            <w:r w:rsidR="009B51D1" w:rsidRPr="006C7B74">
              <w:rPr>
                <w:rFonts w:cstheme="minorHAnsi"/>
                <w:sz w:val="18"/>
                <w:szCs w:val="18"/>
              </w:rPr>
              <w:t>could be applied</w:t>
            </w:r>
            <w:r w:rsidRPr="006C7B74">
              <w:rPr>
                <w:rFonts w:cstheme="minorHAnsi"/>
                <w:sz w:val="18"/>
                <w:szCs w:val="18"/>
              </w:rPr>
              <w:t xml:space="preserve"> </w:t>
            </w:r>
            <w:r w:rsidR="00B92F97" w:rsidRPr="006C7B74">
              <w:rPr>
                <w:rFonts w:cstheme="minorHAnsi"/>
                <w:sz w:val="18"/>
                <w:szCs w:val="18"/>
              </w:rPr>
              <w:t xml:space="preserve">to provide a buffer between </w:t>
            </w:r>
            <w:r w:rsidR="001612B1" w:rsidRPr="006C7B74">
              <w:rPr>
                <w:rFonts w:cstheme="minorHAnsi"/>
                <w:sz w:val="18"/>
                <w:szCs w:val="18"/>
              </w:rPr>
              <w:t>i</w:t>
            </w:r>
            <w:r w:rsidR="00B92F97" w:rsidRPr="006C7B74">
              <w:rPr>
                <w:rFonts w:cstheme="minorHAnsi"/>
                <w:sz w:val="18"/>
                <w:szCs w:val="18"/>
              </w:rPr>
              <w:t>ndustr</w:t>
            </w:r>
            <w:r w:rsidR="001612B1" w:rsidRPr="006C7B74">
              <w:rPr>
                <w:rFonts w:cstheme="minorHAnsi"/>
                <w:sz w:val="18"/>
                <w:szCs w:val="18"/>
              </w:rPr>
              <w:t xml:space="preserve">y and </w:t>
            </w:r>
            <w:r w:rsidR="00B92F97" w:rsidRPr="006C7B74">
              <w:rPr>
                <w:rFonts w:cstheme="minorHAnsi"/>
                <w:sz w:val="18"/>
                <w:szCs w:val="18"/>
              </w:rPr>
              <w:t>local communities</w:t>
            </w:r>
            <w:r w:rsidR="006C3715" w:rsidRPr="006C7B74">
              <w:rPr>
                <w:rFonts w:cstheme="minorHAnsi"/>
                <w:sz w:val="18"/>
                <w:szCs w:val="18"/>
              </w:rPr>
              <w:t xml:space="preserve"> where required</w:t>
            </w:r>
            <w:r w:rsidR="001612B1" w:rsidRPr="006C7B74">
              <w:rPr>
                <w:rFonts w:cstheme="minorHAnsi"/>
                <w:sz w:val="18"/>
                <w:szCs w:val="18"/>
              </w:rPr>
              <w:t>.</w:t>
            </w:r>
          </w:p>
          <w:p w14:paraId="1F71A94B" w14:textId="13CA45F3" w:rsidR="00DC52DB" w:rsidRPr="006C7B74" w:rsidRDefault="00DC52DB" w:rsidP="00D3429D">
            <w:pPr>
              <w:pStyle w:val="ListParagraph"/>
              <w:numPr>
                <w:ilvl w:val="0"/>
                <w:numId w:val="46"/>
              </w:numPr>
              <w:spacing w:after="120"/>
              <w:rPr>
                <w:rFonts w:cstheme="minorHAnsi"/>
                <w:sz w:val="18"/>
                <w:szCs w:val="18"/>
              </w:rPr>
            </w:pPr>
            <w:r w:rsidRPr="006C7B74">
              <w:rPr>
                <w:rFonts w:cstheme="minorHAnsi"/>
                <w:sz w:val="18"/>
                <w:szCs w:val="18"/>
              </w:rPr>
              <w:t xml:space="preserve">Commercial 2 Zone </w:t>
            </w:r>
            <w:r w:rsidR="002764DD" w:rsidRPr="006C7B74">
              <w:rPr>
                <w:rFonts w:cstheme="minorHAnsi"/>
                <w:sz w:val="18"/>
                <w:szCs w:val="18"/>
              </w:rPr>
              <w:t>c</w:t>
            </w:r>
            <w:r w:rsidR="00145DBC" w:rsidRPr="006C7B74">
              <w:rPr>
                <w:rFonts w:cstheme="minorHAnsi"/>
                <w:sz w:val="18"/>
                <w:szCs w:val="18"/>
              </w:rPr>
              <w:t>ould be appli</w:t>
            </w:r>
            <w:r w:rsidR="00D03E12" w:rsidRPr="006C7B74">
              <w:rPr>
                <w:rFonts w:cstheme="minorHAnsi"/>
                <w:sz w:val="18"/>
                <w:szCs w:val="18"/>
              </w:rPr>
              <w:t xml:space="preserve">ed in </w:t>
            </w:r>
            <w:r w:rsidR="00BE2D69" w:rsidRPr="006C7B74">
              <w:rPr>
                <w:rFonts w:cstheme="minorHAnsi"/>
                <w:sz w:val="18"/>
                <w:szCs w:val="18"/>
              </w:rPr>
              <w:t>some</w:t>
            </w:r>
            <w:r w:rsidR="00D03E12" w:rsidRPr="006C7B74">
              <w:rPr>
                <w:rFonts w:cstheme="minorHAnsi"/>
                <w:sz w:val="18"/>
                <w:szCs w:val="18"/>
              </w:rPr>
              <w:t xml:space="preserve"> situation</w:t>
            </w:r>
            <w:r w:rsidR="00C67978" w:rsidRPr="006C7B74">
              <w:rPr>
                <w:rFonts w:cstheme="minorHAnsi"/>
                <w:sz w:val="18"/>
                <w:szCs w:val="18"/>
              </w:rPr>
              <w:t>s, for examples</w:t>
            </w:r>
            <w:r w:rsidR="00FA1EBF" w:rsidRPr="006C7B74">
              <w:rPr>
                <w:rFonts w:cstheme="minorHAnsi"/>
                <w:sz w:val="18"/>
                <w:szCs w:val="18"/>
              </w:rPr>
              <w:t xml:space="preserve">, to business precincts identified </w:t>
            </w:r>
            <w:r w:rsidR="00A55BB0" w:rsidRPr="006C7B74">
              <w:rPr>
                <w:rFonts w:cstheme="minorHAnsi"/>
                <w:sz w:val="18"/>
                <w:szCs w:val="18"/>
              </w:rPr>
              <w:t>in</w:t>
            </w:r>
            <w:r w:rsidR="00034017" w:rsidRPr="006C7B74">
              <w:rPr>
                <w:rFonts w:cstheme="minorHAnsi"/>
                <w:sz w:val="18"/>
                <w:szCs w:val="18"/>
              </w:rPr>
              <w:t xml:space="preserve"> growth corridor plans where the land</w:t>
            </w:r>
            <w:r w:rsidR="00B24751" w:rsidRPr="006C7B74">
              <w:rPr>
                <w:rFonts w:cstheme="minorHAnsi"/>
                <w:sz w:val="18"/>
                <w:szCs w:val="18"/>
              </w:rPr>
              <w:t xml:space="preserve"> is located within a SSIP</w:t>
            </w:r>
            <w:r w:rsidR="00034017" w:rsidRPr="006C7B74">
              <w:rPr>
                <w:rFonts w:cstheme="minorHAnsi"/>
                <w:sz w:val="18"/>
                <w:szCs w:val="18"/>
              </w:rPr>
              <w:t>.</w:t>
            </w:r>
          </w:p>
          <w:p w14:paraId="5B255680" w14:textId="4630DBB6" w:rsidR="00D3429D" w:rsidRPr="006C7B74" w:rsidRDefault="0083332D" w:rsidP="00D3429D">
            <w:pPr>
              <w:pStyle w:val="ListParagraph"/>
              <w:numPr>
                <w:ilvl w:val="0"/>
                <w:numId w:val="46"/>
              </w:numPr>
              <w:spacing w:after="120"/>
              <w:rPr>
                <w:rFonts w:cstheme="minorHAnsi"/>
                <w:sz w:val="18"/>
                <w:szCs w:val="18"/>
              </w:rPr>
            </w:pPr>
            <w:r w:rsidRPr="006C7B74">
              <w:rPr>
                <w:rFonts w:cstheme="minorHAnsi"/>
                <w:sz w:val="18"/>
                <w:szCs w:val="18"/>
              </w:rPr>
              <w:t>Special Purpose Zones may apply i</w:t>
            </w:r>
            <w:r w:rsidR="00D3429D" w:rsidRPr="006C7B74">
              <w:rPr>
                <w:rFonts w:cstheme="minorHAnsi"/>
                <w:sz w:val="18"/>
                <w:szCs w:val="18"/>
              </w:rPr>
              <w:t xml:space="preserve">n </w:t>
            </w:r>
            <w:r w:rsidR="009A6E83" w:rsidRPr="006C7B74">
              <w:rPr>
                <w:rFonts w:cstheme="minorHAnsi"/>
                <w:sz w:val="18"/>
                <w:szCs w:val="18"/>
              </w:rPr>
              <w:t>some</w:t>
            </w:r>
            <w:r w:rsidR="00D3429D" w:rsidRPr="006C7B74">
              <w:rPr>
                <w:rFonts w:cstheme="minorHAnsi"/>
                <w:sz w:val="18"/>
                <w:szCs w:val="18"/>
              </w:rPr>
              <w:t xml:space="preserve"> circumstances</w:t>
            </w:r>
            <w:r w:rsidR="009A6E83" w:rsidRPr="006C7B74">
              <w:rPr>
                <w:rFonts w:cstheme="minorHAnsi"/>
                <w:sz w:val="18"/>
                <w:szCs w:val="18"/>
              </w:rPr>
              <w:t>. This would occur</w:t>
            </w:r>
            <w:r w:rsidR="00087265" w:rsidRPr="006C7B74">
              <w:rPr>
                <w:rFonts w:cstheme="minorHAnsi"/>
                <w:sz w:val="18"/>
                <w:szCs w:val="18"/>
              </w:rPr>
              <w:t xml:space="preserve"> </w:t>
            </w:r>
            <w:r w:rsidR="00D3429D" w:rsidRPr="006C7B74">
              <w:rPr>
                <w:rFonts w:cstheme="minorHAnsi"/>
                <w:sz w:val="18"/>
                <w:szCs w:val="18"/>
              </w:rPr>
              <w:t>where there is a specific industry or asset that requires special consideration</w:t>
            </w:r>
            <w:r w:rsidR="00E02612" w:rsidRPr="006C7B74">
              <w:rPr>
                <w:rFonts w:cstheme="minorHAnsi"/>
                <w:sz w:val="18"/>
                <w:szCs w:val="18"/>
              </w:rPr>
              <w:t>,</w:t>
            </w:r>
            <w:r w:rsidR="007A7FCE" w:rsidRPr="006C7B74">
              <w:rPr>
                <w:rFonts w:cstheme="minorHAnsi"/>
                <w:sz w:val="18"/>
                <w:szCs w:val="18"/>
              </w:rPr>
              <w:t xml:space="preserve"> </w:t>
            </w:r>
            <w:r w:rsidR="00E02612" w:rsidRPr="006C7B74">
              <w:rPr>
                <w:rFonts w:cstheme="minorHAnsi"/>
                <w:sz w:val="18"/>
                <w:szCs w:val="18"/>
              </w:rPr>
              <w:t>f</w:t>
            </w:r>
            <w:r w:rsidR="007A7FCE" w:rsidRPr="006C7B74">
              <w:rPr>
                <w:rFonts w:cstheme="minorHAnsi"/>
                <w:sz w:val="18"/>
                <w:szCs w:val="18"/>
              </w:rPr>
              <w:t>or example, petrochemical facilities</w:t>
            </w:r>
            <w:r w:rsidR="00051436" w:rsidRPr="006C7B74">
              <w:rPr>
                <w:rFonts w:cstheme="minorHAnsi"/>
                <w:sz w:val="18"/>
                <w:szCs w:val="18"/>
              </w:rPr>
              <w:t>.</w:t>
            </w:r>
          </w:p>
        </w:tc>
      </w:tr>
      <w:tr w:rsidR="00D3429D" w:rsidRPr="006C7B74" w14:paraId="5725B80A" w14:textId="77777777" w:rsidTr="009E62B1">
        <w:tc>
          <w:tcPr>
            <w:tcW w:w="4957" w:type="dxa"/>
          </w:tcPr>
          <w:p w14:paraId="02426334" w14:textId="79041541" w:rsidR="00D3429D" w:rsidRPr="00090B37" w:rsidRDefault="00D3429D" w:rsidP="002353A3">
            <w:pPr>
              <w:pStyle w:val="Heading6"/>
              <w:outlineLvl w:val="5"/>
              <w:rPr>
                <w:color w:val="88568A"/>
              </w:rPr>
            </w:pPr>
            <w:proofErr w:type="gramStart"/>
            <w:r w:rsidRPr="00090B37">
              <w:rPr>
                <w:color w:val="88568A"/>
              </w:rPr>
              <w:t>Regionally</w:t>
            </w:r>
            <w:r w:rsidR="00A3745C" w:rsidRPr="00090B37">
              <w:rPr>
                <w:color w:val="88568A"/>
              </w:rPr>
              <w:t>-s</w:t>
            </w:r>
            <w:r w:rsidRPr="00090B37">
              <w:rPr>
                <w:color w:val="88568A"/>
              </w:rPr>
              <w:t>ignificant</w:t>
            </w:r>
            <w:proofErr w:type="gramEnd"/>
            <w:r w:rsidRPr="00090B37">
              <w:rPr>
                <w:color w:val="88568A"/>
              </w:rPr>
              <w:t xml:space="preserve"> </w:t>
            </w:r>
            <w:r w:rsidR="00A3745C" w:rsidRPr="00090B37">
              <w:rPr>
                <w:color w:val="88568A"/>
              </w:rPr>
              <w:t>i</w:t>
            </w:r>
            <w:r w:rsidRPr="00090B37">
              <w:rPr>
                <w:color w:val="88568A"/>
              </w:rPr>
              <w:t xml:space="preserve">ndustrial </w:t>
            </w:r>
            <w:r w:rsidR="00A3745C" w:rsidRPr="00090B37">
              <w:rPr>
                <w:color w:val="88568A"/>
              </w:rPr>
              <w:t>p</w:t>
            </w:r>
            <w:r w:rsidRPr="00090B37">
              <w:rPr>
                <w:color w:val="88568A"/>
              </w:rPr>
              <w:t>recincts</w:t>
            </w:r>
          </w:p>
          <w:p w14:paraId="47E4730B" w14:textId="77777777" w:rsidR="00D3429D" w:rsidRPr="006C7B74" w:rsidRDefault="00D3429D" w:rsidP="009E62B1">
            <w:pPr>
              <w:spacing w:after="120"/>
              <w:rPr>
                <w:rFonts w:cstheme="minorHAnsi"/>
                <w:i/>
                <w:sz w:val="18"/>
                <w:szCs w:val="18"/>
              </w:rPr>
            </w:pPr>
            <w:r w:rsidRPr="006C7B74">
              <w:rPr>
                <w:rFonts w:cstheme="minorHAnsi"/>
                <w:b/>
                <w:i/>
                <w:sz w:val="18"/>
                <w:szCs w:val="18"/>
              </w:rPr>
              <w:t>Purpose</w:t>
            </w:r>
            <w:r w:rsidRPr="006C7B74">
              <w:rPr>
                <w:rFonts w:cstheme="minorHAnsi"/>
                <w:i/>
                <w:sz w:val="18"/>
                <w:szCs w:val="18"/>
              </w:rPr>
              <w:t>:</w:t>
            </w:r>
          </w:p>
          <w:p w14:paraId="5E03DF41" w14:textId="479962A0" w:rsidR="009E504A" w:rsidRPr="006C7B74" w:rsidRDefault="005A0A3C" w:rsidP="009E62B1">
            <w:pPr>
              <w:spacing w:after="120"/>
              <w:rPr>
                <w:rFonts w:cstheme="minorHAnsi"/>
                <w:sz w:val="18"/>
                <w:szCs w:val="18"/>
              </w:rPr>
            </w:pPr>
            <w:r w:rsidRPr="006C7B74">
              <w:rPr>
                <w:rFonts w:cstheme="minorHAnsi"/>
                <w:sz w:val="18"/>
                <w:szCs w:val="18"/>
              </w:rPr>
              <w:t xml:space="preserve">To provide opportunities for industry and business to grow and innovate in appropriate locations </w:t>
            </w:r>
            <w:r w:rsidR="00D3429D" w:rsidRPr="006C7B74">
              <w:rPr>
                <w:rFonts w:cstheme="minorHAnsi"/>
                <w:sz w:val="18"/>
                <w:szCs w:val="18"/>
              </w:rPr>
              <w:t xml:space="preserve">for a range of industrial </w:t>
            </w:r>
            <w:r w:rsidR="0086421C" w:rsidRPr="006C7B74">
              <w:rPr>
                <w:rFonts w:cstheme="minorHAnsi"/>
                <w:sz w:val="18"/>
                <w:szCs w:val="18"/>
              </w:rPr>
              <w:t xml:space="preserve">and </w:t>
            </w:r>
            <w:r w:rsidR="00E809A8" w:rsidRPr="006C7B74">
              <w:rPr>
                <w:rFonts w:cstheme="minorHAnsi"/>
                <w:sz w:val="18"/>
                <w:szCs w:val="18"/>
              </w:rPr>
              <w:t xml:space="preserve">other </w:t>
            </w:r>
            <w:r w:rsidR="0086421C" w:rsidRPr="006C7B74">
              <w:rPr>
                <w:rFonts w:cstheme="minorHAnsi"/>
                <w:sz w:val="18"/>
                <w:szCs w:val="18"/>
              </w:rPr>
              <w:t xml:space="preserve">employment </w:t>
            </w:r>
            <w:r w:rsidR="00D3429D" w:rsidRPr="006C7B74">
              <w:rPr>
                <w:rFonts w:cstheme="minorHAnsi"/>
                <w:sz w:val="18"/>
                <w:szCs w:val="18"/>
              </w:rPr>
              <w:t xml:space="preserve">uses that can contribute significantly to </w:t>
            </w:r>
            <w:r w:rsidRPr="006C7B74">
              <w:rPr>
                <w:rFonts w:cstheme="minorHAnsi"/>
                <w:sz w:val="18"/>
                <w:szCs w:val="18"/>
              </w:rPr>
              <w:t xml:space="preserve">regional and </w:t>
            </w:r>
            <w:r w:rsidR="00D3429D" w:rsidRPr="006C7B74">
              <w:rPr>
                <w:rFonts w:cstheme="minorHAnsi"/>
                <w:sz w:val="18"/>
                <w:szCs w:val="18"/>
              </w:rPr>
              <w:t>local economies</w:t>
            </w:r>
            <w:r w:rsidR="0078218B" w:rsidRPr="006C7B74">
              <w:rPr>
                <w:rFonts w:cstheme="minorHAnsi"/>
                <w:sz w:val="18"/>
                <w:szCs w:val="18"/>
              </w:rPr>
              <w:t xml:space="preserve">. </w:t>
            </w:r>
          </w:p>
          <w:p w14:paraId="0F8D90C3" w14:textId="6794CFA1" w:rsidR="005972E3" w:rsidRPr="006C7B74" w:rsidRDefault="005A0A3C" w:rsidP="005A0A3C">
            <w:pPr>
              <w:spacing w:after="120"/>
              <w:rPr>
                <w:rFonts w:cstheme="minorHAnsi"/>
                <w:sz w:val="18"/>
                <w:szCs w:val="18"/>
              </w:rPr>
            </w:pPr>
            <w:r w:rsidRPr="006C7B74">
              <w:rPr>
                <w:rFonts w:cstheme="minorHAnsi"/>
                <w:sz w:val="18"/>
                <w:szCs w:val="18"/>
              </w:rPr>
              <w:t xml:space="preserve">They will be retained and planned to allow </w:t>
            </w:r>
            <w:r w:rsidR="00D3429D" w:rsidRPr="006C7B74">
              <w:rPr>
                <w:rFonts w:cstheme="minorHAnsi"/>
                <w:sz w:val="18"/>
                <w:szCs w:val="18"/>
              </w:rPr>
              <w:t xml:space="preserve">a range of industrial </w:t>
            </w:r>
            <w:r w:rsidR="00414791" w:rsidRPr="006C7B74">
              <w:rPr>
                <w:rFonts w:cstheme="minorHAnsi"/>
                <w:sz w:val="18"/>
                <w:szCs w:val="18"/>
              </w:rPr>
              <w:t xml:space="preserve">and </w:t>
            </w:r>
            <w:r w:rsidR="00E809A8" w:rsidRPr="006C7B74">
              <w:rPr>
                <w:rFonts w:cstheme="minorHAnsi"/>
                <w:sz w:val="18"/>
                <w:szCs w:val="18"/>
              </w:rPr>
              <w:t xml:space="preserve">other </w:t>
            </w:r>
            <w:r w:rsidR="00414791" w:rsidRPr="006C7B74">
              <w:rPr>
                <w:rFonts w:cstheme="minorHAnsi"/>
                <w:sz w:val="18"/>
                <w:szCs w:val="18"/>
              </w:rPr>
              <w:t xml:space="preserve">employment </w:t>
            </w:r>
            <w:r w:rsidR="00D3429D" w:rsidRPr="006C7B74">
              <w:rPr>
                <w:rFonts w:cstheme="minorHAnsi"/>
                <w:sz w:val="18"/>
                <w:szCs w:val="18"/>
              </w:rPr>
              <w:t>uses</w:t>
            </w:r>
            <w:r w:rsidR="00D46498" w:rsidRPr="006C7B74">
              <w:rPr>
                <w:rFonts w:cstheme="minorHAnsi"/>
                <w:sz w:val="18"/>
                <w:szCs w:val="18"/>
              </w:rPr>
              <w:t>, and</w:t>
            </w:r>
            <w:r w:rsidR="004C3C7B" w:rsidRPr="006C7B74">
              <w:rPr>
                <w:rFonts w:cstheme="minorHAnsi"/>
                <w:sz w:val="18"/>
                <w:szCs w:val="18"/>
              </w:rPr>
              <w:t xml:space="preserve"> </w:t>
            </w:r>
            <w:r w:rsidRPr="006C7B74">
              <w:rPr>
                <w:rFonts w:cstheme="minorHAnsi"/>
                <w:sz w:val="18"/>
                <w:szCs w:val="18"/>
              </w:rPr>
              <w:t>where appropriate</w:t>
            </w:r>
            <w:r w:rsidR="00B46585" w:rsidRPr="006C7B74">
              <w:rPr>
                <w:rFonts w:cstheme="minorHAnsi"/>
                <w:sz w:val="18"/>
                <w:szCs w:val="18"/>
              </w:rPr>
              <w:t>,</w:t>
            </w:r>
            <w:r w:rsidR="00B33636" w:rsidRPr="006C7B74">
              <w:rPr>
                <w:rFonts w:cstheme="minorHAnsi"/>
                <w:sz w:val="18"/>
                <w:szCs w:val="18"/>
              </w:rPr>
              <w:t xml:space="preserve"> </w:t>
            </w:r>
            <w:r w:rsidR="00D3429D" w:rsidRPr="006C7B74">
              <w:rPr>
                <w:rFonts w:cstheme="minorHAnsi"/>
                <w:sz w:val="18"/>
                <w:szCs w:val="18"/>
              </w:rPr>
              <w:t xml:space="preserve">new and emerging </w:t>
            </w:r>
            <w:r w:rsidR="00412318" w:rsidRPr="006C7B74">
              <w:rPr>
                <w:rFonts w:cstheme="minorHAnsi"/>
                <w:sz w:val="18"/>
                <w:szCs w:val="18"/>
              </w:rPr>
              <w:t xml:space="preserve">types of </w:t>
            </w:r>
            <w:r w:rsidR="00087265" w:rsidRPr="006C7B74">
              <w:rPr>
                <w:rFonts w:cstheme="minorHAnsi"/>
                <w:sz w:val="18"/>
                <w:szCs w:val="18"/>
              </w:rPr>
              <w:t xml:space="preserve">businesses </w:t>
            </w:r>
            <w:r w:rsidR="00D3429D" w:rsidRPr="006C7B74">
              <w:rPr>
                <w:rFonts w:cstheme="minorHAnsi"/>
                <w:sz w:val="18"/>
                <w:szCs w:val="18"/>
              </w:rPr>
              <w:t xml:space="preserve">that </w:t>
            </w:r>
            <w:r w:rsidR="00087265" w:rsidRPr="006C7B74">
              <w:rPr>
                <w:rFonts w:cstheme="minorHAnsi"/>
                <w:sz w:val="18"/>
                <w:szCs w:val="18"/>
              </w:rPr>
              <w:t>require access to affordable and well</w:t>
            </w:r>
            <w:r w:rsidR="007A7FCE" w:rsidRPr="006C7B74">
              <w:rPr>
                <w:rFonts w:cstheme="minorHAnsi"/>
                <w:sz w:val="18"/>
                <w:szCs w:val="18"/>
              </w:rPr>
              <w:t>-</w:t>
            </w:r>
            <w:r w:rsidR="00087265" w:rsidRPr="006C7B74">
              <w:rPr>
                <w:rFonts w:cstheme="minorHAnsi"/>
                <w:sz w:val="18"/>
                <w:szCs w:val="18"/>
              </w:rPr>
              <w:t>located land</w:t>
            </w:r>
            <w:r w:rsidR="00D60276" w:rsidRPr="006C7B74">
              <w:rPr>
                <w:rFonts w:cstheme="minorHAnsi"/>
                <w:sz w:val="18"/>
                <w:szCs w:val="18"/>
              </w:rPr>
              <w:t xml:space="preserve"> to grow and innovate</w:t>
            </w:r>
            <w:r w:rsidR="00D3429D" w:rsidRPr="006C7B74">
              <w:rPr>
                <w:rFonts w:cstheme="minorHAnsi"/>
                <w:sz w:val="18"/>
                <w:szCs w:val="18"/>
              </w:rPr>
              <w:t>.</w:t>
            </w:r>
            <w:r w:rsidR="002D4615" w:rsidRPr="006C7B74">
              <w:rPr>
                <w:rFonts w:cstheme="minorHAnsi"/>
                <w:sz w:val="18"/>
                <w:szCs w:val="18"/>
              </w:rPr>
              <w:t xml:space="preserve"> </w:t>
            </w:r>
          </w:p>
          <w:p w14:paraId="7B03B872" w14:textId="469502DA" w:rsidR="00D3429D" w:rsidRPr="006C7B74" w:rsidRDefault="002D4615" w:rsidP="005A0A3C">
            <w:pPr>
              <w:spacing w:after="120"/>
              <w:rPr>
                <w:rFonts w:cstheme="minorHAnsi"/>
                <w:sz w:val="18"/>
                <w:szCs w:val="18"/>
              </w:rPr>
            </w:pPr>
            <w:r w:rsidRPr="006C7B74">
              <w:rPr>
                <w:rFonts w:cstheme="minorHAnsi"/>
                <w:sz w:val="18"/>
                <w:szCs w:val="18"/>
              </w:rPr>
              <w:t>They may serve broader city functions</w:t>
            </w:r>
            <w:r w:rsidR="008130FA" w:rsidRPr="006C7B74">
              <w:rPr>
                <w:rFonts w:cstheme="minorHAnsi"/>
                <w:sz w:val="18"/>
                <w:szCs w:val="18"/>
              </w:rPr>
              <w:t xml:space="preserve"> or support activities which benefit from scale</w:t>
            </w:r>
            <w:r w:rsidR="004558EE" w:rsidRPr="006C7B74">
              <w:rPr>
                <w:rFonts w:cstheme="minorHAnsi"/>
                <w:sz w:val="18"/>
                <w:szCs w:val="18"/>
              </w:rPr>
              <w:t xml:space="preserve"> with s</w:t>
            </w:r>
            <w:r w:rsidR="00255E31" w:rsidRPr="006C7B74">
              <w:rPr>
                <w:rFonts w:cstheme="minorHAnsi"/>
                <w:sz w:val="18"/>
                <w:szCs w:val="18"/>
              </w:rPr>
              <w:t>ome</w:t>
            </w:r>
            <w:r w:rsidR="00EF5DCA" w:rsidRPr="006C7B74">
              <w:rPr>
                <w:rFonts w:cstheme="minorHAnsi"/>
                <w:sz w:val="18"/>
                <w:szCs w:val="18"/>
              </w:rPr>
              <w:t xml:space="preserve"> precincts</w:t>
            </w:r>
            <w:r w:rsidR="00035A32" w:rsidRPr="006C7B74">
              <w:rPr>
                <w:rFonts w:cstheme="minorHAnsi"/>
                <w:sz w:val="18"/>
                <w:szCs w:val="18"/>
              </w:rPr>
              <w:t xml:space="preserve"> </w:t>
            </w:r>
            <w:r w:rsidR="00255E31" w:rsidRPr="006C7B74">
              <w:rPr>
                <w:rFonts w:cstheme="minorHAnsi"/>
                <w:sz w:val="18"/>
                <w:szCs w:val="18"/>
              </w:rPr>
              <w:t>offer</w:t>
            </w:r>
            <w:r w:rsidR="004558EE" w:rsidRPr="006C7B74">
              <w:rPr>
                <w:rFonts w:cstheme="minorHAnsi"/>
                <w:sz w:val="18"/>
                <w:szCs w:val="18"/>
              </w:rPr>
              <w:t>ing</w:t>
            </w:r>
            <w:r w:rsidR="00035A32" w:rsidRPr="006C7B74">
              <w:rPr>
                <w:rFonts w:cstheme="minorHAnsi"/>
                <w:sz w:val="18"/>
                <w:szCs w:val="18"/>
              </w:rPr>
              <w:t xml:space="preserve"> opportunity to transition to a broader range of employment opportunities</w:t>
            </w:r>
            <w:r w:rsidR="00231427" w:rsidRPr="006C7B74">
              <w:rPr>
                <w:rFonts w:cstheme="minorHAnsi"/>
                <w:sz w:val="18"/>
                <w:szCs w:val="18"/>
              </w:rPr>
              <w:t xml:space="preserve"> offering a higher amenity to workers and economic vibrancy</w:t>
            </w:r>
            <w:r w:rsidR="007A7AB5" w:rsidRPr="006C7B74">
              <w:rPr>
                <w:rFonts w:cstheme="minorHAnsi"/>
                <w:sz w:val="18"/>
                <w:szCs w:val="18"/>
              </w:rPr>
              <w:t>.</w:t>
            </w:r>
          </w:p>
        </w:tc>
        <w:tc>
          <w:tcPr>
            <w:tcW w:w="4252" w:type="dxa"/>
          </w:tcPr>
          <w:p w14:paraId="58C7DA6F" w14:textId="77777777" w:rsidR="00D3429D" w:rsidRPr="006C7B74" w:rsidRDefault="00D3429D" w:rsidP="009E62B1">
            <w:pPr>
              <w:spacing w:after="120"/>
              <w:rPr>
                <w:rFonts w:cstheme="minorHAnsi"/>
                <w:sz w:val="18"/>
                <w:szCs w:val="18"/>
              </w:rPr>
            </w:pPr>
          </w:p>
          <w:p w14:paraId="0613B942" w14:textId="52EE527E" w:rsidR="00D3429D" w:rsidRPr="006C7B74" w:rsidRDefault="00D5407E" w:rsidP="009E62B1">
            <w:pPr>
              <w:spacing w:after="120"/>
              <w:rPr>
                <w:rFonts w:cstheme="minorHAnsi"/>
                <w:sz w:val="18"/>
                <w:szCs w:val="18"/>
              </w:rPr>
            </w:pPr>
            <w:r w:rsidRPr="006C7B74">
              <w:rPr>
                <w:rFonts w:cstheme="minorHAnsi"/>
                <w:sz w:val="18"/>
                <w:szCs w:val="18"/>
              </w:rPr>
              <w:t>Zone</w:t>
            </w:r>
            <w:r w:rsidR="000A1078" w:rsidRPr="006C7B74">
              <w:rPr>
                <w:rFonts w:cstheme="minorHAnsi"/>
                <w:sz w:val="18"/>
                <w:szCs w:val="18"/>
              </w:rPr>
              <w:t xml:space="preserve"> guidance</w:t>
            </w:r>
            <w:r w:rsidR="00D3429D" w:rsidRPr="006C7B74">
              <w:rPr>
                <w:rFonts w:cstheme="minorHAnsi"/>
                <w:sz w:val="18"/>
                <w:szCs w:val="18"/>
              </w:rPr>
              <w:t>:</w:t>
            </w:r>
          </w:p>
          <w:p w14:paraId="1DAC31A3" w14:textId="1BDF810B" w:rsidR="00E7366A" w:rsidRPr="006C7B74" w:rsidRDefault="00D3429D" w:rsidP="00D3429D">
            <w:pPr>
              <w:pStyle w:val="ListParagraph"/>
              <w:numPr>
                <w:ilvl w:val="0"/>
                <w:numId w:val="46"/>
              </w:numPr>
              <w:spacing w:after="120"/>
              <w:rPr>
                <w:rFonts w:cstheme="minorHAnsi"/>
                <w:sz w:val="18"/>
                <w:szCs w:val="18"/>
              </w:rPr>
            </w:pPr>
            <w:r w:rsidRPr="006C7B74">
              <w:rPr>
                <w:rFonts w:cstheme="minorHAnsi"/>
                <w:sz w:val="18"/>
                <w:szCs w:val="18"/>
              </w:rPr>
              <w:t>Industrial 1 Zone</w:t>
            </w:r>
            <w:r w:rsidR="00E7366A" w:rsidRPr="006C7B74">
              <w:rPr>
                <w:rFonts w:cstheme="minorHAnsi"/>
                <w:sz w:val="18"/>
                <w:szCs w:val="18"/>
              </w:rPr>
              <w:t xml:space="preserve"> would usually be applied to </w:t>
            </w:r>
            <w:r w:rsidR="00F66DD1" w:rsidRPr="006C7B74">
              <w:rPr>
                <w:rFonts w:cstheme="minorHAnsi"/>
                <w:sz w:val="18"/>
                <w:szCs w:val="18"/>
              </w:rPr>
              <w:t>precincts</w:t>
            </w:r>
            <w:r w:rsidR="00E7366A" w:rsidRPr="006C7B74">
              <w:rPr>
                <w:rFonts w:cstheme="minorHAnsi"/>
                <w:sz w:val="18"/>
                <w:szCs w:val="18"/>
              </w:rPr>
              <w:t xml:space="preserve"> focussed on allowing for traditional industri</w:t>
            </w:r>
            <w:r w:rsidR="00A60A74" w:rsidRPr="006C7B74">
              <w:rPr>
                <w:rFonts w:cstheme="minorHAnsi"/>
                <w:sz w:val="18"/>
                <w:szCs w:val="18"/>
              </w:rPr>
              <w:t>al uses</w:t>
            </w:r>
            <w:r w:rsidR="00303587" w:rsidRPr="006C7B74">
              <w:rPr>
                <w:rFonts w:cstheme="minorHAnsi"/>
                <w:sz w:val="18"/>
                <w:szCs w:val="18"/>
              </w:rPr>
              <w:t>.</w:t>
            </w:r>
          </w:p>
          <w:p w14:paraId="3DB6BFCA" w14:textId="4E54C748" w:rsidR="00D3429D" w:rsidRPr="006C7B74" w:rsidRDefault="00E7366A" w:rsidP="00303587">
            <w:pPr>
              <w:pStyle w:val="ListParagraph"/>
              <w:numPr>
                <w:ilvl w:val="0"/>
                <w:numId w:val="46"/>
              </w:numPr>
              <w:spacing w:after="120"/>
              <w:rPr>
                <w:rFonts w:cstheme="minorHAnsi"/>
                <w:sz w:val="18"/>
                <w:szCs w:val="18"/>
              </w:rPr>
            </w:pPr>
            <w:r w:rsidRPr="006C7B74">
              <w:rPr>
                <w:rFonts w:cstheme="minorHAnsi"/>
                <w:sz w:val="18"/>
                <w:szCs w:val="18"/>
              </w:rPr>
              <w:t xml:space="preserve">Industrial </w:t>
            </w:r>
            <w:r w:rsidR="00EE680F" w:rsidRPr="006C7B74">
              <w:rPr>
                <w:rFonts w:cstheme="minorHAnsi"/>
                <w:sz w:val="18"/>
                <w:szCs w:val="18"/>
              </w:rPr>
              <w:t xml:space="preserve">3 </w:t>
            </w:r>
            <w:r w:rsidRPr="006C7B74">
              <w:rPr>
                <w:rFonts w:cstheme="minorHAnsi"/>
                <w:sz w:val="18"/>
                <w:szCs w:val="18"/>
              </w:rPr>
              <w:t>Zone</w:t>
            </w:r>
            <w:r w:rsidR="00303587" w:rsidRPr="006C7B74">
              <w:rPr>
                <w:rFonts w:cstheme="minorHAnsi"/>
                <w:sz w:val="18"/>
                <w:szCs w:val="18"/>
              </w:rPr>
              <w:t xml:space="preserve"> could be applied to provide a buffer between industry and local communities where required</w:t>
            </w:r>
            <w:r w:rsidR="00D3429D" w:rsidRPr="006C7B74">
              <w:rPr>
                <w:rFonts w:cstheme="minorHAnsi"/>
                <w:sz w:val="18"/>
                <w:szCs w:val="18"/>
              </w:rPr>
              <w:t>.</w:t>
            </w:r>
          </w:p>
          <w:p w14:paraId="26E885AC" w14:textId="595FC8E8" w:rsidR="00D3429D" w:rsidRPr="006C7B74" w:rsidRDefault="00D3429D" w:rsidP="00D3429D">
            <w:pPr>
              <w:pStyle w:val="ListParagraph"/>
              <w:numPr>
                <w:ilvl w:val="0"/>
                <w:numId w:val="46"/>
              </w:numPr>
              <w:spacing w:after="120"/>
              <w:rPr>
                <w:rFonts w:cstheme="minorHAnsi"/>
                <w:sz w:val="18"/>
                <w:szCs w:val="18"/>
              </w:rPr>
            </w:pPr>
            <w:r w:rsidRPr="006C7B74">
              <w:rPr>
                <w:rFonts w:cstheme="minorHAnsi"/>
                <w:sz w:val="18"/>
                <w:szCs w:val="18"/>
              </w:rPr>
              <w:t>Commercial 2 Zone</w:t>
            </w:r>
            <w:r w:rsidR="00CB7BB9" w:rsidRPr="006C7B74">
              <w:rPr>
                <w:rFonts w:cstheme="minorHAnsi"/>
                <w:sz w:val="18"/>
                <w:szCs w:val="18"/>
              </w:rPr>
              <w:t xml:space="preserve"> could be applied to </w:t>
            </w:r>
            <w:r w:rsidR="007B4A84" w:rsidRPr="006C7B74">
              <w:rPr>
                <w:rFonts w:cstheme="minorHAnsi"/>
                <w:sz w:val="18"/>
                <w:szCs w:val="18"/>
              </w:rPr>
              <w:t xml:space="preserve">precincts </w:t>
            </w:r>
            <w:r w:rsidR="008B5EF8" w:rsidRPr="006C7B74">
              <w:rPr>
                <w:rFonts w:cstheme="minorHAnsi"/>
                <w:sz w:val="18"/>
                <w:szCs w:val="18"/>
              </w:rPr>
              <w:t xml:space="preserve">where a broader range of employment uses </w:t>
            </w:r>
            <w:r w:rsidR="00A03D9C" w:rsidRPr="006C7B74">
              <w:rPr>
                <w:rFonts w:cstheme="minorHAnsi"/>
                <w:sz w:val="18"/>
                <w:szCs w:val="18"/>
              </w:rPr>
              <w:t>are</w:t>
            </w:r>
            <w:r w:rsidR="008B5EF8" w:rsidRPr="006C7B74">
              <w:rPr>
                <w:rFonts w:cstheme="minorHAnsi"/>
                <w:sz w:val="18"/>
                <w:szCs w:val="18"/>
              </w:rPr>
              <w:t xml:space="preserve"> desirable</w:t>
            </w:r>
            <w:r w:rsidRPr="006C7B74">
              <w:rPr>
                <w:rFonts w:cstheme="minorHAnsi"/>
                <w:sz w:val="18"/>
                <w:szCs w:val="18"/>
              </w:rPr>
              <w:t>.</w:t>
            </w:r>
          </w:p>
          <w:p w14:paraId="657A7FB6" w14:textId="62036189" w:rsidR="009B47F2" w:rsidRPr="006C7B74" w:rsidRDefault="00D87B34" w:rsidP="006C7B74">
            <w:pPr>
              <w:pStyle w:val="ListParagraph"/>
              <w:numPr>
                <w:ilvl w:val="0"/>
                <w:numId w:val="46"/>
              </w:numPr>
              <w:rPr>
                <w:rFonts w:cstheme="minorHAnsi"/>
                <w:sz w:val="18"/>
                <w:szCs w:val="18"/>
              </w:rPr>
            </w:pPr>
            <w:r w:rsidRPr="006C7B74">
              <w:rPr>
                <w:rFonts w:cstheme="minorHAnsi"/>
                <w:sz w:val="18"/>
                <w:szCs w:val="18"/>
              </w:rPr>
              <w:t>Commercial 3 Zone may be applied</w:t>
            </w:r>
            <w:r w:rsidR="00637451" w:rsidRPr="006C7B74">
              <w:t xml:space="preserve"> </w:t>
            </w:r>
            <w:r w:rsidR="00637451" w:rsidRPr="006C7B74">
              <w:rPr>
                <w:rFonts w:cstheme="minorHAnsi"/>
                <w:sz w:val="18"/>
                <w:szCs w:val="18"/>
              </w:rPr>
              <w:t xml:space="preserve">to help facilitate business growth and innovation in select </w:t>
            </w:r>
            <w:r w:rsidR="0015201B" w:rsidRPr="006C7B74">
              <w:rPr>
                <w:rFonts w:cstheme="minorHAnsi"/>
                <w:sz w:val="18"/>
                <w:szCs w:val="18"/>
              </w:rPr>
              <w:t>areas</w:t>
            </w:r>
            <w:r w:rsidR="00D3429D" w:rsidRPr="006C7B74">
              <w:rPr>
                <w:rFonts w:cstheme="minorHAnsi"/>
                <w:sz w:val="18"/>
                <w:szCs w:val="18"/>
              </w:rPr>
              <w:t>.</w:t>
            </w:r>
          </w:p>
          <w:p w14:paraId="20B4E79A" w14:textId="77777777" w:rsidR="00D3429D" w:rsidRPr="006C7B74" w:rsidRDefault="00D3429D" w:rsidP="009E62B1">
            <w:pPr>
              <w:spacing w:after="120"/>
              <w:rPr>
                <w:rFonts w:cstheme="minorHAnsi"/>
                <w:sz w:val="18"/>
                <w:szCs w:val="18"/>
              </w:rPr>
            </w:pPr>
          </w:p>
        </w:tc>
      </w:tr>
      <w:tr w:rsidR="00D3429D" w:rsidRPr="006C7B74" w14:paraId="550673C1" w14:textId="77777777" w:rsidTr="009E62B1">
        <w:tc>
          <w:tcPr>
            <w:tcW w:w="4957" w:type="dxa"/>
          </w:tcPr>
          <w:p w14:paraId="5D124135" w14:textId="345015FA" w:rsidR="00D3429D" w:rsidRPr="00090B37" w:rsidRDefault="00D3429D" w:rsidP="002353A3">
            <w:pPr>
              <w:pStyle w:val="Heading6"/>
              <w:outlineLvl w:val="5"/>
              <w:rPr>
                <w:color w:val="88568A"/>
              </w:rPr>
            </w:pPr>
            <w:r w:rsidRPr="00090B37">
              <w:rPr>
                <w:color w:val="88568A"/>
              </w:rPr>
              <w:t xml:space="preserve">Local </w:t>
            </w:r>
            <w:r w:rsidR="00B46585" w:rsidRPr="00090B37">
              <w:rPr>
                <w:color w:val="88568A"/>
              </w:rPr>
              <w:t>i</w:t>
            </w:r>
            <w:r w:rsidRPr="00090B37">
              <w:rPr>
                <w:color w:val="88568A"/>
              </w:rPr>
              <w:t xml:space="preserve">ndustrial </w:t>
            </w:r>
            <w:r w:rsidR="00B46585" w:rsidRPr="00090B37">
              <w:rPr>
                <w:color w:val="88568A"/>
              </w:rPr>
              <w:t>p</w:t>
            </w:r>
            <w:r w:rsidRPr="00090B37">
              <w:rPr>
                <w:color w:val="88568A"/>
              </w:rPr>
              <w:t xml:space="preserve">recincts </w:t>
            </w:r>
          </w:p>
          <w:p w14:paraId="205C6579" w14:textId="77777777" w:rsidR="00D3429D" w:rsidRPr="006C7B74" w:rsidRDefault="00D3429D" w:rsidP="009E62B1">
            <w:pPr>
              <w:spacing w:after="120"/>
              <w:rPr>
                <w:rFonts w:cstheme="minorHAnsi"/>
                <w:i/>
                <w:sz w:val="18"/>
                <w:szCs w:val="18"/>
              </w:rPr>
            </w:pPr>
            <w:r w:rsidRPr="006C7B74">
              <w:rPr>
                <w:rFonts w:cstheme="minorHAnsi"/>
                <w:b/>
                <w:i/>
                <w:sz w:val="18"/>
                <w:szCs w:val="18"/>
              </w:rPr>
              <w:t>Purpose</w:t>
            </w:r>
            <w:r w:rsidRPr="006C7B74">
              <w:rPr>
                <w:rFonts w:cstheme="minorHAnsi"/>
                <w:i/>
                <w:sz w:val="18"/>
                <w:szCs w:val="18"/>
              </w:rPr>
              <w:t>:</w:t>
            </w:r>
          </w:p>
          <w:p w14:paraId="13AD96EC" w14:textId="3404EB35" w:rsidR="00D3429D" w:rsidRPr="006C7B74" w:rsidRDefault="00D3429D" w:rsidP="009E62B1">
            <w:pPr>
              <w:spacing w:after="120"/>
              <w:rPr>
                <w:rFonts w:cstheme="minorHAnsi"/>
                <w:sz w:val="18"/>
                <w:szCs w:val="18"/>
              </w:rPr>
            </w:pPr>
            <w:r w:rsidRPr="006C7B74">
              <w:rPr>
                <w:rFonts w:cstheme="minorHAnsi"/>
                <w:sz w:val="18"/>
                <w:szCs w:val="18"/>
              </w:rPr>
              <w:t>To provide for a range of local industry and employment opportunities that support local communities</w:t>
            </w:r>
            <w:r w:rsidR="00A0515C" w:rsidRPr="006C7B74">
              <w:rPr>
                <w:rFonts w:cstheme="minorHAnsi"/>
                <w:sz w:val="18"/>
                <w:szCs w:val="18"/>
              </w:rPr>
              <w:t xml:space="preserve"> and </w:t>
            </w:r>
            <w:r w:rsidR="00AC7B58" w:rsidRPr="006C7B74">
              <w:rPr>
                <w:rFonts w:cstheme="minorHAnsi"/>
                <w:sz w:val="18"/>
                <w:szCs w:val="18"/>
              </w:rPr>
              <w:t xml:space="preserve">other </w:t>
            </w:r>
            <w:r w:rsidR="001348AE" w:rsidRPr="006C7B74">
              <w:rPr>
                <w:rFonts w:cstheme="minorHAnsi"/>
                <w:sz w:val="18"/>
                <w:szCs w:val="18"/>
              </w:rPr>
              <w:t>businesses</w:t>
            </w:r>
            <w:r w:rsidR="00AC7B58" w:rsidRPr="006C7B74">
              <w:rPr>
                <w:rFonts w:cstheme="minorHAnsi"/>
                <w:sz w:val="18"/>
                <w:szCs w:val="18"/>
              </w:rPr>
              <w:t xml:space="preserve"> </w:t>
            </w:r>
            <w:r w:rsidR="007C0D35" w:rsidRPr="006C7B74">
              <w:rPr>
                <w:rFonts w:cstheme="minorHAnsi"/>
                <w:sz w:val="18"/>
                <w:szCs w:val="18"/>
              </w:rPr>
              <w:t xml:space="preserve">operating </w:t>
            </w:r>
            <w:r w:rsidR="00AC7B58" w:rsidRPr="006C7B74">
              <w:rPr>
                <w:rFonts w:cstheme="minorHAnsi"/>
                <w:sz w:val="18"/>
                <w:szCs w:val="18"/>
              </w:rPr>
              <w:t xml:space="preserve">in the </w:t>
            </w:r>
            <w:r w:rsidR="007C0D35" w:rsidRPr="006C7B74">
              <w:rPr>
                <w:rFonts w:cstheme="minorHAnsi"/>
                <w:sz w:val="18"/>
                <w:szCs w:val="18"/>
              </w:rPr>
              <w:t xml:space="preserve">local </w:t>
            </w:r>
            <w:r w:rsidR="00AC7B58" w:rsidRPr="006C7B74">
              <w:rPr>
                <w:rFonts w:cstheme="minorHAnsi"/>
                <w:sz w:val="18"/>
                <w:szCs w:val="18"/>
              </w:rPr>
              <w:t>area</w:t>
            </w:r>
            <w:r w:rsidR="00087265" w:rsidRPr="006C7B74">
              <w:rPr>
                <w:rFonts w:cstheme="minorHAnsi"/>
                <w:sz w:val="18"/>
                <w:szCs w:val="18"/>
              </w:rPr>
              <w:t>.</w:t>
            </w:r>
          </w:p>
          <w:p w14:paraId="0583858C" w14:textId="6BC8573D" w:rsidR="00D3429D" w:rsidRPr="006C7B74" w:rsidRDefault="00087265" w:rsidP="009E62B1">
            <w:pPr>
              <w:spacing w:after="120"/>
              <w:rPr>
                <w:rFonts w:cstheme="minorHAnsi"/>
                <w:sz w:val="18"/>
                <w:szCs w:val="18"/>
              </w:rPr>
            </w:pPr>
            <w:r w:rsidRPr="006C7B74">
              <w:rPr>
                <w:rFonts w:cstheme="minorHAnsi"/>
                <w:sz w:val="18"/>
                <w:szCs w:val="18"/>
              </w:rPr>
              <w:t>They will be planned to support</w:t>
            </w:r>
            <w:r w:rsidR="00C80A8B" w:rsidRPr="006C7B74">
              <w:rPr>
                <w:rFonts w:cstheme="minorHAnsi"/>
                <w:sz w:val="18"/>
                <w:szCs w:val="18"/>
              </w:rPr>
              <w:t xml:space="preserve"> </w:t>
            </w:r>
            <w:r w:rsidR="00D3429D" w:rsidRPr="006C7B74">
              <w:rPr>
                <w:rFonts w:cstheme="minorHAnsi"/>
                <w:sz w:val="18"/>
                <w:szCs w:val="18"/>
              </w:rPr>
              <w:t>local service trades and the needs of smaller businesses serving more local</w:t>
            </w:r>
            <w:r w:rsidRPr="006C7B74">
              <w:rPr>
                <w:rFonts w:cstheme="minorHAnsi"/>
                <w:sz w:val="18"/>
                <w:szCs w:val="18"/>
              </w:rPr>
              <w:t>ised</w:t>
            </w:r>
            <w:r w:rsidR="00D3429D" w:rsidRPr="006C7B74">
              <w:rPr>
                <w:rFonts w:cstheme="minorHAnsi"/>
                <w:sz w:val="18"/>
                <w:szCs w:val="18"/>
              </w:rPr>
              <w:t xml:space="preserve"> markets.</w:t>
            </w:r>
            <w:r w:rsidR="00C83F41" w:rsidRPr="006C7B74">
              <w:rPr>
                <w:rFonts w:cstheme="minorHAnsi"/>
                <w:sz w:val="18"/>
                <w:szCs w:val="18"/>
              </w:rPr>
              <w:t xml:space="preserve"> They should be retained </w:t>
            </w:r>
            <w:r w:rsidR="005438EC" w:rsidRPr="006C7B74">
              <w:rPr>
                <w:rFonts w:cstheme="minorHAnsi"/>
                <w:sz w:val="18"/>
                <w:szCs w:val="18"/>
              </w:rPr>
              <w:t xml:space="preserve">for industrial </w:t>
            </w:r>
            <w:r w:rsidR="00497ADE" w:rsidRPr="006C7B74">
              <w:rPr>
                <w:rFonts w:cstheme="minorHAnsi"/>
                <w:sz w:val="18"/>
                <w:szCs w:val="18"/>
              </w:rPr>
              <w:t>or</w:t>
            </w:r>
            <w:r w:rsidR="005438EC" w:rsidRPr="006C7B74">
              <w:rPr>
                <w:rFonts w:cstheme="minorHAnsi"/>
                <w:sz w:val="18"/>
                <w:szCs w:val="18"/>
              </w:rPr>
              <w:t xml:space="preserve"> employment purposes </w:t>
            </w:r>
            <w:r w:rsidR="00C83F41" w:rsidRPr="006C7B74">
              <w:rPr>
                <w:rFonts w:cstheme="minorHAnsi"/>
                <w:sz w:val="18"/>
                <w:szCs w:val="18"/>
              </w:rPr>
              <w:t xml:space="preserve">unless </w:t>
            </w:r>
            <w:r w:rsidR="00830B8C" w:rsidRPr="006C7B74">
              <w:rPr>
                <w:rFonts w:cstheme="minorHAnsi"/>
                <w:sz w:val="18"/>
                <w:szCs w:val="18"/>
              </w:rPr>
              <w:t>a planning authority has identified them for an alternate non-employment purpose.</w:t>
            </w:r>
          </w:p>
          <w:p w14:paraId="21A70CF9" w14:textId="77777777" w:rsidR="00D3429D" w:rsidRPr="006C7B74" w:rsidRDefault="00D3429D" w:rsidP="009E62B1">
            <w:pPr>
              <w:spacing w:after="120"/>
              <w:rPr>
                <w:rFonts w:cstheme="minorHAnsi"/>
                <w:sz w:val="18"/>
                <w:szCs w:val="18"/>
              </w:rPr>
            </w:pPr>
          </w:p>
        </w:tc>
        <w:tc>
          <w:tcPr>
            <w:tcW w:w="4252" w:type="dxa"/>
          </w:tcPr>
          <w:p w14:paraId="20A98061" w14:textId="77777777" w:rsidR="00D3429D" w:rsidRPr="006C7B74" w:rsidRDefault="00D3429D" w:rsidP="009E62B1">
            <w:pPr>
              <w:spacing w:after="120"/>
              <w:rPr>
                <w:rFonts w:cstheme="minorHAnsi"/>
                <w:sz w:val="18"/>
                <w:szCs w:val="18"/>
              </w:rPr>
            </w:pPr>
          </w:p>
          <w:p w14:paraId="21AECD80" w14:textId="421E9C98" w:rsidR="00D3429D" w:rsidRPr="006C7B74" w:rsidRDefault="00B64EC3" w:rsidP="009E62B1">
            <w:pPr>
              <w:spacing w:after="120"/>
              <w:rPr>
                <w:rFonts w:cstheme="minorHAnsi"/>
                <w:sz w:val="18"/>
                <w:szCs w:val="18"/>
              </w:rPr>
            </w:pPr>
            <w:r w:rsidRPr="006C7B74">
              <w:rPr>
                <w:rFonts w:cstheme="minorHAnsi"/>
                <w:sz w:val="18"/>
                <w:szCs w:val="18"/>
              </w:rPr>
              <w:t>Zone</w:t>
            </w:r>
            <w:r w:rsidR="00366584" w:rsidRPr="006C7B74">
              <w:rPr>
                <w:rFonts w:cstheme="minorHAnsi"/>
                <w:sz w:val="18"/>
                <w:szCs w:val="18"/>
              </w:rPr>
              <w:t xml:space="preserve"> guidance</w:t>
            </w:r>
            <w:r w:rsidR="00D3429D" w:rsidRPr="006C7B74">
              <w:rPr>
                <w:rFonts w:cstheme="minorHAnsi"/>
                <w:sz w:val="18"/>
                <w:szCs w:val="18"/>
              </w:rPr>
              <w:t>:</w:t>
            </w:r>
          </w:p>
          <w:p w14:paraId="7C897B83" w14:textId="77777777" w:rsidR="00087E4E" w:rsidRPr="006C7B74" w:rsidRDefault="00087E4E" w:rsidP="00087E4E">
            <w:pPr>
              <w:pStyle w:val="ListParagraph"/>
              <w:numPr>
                <w:ilvl w:val="0"/>
                <w:numId w:val="46"/>
              </w:numPr>
              <w:spacing w:after="120"/>
              <w:rPr>
                <w:rFonts w:cstheme="minorHAnsi"/>
                <w:sz w:val="18"/>
                <w:szCs w:val="18"/>
              </w:rPr>
            </w:pPr>
            <w:r w:rsidRPr="006C7B74">
              <w:rPr>
                <w:rFonts w:cstheme="minorHAnsi"/>
                <w:sz w:val="18"/>
                <w:szCs w:val="18"/>
              </w:rPr>
              <w:t>Industrial 1 Zone would usually be applied to precincts focussed on allowing for traditional industrial uses.</w:t>
            </w:r>
          </w:p>
          <w:p w14:paraId="41545A75" w14:textId="77777777" w:rsidR="00087E4E" w:rsidRPr="006C7B74" w:rsidRDefault="00087E4E" w:rsidP="00087E4E">
            <w:pPr>
              <w:pStyle w:val="ListParagraph"/>
              <w:numPr>
                <w:ilvl w:val="0"/>
                <w:numId w:val="46"/>
              </w:numPr>
              <w:spacing w:after="120"/>
              <w:rPr>
                <w:rFonts w:cstheme="minorHAnsi"/>
                <w:sz w:val="18"/>
                <w:szCs w:val="18"/>
              </w:rPr>
            </w:pPr>
            <w:r w:rsidRPr="006C7B74">
              <w:rPr>
                <w:rFonts w:cstheme="minorHAnsi"/>
                <w:sz w:val="18"/>
                <w:szCs w:val="18"/>
              </w:rPr>
              <w:t>Industrial 3 Zone could be applied to provide a buffer between industry and local communities where required.</w:t>
            </w:r>
          </w:p>
          <w:p w14:paraId="5C1F1CBC" w14:textId="77777777" w:rsidR="00087E4E" w:rsidRPr="006C7B74" w:rsidRDefault="00087E4E" w:rsidP="00087E4E">
            <w:pPr>
              <w:pStyle w:val="ListParagraph"/>
              <w:numPr>
                <w:ilvl w:val="0"/>
                <w:numId w:val="46"/>
              </w:numPr>
              <w:spacing w:after="120"/>
              <w:rPr>
                <w:rFonts w:cstheme="minorHAnsi"/>
                <w:sz w:val="18"/>
                <w:szCs w:val="18"/>
              </w:rPr>
            </w:pPr>
            <w:r w:rsidRPr="006C7B74">
              <w:rPr>
                <w:rFonts w:cstheme="minorHAnsi"/>
                <w:sz w:val="18"/>
                <w:szCs w:val="18"/>
              </w:rPr>
              <w:t>Commercial 2 Zone could be applied to precincts where a broader range of employment uses are desirable.</w:t>
            </w:r>
          </w:p>
          <w:p w14:paraId="03A11099" w14:textId="19346A7D" w:rsidR="00D3429D" w:rsidRPr="006C7B74" w:rsidRDefault="00B64EC3" w:rsidP="00D3429D">
            <w:pPr>
              <w:pStyle w:val="ListParagraph"/>
              <w:numPr>
                <w:ilvl w:val="0"/>
                <w:numId w:val="46"/>
              </w:numPr>
              <w:spacing w:after="120"/>
              <w:rPr>
                <w:rFonts w:cstheme="minorHAnsi"/>
                <w:sz w:val="18"/>
                <w:szCs w:val="18"/>
              </w:rPr>
            </w:pPr>
            <w:r w:rsidRPr="006C7B74">
              <w:rPr>
                <w:rFonts w:cstheme="minorHAnsi"/>
                <w:sz w:val="18"/>
                <w:szCs w:val="18"/>
              </w:rPr>
              <w:t xml:space="preserve">Commercial 3 Zone may be applied </w:t>
            </w:r>
            <w:r w:rsidR="00364260" w:rsidRPr="006C7B74">
              <w:rPr>
                <w:rFonts w:cstheme="minorHAnsi"/>
                <w:sz w:val="18"/>
                <w:szCs w:val="18"/>
              </w:rPr>
              <w:t>to help facilitate business growth and innovation in select areas</w:t>
            </w:r>
            <w:r w:rsidR="00D3429D" w:rsidRPr="006C7B74">
              <w:rPr>
                <w:rFonts w:cstheme="minorHAnsi"/>
                <w:sz w:val="18"/>
                <w:szCs w:val="18"/>
              </w:rPr>
              <w:t>.</w:t>
            </w:r>
          </w:p>
        </w:tc>
      </w:tr>
    </w:tbl>
    <w:p w14:paraId="52CEAB99" w14:textId="77777777" w:rsidR="00D30429" w:rsidRPr="006C7B74" w:rsidRDefault="00D30429">
      <w:pPr>
        <w:rPr>
          <w:rFonts w:cstheme="minorBidi"/>
          <w:sz w:val="20"/>
          <w:szCs w:val="20"/>
        </w:rPr>
      </w:pPr>
    </w:p>
    <w:p w14:paraId="756B806B" w14:textId="77777777" w:rsidR="00D30429" w:rsidRPr="006C7B74" w:rsidRDefault="00D30429">
      <w:pPr>
        <w:rPr>
          <w:rFonts w:cstheme="minorBidi"/>
          <w:sz w:val="20"/>
          <w:szCs w:val="20"/>
        </w:rPr>
      </w:pPr>
    </w:p>
    <w:p w14:paraId="48EF5938" w14:textId="77777777" w:rsidR="00384A4A" w:rsidRPr="006C7B74" w:rsidRDefault="00384A4A">
      <w:pPr>
        <w:rPr>
          <w:rFonts w:cstheme="minorHAnsi"/>
          <w:sz w:val="20"/>
          <w:szCs w:val="20"/>
        </w:rPr>
      </w:pPr>
    </w:p>
    <w:p w14:paraId="5A5A54FD" w14:textId="4D329965" w:rsidR="009B2E64" w:rsidRPr="006C7B74" w:rsidRDefault="009B2E64" w:rsidP="002C62FF">
      <w:pPr>
        <w:pStyle w:val="Heading3"/>
      </w:pPr>
      <w:r w:rsidRPr="006C7B74">
        <w:lastRenderedPageBreak/>
        <w:t>Commercial areas</w:t>
      </w:r>
    </w:p>
    <w:p w14:paraId="567B6246" w14:textId="4F2A8432" w:rsidR="009B2E64" w:rsidRPr="006C7B74" w:rsidRDefault="009B2E64" w:rsidP="001B2BFB">
      <w:pPr>
        <w:spacing w:after="120"/>
        <w:rPr>
          <w:rFonts w:cstheme="minorBidi"/>
          <w:sz w:val="20"/>
          <w:szCs w:val="20"/>
        </w:rPr>
      </w:pPr>
      <w:r w:rsidRPr="006C7B74">
        <w:rPr>
          <w:rFonts w:cstheme="minorBidi"/>
          <w:sz w:val="20"/>
          <w:szCs w:val="20"/>
        </w:rPr>
        <w:t>For the purpose of this report, the existing activity centre classification is used as a basis for classifying the role and purpose of commercial land.</w:t>
      </w:r>
    </w:p>
    <w:p w14:paraId="2D1E438A" w14:textId="5245B1D1" w:rsidR="0033457C" w:rsidRPr="006C7B74" w:rsidRDefault="0033457C" w:rsidP="001B2BFB">
      <w:pPr>
        <w:spacing w:after="120"/>
        <w:rPr>
          <w:rFonts w:cstheme="minorBidi"/>
          <w:sz w:val="20"/>
          <w:szCs w:val="20"/>
        </w:rPr>
      </w:pPr>
      <w:r w:rsidRPr="006C7B74">
        <w:rPr>
          <w:rFonts w:cstheme="minorHAnsi"/>
          <w:sz w:val="20"/>
          <w:szCs w:val="20"/>
        </w:rPr>
        <w:t xml:space="preserve">There are various practice notes and guidance materials available to assist councils in planning for activity centres. </w:t>
      </w:r>
    </w:p>
    <w:p w14:paraId="17C9A5C5" w14:textId="4E0E3BD7" w:rsidR="00D1227B" w:rsidRPr="006C7B74" w:rsidRDefault="00D1227B" w:rsidP="00153967">
      <w:pPr>
        <w:pStyle w:val="Heading4"/>
      </w:pPr>
      <w:r w:rsidRPr="006C7B74">
        <w:t>State</w:t>
      </w:r>
      <w:r w:rsidR="00B46585" w:rsidRPr="006C7B74">
        <w:t>-</w:t>
      </w:r>
      <w:r w:rsidRPr="006C7B74">
        <w:t>significant commercial areas</w:t>
      </w:r>
    </w:p>
    <w:p w14:paraId="3A534641" w14:textId="33CCA739" w:rsidR="00D1227B" w:rsidRPr="006C7B74" w:rsidRDefault="00D1227B" w:rsidP="001B2BFB">
      <w:pPr>
        <w:spacing w:after="120"/>
        <w:rPr>
          <w:rFonts w:cstheme="minorBidi"/>
          <w:sz w:val="20"/>
          <w:szCs w:val="20"/>
        </w:rPr>
      </w:pPr>
      <w:r w:rsidRPr="006C7B74">
        <w:rPr>
          <w:rFonts w:cstheme="minorBidi"/>
          <w:sz w:val="20"/>
          <w:szCs w:val="20"/>
        </w:rPr>
        <w:t xml:space="preserve">Melbourne’s </w:t>
      </w:r>
      <w:r w:rsidR="00535011">
        <w:rPr>
          <w:rFonts w:cstheme="minorBidi"/>
          <w:bCs/>
          <w:sz w:val="20"/>
          <w:szCs w:val="20"/>
        </w:rPr>
        <w:t>C</w:t>
      </w:r>
      <w:r w:rsidRPr="006C7B74">
        <w:rPr>
          <w:rFonts w:cstheme="minorBidi"/>
          <w:bCs/>
          <w:sz w:val="20"/>
          <w:szCs w:val="20"/>
        </w:rPr>
        <w:t xml:space="preserve">entral </w:t>
      </w:r>
      <w:r w:rsidR="00535011">
        <w:rPr>
          <w:rFonts w:cstheme="minorBidi"/>
          <w:bCs/>
          <w:sz w:val="20"/>
          <w:szCs w:val="20"/>
        </w:rPr>
        <w:t>C</w:t>
      </w:r>
      <w:r w:rsidRPr="006C7B74">
        <w:rPr>
          <w:rFonts w:cstheme="minorBidi"/>
          <w:sz w:val="20"/>
          <w:szCs w:val="20"/>
        </w:rPr>
        <w:t xml:space="preserve">ity is identified in Plan Melbourne as being of state significance. It is to provide for the continued growth of knowledge-intensive and high-skilled firms in the </w:t>
      </w:r>
      <w:r w:rsidR="003731E4" w:rsidRPr="006C7B74">
        <w:rPr>
          <w:rFonts w:cstheme="minorBidi"/>
          <w:sz w:val="20"/>
          <w:szCs w:val="20"/>
        </w:rPr>
        <w:t>C</w:t>
      </w:r>
      <w:r w:rsidRPr="006C7B74">
        <w:rPr>
          <w:rFonts w:cstheme="minorBidi"/>
          <w:sz w:val="20"/>
          <w:szCs w:val="20"/>
        </w:rPr>
        <w:t xml:space="preserve">entral </w:t>
      </w:r>
      <w:r w:rsidR="003731E4" w:rsidRPr="006C7B74">
        <w:rPr>
          <w:rFonts w:cstheme="minorBidi"/>
          <w:sz w:val="20"/>
          <w:szCs w:val="20"/>
        </w:rPr>
        <w:t>C</w:t>
      </w:r>
      <w:r w:rsidRPr="006C7B74">
        <w:rPr>
          <w:rFonts w:cstheme="minorBidi"/>
          <w:sz w:val="20"/>
          <w:szCs w:val="20"/>
        </w:rPr>
        <w:t>ity while continuing to be a major area for tourism, retail, residential, entertainment, sporting and cultural activities</w:t>
      </w:r>
      <w:r w:rsidR="00B45B3D" w:rsidRPr="006C7B74">
        <w:rPr>
          <w:rFonts w:cstheme="minorBidi"/>
          <w:sz w:val="20"/>
          <w:szCs w:val="20"/>
        </w:rPr>
        <w:t xml:space="preserve">. </w:t>
      </w:r>
    </w:p>
    <w:p w14:paraId="5675F4A4" w14:textId="0AD6D82D" w:rsidR="009B2E64" w:rsidRPr="006C7B74" w:rsidRDefault="009B2E64" w:rsidP="009B2E64">
      <w:pPr>
        <w:spacing w:after="120"/>
        <w:rPr>
          <w:rFonts w:cstheme="minorHAnsi"/>
          <w:sz w:val="20"/>
          <w:szCs w:val="20"/>
        </w:rPr>
      </w:pPr>
      <w:r w:rsidRPr="006C7B74">
        <w:rPr>
          <w:rFonts w:cstheme="minorHAnsi"/>
          <w:sz w:val="20"/>
          <w:szCs w:val="20"/>
        </w:rPr>
        <w:t xml:space="preserve">Metropolitan </w:t>
      </w:r>
      <w:r w:rsidR="00F0472A" w:rsidRPr="006C7B74">
        <w:rPr>
          <w:rFonts w:cstheme="minorHAnsi"/>
          <w:sz w:val="20"/>
          <w:szCs w:val="20"/>
        </w:rPr>
        <w:t>a</w:t>
      </w:r>
      <w:r w:rsidRPr="006C7B74">
        <w:rPr>
          <w:rFonts w:cstheme="minorHAnsi"/>
          <w:sz w:val="20"/>
          <w:szCs w:val="20"/>
        </w:rPr>
        <w:t xml:space="preserve">ctivity </w:t>
      </w:r>
      <w:r w:rsidR="00F0472A" w:rsidRPr="006C7B74">
        <w:rPr>
          <w:rFonts w:cstheme="minorHAnsi"/>
          <w:sz w:val="20"/>
          <w:szCs w:val="20"/>
        </w:rPr>
        <w:t>c</w:t>
      </w:r>
      <w:r w:rsidRPr="006C7B74">
        <w:rPr>
          <w:rFonts w:cstheme="minorHAnsi"/>
          <w:sz w:val="20"/>
          <w:szCs w:val="20"/>
        </w:rPr>
        <w:t>entres</w:t>
      </w:r>
      <w:r w:rsidRPr="006C7B74">
        <w:rPr>
          <w:rFonts w:cstheme="minorHAnsi"/>
          <w:b/>
          <w:sz w:val="20"/>
          <w:szCs w:val="20"/>
        </w:rPr>
        <w:t xml:space="preserve"> </w:t>
      </w:r>
      <w:r w:rsidRPr="006C7B74">
        <w:rPr>
          <w:rFonts w:cstheme="minorHAnsi"/>
          <w:sz w:val="20"/>
          <w:szCs w:val="20"/>
        </w:rPr>
        <w:t xml:space="preserve">identified in Plan Melbourne are of state significance. They are to provide a diverse range of jobs, activities and housing for regional catchments that are well served by public transport. These centres will play a major service delivery role, including government, health, justice and education services, as well as retail and commercial opportunities. </w:t>
      </w:r>
    </w:p>
    <w:p w14:paraId="2597B828" w14:textId="131A74F6" w:rsidR="00D1227B" w:rsidRPr="006C7B74" w:rsidRDefault="00D1227B" w:rsidP="00153967">
      <w:pPr>
        <w:pStyle w:val="Heading4"/>
      </w:pPr>
      <w:proofErr w:type="gramStart"/>
      <w:r w:rsidRPr="006C7B74">
        <w:t>Regionally</w:t>
      </w:r>
      <w:r w:rsidR="00B46585" w:rsidRPr="006C7B74">
        <w:t>-</w:t>
      </w:r>
      <w:r w:rsidRPr="006C7B74">
        <w:t>significant</w:t>
      </w:r>
      <w:proofErr w:type="gramEnd"/>
      <w:r w:rsidRPr="006C7B74">
        <w:t xml:space="preserve"> commercial areas</w:t>
      </w:r>
    </w:p>
    <w:p w14:paraId="06370FEC" w14:textId="1A558A68" w:rsidR="009B2E64" w:rsidRPr="006C7B74" w:rsidRDefault="009B2E64" w:rsidP="009B2E64">
      <w:pPr>
        <w:spacing w:after="120"/>
        <w:rPr>
          <w:rFonts w:cstheme="minorHAnsi"/>
          <w:sz w:val="20"/>
          <w:szCs w:val="20"/>
        </w:rPr>
      </w:pPr>
      <w:r w:rsidRPr="006C7B74">
        <w:rPr>
          <w:rFonts w:cstheme="minorHAnsi"/>
          <w:sz w:val="20"/>
          <w:szCs w:val="20"/>
        </w:rPr>
        <w:t xml:space="preserve">Major </w:t>
      </w:r>
      <w:r w:rsidR="00F0472A" w:rsidRPr="006C7B74">
        <w:rPr>
          <w:rFonts w:cstheme="minorHAnsi"/>
          <w:sz w:val="20"/>
          <w:szCs w:val="20"/>
        </w:rPr>
        <w:t>a</w:t>
      </w:r>
      <w:r w:rsidRPr="006C7B74">
        <w:rPr>
          <w:rFonts w:cstheme="minorHAnsi"/>
          <w:sz w:val="20"/>
          <w:szCs w:val="20"/>
        </w:rPr>
        <w:t xml:space="preserve">ctivity </w:t>
      </w:r>
      <w:r w:rsidR="00F0472A" w:rsidRPr="006C7B74">
        <w:rPr>
          <w:rFonts w:cstheme="minorHAnsi"/>
          <w:sz w:val="20"/>
          <w:szCs w:val="20"/>
        </w:rPr>
        <w:t>c</w:t>
      </w:r>
      <w:r w:rsidRPr="006C7B74">
        <w:rPr>
          <w:rFonts w:cstheme="minorHAnsi"/>
          <w:sz w:val="20"/>
          <w:szCs w:val="20"/>
        </w:rPr>
        <w:t>entres identified in Plan Melbourne should be considered as places of regional significance. While they have different attributes and provide different functions, with some serving larger sub</w:t>
      </w:r>
      <w:r w:rsidR="0066289B" w:rsidRPr="006C7B74">
        <w:rPr>
          <w:rFonts w:cstheme="minorHAnsi"/>
          <w:sz w:val="20"/>
          <w:szCs w:val="20"/>
        </w:rPr>
        <w:t>-</w:t>
      </w:r>
      <w:r w:rsidRPr="006C7B74">
        <w:rPr>
          <w:rFonts w:cstheme="minorHAnsi"/>
          <w:sz w:val="20"/>
          <w:szCs w:val="20"/>
        </w:rPr>
        <w:t xml:space="preserve">regional catchments, they should provide for and support access to a wide range of goods and services. </w:t>
      </w:r>
    </w:p>
    <w:p w14:paraId="439DCF62" w14:textId="36A6D47A" w:rsidR="00D1227B" w:rsidRPr="006C7B74" w:rsidRDefault="00D1227B" w:rsidP="00D1227B">
      <w:pPr>
        <w:spacing w:after="120"/>
        <w:rPr>
          <w:rFonts w:cstheme="minorHAnsi"/>
          <w:sz w:val="20"/>
          <w:szCs w:val="20"/>
        </w:rPr>
      </w:pPr>
      <w:r w:rsidRPr="006C7B74">
        <w:rPr>
          <w:rFonts w:cstheme="minorHAnsi"/>
          <w:sz w:val="20"/>
          <w:szCs w:val="20"/>
        </w:rPr>
        <w:t xml:space="preserve">Growth </w:t>
      </w:r>
      <w:r w:rsidR="00F0472A" w:rsidRPr="006C7B74">
        <w:rPr>
          <w:rFonts w:cstheme="minorHAnsi"/>
          <w:sz w:val="20"/>
          <w:szCs w:val="20"/>
        </w:rPr>
        <w:t>a</w:t>
      </w:r>
      <w:r w:rsidRPr="006C7B74">
        <w:rPr>
          <w:rFonts w:cstheme="minorHAnsi"/>
          <w:sz w:val="20"/>
          <w:szCs w:val="20"/>
        </w:rPr>
        <w:t xml:space="preserve">rea </w:t>
      </w:r>
      <w:r w:rsidR="00F0472A" w:rsidRPr="006C7B74">
        <w:rPr>
          <w:rFonts w:cstheme="minorHAnsi"/>
          <w:sz w:val="20"/>
          <w:szCs w:val="20"/>
        </w:rPr>
        <w:t>b</w:t>
      </w:r>
      <w:r w:rsidRPr="006C7B74">
        <w:rPr>
          <w:rFonts w:cstheme="minorHAnsi"/>
          <w:sz w:val="20"/>
          <w:szCs w:val="20"/>
        </w:rPr>
        <w:t xml:space="preserve">usiness </w:t>
      </w:r>
      <w:r w:rsidR="00090821" w:rsidRPr="006C7B74">
        <w:rPr>
          <w:rFonts w:cstheme="minorHAnsi"/>
          <w:sz w:val="20"/>
          <w:szCs w:val="20"/>
        </w:rPr>
        <w:t>and residential</w:t>
      </w:r>
      <w:r w:rsidRPr="006C7B74">
        <w:rPr>
          <w:rFonts w:cstheme="minorHAnsi"/>
          <w:sz w:val="20"/>
          <w:szCs w:val="20"/>
        </w:rPr>
        <w:t xml:space="preserve"> </w:t>
      </w:r>
      <w:r w:rsidR="00F0472A" w:rsidRPr="006C7B74">
        <w:rPr>
          <w:rFonts w:cstheme="minorHAnsi"/>
          <w:sz w:val="20"/>
          <w:szCs w:val="20"/>
        </w:rPr>
        <w:t>p</w:t>
      </w:r>
      <w:r w:rsidRPr="006C7B74">
        <w:rPr>
          <w:rFonts w:cstheme="minorHAnsi"/>
          <w:sz w:val="20"/>
          <w:szCs w:val="20"/>
        </w:rPr>
        <w:t xml:space="preserve">recincts </w:t>
      </w:r>
      <w:r w:rsidR="002C62FF" w:rsidRPr="006C7B74">
        <w:rPr>
          <w:rFonts w:cstheme="minorHAnsi"/>
          <w:sz w:val="20"/>
          <w:szCs w:val="20"/>
        </w:rPr>
        <w:t xml:space="preserve">are </w:t>
      </w:r>
      <w:r w:rsidRPr="006C7B74">
        <w:rPr>
          <w:rFonts w:cstheme="minorHAnsi"/>
          <w:sz w:val="20"/>
          <w:szCs w:val="20"/>
        </w:rPr>
        <w:t xml:space="preserve">identified </w:t>
      </w:r>
      <w:r w:rsidRPr="006C7B74">
        <w:rPr>
          <w:rFonts w:cstheme="minorHAnsi"/>
          <w:sz w:val="18"/>
          <w:szCs w:val="20"/>
        </w:rPr>
        <w:t xml:space="preserve">in </w:t>
      </w:r>
      <w:r w:rsidR="00065271" w:rsidRPr="006C7B74">
        <w:rPr>
          <w:sz w:val="20"/>
        </w:rPr>
        <w:t>Growth Corridor Plans</w:t>
      </w:r>
      <w:r w:rsidR="002C62FF" w:rsidRPr="006C7B74">
        <w:rPr>
          <w:rFonts w:cstheme="minorHAnsi"/>
          <w:sz w:val="18"/>
          <w:szCs w:val="20"/>
        </w:rPr>
        <w:t xml:space="preserve"> </w:t>
      </w:r>
      <w:r w:rsidR="002C62FF" w:rsidRPr="006C7B74">
        <w:rPr>
          <w:rFonts w:cstheme="minorHAnsi"/>
          <w:sz w:val="20"/>
          <w:szCs w:val="20"/>
        </w:rPr>
        <w:t xml:space="preserve">and are </w:t>
      </w:r>
      <w:r w:rsidRPr="006C7B74">
        <w:rPr>
          <w:rFonts w:cstheme="minorHAnsi"/>
          <w:sz w:val="20"/>
          <w:szCs w:val="20"/>
        </w:rPr>
        <w:t xml:space="preserve">considered as places of regional significance able to provide for a wide range of employment opportunities. These areas are expected to deliver more intensive forms of employment uses including service industries, office and commercial activity, research and development and some </w:t>
      </w:r>
      <w:r w:rsidR="00EE7545" w:rsidRPr="006C7B74">
        <w:rPr>
          <w:rFonts w:cstheme="minorHAnsi"/>
          <w:sz w:val="20"/>
          <w:szCs w:val="20"/>
        </w:rPr>
        <w:t>large format</w:t>
      </w:r>
      <w:r w:rsidRPr="006C7B74">
        <w:rPr>
          <w:rFonts w:cstheme="minorHAnsi"/>
          <w:sz w:val="20"/>
          <w:szCs w:val="20"/>
        </w:rPr>
        <w:t xml:space="preserve"> retailing. </w:t>
      </w:r>
      <w:r w:rsidR="00B97E26" w:rsidRPr="006C7B74">
        <w:rPr>
          <w:rFonts w:cstheme="minorHAnsi"/>
          <w:sz w:val="20"/>
          <w:szCs w:val="20"/>
        </w:rPr>
        <w:t>The</w:t>
      </w:r>
      <w:r w:rsidRPr="006C7B74">
        <w:rPr>
          <w:rFonts w:cstheme="minorHAnsi"/>
          <w:sz w:val="20"/>
          <w:szCs w:val="20"/>
        </w:rPr>
        <w:t xml:space="preserve"> precincts may also include residential, cultural, recreational and civic uses as part of a broader mix of activities supporting the overall employment activities.</w:t>
      </w:r>
      <w:r w:rsidR="00F068EB" w:rsidRPr="006C7B74">
        <w:rPr>
          <w:rFonts w:cstheme="minorHAnsi"/>
          <w:sz w:val="20"/>
          <w:szCs w:val="20"/>
        </w:rPr>
        <w:t xml:space="preserve"> These </w:t>
      </w:r>
      <w:r w:rsidR="00842864" w:rsidRPr="006C7B74">
        <w:rPr>
          <w:rFonts w:cstheme="minorHAnsi"/>
          <w:sz w:val="20"/>
          <w:szCs w:val="20"/>
        </w:rPr>
        <w:t>precincts</w:t>
      </w:r>
      <w:r w:rsidR="00F068EB" w:rsidRPr="006C7B74">
        <w:rPr>
          <w:rFonts w:cstheme="minorHAnsi"/>
          <w:sz w:val="20"/>
          <w:szCs w:val="20"/>
        </w:rPr>
        <w:t xml:space="preserve"> should have a primary role for economic and employment purposes with no less tha</w:t>
      </w:r>
      <w:r w:rsidR="00850993" w:rsidRPr="006C7B74">
        <w:rPr>
          <w:rFonts w:cstheme="minorHAnsi"/>
          <w:sz w:val="20"/>
          <w:szCs w:val="20"/>
        </w:rPr>
        <w:t>n</w:t>
      </w:r>
      <w:r w:rsidR="00F068EB" w:rsidRPr="006C7B74">
        <w:rPr>
          <w:rFonts w:cstheme="minorHAnsi"/>
          <w:sz w:val="20"/>
          <w:szCs w:val="20"/>
        </w:rPr>
        <w:t xml:space="preserve"> 50 per cent of the land in each precinct being allocated for these purposes.</w:t>
      </w:r>
    </w:p>
    <w:p w14:paraId="16513427" w14:textId="4D671B81" w:rsidR="00D1227B" w:rsidRPr="006C7B74" w:rsidRDefault="00D1227B" w:rsidP="00153967">
      <w:pPr>
        <w:pStyle w:val="Heading4"/>
      </w:pPr>
      <w:r w:rsidRPr="006C7B74">
        <w:t>Local commercial areas</w:t>
      </w:r>
    </w:p>
    <w:p w14:paraId="096A8A22" w14:textId="1647E3A6" w:rsidR="009B2E64" w:rsidRPr="006C7B74" w:rsidRDefault="009B2E64" w:rsidP="009B2E64">
      <w:pPr>
        <w:spacing w:after="120"/>
        <w:rPr>
          <w:rFonts w:cstheme="minorHAnsi"/>
          <w:sz w:val="20"/>
          <w:szCs w:val="20"/>
        </w:rPr>
      </w:pPr>
      <w:r w:rsidRPr="006C7B74">
        <w:rPr>
          <w:rFonts w:cstheme="minorHAnsi"/>
          <w:sz w:val="20"/>
          <w:szCs w:val="20"/>
        </w:rPr>
        <w:t xml:space="preserve">Neighbourhood </w:t>
      </w:r>
      <w:r w:rsidR="00F0472A" w:rsidRPr="006C7B74">
        <w:rPr>
          <w:rFonts w:cstheme="minorHAnsi"/>
          <w:sz w:val="20"/>
          <w:szCs w:val="20"/>
        </w:rPr>
        <w:t>a</w:t>
      </w:r>
      <w:r w:rsidRPr="006C7B74">
        <w:rPr>
          <w:rFonts w:cstheme="minorHAnsi"/>
          <w:sz w:val="20"/>
          <w:szCs w:val="20"/>
        </w:rPr>
        <w:t xml:space="preserve">ctivity </w:t>
      </w:r>
      <w:r w:rsidR="00F0472A" w:rsidRPr="006C7B74">
        <w:rPr>
          <w:rFonts w:cstheme="minorHAnsi"/>
          <w:sz w:val="20"/>
          <w:szCs w:val="20"/>
        </w:rPr>
        <w:t>c</w:t>
      </w:r>
      <w:r w:rsidRPr="006C7B74">
        <w:rPr>
          <w:rFonts w:cstheme="minorHAnsi"/>
          <w:sz w:val="20"/>
          <w:szCs w:val="20"/>
        </w:rPr>
        <w:t xml:space="preserve">entres are local centres that provide access to local goods, services and employment opportunities and serve the needs of the surrounding community. </w:t>
      </w:r>
      <w:r w:rsidR="00E7683F" w:rsidRPr="006C7B74">
        <w:rPr>
          <w:rFonts w:cstheme="minorHAnsi"/>
          <w:sz w:val="20"/>
          <w:szCs w:val="20"/>
        </w:rPr>
        <w:t xml:space="preserve"> These centres </w:t>
      </w:r>
      <w:r w:rsidR="00441960" w:rsidRPr="006C7B74">
        <w:rPr>
          <w:rFonts w:cstheme="minorHAnsi"/>
          <w:sz w:val="20"/>
          <w:szCs w:val="20"/>
        </w:rPr>
        <w:t xml:space="preserve">are essential in providing local employment opportunities and make a crucial contribution to the </w:t>
      </w:r>
      <w:r w:rsidR="00246539" w:rsidRPr="006C7B74">
        <w:rPr>
          <w:rFonts w:cstheme="minorHAnsi"/>
          <w:sz w:val="20"/>
          <w:szCs w:val="20"/>
        </w:rPr>
        <w:t xml:space="preserve">role, character and functioning of our city. </w:t>
      </w:r>
      <w:r w:rsidRPr="006C7B74">
        <w:rPr>
          <w:rFonts w:cstheme="minorHAnsi"/>
          <w:sz w:val="20"/>
          <w:szCs w:val="20"/>
        </w:rPr>
        <w:t xml:space="preserve">Planning for these areas should create opportunities for local businesses and new </w:t>
      </w:r>
      <w:r w:rsidR="00EF7B4F" w:rsidRPr="006C7B74">
        <w:rPr>
          <w:rFonts w:cstheme="minorHAnsi"/>
          <w:sz w:val="20"/>
          <w:szCs w:val="20"/>
        </w:rPr>
        <w:t>jobs and</w:t>
      </w:r>
      <w:r w:rsidRPr="006C7B74">
        <w:rPr>
          <w:rFonts w:cstheme="minorHAnsi"/>
          <w:sz w:val="20"/>
          <w:szCs w:val="20"/>
        </w:rPr>
        <w:t xml:space="preserve"> deliver better access to local services and facilities.</w:t>
      </w:r>
    </w:p>
    <w:p w14:paraId="27CCB644" w14:textId="77777777" w:rsidR="00350849" w:rsidRPr="006C7B74" w:rsidRDefault="00350849" w:rsidP="00350849">
      <w:pPr>
        <w:spacing w:after="120"/>
        <w:rPr>
          <w:rFonts w:cstheme="minorHAnsi"/>
          <w:sz w:val="20"/>
          <w:szCs w:val="20"/>
        </w:rPr>
      </w:pPr>
    </w:p>
    <w:p w14:paraId="581533AB" w14:textId="6C2294EB" w:rsidR="00E5150D" w:rsidRPr="006C7B74" w:rsidRDefault="00E5150D" w:rsidP="00FD2E84">
      <w:pPr>
        <w:pStyle w:val="Heading3"/>
      </w:pPr>
      <w:r w:rsidRPr="006C7B74">
        <w:t>Implement</w:t>
      </w:r>
      <w:r w:rsidR="00F91ED7" w:rsidRPr="006C7B74">
        <w:t>ation</w:t>
      </w:r>
    </w:p>
    <w:p w14:paraId="406C06E1" w14:textId="4D02E202" w:rsidR="00E5150D" w:rsidRPr="006C7B74" w:rsidRDefault="00E5150D" w:rsidP="00E5150D">
      <w:pPr>
        <w:spacing w:after="120"/>
        <w:rPr>
          <w:rFonts w:cstheme="minorHAnsi"/>
          <w:sz w:val="20"/>
          <w:szCs w:val="20"/>
        </w:rPr>
      </w:pPr>
      <w:r w:rsidRPr="006C7B74">
        <w:rPr>
          <w:rFonts w:cstheme="minorHAnsi"/>
          <w:sz w:val="20"/>
          <w:szCs w:val="20"/>
        </w:rPr>
        <w:t>T</w:t>
      </w:r>
      <w:r w:rsidR="006A6194" w:rsidRPr="006C7B74">
        <w:rPr>
          <w:rFonts w:cstheme="minorHAnsi"/>
          <w:sz w:val="20"/>
          <w:szCs w:val="20"/>
        </w:rPr>
        <w:t>he following actions will be undertaken t</w:t>
      </w:r>
      <w:r w:rsidRPr="006C7B74">
        <w:rPr>
          <w:rFonts w:cstheme="minorHAnsi"/>
          <w:sz w:val="20"/>
          <w:szCs w:val="20"/>
        </w:rPr>
        <w:t>o support planning for industrial and commercial land</w:t>
      </w:r>
      <w:r w:rsidR="00BC4D7E" w:rsidRPr="006C7B74">
        <w:rPr>
          <w:rFonts w:cstheme="minorHAnsi"/>
          <w:sz w:val="20"/>
          <w:szCs w:val="20"/>
        </w:rPr>
        <w:t>.</w:t>
      </w:r>
      <w:r w:rsidRPr="006C7B74">
        <w:rPr>
          <w:rFonts w:cstheme="minorHAnsi"/>
          <w:sz w:val="20"/>
          <w:szCs w:val="20"/>
        </w:rPr>
        <w:t xml:space="preserve"> </w:t>
      </w:r>
    </w:p>
    <w:p w14:paraId="3E8044F0" w14:textId="77777777" w:rsidR="00BC4D7E" w:rsidRPr="006C7B74" w:rsidRDefault="00BC4D7E" w:rsidP="00BC4D7E">
      <w:pPr>
        <w:pStyle w:val="BodyText"/>
        <w:rPr>
          <w:b/>
          <w:bCs/>
        </w:rPr>
      </w:pPr>
      <w:bookmarkStart w:id="31" w:name="_Toc511072"/>
      <w:bookmarkEnd w:id="17"/>
      <w:bookmarkEnd w:id="27"/>
      <w:r w:rsidRPr="006C7B74">
        <w:rPr>
          <w:b/>
          <w:bCs/>
        </w:rPr>
        <w:t>Action 1:</w:t>
      </w:r>
    </w:p>
    <w:p w14:paraId="0A76969D" w14:textId="601F7212" w:rsidR="00D235D8" w:rsidRPr="006C7B74" w:rsidRDefault="00E83792" w:rsidP="006C7B74">
      <w:pPr>
        <w:pStyle w:val="BodyText"/>
      </w:pPr>
      <w:r w:rsidRPr="006C7B74">
        <w:t xml:space="preserve">The </w:t>
      </w:r>
      <w:r w:rsidR="00BF78DB" w:rsidRPr="006C7B74">
        <w:t>Depa</w:t>
      </w:r>
      <w:r w:rsidR="00051485" w:rsidRPr="006C7B74">
        <w:t>r</w:t>
      </w:r>
      <w:r w:rsidR="00BF78DB" w:rsidRPr="006C7B74">
        <w:t>tment of Environment</w:t>
      </w:r>
      <w:r w:rsidR="00051485" w:rsidRPr="006C7B74">
        <w:t>, Land, Water and Planning (DELWP)</w:t>
      </w:r>
      <w:r w:rsidRPr="006C7B74">
        <w:t xml:space="preserve"> will </w:t>
      </w:r>
      <w:r w:rsidR="0009385D" w:rsidRPr="006C7B74">
        <w:t>implement</w:t>
      </w:r>
      <w:r w:rsidRPr="006C7B74">
        <w:t xml:space="preserve"> n</w:t>
      </w:r>
      <w:r w:rsidR="00D235D8" w:rsidRPr="006C7B74">
        <w:t xml:space="preserve">ew and updated policy into the Victoria Planning Provisions to support state and </w:t>
      </w:r>
      <w:proofErr w:type="gramStart"/>
      <w:r w:rsidR="00D235D8" w:rsidRPr="006C7B74">
        <w:t>regionally-significant</w:t>
      </w:r>
      <w:proofErr w:type="gramEnd"/>
      <w:r w:rsidR="00D235D8" w:rsidRPr="006C7B74">
        <w:t xml:space="preserve"> industrial </w:t>
      </w:r>
      <w:r w:rsidR="00E86CE4" w:rsidRPr="006C7B74">
        <w:t xml:space="preserve">and commercial </w:t>
      </w:r>
      <w:r w:rsidR="00D235D8" w:rsidRPr="006C7B74">
        <w:t>precincts</w:t>
      </w:r>
      <w:r w:rsidR="00E86CE4" w:rsidRPr="006C7B74">
        <w:t xml:space="preserve"> based on th</w:t>
      </w:r>
      <w:r w:rsidR="003A3EEF" w:rsidRPr="006C7B74">
        <w:t>e Melbourne Industrial and Commercial Land Use Plan</w:t>
      </w:r>
      <w:r w:rsidR="00D235D8" w:rsidRPr="006C7B74">
        <w:t>.</w:t>
      </w:r>
    </w:p>
    <w:p w14:paraId="674D997E" w14:textId="27663AAB" w:rsidR="00EA6E1C" w:rsidRPr="006C7B74" w:rsidRDefault="00EA6E1C" w:rsidP="00EA6E1C">
      <w:pPr>
        <w:pStyle w:val="BodyText"/>
        <w:rPr>
          <w:b/>
          <w:bCs/>
        </w:rPr>
      </w:pPr>
      <w:r w:rsidRPr="006C7B74">
        <w:rPr>
          <w:b/>
          <w:bCs/>
        </w:rPr>
        <w:t>Action 2:</w:t>
      </w:r>
    </w:p>
    <w:p w14:paraId="027CB61E" w14:textId="00B946FF" w:rsidR="00D235D8" w:rsidRPr="006C7B74" w:rsidRDefault="00D235D8" w:rsidP="00BC4D7E">
      <w:pPr>
        <w:pStyle w:val="BodyText"/>
      </w:pPr>
      <w:r w:rsidRPr="006C7B74">
        <w:t xml:space="preserve">In consultation with key stakeholders, </w:t>
      </w:r>
      <w:r w:rsidR="00051485" w:rsidRPr="006C7B74">
        <w:t>DELWP</w:t>
      </w:r>
      <w:r w:rsidR="0009385D" w:rsidRPr="006C7B74">
        <w:t xml:space="preserve"> will </w:t>
      </w:r>
      <w:r w:rsidRPr="006C7B74">
        <w:t xml:space="preserve">develop </w:t>
      </w:r>
      <w:r w:rsidR="00663C3F" w:rsidRPr="006C7B74">
        <w:t xml:space="preserve">and implement </w:t>
      </w:r>
      <w:r w:rsidRPr="006C7B74">
        <w:t xml:space="preserve">a more sophisticated </w:t>
      </w:r>
      <w:r w:rsidR="006B0F26" w:rsidRPr="006C7B74">
        <w:t xml:space="preserve">methodology and </w:t>
      </w:r>
      <w:r w:rsidRPr="006C7B74">
        <w:t xml:space="preserve">approach to </w:t>
      </w:r>
      <w:r w:rsidR="00F46FBB" w:rsidRPr="006C7B74">
        <w:t>assess future supply and demand for industrial land taking into account</w:t>
      </w:r>
      <w:r w:rsidR="00DF2058" w:rsidRPr="006C7B74">
        <w:t xml:space="preserve"> </w:t>
      </w:r>
      <w:r w:rsidRPr="006C7B74">
        <w:t xml:space="preserve">business needs and land use requirements. </w:t>
      </w:r>
    </w:p>
    <w:p w14:paraId="14298069" w14:textId="26830021" w:rsidR="001923BE" w:rsidRPr="006C7B74" w:rsidRDefault="00350DF1" w:rsidP="00BC4D7E">
      <w:pPr>
        <w:pStyle w:val="BodyText"/>
        <w:rPr>
          <w:b/>
          <w:bCs/>
        </w:rPr>
      </w:pPr>
      <w:r w:rsidRPr="006C7B74">
        <w:rPr>
          <w:b/>
          <w:bCs/>
        </w:rPr>
        <w:t>Action 3:</w:t>
      </w:r>
    </w:p>
    <w:p w14:paraId="25A97131" w14:textId="0090ED1C" w:rsidR="001923BE" w:rsidRPr="006C7B74" w:rsidRDefault="00E10ECA" w:rsidP="006C7B74">
      <w:pPr>
        <w:pStyle w:val="BodyText"/>
      </w:pPr>
      <w:r w:rsidRPr="006C7B74">
        <w:t>DELWP</w:t>
      </w:r>
      <w:r w:rsidR="00930D4D" w:rsidRPr="006C7B74">
        <w:t xml:space="preserve"> will </w:t>
      </w:r>
      <w:r w:rsidR="00B019EB" w:rsidRPr="006C7B74">
        <w:t xml:space="preserve">expand the Urban </w:t>
      </w:r>
      <w:r w:rsidR="00D63541" w:rsidRPr="006C7B74">
        <w:t xml:space="preserve">Development Program to </w:t>
      </w:r>
      <w:r w:rsidR="00AE449C" w:rsidRPr="006C7B74">
        <w:t xml:space="preserve">include </w:t>
      </w:r>
      <w:r w:rsidR="00930D4D" w:rsidRPr="006C7B74">
        <w:t>updat</w:t>
      </w:r>
      <w:r w:rsidR="00D63541" w:rsidRPr="006C7B74">
        <w:t>e</w:t>
      </w:r>
      <w:r w:rsidR="00F754CF" w:rsidRPr="006C7B74">
        <w:t>s</w:t>
      </w:r>
      <w:r w:rsidR="00930D4D" w:rsidRPr="006C7B74">
        <w:t xml:space="preserve"> </w:t>
      </w:r>
      <w:r w:rsidR="00F754CF" w:rsidRPr="006C7B74">
        <w:t xml:space="preserve">to </w:t>
      </w:r>
      <w:r w:rsidR="00930D4D" w:rsidRPr="006C7B74">
        <w:t>the commercial floorspace estimates into the future and will explore the appropriate timing and updating cycle</w:t>
      </w:r>
      <w:r w:rsidR="001C3088" w:rsidRPr="006C7B74">
        <w:t xml:space="preserve"> for this work</w:t>
      </w:r>
      <w:r w:rsidR="00930D4D" w:rsidRPr="006C7B74">
        <w:t>.</w:t>
      </w:r>
    </w:p>
    <w:p w14:paraId="0CDB8EEA" w14:textId="0ECB4276" w:rsidR="001C3088" w:rsidRPr="006C7B74" w:rsidRDefault="001C3088" w:rsidP="001C3088">
      <w:pPr>
        <w:pStyle w:val="BodyText"/>
        <w:rPr>
          <w:b/>
          <w:bCs/>
        </w:rPr>
      </w:pPr>
      <w:r w:rsidRPr="006C7B74">
        <w:rPr>
          <w:b/>
          <w:bCs/>
        </w:rPr>
        <w:t>Action 4:</w:t>
      </w:r>
    </w:p>
    <w:p w14:paraId="05634F67" w14:textId="48DE8A32" w:rsidR="00D235D8" w:rsidRPr="006C7B74" w:rsidRDefault="00E33AD7" w:rsidP="006C7B74">
      <w:pPr>
        <w:pStyle w:val="BodyText"/>
      </w:pPr>
      <w:r w:rsidRPr="006C7B74">
        <w:t>DELWP will r</w:t>
      </w:r>
      <w:r w:rsidR="00D235D8" w:rsidRPr="006C7B74">
        <w:t xml:space="preserve">eview the commercial </w:t>
      </w:r>
      <w:r w:rsidR="00161158" w:rsidRPr="006C7B74">
        <w:t xml:space="preserve">and industrial </w:t>
      </w:r>
      <w:r w:rsidR="00D235D8" w:rsidRPr="006C7B74">
        <w:t>zones to better understand how they are applied and operating. In particular</w:t>
      </w:r>
      <w:r w:rsidR="003F497B">
        <w:t>,</w:t>
      </w:r>
      <w:r w:rsidR="00D235D8" w:rsidRPr="006C7B74">
        <w:t xml:space="preserve"> consideration </w:t>
      </w:r>
      <w:r w:rsidR="00BD680F" w:rsidRPr="006C7B74">
        <w:t>will</w:t>
      </w:r>
      <w:r w:rsidR="00D235D8" w:rsidRPr="006C7B74">
        <w:t xml:space="preserve"> be given to the role and function of dwellings as a section 1 use in the Commercial 1 Zone and the role and purpose of the Commercial 2 Zone and how it applies and operates, </w:t>
      </w:r>
      <w:r w:rsidR="00D235D8" w:rsidRPr="006C7B74">
        <w:lastRenderedPageBreak/>
        <w:t>particularly in industrial locations.</w:t>
      </w:r>
      <w:r w:rsidR="00BD680F" w:rsidRPr="006C7B74">
        <w:t xml:space="preserve"> Consideration </w:t>
      </w:r>
      <w:r w:rsidR="003C7B1E" w:rsidRPr="006C7B74">
        <w:t>will</w:t>
      </w:r>
      <w:r w:rsidR="00BD680F" w:rsidRPr="006C7B74">
        <w:t xml:space="preserve"> also be given to the range of uses permitted with</w:t>
      </w:r>
      <w:r w:rsidR="003C7B1E" w:rsidRPr="006C7B74">
        <w:t>in</w:t>
      </w:r>
      <w:r w:rsidR="00BD680F" w:rsidRPr="006C7B74">
        <w:t xml:space="preserve"> industrial zones, and in particular, non-industrial focussed uses.</w:t>
      </w:r>
    </w:p>
    <w:p w14:paraId="5BB0DD00" w14:textId="5BC34456" w:rsidR="00FF7F27" w:rsidRPr="006C7B74" w:rsidRDefault="00FF7F27" w:rsidP="00FF7F27">
      <w:pPr>
        <w:pStyle w:val="BodyText"/>
        <w:rPr>
          <w:b/>
          <w:bCs/>
        </w:rPr>
      </w:pPr>
      <w:r w:rsidRPr="006C7B74">
        <w:rPr>
          <w:b/>
          <w:bCs/>
        </w:rPr>
        <w:t>Action 5:</w:t>
      </w:r>
    </w:p>
    <w:p w14:paraId="21323EAB" w14:textId="4705031E" w:rsidR="00D235D8" w:rsidRPr="006C7B74" w:rsidRDefault="00D235D8" w:rsidP="00BC4D7E">
      <w:pPr>
        <w:pStyle w:val="BodyText"/>
      </w:pPr>
      <w:r w:rsidRPr="006C7B74">
        <w:t>Councils should prepare and implement municipal-wide industrial land use strategies and activity centre strategies</w:t>
      </w:r>
      <w:r w:rsidR="005629C6" w:rsidRPr="006C7B74">
        <w:t>,</w:t>
      </w:r>
      <w:r w:rsidRPr="006C7B74">
        <w:t xml:space="preserve"> </w:t>
      </w:r>
      <w:r w:rsidR="00DF52CE" w:rsidRPr="006C7B74">
        <w:t xml:space="preserve">or </w:t>
      </w:r>
      <w:r w:rsidR="009F3DF3">
        <w:t xml:space="preserve">undertake </w:t>
      </w:r>
      <w:r w:rsidR="00DF52CE" w:rsidRPr="006C7B74">
        <w:t>similar strategic work for precincts</w:t>
      </w:r>
      <w:r w:rsidR="005629C6" w:rsidRPr="006C7B74">
        <w:t>,</w:t>
      </w:r>
      <w:r w:rsidR="00DF52CE" w:rsidRPr="006C7B74">
        <w:t xml:space="preserve"> </w:t>
      </w:r>
      <w:r w:rsidRPr="006C7B74">
        <w:t>to guide future development</w:t>
      </w:r>
      <w:r w:rsidR="005629C6" w:rsidRPr="006C7B74">
        <w:t xml:space="preserve"> of industrial and commercial land</w:t>
      </w:r>
      <w:r w:rsidRPr="006C7B74">
        <w:t>.</w:t>
      </w:r>
    </w:p>
    <w:p w14:paraId="7DF24697" w14:textId="2ACA219F" w:rsidR="005629C6" w:rsidRPr="006C7B74" w:rsidRDefault="005629C6" w:rsidP="005629C6">
      <w:pPr>
        <w:pStyle w:val="BodyText"/>
        <w:rPr>
          <w:b/>
          <w:bCs/>
        </w:rPr>
      </w:pPr>
      <w:r w:rsidRPr="006C7B74">
        <w:rPr>
          <w:b/>
          <w:bCs/>
        </w:rPr>
        <w:t>Action 6:</w:t>
      </w:r>
    </w:p>
    <w:p w14:paraId="568DF81D" w14:textId="4B5E0D7E" w:rsidR="005629C6" w:rsidRPr="006C7B74" w:rsidRDefault="00F2070F" w:rsidP="00BC4D7E">
      <w:pPr>
        <w:pStyle w:val="BodyText"/>
      </w:pPr>
      <w:r w:rsidRPr="006C7B74">
        <w:t xml:space="preserve">Building on the guidance included at Appendix 2, </w:t>
      </w:r>
      <w:r w:rsidR="00FD636F" w:rsidRPr="006C7B74">
        <w:t>DELWP</w:t>
      </w:r>
      <w:r w:rsidRPr="006C7B74">
        <w:t xml:space="preserve"> will work with </w:t>
      </w:r>
      <w:r w:rsidR="00806F96" w:rsidRPr="006C7B74">
        <w:t xml:space="preserve">local </w:t>
      </w:r>
      <w:r w:rsidRPr="006C7B74">
        <w:t>councils to develop a practice note to support the development of local industrial strategies</w:t>
      </w:r>
      <w:r w:rsidR="00C10CD4" w:rsidRPr="006C7B74">
        <w:t>.</w:t>
      </w:r>
    </w:p>
    <w:p w14:paraId="6356AECE" w14:textId="77777777" w:rsidR="0069077D" w:rsidRPr="006C7B74" w:rsidRDefault="00DA3DC1" w:rsidP="0069077D">
      <w:pPr>
        <w:pStyle w:val="BodyText"/>
        <w:rPr>
          <w:b/>
          <w:bCs/>
        </w:rPr>
      </w:pPr>
      <w:r w:rsidRPr="006C7B74">
        <w:rPr>
          <w:b/>
        </w:rPr>
        <w:t>Action 7:</w:t>
      </w:r>
    </w:p>
    <w:p w14:paraId="0F7CF858" w14:textId="41D97DE2" w:rsidR="0069077D" w:rsidRPr="006C7B74" w:rsidRDefault="0069077D" w:rsidP="0069077D">
      <w:pPr>
        <w:pStyle w:val="BodyText"/>
      </w:pPr>
      <w:r w:rsidRPr="006C7B74">
        <w:t xml:space="preserve">The </w:t>
      </w:r>
      <w:r w:rsidR="00451DA8">
        <w:t>s</w:t>
      </w:r>
      <w:r w:rsidRPr="006C7B74">
        <w:t xml:space="preserve">tate </w:t>
      </w:r>
      <w:r w:rsidR="00451DA8">
        <w:t>g</w:t>
      </w:r>
      <w:r w:rsidRPr="006C7B74">
        <w:t xml:space="preserve">overnment will </w:t>
      </w:r>
      <w:r w:rsidR="00DD3F2E" w:rsidRPr="006C7B74">
        <w:t xml:space="preserve">investigate options </w:t>
      </w:r>
      <w:r w:rsidR="003F11E1" w:rsidRPr="006C7B74">
        <w:t>available</w:t>
      </w:r>
      <w:r w:rsidR="002567AE" w:rsidRPr="006C7B74">
        <w:t xml:space="preserve"> to preserve and create affordable workspace in inner Melbourne and other strategic locations</w:t>
      </w:r>
      <w:r w:rsidRPr="006C7B74">
        <w:t>.</w:t>
      </w:r>
    </w:p>
    <w:p w14:paraId="2AAE1F10" w14:textId="1179899D" w:rsidR="00DA3DC1" w:rsidRPr="006C7B74" w:rsidRDefault="00DA3DC1" w:rsidP="00BC4D7E">
      <w:pPr>
        <w:pStyle w:val="BodyText"/>
        <w:rPr>
          <w:b/>
          <w:bCs/>
        </w:rPr>
      </w:pPr>
      <w:r w:rsidRPr="006C7B74">
        <w:rPr>
          <w:b/>
          <w:bCs/>
        </w:rPr>
        <w:t xml:space="preserve">Action </w:t>
      </w:r>
      <w:r w:rsidR="00214F81" w:rsidRPr="006C7B74">
        <w:rPr>
          <w:b/>
          <w:bCs/>
        </w:rPr>
        <w:t>8</w:t>
      </w:r>
      <w:r w:rsidRPr="006C7B74">
        <w:rPr>
          <w:b/>
          <w:bCs/>
        </w:rPr>
        <w:t>:</w:t>
      </w:r>
    </w:p>
    <w:p w14:paraId="0D488F1F" w14:textId="71FDD39E" w:rsidR="00DA3DC1" w:rsidRPr="006C7B74" w:rsidRDefault="00975CE3" w:rsidP="006C7B74">
      <w:pPr>
        <w:pStyle w:val="BodyText"/>
      </w:pPr>
      <w:r w:rsidRPr="006C7B74">
        <w:t xml:space="preserve">The </w:t>
      </w:r>
      <w:r w:rsidR="00451DA8">
        <w:t>s</w:t>
      </w:r>
      <w:r w:rsidRPr="006C7B74">
        <w:t xml:space="preserve">tate </w:t>
      </w:r>
      <w:r w:rsidR="00451DA8">
        <w:t>g</w:t>
      </w:r>
      <w:r w:rsidRPr="006C7B74">
        <w:t>overnment will work with local councils</w:t>
      </w:r>
      <w:r w:rsidR="002A6CC9" w:rsidRPr="006C7B74">
        <w:t xml:space="preserve"> to look at future opportunities for </w:t>
      </w:r>
      <w:r w:rsidR="00A00C8D" w:rsidRPr="006C7B74">
        <w:t>industry in the</w:t>
      </w:r>
      <w:r w:rsidR="00F26BE1" w:rsidRPr="006C7B74">
        <w:t xml:space="preserve"> </w:t>
      </w:r>
      <w:r w:rsidR="00A00C8D" w:rsidRPr="006C7B74">
        <w:t xml:space="preserve">Brooklyn, </w:t>
      </w:r>
      <w:r w:rsidR="00DA3DC1" w:rsidRPr="006C7B74">
        <w:t xml:space="preserve">Tottenham and West Footscray </w:t>
      </w:r>
      <w:r w:rsidR="00F63EEA" w:rsidRPr="006C7B74">
        <w:t>area</w:t>
      </w:r>
      <w:r w:rsidR="000C6671" w:rsidRPr="006C7B74">
        <w:t xml:space="preserve">, including </w:t>
      </w:r>
      <w:r w:rsidR="004515D8" w:rsidRPr="006C7B74">
        <w:t>improv</w:t>
      </w:r>
      <w:r w:rsidR="000C6671" w:rsidRPr="006C7B74">
        <w:t>ing</w:t>
      </w:r>
      <w:r w:rsidR="004515D8" w:rsidRPr="006C7B74">
        <w:t xml:space="preserve"> connectivity</w:t>
      </w:r>
      <w:r w:rsidR="007C48B9" w:rsidRPr="006C7B74">
        <w:t>.</w:t>
      </w:r>
      <w:r w:rsidR="00077C4B" w:rsidRPr="006C7B74">
        <w:t xml:space="preserve"> This will look at ways that state-significant industrial land </w:t>
      </w:r>
      <w:r w:rsidR="00882D02" w:rsidRPr="006C7B74">
        <w:t xml:space="preserve">could </w:t>
      </w:r>
      <w:r w:rsidR="00077C4B" w:rsidRPr="006C7B74">
        <w:t>regenerate</w:t>
      </w:r>
      <w:r w:rsidR="003E17F5" w:rsidRPr="006C7B74">
        <w:t xml:space="preserve"> and support indust</w:t>
      </w:r>
      <w:r w:rsidR="00666C28" w:rsidRPr="006C7B74">
        <w:t>r</w:t>
      </w:r>
      <w:r w:rsidR="003E17F5" w:rsidRPr="006C7B74">
        <w:t>y</w:t>
      </w:r>
      <w:r w:rsidR="00882D02" w:rsidRPr="006C7B74">
        <w:t xml:space="preserve"> into the future.</w:t>
      </w:r>
    </w:p>
    <w:p w14:paraId="2C862F2E" w14:textId="5F5FFB07" w:rsidR="00CE0BA3" w:rsidRPr="006C7B74" w:rsidRDefault="001318FD">
      <w:r w:rsidRPr="006C7B74">
        <w:br w:type="page"/>
      </w:r>
    </w:p>
    <w:p w14:paraId="002E20B3" w14:textId="77777777" w:rsidR="00CE0BA3" w:rsidRPr="006C7B74" w:rsidRDefault="00CE0BA3"/>
    <w:p w14:paraId="7190B971" w14:textId="77777777" w:rsidR="00CE0BA3" w:rsidRPr="006C7B74" w:rsidRDefault="00CE0BA3"/>
    <w:p w14:paraId="6F73111F" w14:textId="77777777" w:rsidR="00CE0BA3" w:rsidRPr="006C7B74" w:rsidRDefault="00CE0BA3"/>
    <w:p w14:paraId="2FF13353" w14:textId="512A7855" w:rsidR="00CE0BA3" w:rsidRPr="006C7B74" w:rsidRDefault="00CE0BA3" w:rsidP="00CE0BA3">
      <w:pPr>
        <w:pStyle w:val="Heading1"/>
      </w:pPr>
      <w:bookmarkStart w:id="32" w:name="_Toc21694811"/>
      <w:r w:rsidRPr="006C7B74">
        <w:t>PART B: REGIONAL SUMMARIES AND DIRECTIONS</w:t>
      </w:r>
      <w:bookmarkEnd w:id="32"/>
    </w:p>
    <w:p w14:paraId="77351DF8" w14:textId="77777777" w:rsidR="00CE0BA3" w:rsidRPr="006C7B74" w:rsidRDefault="00CE0BA3"/>
    <w:p w14:paraId="608A9DB4" w14:textId="77777777" w:rsidR="00CE0BA3" w:rsidRPr="006C7B74" w:rsidRDefault="00CE0BA3"/>
    <w:p w14:paraId="2897A9DB" w14:textId="77777777" w:rsidR="00CE0BA3" w:rsidRPr="006C7B74" w:rsidRDefault="00CE0BA3"/>
    <w:p w14:paraId="2DDFE265" w14:textId="77777777" w:rsidR="00CE0BA3" w:rsidRPr="006C7B74" w:rsidRDefault="00CE0BA3"/>
    <w:p w14:paraId="72677D0F" w14:textId="5D5C02AF" w:rsidR="00CE0BA3" w:rsidRPr="006C7B74" w:rsidRDefault="00CE0BA3">
      <w:pPr>
        <w:rPr>
          <w:rFonts w:asciiTheme="majorHAnsi" w:eastAsiaTheme="majorEastAsia" w:hAnsiTheme="majorHAnsi" w:cstheme="majorBidi"/>
          <w:b/>
          <w:color w:val="201547"/>
          <w:sz w:val="32"/>
          <w:szCs w:val="32"/>
        </w:rPr>
      </w:pPr>
      <w:r w:rsidRPr="006C7B74">
        <w:br w:type="page"/>
      </w:r>
    </w:p>
    <w:p w14:paraId="47B604FE" w14:textId="2B763F4F" w:rsidR="0097714A" w:rsidRPr="006C7B74" w:rsidRDefault="0097714A" w:rsidP="002353A3">
      <w:pPr>
        <w:pStyle w:val="Heading2-Contenttable"/>
      </w:pPr>
      <w:bookmarkStart w:id="33" w:name="_Toc21694812"/>
      <w:r w:rsidRPr="006C7B74">
        <w:lastRenderedPageBreak/>
        <w:t>Inner Metro Region</w:t>
      </w:r>
      <w:bookmarkEnd w:id="33"/>
      <w:r w:rsidRPr="006C7B74">
        <w:t xml:space="preserve"> </w:t>
      </w:r>
      <w:bookmarkEnd w:id="31"/>
    </w:p>
    <w:p w14:paraId="378240B0" w14:textId="5D8CEE06" w:rsidR="0097714A" w:rsidRPr="006C7B74" w:rsidRDefault="0097714A" w:rsidP="002353A3">
      <w:pPr>
        <w:pStyle w:val="Heading3"/>
      </w:pPr>
      <w:bookmarkStart w:id="34" w:name="_Toc21694813"/>
      <w:r w:rsidRPr="006C7B74">
        <w:t xml:space="preserve">Regional </w:t>
      </w:r>
      <w:r w:rsidR="009A748E" w:rsidRPr="006C7B74">
        <w:t>snapshot</w:t>
      </w:r>
      <w:bookmarkEnd w:id="34"/>
    </w:p>
    <w:p w14:paraId="49F45280" w14:textId="32F22380" w:rsidR="0097714A" w:rsidRPr="006C7B74" w:rsidRDefault="0097714A" w:rsidP="00934C4D">
      <w:pPr>
        <w:spacing w:after="120"/>
        <w:rPr>
          <w:rStyle w:val="normaltextrun"/>
          <w:rFonts w:cstheme="minorHAnsi"/>
          <w:color w:val="000000"/>
          <w:sz w:val="20"/>
          <w:szCs w:val="20"/>
          <w:shd w:val="clear" w:color="auto" w:fill="FFFFFF"/>
        </w:rPr>
      </w:pPr>
      <w:r w:rsidRPr="006C7B74">
        <w:rPr>
          <w:rStyle w:val="normaltextrun"/>
          <w:rFonts w:cstheme="minorHAnsi"/>
          <w:color w:val="000000"/>
          <w:sz w:val="20"/>
          <w:szCs w:val="20"/>
          <w:shd w:val="clear" w:color="auto" w:fill="FFFFFF"/>
        </w:rPr>
        <w:t>The</w:t>
      </w:r>
      <w:r w:rsidR="000F7B8E" w:rsidRPr="006C7B74">
        <w:rPr>
          <w:rStyle w:val="normaltextrun"/>
          <w:rFonts w:cstheme="minorHAnsi"/>
          <w:color w:val="000000"/>
          <w:sz w:val="20"/>
          <w:szCs w:val="20"/>
          <w:shd w:val="clear" w:color="auto" w:fill="FFFFFF"/>
        </w:rPr>
        <w:t xml:space="preserve"> </w:t>
      </w:r>
      <w:r w:rsidR="00DB02C8" w:rsidRPr="006C7B74">
        <w:rPr>
          <w:rStyle w:val="normaltextrun"/>
          <w:rFonts w:cstheme="minorHAnsi"/>
          <w:color w:val="000000"/>
          <w:sz w:val="20"/>
          <w:szCs w:val="20"/>
          <w:shd w:val="clear" w:color="auto" w:fill="FFFFFF"/>
        </w:rPr>
        <w:t>I</w:t>
      </w:r>
      <w:r w:rsidRPr="006C7B74">
        <w:rPr>
          <w:rStyle w:val="normaltextrun"/>
          <w:rFonts w:cstheme="minorHAnsi"/>
          <w:color w:val="000000"/>
          <w:sz w:val="20"/>
          <w:szCs w:val="20"/>
          <w:shd w:val="clear" w:color="auto" w:fill="FFFFFF"/>
        </w:rPr>
        <w:t>nner</w:t>
      </w:r>
      <w:r w:rsidR="000F7B8E" w:rsidRPr="006C7B74">
        <w:rPr>
          <w:rStyle w:val="normaltextrun"/>
          <w:rFonts w:cstheme="minorHAnsi"/>
          <w:color w:val="000000"/>
          <w:sz w:val="20"/>
          <w:szCs w:val="20"/>
          <w:shd w:val="clear" w:color="auto" w:fill="FFFFFF"/>
        </w:rPr>
        <w:t xml:space="preserve"> </w:t>
      </w:r>
      <w:r w:rsidR="00DB02C8" w:rsidRPr="006C7B74">
        <w:rPr>
          <w:rStyle w:val="normaltextrun"/>
          <w:rFonts w:cstheme="minorHAnsi"/>
          <w:color w:val="000000"/>
          <w:sz w:val="20"/>
          <w:szCs w:val="20"/>
          <w:shd w:val="clear" w:color="auto" w:fill="FFFFFF"/>
        </w:rPr>
        <w:t>M</w:t>
      </w:r>
      <w:r w:rsidRPr="006C7B74">
        <w:rPr>
          <w:rStyle w:val="normaltextrun"/>
          <w:rFonts w:cstheme="minorHAnsi"/>
          <w:color w:val="000000"/>
          <w:sz w:val="20"/>
          <w:szCs w:val="20"/>
          <w:shd w:val="clear" w:color="auto" w:fill="FFFFFF"/>
        </w:rPr>
        <w:t>etro</w:t>
      </w:r>
      <w:r w:rsidR="000F7B8E" w:rsidRPr="006C7B74">
        <w:rPr>
          <w:rStyle w:val="normaltextrun"/>
          <w:rFonts w:cstheme="minorHAnsi"/>
          <w:color w:val="000000"/>
          <w:sz w:val="20"/>
          <w:szCs w:val="20"/>
          <w:shd w:val="clear" w:color="auto" w:fill="FFFFFF"/>
        </w:rPr>
        <w:t xml:space="preserve"> </w:t>
      </w:r>
      <w:r w:rsidR="00DB02C8" w:rsidRPr="006C7B74">
        <w:rPr>
          <w:rStyle w:val="normaltextrun"/>
          <w:rFonts w:cstheme="minorHAnsi"/>
          <w:color w:val="000000"/>
          <w:sz w:val="20"/>
          <w:szCs w:val="20"/>
          <w:shd w:val="clear" w:color="auto" w:fill="FFFFFF"/>
        </w:rPr>
        <w:t>R</w:t>
      </w:r>
      <w:r w:rsidRPr="006C7B74">
        <w:rPr>
          <w:rStyle w:val="normaltextrun"/>
          <w:rFonts w:cstheme="minorHAnsi"/>
          <w:color w:val="000000"/>
          <w:sz w:val="20"/>
          <w:szCs w:val="20"/>
          <w:shd w:val="clear" w:color="auto" w:fill="FFFFFF"/>
        </w:rPr>
        <w:t xml:space="preserve">egion comprises </w:t>
      </w:r>
      <w:r w:rsidR="00F24FDE" w:rsidRPr="006C7B74">
        <w:rPr>
          <w:rStyle w:val="normaltextrun"/>
          <w:rFonts w:cstheme="minorHAnsi"/>
          <w:color w:val="000000"/>
          <w:sz w:val="20"/>
          <w:szCs w:val="20"/>
          <w:shd w:val="clear" w:color="auto" w:fill="FFFFFF"/>
        </w:rPr>
        <w:t xml:space="preserve">the municipalities </w:t>
      </w:r>
      <w:r w:rsidRPr="006C7B74">
        <w:rPr>
          <w:rStyle w:val="normaltextrun"/>
          <w:rFonts w:cstheme="minorHAnsi"/>
          <w:color w:val="000000"/>
          <w:sz w:val="20"/>
          <w:szCs w:val="20"/>
          <w:shd w:val="clear" w:color="auto" w:fill="FFFFFF"/>
        </w:rPr>
        <w:t>of Melbourne, Port Phillip</w:t>
      </w:r>
      <w:r w:rsidR="00215608" w:rsidRPr="006C7B74">
        <w:rPr>
          <w:rStyle w:val="normaltextrun"/>
          <w:rFonts w:cstheme="minorHAnsi"/>
          <w:color w:val="000000"/>
          <w:sz w:val="20"/>
          <w:szCs w:val="20"/>
          <w:shd w:val="clear" w:color="auto" w:fill="FFFFFF"/>
        </w:rPr>
        <w:t xml:space="preserve"> and </w:t>
      </w:r>
      <w:r w:rsidRPr="006C7B74">
        <w:rPr>
          <w:rStyle w:val="normaltextrun"/>
          <w:rFonts w:cstheme="minorHAnsi"/>
          <w:color w:val="000000"/>
          <w:sz w:val="20"/>
          <w:szCs w:val="20"/>
          <w:shd w:val="clear" w:color="auto" w:fill="FFFFFF"/>
        </w:rPr>
        <w:t>Yarra.</w:t>
      </w:r>
      <w:r w:rsidR="007C154C" w:rsidRPr="006C7B74">
        <w:rPr>
          <w:rStyle w:val="normaltextrun"/>
          <w:rFonts w:cstheme="minorHAnsi"/>
          <w:color w:val="000000"/>
          <w:sz w:val="20"/>
          <w:szCs w:val="20"/>
          <w:shd w:val="clear" w:color="auto" w:fill="FFFFFF"/>
        </w:rPr>
        <w:t xml:space="preserve"> </w:t>
      </w:r>
      <w:r w:rsidRPr="006C7B74">
        <w:rPr>
          <w:rStyle w:val="normaltextrun"/>
          <w:rFonts w:cstheme="minorHAnsi"/>
          <w:color w:val="000000"/>
          <w:sz w:val="20"/>
          <w:szCs w:val="20"/>
          <w:shd w:val="clear" w:color="auto" w:fill="FFFFFF"/>
        </w:rPr>
        <w:t>The region</w:t>
      </w:r>
      <w:r w:rsidR="00215608" w:rsidRPr="006C7B74">
        <w:rPr>
          <w:rStyle w:val="normaltextrun"/>
          <w:rFonts w:cstheme="minorHAnsi"/>
          <w:color w:val="000000"/>
          <w:sz w:val="20"/>
          <w:szCs w:val="20"/>
          <w:shd w:val="clear" w:color="auto" w:fill="FFFFFF"/>
        </w:rPr>
        <w:t xml:space="preserve"> </w:t>
      </w:r>
      <w:r w:rsidR="00486FD9" w:rsidRPr="006C7B74">
        <w:rPr>
          <w:rStyle w:val="normaltextrun"/>
          <w:rFonts w:cstheme="minorHAnsi"/>
          <w:color w:val="000000"/>
          <w:sz w:val="20"/>
          <w:szCs w:val="20"/>
          <w:shd w:val="clear" w:color="auto" w:fill="FFFFFF"/>
        </w:rPr>
        <w:t>include</w:t>
      </w:r>
      <w:r w:rsidR="00E97FB6" w:rsidRPr="006C7B74">
        <w:rPr>
          <w:rStyle w:val="normaltextrun"/>
          <w:rFonts w:cstheme="minorHAnsi"/>
          <w:color w:val="000000"/>
          <w:sz w:val="20"/>
          <w:szCs w:val="20"/>
          <w:shd w:val="clear" w:color="auto" w:fill="FFFFFF"/>
        </w:rPr>
        <w:t>s</w:t>
      </w:r>
      <w:r w:rsidR="00215608" w:rsidRPr="006C7B74">
        <w:rPr>
          <w:rStyle w:val="normaltextrun"/>
          <w:rFonts w:cstheme="minorHAnsi"/>
          <w:color w:val="000000"/>
          <w:sz w:val="20"/>
          <w:szCs w:val="20"/>
          <w:shd w:val="clear" w:color="auto" w:fill="FFFFFF"/>
        </w:rPr>
        <w:t xml:space="preserve"> </w:t>
      </w:r>
      <w:r w:rsidRPr="006C7B74">
        <w:rPr>
          <w:rStyle w:val="normaltextrun"/>
          <w:rFonts w:cstheme="minorHAnsi"/>
          <w:color w:val="000000"/>
          <w:sz w:val="20"/>
          <w:szCs w:val="20"/>
          <w:shd w:val="clear" w:color="auto" w:fill="FFFFFF"/>
        </w:rPr>
        <w:t xml:space="preserve">the Melbourne </w:t>
      </w:r>
      <w:r w:rsidR="00486FD9" w:rsidRPr="006C7B74">
        <w:rPr>
          <w:rStyle w:val="normaltextrun"/>
          <w:rFonts w:cstheme="minorHAnsi"/>
          <w:color w:val="000000"/>
          <w:sz w:val="20"/>
          <w:szCs w:val="20"/>
          <w:shd w:val="clear" w:color="auto" w:fill="FFFFFF"/>
        </w:rPr>
        <w:t>CBD</w:t>
      </w:r>
      <w:r w:rsidRPr="006C7B74">
        <w:rPr>
          <w:rStyle w:val="normaltextrun"/>
          <w:rFonts w:cstheme="minorHAnsi"/>
          <w:color w:val="000000"/>
          <w:sz w:val="20"/>
          <w:szCs w:val="20"/>
          <w:shd w:val="clear" w:color="auto" w:fill="FFFFFF"/>
        </w:rPr>
        <w:t xml:space="preserve"> </w:t>
      </w:r>
      <w:r w:rsidR="009B4C1C" w:rsidRPr="006C7B74">
        <w:rPr>
          <w:rStyle w:val="normaltextrun"/>
          <w:rFonts w:cstheme="minorHAnsi"/>
          <w:color w:val="000000"/>
          <w:sz w:val="20"/>
          <w:szCs w:val="20"/>
          <w:shd w:val="clear" w:color="auto" w:fill="FFFFFF"/>
        </w:rPr>
        <w:t xml:space="preserve">and </w:t>
      </w:r>
      <w:r w:rsidR="006E2458" w:rsidRPr="006C7B74">
        <w:rPr>
          <w:rStyle w:val="normaltextrun"/>
          <w:rFonts w:cstheme="minorHAnsi"/>
          <w:color w:val="000000"/>
          <w:sz w:val="20"/>
          <w:szCs w:val="20"/>
          <w:shd w:val="clear" w:color="auto" w:fill="FFFFFF"/>
        </w:rPr>
        <w:t>major</w:t>
      </w:r>
      <w:r w:rsidRPr="006C7B74">
        <w:rPr>
          <w:rStyle w:val="normaltextrun"/>
          <w:rFonts w:cstheme="minorHAnsi"/>
          <w:color w:val="000000"/>
          <w:sz w:val="20"/>
          <w:szCs w:val="20"/>
          <w:shd w:val="clear" w:color="auto" w:fill="FFFFFF"/>
        </w:rPr>
        <w:t xml:space="preserve"> urban renewal </w:t>
      </w:r>
      <w:r w:rsidR="006E2458" w:rsidRPr="006C7B74">
        <w:rPr>
          <w:rStyle w:val="normaltextrun"/>
          <w:rFonts w:cstheme="minorHAnsi"/>
          <w:color w:val="000000"/>
          <w:sz w:val="20"/>
          <w:szCs w:val="20"/>
          <w:shd w:val="clear" w:color="auto" w:fill="FFFFFF"/>
        </w:rPr>
        <w:t xml:space="preserve">precincts including Docklands, </w:t>
      </w:r>
      <w:proofErr w:type="spellStart"/>
      <w:r w:rsidR="006E2458" w:rsidRPr="006C7B74">
        <w:rPr>
          <w:rStyle w:val="normaltextrun"/>
          <w:rFonts w:cstheme="minorHAnsi"/>
          <w:color w:val="000000"/>
          <w:sz w:val="20"/>
          <w:szCs w:val="20"/>
          <w:shd w:val="clear" w:color="auto" w:fill="FFFFFF"/>
        </w:rPr>
        <w:t>Fishermans</w:t>
      </w:r>
      <w:proofErr w:type="spellEnd"/>
      <w:r w:rsidR="006E2458" w:rsidRPr="006C7B74">
        <w:rPr>
          <w:rStyle w:val="normaltextrun"/>
          <w:rFonts w:cstheme="minorHAnsi"/>
          <w:color w:val="000000"/>
          <w:sz w:val="20"/>
          <w:szCs w:val="20"/>
          <w:shd w:val="clear" w:color="auto" w:fill="FFFFFF"/>
        </w:rPr>
        <w:t xml:space="preserve"> Bend</w:t>
      </w:r>
      <w:r w:rsidR="00002B8A" w:rsidRPr="006C7B74">
        <w:rPr>
          <w:rStyle w:val="normaltextrun"/>
          <w:rFonts w:cstheme="minorHAnsi"/>
          <w:color w:val="000000"/>
          <w:sz w:val="20"/>
          <w:szCs w:val="20"/>
          <w:shd w:val="clear" w:color="auto" w:fill="FFFFFF"/>
        </w:rPr>
        <w:t>, Arden</w:t>
      </w:r>
      <w:r w:rsidR="002B553C" w:rsidRPr="006C7B74">
        <w:rPr>
          <w:rStyle w:val="normaltextrun"/>
          <w:rFonts w:cstheme="minorHAnsi"/>
          <w:color w:val="000000"/>
          <w:sz w:val="20"/>
          <w:szCs w:val="20"/>
          <w:shd w:val="clear" w:color="auto" w:fill="FFFFFF"/>
        </w:rPr>
        <w:t>,</w:t>
      </w:r>
      <w:r w:rsidR="00002B8A" w:rsidRPr="006C7B74">
        <w:rPr>
          <w:rStyle w:val="normaltextrun"/>
          <w:rFonts w:cstheme="minorHAnsi"/>
          <w:color w:val="000000"/>
          <w:sz w:val="20"/>
          <w:szCs w:val="20"/>
          <w:shd w:val="clear" w:color="auto" w:fill="FFFFFF"/>
        </w:rPr>
        <w:t xml:space="preserve"> Macaulay</w:t>
      </w:r>
      <w:r w:rsidR="00377041" w:rsidRPr="006C7B74">
        <w:rPr>
          <w:rStyle w:val="normaltextrun"/>
          <w:rFonts w:cstheme="minorHAnsi"/>
          <w:color w:val="000000"/>
          <w:sz w:val="20"/>
          <w:szCs w:val="20"/>
          <w:shd w:val="clear" w:color="auto" w:fill="FFFFFF"/>
        </w:rPr>
        <w:t xml:space="preserve">, Dynon and the Flinders Street Station to </w:t>
      </w:r>
      <w:r w:rsidR="00FF3AEF" w:rsidRPr="006C7B74">
        <w:rPr>
          <w:rStyle w:val="normaltextrun"/>
          <w:rFonts w:cstheme="minorHAnsi"/>
          <w:color w:val="000000"/>
          <w:sz w:val="20"/>
          <w:szCs w:val="20"/>
          <w:shd w:val="clear" w:color="auto" w:fill="FFFFFF"/>
        </w:rPr>
        <w:t>Richmond Station corridor</w:t>
      </w:r>
      <w:r w:rsidR="005209C1" w:rsidRPr="006C7B74">
        <w:rPr>
          <w:rStyle w:val="normaltextrun"/>
          <w:rFonts w:cstheme="minorHAnsi"/>
          <w:color w:val="000000"/>
          <w:sz w:val="20"/>
          <w:szCs w:val="20"/>
          <w:shd w:val="clear" w:color="auto" w:fill="FFFFFF"/>
        </w:rPr>
        <w:t>. These precincts will play</w:t>
      </w:r>
      <w:r w:rsidRPr="006C7B74">
        <w:rPr>
          <w:rStyle w:val="normaltextrun"/>
          <w:rFonts w:cstheme="minorHAnsi"/>
          <w:color w:val="000000"/>
          <w:sz w:val="20"/>
          <w:szCs w:val="20"/>
          <w:shd w:val="clear" w:color="auto" w:fill="FFFFFF"/>
        </w:rPr>
        <w:t xml:space="preserve"> </w:t>
      </w:r>
      <w:r w:rsidR="003F1F9E" w:rsidRPr="006C7B74">
        <w:rPr>
          <w:rStyle w:val="normaltextrun"/>
          <w:rFonts w:cstheme="minorHAnsi"/>
          <w:color w:val="000000"/>
          <w:sz w:val="20"/>
          <w:szCs w:val="20"/>
          <w:shd w:val="clear" w:color="auto" w:fill="FFFFFF"/>
        </w:rPr>
        <w:t xml:space="preserve">a key role </w:t>
      </w:r>
      <w:r w:rsidR="001176CE" w:rsidRPr="006C7B74">
        <w:rPr>
          <w:rStyle w:val="normaltextrun"/>
          <w:rFonts w:cstheme="minorHAnsi"/>
          <w:color w:val="000000"/>
          <w:sz w:val="20"/>
          <w:szCs w:val="20"/>
          <w:shd w:val="clear" w:color="auto" w:fill="FFFFFF"/>
        </w:rPr>
        <w:t xml:space="preserve">in the further evolution of central </w:t>
      </w:r>
      <w:r w:rsidR="00FF3AEF" w:rsidRPr="006C7B74">
        <w:rPr>
          <w:rStyle w:val="normaltextrun"/>
          <w:rFonts w:cstheme="minorHAnsi"/>
          <w:color w:val="000000"/>
          <w:sz w:val="20"/>
          <w:szCs w:val="20"/>
          <w:shd w:val="clear" w:color="auto" w:fill="FFFFFF"/>
        </w:rPr>
        <w:t xml:space="preserve">Melbourne </w:t>
      </w:r>
      <w:r w:rsidR="00C529B6" w:rsidRPr="006C7B74">
        <w:rPr>
          <w:rStyle w:val="normaltextrun"/>
          <w:rFonts w:cstheme="minorHAnsi"/>
          <w:color w:val="000000"/>
          <w:sz w:val="20"/>
          <w:szCs w:val="20"/>
          <w:shd w:val="clear" w:color="auto" w:fill="FFFFFF"/>
        </w:rPr>
        <w:t xml:space="preserve">as a </w:t>
      </w:r>
      <w:r w:rsidR="004F3FC1" w:rsidRPr="006C7B74">
        <w:rPr>
          <w:rStyle w:val="normaltextrun"/>
          <w:rFonts w:cstheme="minorHAnsi"/>
          <w:color w:val="000000"/>
          <w:sz w:val="20"/>
          <w:szCs w:val="20"/>
          <w:shd w:val="clear" w:color="auto" w:fill="FFFFFF"/>
        </w:rPr>
        <w:t xml:space="preserve">destination to live, work, visit and invest. </w:t>
      </w:r>
    </w:p>
    <w:p w14:paraId="5EDF52DC" w14:textId="21D939E0" w:rsidR="00CA2849" w:rsidRPr="006C7B74" w:rsidRDefault="00CA2849" w:rsidP="00CA2849">
      <w:pPr>
        <w:spacing w:after="120"/>
        <w:rPr>
          <w:rStyle w:val="normaltextrun"/>
          <w:rFonts w:cstheme="minorHAnsi"/>
          <w:sz w:val="20"/>
          <w:szCs w:val="20"/>
        </w:rPr>
      </w:pPr>
      <w:r w:rsidRPr="006C7B74">
        <w:rPr>
          <w:rStyle w:val="normaltextrun"/>
          <w:rFonts w:cstheme="minorHAnsi"/>
          <w:sz w:val="20"/>
          <w:szCs w:val="20"/>
        </w:rPr>
        <w:t>The areas from Richmond to Docklands through the Central City and Southbank</w:t>
      </w:r>
      <w:r w:rsidR="00962405" w:rsidRPr="006C7B74">
        <w:rPr>
          <w:rStyle w:val="normaltextrun"/>
          <w:rFonts w:cstheme="minorHAnsi"/>
          <w:sz w:val="20"/>
          <w:szCs w:val="20"/>
        </w:rPr>
        <w:t>,</w:t>
      </w:r>
      <w:r w:rsidRPr="006C7B74">
        <w:rPr>
          <w:rStyle w:val="normaltextrun"/>
          <w:rFonts w:cstheme="minorHAnsi"/>
          <w:sz w:val="20"/>
          <w:szCs w:val="20"/>
        </w:rPr>
        <w:t xml:space="preserve"> include the sporting precincts of the Melbourne Cricket Ground and Melbourne Park, the Arts Precinct, Melbourne Aquarium, museums and other key destinations for local, interstate and international visitors. The region is home to many sites of environmental significance including the Yarra and Maribyrnong Rivers and Port Phillip Bay. The extensive open space areas in the region are integral to Melbourne’s liveability.</w:t>
      </w:r>
    </w:p>
    <w:p w14:paraId="0B024C85" w14:textId="766CDFCA" w:rsidR="00367A00" w:rsidRPr="006C7B74" w:rsidRDefault="00A53547" w:rsidP="000C371C">
      <w:pPr>
        <w:spacing w:after="120"/>
        <w:rPr>
          <w:rStyle w:val="normaltextrun"/>
          <w:rFonts w:cstheme="minorHAnsi"/>
          <w:color w:val="000000"/>
          <w:sz w:val="20"/>
          <w:szCs w:val="20"/>
          <w:shd w:val="clear" w:color="auto" w:fill="FFFFFF"/>
        </w:rPr>
      </w:pPr>
      <w:r w:rsidRPr="006C7B74">
        <w:rPr>
          <w:rFonts w:cstheme="minorHAnsi"/>
          <w:sz w:val="20"/>
          <w:szCs w:val="20"/>
        </w:rPr>
        <w:t>The Central City is the city’s highest order centre and also supports key sporting, cultural,</w:t>
      </w:r>
      <w:r w:rsidRPr="006C7B74">
        <w:rPr>
          <w:rStyle w:val="normaltextrun"/>
          <w:rFonts w:cstheme="minorHAnsi"/>
          <w:sz w:val="20"/>
          <w:szCs w:val="20"/>
        </w:rPr>
        <w:t xml:space="preserve"> tourism and leisure precincts and public institutions. </w:t>
      </w:r>
      <w:r w:rsidR="00AF2319" w:rsidRPr="006C7B74">
        <w:rPr>
          <w:rStyle w:val="normaltextrun"/>
          <w:rFonts w:cstheme="minorHAnsi"/>
          <w:color w:val="000000"/>
          <w:sz w:val="20"/>
          <w:szCs w:val="20"/>
          <w:shd w:val="clear" w:color="auto" w:fill="FFFFFF"/>
        </w:rPr>
        <w:t xml:space="preserve">The economic strengths of the </w:t>
      </w:r>
      <w:r w:rsidRPr="006C7B74">
        <w:rPr>
          <w:rStyle w:val="normaltextrun"/>
          <w:rFonts w:cstheme="minorHAnsi"/>
          <w:color w:val="000000"/>
          <w:sz w:val="20"/>
          <w:szCs w:val="20"/>
          <w:shd w:val="clear" w:color="auto" w:fill="FFFFFF"/>
        </w:rPr>
        <w:t xml:space="preserve">Central City </w:t>
      </w:r>
      <w:r w:rsidR="00AF2319" w:rsidRPr="006C7B74">
        <w:rPr>
          <w:rStyle w:val="normaltextrun"/>
          <w:rFonts w:cstheme="minorHAnsi"/>
          <w:color w:val="000000"/>
          <w:sz w:val="20"/>
          <w:szCs w:val="20"/>
          <w:shd w:val="clear" w:color="auto" w:fill="FFFFFF"/>
        </w:rPr>
        <w:t xml:space="preserve">are </w:t>
      </w:r>
      <w:r w:rsidR="00D62775" w:rsidRPr="006C7B74">
        <w:rPr>
          <w:rStyle w:val="normaltextrun"/>
          <w:rFonts w:cstheme="minorHAnsi"/>
          <w:color w:val="000000"/>
          <w:sz w:val="20"/>
          <w:szCs w:val="20"/>
          <w:shd w:val="clear" w:color="auto" w:fill="FFFFFF"/>
        </w:rPr>
        <w:t xml:space="preserve">supported by two </w:t>
      </w:r>
      <w:r w:rsidR="00A4771E" w:rsidRPr="006C7B74">
        <w:rPr>
          <w:rStyle w:val="normaltextrun"/>
          <w:rFonts w:cstheme="minorHAnsi"/>
          <w:color w:val="000000"/>
          <w:sz w:val="20"/>
          <w:szCs w:val="20"/>
          <w:shd w:val="clear" w:color="auto" w:fill="FFFFFF"/>
        </w:rPr>
        <w:t>n</w:t>
      </w:r>
      <w:r w:rsidR="00D62775" w:rsidRPr="006C7B74">
        <w:rPr>
          <w:rStyle w:val="normaltextrun"/>
          <w:rFonts w:cstheme="minorHAnsi"/>
          <w:color w:val="000000"/>
          <w:sz w:val="20"/>
          <w:szCs w:val="20"/>
          <w:shd w:val="clear" w:color="auto" w:fill="FFFFFF"/>
        </w:rPr>
        <w:t xml:space="preserve">ational </w:t>
      </w:r>
      <w:r w:rsidR="00A4771E" w:rsidRPr="006C7B74">
        <w:rPr>
          <w:rStyle w:val="normaltextrun"/>
          <w:rFonts w:cstheme="minorHAnsi"/>
          <w:color w:val="000000"/>
          <w:sz w:val="20"/>
          <w:szCs w:val="20"/>
          <w:shd w:val="clear" w:color="auto" w:fill="FFFFFF"/>
        </w:rPr>
        <w:t>e</w:t>
      </w:r>
      <w:r w:rsidR="00D62775" w:rsidRPr="006C7B74">
        <w:rPr>
          <w:rStyle w:val="normaltextrun"/>
          <w:rFonts w:cstheme="minorHAnsi"/>
          <w:color w:val="000000"/>
          <w:sz w:val="20"/>
          <w:szCs w:val="20"/>
          <w:shd w:val="clear" w:color="auto" w:fill="FFFFFF"/>
        </w:rPr>
        <w:t xml:space="preserve">mployment and </w:t>
      </w:r>
      <w:r w:rsidR="00A4771E" w:rsidRPr="006C7B74">
        <w:rPr>
          <w:rStyle w:val="normaltextrun"/>
          <w:rFonts w:cstheme="minorHAnsi"/>
          <w:color w:val="000000"/>
          <w:sz w:val="20"/>
          <w:szCs w:val="20"/>
          <w:shd w:val="clear" w:color="auto" w:fill="FFFFFF"/>
        </w:rPr>
        <w:t>i</w:t>
      </w:r>
      <w:r w:rsidR="00D62775" w:rsidRPr="006C7B74">
        <w:rPr>
          <w:rStyle w:val="normaltextrun"/>
          <w:rFonts w:cstheme="minorHAnsi"/>
          <w:color w:val="000000"/>
          <w:sz w:val="20"/>
          <w:szCs w:val="20"/>
          <w:shd w:val="clear" w:color="auto" w:fill="FFFFFF"/>
        </w:rPr>
        <w:t xml:space="preserve">nnovation </w:t>
      </w:r>
      <w:r w:rsidR="00A4771E" w:rsidRPr="006C7B74">
        <w:rPr>
          <w:rStyle w:val="normaltextrun"/>
          <w:rFonts w:cstheme="minorHAnsi"/>
          <w:color w:val="000000"/>
          <w:sz w:val="20"/>
          <w:szCs w:val="20"/>
          <w:shd w:val="clear" w:color="auto" w:fill="FFFFFF"/>
        </w:rPr>
        <w:t>c</w:t>
      </w:r>
      <w:r w:rsidR="00D62775" w:rsidRPr="006C7B74">
        <w:rPr>
          <w:rStyle w:val="normaltextrun"/>
          <w:rFonts w:cstheme="minorHAnsi"/>
          <w:color w:val="000000"/>
          <w:sz w:val="20"/>
          <w:szCs w:val="20"/>
          <w:shd w:val="clear" w:color="auto" w:fill="FFFFFF"/>
        </w:rPr>
        <w:t>lusters (NEICs)</w:t>
      </w:r>
      <w:r w:rsidR="005D55E6" w:rsidRPr="006C7B74">
        <w:rPr>
          <w:rStyle w:val="normaltextrun"/>
          <w:rFonts w:cstheme="minorHAnsi"/>
          <w:color w:val="000000"/>
          <w:sz w:val="20"/>
          <w:szCs w:val="20"/>
          <w:shd w:val="clear" w:color="auto" w:fill="FFFFFF"/>
        </w:rPr>
        <w:t xml:space="preserve">. </w:t>
      </w:r>
      <w:r w:rsidR="00465653" w:rsidRPr="006C7B74">
        <w:rPr>
          <w:rStyle w:val="normaltextrun"/>
          <w:rFonts w:cstheme="minorHAnsi"/>
          <w:color w:val="000000"/>
          <w:sz w:val="20"/>
          <w:szCs w:val="20"/>
          <w:shd w:val="clear" w:color="auto" w:fill="FFFFFF"/>
        </w:rPr>
        <w:t>The first</w:t>
      </w:r>
      <w:r w:rsidR="00D62775" w:rsidRPr="006C7B74">
        <w:rPr>
          <w:rStyle w:val="normaltextrun"/>
          <w:rFonts w:cstheme="minorHAnsi"/>
          <w:color w:val="000000"/>
          <w:sz w:val="20"/>
          <w:szCs w:val="20"/>
          <w:shd w:val="clear" w:color="auto" w:fill="FFFFFF"/>
        </w:rPr>
        <w:t xml:space="preserve"> located at Parkville</w:t>
      </w:r>
      <w:r w:rsidR="00E621B2" w:rsidRPr="006C7B74">
        <w:rPr>
          <w:rStyle w:val="normaltextrun"/>
          <w:rFonts w:cstheme="minorHAnsi"/>
          <w:color w:val="000000"/>
          <w:sz w:val="20"/>
          <w:szCs w:val="20"/>
          <w:shd w:val="clear" w:color="auto" w:fill="FFFFFF"/>
        </w:rPr>
        <w:t xml:space="preserve"> is</w:t>
      </w:r>
      <w:r w:rsidR="001F6FFF" w:rsidRPr="006C7B74">
        <w:rPr>
          <w:rStyle w:val="normaltextrun"/>
          <w:rFonts w:cstheme="minorHAnsi"/>
          <w:color w:val="000000"/>
          <w:sz w:val="20"/>
          <w:szCs w:val="20"/>
          <w:shd w:val="clear" w:color="auto" w:fill="FFFFFF"/>
        </w:rPr>
        <w:t xml:space="preserve"> </w:t>
      </w:r>
      <w:r w:rsidR="00A87213" w:rsidRPr="006C7B74">
        <w:rPr>
          <w:rStyle w:val="normaltextrun"/>
          <w:rFonts w:cstheme="minorHAnsi"/>
          <w:color w:val="000000"/>
          <w:sz w:val="20"/>
          <w:szCs w:val="20"/>
          <w:shd w:val="clear" w:color="auto" w:fill="FFFFFF"/>
        </w:rPr>
        <w:t>focus</w:t>
      </w:r>
      <w:r w:rsidR="00465653" w:rsidRPr="006C7B74">
        <w:rPr>
          <w:rStyle w:val="normaltextrun"/>
          <w:rFonts w:cstheme="minorHAnsi"/>
          <w:color w:val="000000"/>
          <w:sz w:val="20"/>
          <w:szCs w:val="20"/>
          <w:shd w:val="clear" w:color="auto" w:fill="FFFFFF"/>
        </w:rPr>
        <w:t>se</w:t>
      </w:r>
      <w:r w:rsidRPr="006C7B74">
        <w:rPr>
          <w:rStyle w:val="normaltextrun"/>
          <w:rFonts w:cstheme="minorHAnsi"/>
          <w:color w:val="000000"/>
          <w:sz w:val="20"/>
          <w:szCs w:val="20"/>
          <w:shd w:val="clear" w:color="auto" w:fill="FFFFFF"/>
        </w:rPr>
        <w:t>d</w:t>
      </w:r>
      <w:r w:rsidR="00A87213" w:rsidRPr="006C7B74">
        <w:rPr>
          <w:rStyle w:val="normaltextrun"/>
          <w:rFonts w:cstheme="minorHAnsi"/>
          <w:color w:val="000000"/>
          <w:sz w:val="20"/>
          <w:szCs w:val="20"/>
          <w:shd w:val="clear" w:color="auto" w:fill="FFFFFF"/>
        </w:rPr>
        <w:t xml:space="preserve"> on health, education</w:t>
      </w:r>
      <w:r w:rsidR="0041511A" w:rsidRPr="006C7B74">
        <w:rPr>
          <w:rStyle w:val="normaltextrun"/>
          <w:rFonts w:cstheme="minorHAnsi"/>
          <w:color w:val="000000"/>
          <w:sz w:val="20"/>
          <w:szCs w:val="20"/>
          <w:shd w:val="clear" w:color="auto" w:fill="FFFFFF"/>
        </w:rPr>
        <w:t>,</w:t>
      </w:r>
      <w:r w:rsidR="00A87213" w:rsidRPr="006C7B74">
        <w:rPr>
          <w:rStyle w:val="normaltextrun"/>
          <w:rFonts w:cstheme="minorHAnsi"/>
          <w:color w:val="000000"/>
          <w:sz w:val="20"/>
          <w:szCs w:val="20"/>
          <w:shd w:val="clear" w:color="auto" w:fill="FFFFFF"/>
        </w:rPr>
        <w:t xml:space="preserve"> research</w:t>
      </w:r>
      <w:r w:rsidR="00CB3552" w:rsidRPr="006C7B74">
        <w:rPr>
          <w:rStyle w:val="normaltextrun"/>
          <w:rFonts w:cstheme="minorHAnsi"/>
          <w:color w:val="000000"/>
          <w:sz w:val="20"/>
          <w:szCs w:val="20"/>
          <w:shd w:val="clear" w:color="auto" w:fill="FFFFFF"/>
        </w:rPr>
        <w:t>, professional and technical industries</w:t>
      </w:r>
      <w:r w:rsidR="00465653" w:rsidRPr="006C7B74">
        <w:rPr>
          <w:rStyle w:val="normaltextrun"/>
          <w:rFonts w:cstheme="minorHAnsi"/>
          <w:color w:val="000000"/>
          <w:sz w:val="20"/>
          <w:szCs w:val="20"/>
          <w:shd w:val="clear" w:color="auto" w:fill="FFFFFF"/>
        </w:rPr>
        <w:t>. The second</w:t>
      </w:r>
      <w:r w:rsidR="00CB3552" w:rsidRPr="006C7B74">
        <w:rPr>
          <w:rStyle w:val="normaltextrun"/>
          <w:rFonts w:cstheme="minorHAnsi"/>
          <w:color w:val="000000"/>
          <w:sz w:val="20"/>
          <w:szCs w:val="20"/>
          <w:shd w:val="clear" w:color="auto" w:fill="FFFFFF"/>
        </w:rPr>
        <w:t xml:space="preserve"> </w:t>
      </w:r>
      <w:r w:rsidR="00E217E0" w:rsidRPr="006C7B74">
        <w:rPr>
          <w:rStyle w:val="normaltextrun"/>
          <w:rFonts w:cstheme="minorHAnsi"/>
          <w:color w:val="000000"/>
          <w:sz w:val="20"/>
          <w:szCs w:val="20"/>
          <w:shd w:val="clear" w:color="auto" w:fill="FFFFFF"/>
        </w:rPr>
        <w:t>is</w:t>
      </w:r>
      <w:r w:rsidR="001F6FFF" w:rsidRPr="006C7B74">
        <w:rPr>
          <w:rStyle w:val="normaltextrun"/>
          <w:rFonts w:cstheme="minorHAnsi"/>
          <w:color w:val="000000"/>
          <w:sz w:val="20"/>
          <w:szCs w:val="20"/>
          <w:shd w:val="clear" w:color="auto" w:fill="FFFFFF"/>
        </w:rPr>
        <w:t xml:space="preserve"> </w:t>
      </w:r>
      <w:proofErr w:type="spellStart"/>
      <w:r w:rsidR="001F6FFF" w:rsidRPr="006C7B74">
        <w:rPr>
          <w:rStyle w:val="normaltextrun"/>
          <w:rFonts w:cstheme="minorHAnsi"/>
          <w:color w:val="000000"/>
          <w:sz w:val="20"/>
          <w:szCs w:val="20"/>
          <w:shd w:val="clear" w:color="auto" w:fill="FFFFFF"/>
        </w:rPr>
        <w:t>Fishermans</w:t>
      </w:r>
      <w:proofErr w:type="spellEnd"/>
      <w:r w:rsidR="001F6FFF" w:rsidRPr="006C7B74">
        <w:rPr>
          <w:rStyle w:val="normaltextrun"/>
          <w:rFonts w:cstheme="minorHAnsi"/>
          <w:color w:val="000000"/>
          <w:sz w:val="20"/>
          <w:szCs w:val="20"/>
          <w:shd w:val="clear" w:color="auto" w:fill="FFFFFF"/>
        </w:rPr>
        <w:t xml:space="preserve"> Bend</w:t>
      </w:r>
      <w:r w:rsidR="00CB3552" w:rsidRPr="006C7B74">
        <w:rPr>
          <w:rStyle w:val="normaltextrun"/>
          <w:rFonts w:cstheme="minorHAnsi"/>
          <w:color w:val="000000"/>
          <w:sz w:val="20"/>
          <w:szCs w:val="20"/>
          <w:shd w:val="clear" w:color="auto" w:fill="FFFFFF"/>
        </w:rPr>
        <w:t xml:space="preserve"> with a strong specialisation in </w:t>
      </w:r>
      <w:r w:rsidR="007F59C7" w:rsidRPr="006C7B74">
        <w:rPr>
          <w:rStyle w:val="normaltextrun"/>
          <w:rFonts w:cstheme="minorHAnsi"/>
          <w:color w:val="000000"/>
          <w:sz w:val="20"/>
          <w:szCs w:val="20"/>
          <w:shd w:val="clear" w:color="auto" w:fill="FFFFFF"/>
        </w:rPr>
        <w:t>innovation</w:t>
      </w:r>
      <w:r w:rsidR="00E217E0" w:rsidRPr="006C7B74">
        <w:rPr>
          <w:rStyle w:val="normaltextrun"/>
          <w:rFonts w:cstheme="minorHAnsi"/>
          <w:color w:val="000000"/>
          <w:sz w:val="20"/>
          <w:szCs w:val="20"/>
          <w:shd w:val="clear" w:color="auto" w:fill="FFFFFF"/>
        </w:rPr>
        <w:t>,</w:t>
      </w:r>
      <w:r w:rsidR="007F59C7" w:rsidRPr="006C7B74">
        <w:rPr>
          <w:rStyle w:val="normaltextrun"/>
          <w:rFonts w:cstheme="minorHAnsi"/>
          <w:color w:val="000000"/>
          <w:sz w:val="20"/>
          <w:szCs w:val="20"/>
          <w:shd w:val="clear" w:color="auto" w:fill="FFFFFF"/>
        </w:rPr>
        <w:t xml:space="preserve"> design and manufacturing</w:t>
      </w:r>
      <w:r w:rsidR="000121A9" w:rsidRPr="006C7B74">
        <w:rPr>
          <w:rStyle w:val="normaltextrun"/>
          <w:rFonts w:cstheme="minorHAnsi"/>
          <w:color w:val="000000"/>
          <w:sz w:val="20"/>
          <w:szCs w:val="20"/>
          <w:shd w:val="clear" w:color="auto" w:fill="FFFFFF"/>
        </w:rPr>
        <w:t>.</w:t>
      </w:r>
      <w:r w:rsidR="007C154C" w:rsidRPr="006C7B74">
        <w:rPr>
          <w:rStyle w:val="normaltextrun"/>
          <w:rFonts w:cstheme="minorHAnsi"/>
          <w:color w:val="000000"/>
          <w:sz w:val="20"/>
          <w:szCs w:val="20"/>
          <w:shd w:val="clear" w:color="auto" w:fill="FFFFFF"/>
        </w:rPr>
        <w:t xml:space="preserve"> </w:t>
      </w:r>
      <w:r w:rsidR="000121A9" w:rsidRPr="006C7B74">
        <w:rPr>
          <w:rStyle w:val="normaltextrun"/>
          <w:rFonts w:cstheme="minorHAnsi"/>
          <w:color w:val="000000"/>
          <w:sz w:val="20"/>
          <w:szCs w:val="20"/>
          <w:shd w:val="clear" w:color="auto" w:fill="FFFFFF"/>
        </w:rPr>
        <w:t>T</w:t>
      </w:r>
      <w:r w:rsidR="00291E77" w:rsidRPr="006C7B74">
        <w:rPr>
          <w:rStyle w:val="normaltextrun"/>
          <w:rFonts w:cstheme="minorHAnsi"/>
          <w:color w:val="000000"/>
          <w:sz w:val="20"/>
          <w:szCs w:val="20"/>
          <w:shd w:val="clear" w:color="auto" w:fill="FFFFFF"/>
        </w:rPr>
        <w:t>hese</w:t>
      </w:r>
      <w:r w:rsidR="00E217E0" w:rsidRPr="006C7B74">
        <w:rPr>
          <w:rStyle w:val="normaltextrun"/>
          <w:rFonts w:cstheme="minorHAnsi"/>
          <w:color w:val="000000"/>
          <w:sz w:val="20"/>
          <w:szCs w:val="20"/>
          <w:shd w:val="clear" w:color="auto" w:fill="FFFFFF"/>
        </w:rPr>
        <w:t xml:space="preserve"> NEICs</w:t>
      </w:r>
      <w:r w:rsidR="00B864F7" w:rsidRPr="006C7B74">
        <w:rPr>
          <w:rStyle w:val="normaltextrun"/>
          <w:rFonts w:cstheme="minorHAnsi"/>
          <w:color w:val="000000"/>
          <w:sz w:val="20"/>
          <w:szCs w:val="20"/>
          <w:shd w:val="clear" w:color="auto" w:fill="FFFFFF"/>
        </w:rPr>
        <w:t xml:space="preserve"> </w:t>
      </w:r>
      <w:r w:rsidR="00D5197C" w:rsidRPr="006C7B74">
        <w:rPr>
          <w:rStyle w:val="normaltextrun"/>
          <w:rFonts w:cstheme="minorHAnsi"/>
          <w:color w:val="000000"/>
          <w:sz w:val="20"/>
          <w:szCs w:val="20"/>
          <w:shd w:val="clear" w:color="auto" w:fill="FFFFFF"/>
        </w:rPr>
        <w:t>will provide for 21</w:t>
      </w:r>
      <w:r w:rsidR="00D5197C" w:rsidRPr="006C7B74">
        <w:rPr>
          <w:rStyle w:val="normaltextrun"/>
          <w:rFonts w:cstheme="minorHAnsi"/>
          <w:color w:val="000000"/>
          <w:sz w:val="20"/>
          <w:szCs w:val="20"/>
          <w:shd w:val="clear" w:color="auto" w:fill="FFFFFF"/>
          <w:vertAlign w:val="superscript"/>
        </w:rPr>
        <w:t>st</w:t>
      </w:r>
      <w:r w:rsidR="00D5197C" w:rsidRPr="006C7B74">
        <w:rPr>
          <w:rStyle w:val="normaltextrun"/>
          <w:rFonts w:cstheme="minorHAnsi"/>
          <w:color w:val="000000"/>
          <w:sz w:val="20"/>
          <w:szCs w:val="20"/>
          <w:shd w:val="clear" w:color="auto" w:fill="FFFFFF"/>
        </w:rPr>
        <w:t xml:space="preserve"> century jobs adjacent to the CBD</w:t>
      </w:r>
      <w:r w:rsidR="00EA2B73" w:rsidRPr="006C7B74">
        <w:rPr>
          <w:rStyle w:val="normaltextrun"/>
          <w:rFonts w:cstheme="minorHAnsi"/>
          <w:color w:val="000000"/>
          <w:sz w:val="20"/>
          <w:szCs w:val="20"/>
          <w:shd w:val="clear" w:color="auto" w:fill="FFFFFF"/>
        </w:rPr>
        <w:t>.</w:t>
      </w:r>
    </w:p>
    <w:p w14:paraId="70EB63AC" w14:textId="1553DB9C" w:rsidR="00205650" w:rsidRPr="006C7B74" w:rsidRDefault="003A4F82" w:rsidP="001B2BFB">
      <w:pPr>
        <w:spacing w:after="120"/>
      </w:pPr>
      <w:r w:rsidRPr="006C7B74">
        <w:rPr>
          <w:rFonts w:cstheme="minorHAnsi"/>
          <w:sz w:val="20"/>
          <w:szCs w:val="20"/>
        </w:rPr>
        <w:t>The business service sector is the largest contributor to the economy for the region</w:t>
      </w:r>
      <w:r w:rsidR="00962405" w:rsidRPr="006C7B74">
        <w:rPr>
          <w:rFonts w:cstheme="minorHAnsi"/>
          <w:sz w:val="20"/>
          <w:szCs w:val="20"/>
        </w:rPr>
        <w:t>,</w:t>
      </w:r>
      <w:r w:rsidRPr="006C7B74">
        <w:rPr>
          <w:rFonts w:cstheme="minorHAnsi"/>
          <w:sz w:val="20"/>
          <w:szCs w:val="20"/>
        </w:rPr>
        <w:t xml:space="preserve"> with a total value-added estimate at around $72.8 billion. Manufacturing and industrial is the next largest contributor </w:t>
      </w:r>
      <w:r w:rsidRPr="006C7B74">
        <w:t xml:space="preserve">with a </w:t>
      </w:r>
      <w:r w:rsidRPr="006C7B74">
        <w:rPr>
          <w:rFonts w:cstheme="minorHAnsi"/>
          <w:sz w:val="20"/>
          <w:szCs w:val="20"/>
        </w:rPr>
        <w:t>total value-added estimate at around $14.9 billion.</w:t>
      </w:r>
      <w:r w:rsidR="00F81397" w:rsidRPr="006C7B74">
        <w:rPr>
          <w:rFonts w:cstheme="minorHAnsi"/>
          <w:sz w:val="20"/>
          <w:szCs w:val="20"/>
        </w:rPr>
        <w:t xml:space="preserve"> Combined, these sectors account for around 78 per cent of the total value-add for the region.</w:t>
      </w:r>
    </w:p>
    <w:p w14:paraId="2DF8DB9D" w14:textId="43FC6ADC" w:rsidR="0097714A" w:rsidRPr="006C7B74" w:rsidRDefault="0097714A" w:rsidP="00934C4D">
      <w:pPr>
        <w:spacing w:after="120"/>
        <w:rPr>
          <w:rFonts w:cstheme="minorHAnsi"/>
          <w:sz w:val="20"/>
          <w:szCs w:val="20"/>
        </w:rPr>
      </w:pPr>
    </w:p>
    <w:p w14:paraId="459C4167" w14:textId="40DB82C6" w:rsidR="00146393" w:rsidRPr="006C7B74" w:rsidRDefault="00146393" w:rsidP="002353A3">
      <w:pPr>
        <w:pStyle w:val="Heading5"/>
      </w:pPr>
      <w:r w:rsidRPr="006C7B74">
        <w:t xml:space="preserve">Fast </w:t>
      </w:r>
      <w:r w:rsidR="003A4F82" w:rsidRPr="006C7B74">
        <w:t>f</w:t>
      </w:r>
      <w:r w:rsidRPr="006C7B74">
        <w:t>acts</w:t>
      </w:r>
    </w:p>
    <w:tbl>
      <w:tblPr>
        <w:tblStyle w:val="TableGrid"/>
        <w:tblW w:w="0" w:type="auto"/>
        <w:tblBorders>
          <w:left w:val="single" w:sz="8" w:space="0" w:color="auto"/>
          <w:right w:val="single" w:sz="8" w:space="0" w:color="auto"/>
          <w:insideH w:val="none" w:sz="0" w:space="0" w:color="auto"/>
          <w:insideV w:val="single" w:sz="8" w:space="0" w:color="auto"/>
        </w:tblBorders>
        <w:tblLook w:val="04A0" w:firstRow="1" w:lastRow="0" w:firstColumn="1" w:lastColumn="0" w:noHBand="0" w:noVBand="1"/>
      </w:tblPr>
      <w:tblGrid>
        <w:gridCol w:w="3000"/>
        <w:gridCol w:w="3000"/>
        <w:gridCol w:w="3000"/>
      </w:tblGrid>
      <w:tr w:rsidR="00146393" w:rsidRPr="006C7B74" w14:paraId="7DBDC5C7" w14:textId="77777777" w:rsidTr="004A488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00" w:type="dxa"/>
            <w:shd w:val="clear" w:color="auto" w:fill="auto"/>
            <w:vAlign w:val="top"/>
          </w:tcPr>
          <w:p w14:paraId="25B110AF" w14:textId="554EAA17" w:rsidR="00146393" w:rsidRPr="006C7B74" w:rsidRDefault="00146393" w:rsidP="002353A3">
            <w:pPr>
              <w:pStyle w:val="BodyText"/>
            </w:pPr>
            <w:r w:rsidRPr="006C7B74">
              <w:t>PEOPLE</w:t>
            </w:r>
          </w:p>
          <w:p w14:paraId="115B4C68" w14:textId="0B86A34A" w:rsidR="00146393" w:rsidRPr="006C7B74" w:rsidRDefault="00146393" w:rsidP="002353A3">
            <w:pPr>
              <w:pStyle w:val="BodyText"/>
            </w:pPr>
            <w:r w:rsidRPr="006C7B74">
              <w:t>Population in 2006</w:t>
            </w:r>
            <w:r w:rsidR="007B6459" w:rsidRPr="006C7B74">
              <w:t xml:space="preserve"> </w:t>
            </w:r>
            <w:r w:rsidRPr="006C7B74">
              <w:rPr>
                <w:sz w:val="44"/>
                <w:szCs w:val="44"/>
              </w:rPr>
              <w:t>242,603</w:t>
            </w:r>
          </w:p>
          <w:p w14:paraId="5DD312D2" w14:textId="09A5A529" w:rsidR="006023DA" w:rsidRPr="006C7B74" w:rsidRDefault="00146393" w:rsidP="002353A3">
            <w:pPr>
              <w:pStyle w:val="BodyText"/>
            </w:pPr>
            <w:r w:rsidRPr="006C7B74">
              <w:t>Population in 2016</w:t>
            </w:r>
            <w:r w:rsidR="007B6459" w:rsidRPr="006C7B74">
              <w:t xml:space="preserve"> </w:t>
            </w:r>
            <w:r w:rsidR="006023DA" w:rsidRPr="006C7B74">
              <w:rPr>
                <w:sz w:val="44"/>
                <w:szCs w:val="44"/>
              </w:rPr>
              <w:t>347,617</w:t>
            </w:r>
          </w:p>
          <w:p w14:paraId="228F768A" w14:textId="77777777" w:rsidR="007B6459" w:rsidRPr="006C7B74" w:rsidRDefault="004700E2" w:rsidP="002353A3">
            <w:pPr>
              <w:pStyle w:val="BodyText"/>
            </w:pPr>
            <w:r w:rsidRPr="006C7B74">
              <w:t xml:space="preserve">That’s </w:t>
            </w:r>
            <w:r w:rsidRPr="006C7B74">
              <w:rPr>
                <w:sz w:val="44"/>
                <w:szCs w:val="44"/>
              </w:rPr>
              <w:t>4</w:t>
            </w:r>
            <w:r w:rsidR="002251CF" w:rsidRPr="006C7B74">
              <w:rPr>
                <w:sz w:val="44"/>
                <w:szCs w:val="44"/>
              </w:rPr>
              <w:t>3</w:t>
            </w:r>
            <w:r w:rsidRPr="006C7B74">
              <w:rPr>
                <w:sz w:val="44"/>
                <w:szCs w:val="44"/>
              </w:rPr>
              <w:t>%</w:t>
            </w:r>
            <w:r w:rsidRPr="006C7B74">
              <w:t xml:space="preserve"> more people</w:t>
            </w:r>
          </w:p>
          <w:p w14:paraId="5890CF80" w14:textId="34F47DEB" w:rsidR="004700E2" w:rsidRPr="006C7B74" w:rsidRDefault="004700E2" w:rsidP="002353A3">
            <w:pPr>
              <w:pStyle w:val="BodyText"/>
            </w:pPr>
            <w:r w:rsidRPr="006C7B74">
              <w:t xml:space="preserve">Melbourne = </w:t>
            </w:r>
            <w:r w:rsidRPr="006C7B74">
              <w:rPr>
                <w:sz w:val="28"/>
                <w:szCs w:val="28"/>
              </w:rPr>
              <w:t>+</w:t>
            </w:r>
            <w:r w:rsidR="006023DA" w:rsidRPr="006C7B74">
              <w:rPr>
                <w:sz w:val="28"/>
                <w:szCs w:val="28"/>
              </w:rPr>
              <w:t>65,942</w:t>
            </w:r>
          </w:p>
          <w:p w14:paraId="7DC038F1" w14:textId="195F2BC8" w:rsidR="00146393" w:rsidRPr="006C7B74" w:rsidRDefault="004700E2" w:rsidP="002353A3">
            <w:pPr>
              <w:pStyle w:val="BodyText"/>
            </w:pPr>
            <w:r w:rsidRPr="006C7B74">
              <w:t xml:space="preserve">Port Phillip = </w:t>
            </w:r>
            <w:r w:rsidRPr="006C7B74">
              <w:rPr>
                <w:sz w:val="28"/>
                <w:szCs w:val="28"/>
              </w:rPr>
              <w:t>+</w:t>
            </w:r>
            <w:r w:rsidR="006023DA" w:rsidRPr="006C7B74">
              <w:rPr>
                <w:sz w:val="28"/>
                <w:szCs w:val="28"/>
              </w:rPr>
              <w:t>18,986</w:t>
            </w:r>
          </w:p>
          <w:p w14:paraId="50CEC517" w14:textId="72F3FF5E" w:rsidR="004700E2" w:rsidRPr="006C7B74" w:rsidRDefault="004700E2" w:rsidP="002353A3">
            <w:pPr>
              <w:pStyle w:val="BodyText"/>
              <w:rPr>
                <w:sz w:val="28"/>
                <w:szCs w:val="28"/>
              </w:rPr>
            </w:pPr>
            <w:r w:rsidRPr="006C7B74">
              <w:t xml:space="preserve">Yarra = </w:t>
            </w:r>
            <w:r w:rsidRPr="006C7B74">
              <w:rPr>
                <w:sz w:val="28"/>
                <w:szCs w:val="28"/>
              </w:rPr>
              <w:t>+</w:t>
            </w:r>
            <w:r w:rsidR="006023DA" w:rsidRPr="006C7B74">
              <w:rPr>
                <w:sz w:val="28"/>
                <w:szCs w:val="28"/>
              </w:rPr>
              <w:t>20,086</w:t>
            </w:r>
          </w:p>
          <w:p w14:paraId="294E9664" w14:textId="7AD01079" w:rsidR="00146393" w:rsidRPr="006C7B74" w:rsidRDefault="00146393" w:rsidP="002353A3">
            <w:pPr>
              <w:pStyle w:val="BodyText"/>
            </w:pPr>
          </w:p>
        </w:tc>
        <w:tc>
          <w:tcPr>
            <w:tcW w:w="3000" w:type="dxa"/>
            <w:shd w:val="clear" w:color="auto" w:fill="auto"/>
            <w:vAlign w:val="top"/>
          </w:tcPr>
          <w:p w14:paraId="7654D621" w14:textId="77777777" w:rsidR="00146393" w:rsidRPr="006C7B74" w:rsidRDefault="00146393" w:rsidP="002353A3">
            <w:pPr>
              <w:pStyle w:val="BodyText"/>
              <w:jc w:val="left"/>
              <w:cnfStyle w:val="100000000000" w:firstRow="1" w:lastRow="0" w:firstColumn="0" w:lastColumn="0" w:oddVBand="0" w:evenVBand="0" w:oddHBand="0" w:evenHBand="0" w:firstRowFirstColumn="0" w:firstRowLastColumn="0" w:lastRowFirstColumn="0" w:lastRowLastColumn="0"/>
            </w:pPr>
            <w:r w:rsidRPr="006C7B74">
              <w:t>JOBS</w:t>
            </w:r>
          </w:p>
          <w:p w14:paraId="6B62EE98" w14:textId="77777777" w:rsidR="00A102C1" w:rsidRPr="006C7B74" w:rsidRDefault="004700E2" w:rsidP="002353A3">
            <w:pPr>
              <w:pStyle w:val="BodyText"/>
              <w:jc w:val="left"/>
              <w:cnfStyle w:val="100000000000" w:firstRow="1" w:lastRow="0" w:firstColumn="0" w:lastColumn="0" w:oddVBand="0" w:evenVBand="0" w:oddHBand="0" w:evenHBand="0" w:firstRowFirstColumn="0" w:firstRowLastColumn="0" w:lastRowFirstColumn="0" w:lastRowLastColumn="0"/>
              <w:rPr>
                <w:b w:val="0"/>
              </w:rPr>
            </w:pPr>
            <w:r w:rsidRPr="006C7B74">
              <w:t>Jobs in 2006</w:t>
            </w:r>
          </w:p>
          <w:p w14:paraId="547EADBF" w14:textId="082AC20C" w:rsidR="004700E2" w:rsidRPr="006C7B74" w:rsidRDefault="004700E2" w:rsidP="002353A3">
            <w:pPr>
              <w:pStyle w:val="BodyText"/>
              <w:jc w:val="left"/>
              <w:cnfStyle w:val="100000000000" w:firstRow="1" w:lastRow="0" w:firstColumn="0" w:lastColumn="0" w:oddVBand="0" w:evenVBand="0" w:oddHBand="0" w:evenHBand="0" w:firstRowFirstColumn="0" w:firstRowLastColumn="0" w:lastRowFirstColumn="0" w:lastRowLastColumn="0"/>
            </w:pPr>
            <w:r w:rsidRPr="006C7B74">
              <w:rPr>
                <w:sz w:val="44"/>
                <w:szCs w:val="44"/>
              </w:rPr>
              <w:t>492,950</w:t>
            </w:r>
          </w:p>
          <w:p w14:paraId="30FF3428" w14:textId="77777777" w:rsidR="00A102C1" w:rsidRPr="006C7B74" w:rsidRDefault="004700E2" w:rsidP="002353A3">
            <w:pPr>
              <w:pStyle w:val="BodyText"/>
              <w:jc w:val="left"/>
              <w:cnfStyle w:val="100000000000" w:firstRow="1" w:lastRow="0" w:firstColumn="0" w:lastColumn="0" w:oddVBand="0" w:evenVBand="0" w:oddHBand="0" w:evenHBand="0" w:firstRowFirstColumn="0" w:firstRowLastColumn="0" w:lastRowFirstColumn="0" w:lastRowLastColumn="0"/>
              <w:rPr>
                <w:b w:val="0"/>
              </w:rPr>
            </w:pPr>
            <w:r w:rsidRPr="006C7B74">
              <w:t>Jobs in 2016</w:t>
            </w:r>
          </w:p>
          <w:p w14:paraId="0AD687A9" w14:textId="72292F0F" w:rsidR="004700E2" w:rsidRPr="006C7B74" w:rsidRDefault="004700E2" w:rsidP="002353A3">
            <w:pPr>
              <w:pStyle w:val="BodyText"/>
              <w:jc w:val="left"/>
              <w:cnfStyle w:val="100000000000" w:firstRow="1" w:lastRow="0" w:firstColumn="0" w:lastColumn="0" w:oddVBand="0" w:evenVBand="0" w:oddHBand="0" w:evenHBand="0" w:firstRowFirstColumn="0" w:firstRowLastColumn="0" w:lastRowFirstColumn="0" w:lastRowLastColumn="0"/>
            </w:pPr>
            <w:r w:rsidRPr="006C7B74">
              <w:rPr>
                <w:sz w:val="44"/>
                <w:szCs w:val="44"/>
              </w:rPr>
              <w:t>682,800</w:t>
            </w:r>
          </w:p>
          <w:p w14:paraId="790DCE55" w14:textId="77777777" w:rsidR="00A102C1" w:rsidRPr="006C7B74" w:rsidRDefault="004700E2" w:rsidP="002353A3">
            <w:pPr>
              <w:pStyle w:val="BodyText"/>
              <w:jc w:val="left"/>
              <w:cnfStyle w:val="100000000000" w:firstRow="1" w:lastRow="0" w:firstColumn="0" w:lastColumn="0" w:oddVBand="0" w:evenVBand="0" w:oddHBand="0" w:evenHBand="0" w:firstRowFirstColumn="0" w:firstRowLastColumn="0" w:lastRowFirstColumn="0" w:lastRowLastColumn="0"/>
              <w:rPr>
                <w:b w:val="0"/>
              </w:rPr>
            </w:pPr>
            <w:r w:rsidRPr="006C7B74">
              <w:t xml:space="preserve">That’s </w:t>
            </w:r>
            <w:r w:rsidRPr="006C7B74">
              <w:rPr>
                <w:sz w:val="44"/>
                <w:szCs w:val="44"/>
              </w:rPr>
              <w:t>39%</w:t>
            </w:r>
            <w:r w:rsidRPr="006C7B74">
              <w:t xml:space="preserve"> more jobs</w:t>
            </w:r>
          </w:p>
          <w:p w14:paraId="42F05E7F" w14:textId="69F8637E" w:rsidR="004700E2" w:rsidRPr="006C7B74" w:rsidRDefault="004700E2" w:rsidP="002353A3">
            <w:pPr>
              <w:pStyle w:val="BodyText"/>
              <w:jc w:val="left"/>
              <w:cnfStyle w:val="100000000000" w:firstRow="1" w:lastRow="0" w:firstColumn="0" w:lastColumn="0" w:oddVBand="0" w:evenVBand="0" w:oddHBand="0" w:evenHBand="0" w:firstRowFirstColumn="0" w:firstRowLastColumn="0" w:lastRowFirstColumn="0" w:lastRowLastColumn="0"/>
            </w:pPr>
            <w:r w:rsidRPr="006C7B74">
              <w:t xml:space="preserve">Melbourne = </w:t>
            </w:r>
            <w:r w:rsidRPr="006C7B74">
              <w:rPr>
                <w:sz w:val="28"/>
                <w:szCs w:val="28"/>
              </w:rPr>
              <w:t>+156,300</w:t>
            </w:r>
          </w:p>
          <w:p w14:paraId="1A660CA0" w14:textId="1AE14900" w:rsidR="004700E2" w:rsidRPr="006C7B74" w:rsidRDefault="004700E2" w:rsidP="002353A3">
            <w:pPr>
              <w:pStyle w:val="BodyText"/>
              <w:jc w:val="left"/>
              <w:cnfStyle w:val="100000000000" w:firstRow="1" w:lastRow="0" w:firstColumn="0" w:lastColumn="0" w:oddVBand="0" w:evenVBand="0" w:oddHBand="0" w:evenHBand="0" w:firstRowFirstColumn="0" w:firstRowLastColumn="0" w:lastRowFirstColumn="0" w:lastRowLastColumn="0"/>
            </w:pPr>
            <w:r w:rsidRPr="006C7B74">
              <w:t xml:space="preserve">Port Phillip = </w:t>
            </w:r>
            <w:r w:rsidRPr="006C7B74">
              <w:rPr>
                <w:sz w:val="28"/>
                <w:szCs w:val="28"/>
              </w:rPr>
              <w:t>+8,700</w:t>
            </w:r>
          </w:p>
          <w:p w14:paraId="57FF0B79" w14:textId="68C302F5" w:rsidR="004700E2" w:rsidRPr="006C7B74" w:rsidRDefault="004700E2" w:rsidP="002353A3">
            <w:pPr>
              <w:pStyle w:val="BodyText"/>
              <w:jc w:val="left"/>
              <w:cnfStyle w:val="100000000000" w:firstRow="1" w:lastRow="0" w:firstColumn="0" w:lastColumn="0" w:oddVBand="0" w:evenVBand="0" w:oddHBand="0" w:evenHBand="0" w:firstRowFirstColumn="0" w:firstRowLastColumn="0" w:lastRowFirstColumn="0" w:lastRowLastColumn="0"/>
            </w:pPr>
            <w:r w:rsidRPr="006C7B74">
              <w:t xml:space="preserve">Yarra = </w:t>
            </w:r>
            <w:r w:rsidRPr="006C7B74">
              <w:rPr>
                <w:sz w:val="28"/>
                <w:szCs w:val="28"/>
              </w:rPr>
              <w:t>+24,850</w:t>
            </w:r>
          </w:p>
          <w:p w14:paraId="46EC3E23" w14:textId="0765541F" w:rsidR="00146393" w:rsidRPr="006C7B74" w:rsidRDefault="00146393" w:rsidP="002353A3">
            <w:pPr>
              <w:pStyle w:val="BodyText"/>
              <w:cnfStyle w:val="100000000000" w:firstRow="1" w:lastRow="0" w:firstColumn="0" w:lastColumn="0" w:oddVBand="0" w:evenVBand="0" w:oddHBand="0" w:evenHBand="0" w:firstRowFirstColumn="0" w:firstRowLastColumn="0" w:lastRowFirstColumn="0" w:lastRowLastColumn="0"/>
            </w:pPr>
          </w:p>
        </w:tc>
        <w:tc>
          <w:tcPr>
            <w:tcW w:w="3000" w:type="dxa"/>
            <w:shd w:val="clear" w:color="auto" w:fill="auto"/>
            <w:vAlign w:val="top"/>
          </w:tcPr>
          <w:p w14:paraId="54C190AD" w14:textId="77777777" w:rsidR="00146393" w:rsidRPr="006C7B74" w:rsidRDefault="00146393" w:rsidP="002353A3">
            <w:pPr>
              <w:pStyle w:val="BodyText"/>
              <w:jc w:val="left"/>
              <w:cnfStyle w:val="100000000000" w:firstRow="1" w:lastRow="0" w:firstColumn="0" w:lastColumn="0" w:oddVBand="0" w:evenVBand="0" w:oddHBand="0" w:evenHBand="0" w:firstRowFirstColumn="0" w:firstRowLastColumn="0" w:lastRowFirstColumn="0" w:lastRowLastColumn="0"/>
              <w:rPr>
                <w:sz w:val="32"/>
                <w:szCs w:val="32"/>
              </w:rPr>
            </w:pPr>
            <w:r w:rsidRPr="006C7B74">
              <w:rPr>
                <w:sz w:val="32"/>
                <w:szCs w:val="32"/>
              </w:rPr>
              <w:t>ECONOMY</w:t>
            </w:r>
          </w:p>
          <w:p w14:paraId="3EAF4BB1" w14:textId="77777777" w:rsidR="00A102C1" w:rsidRPr="006C7B74" w:rsidRDefault="004700E2" w:rsidP="002353A3">
            <w:pPr>
              <w:pStyle w:val="BodyText"/>
              <w:jc w:val="left"/>
              <w:cnfStyle w:val="100000000000" w:firstRow="1" w:lastRow="0" w:firstColumn="0" w:lastColumn="0" w:oddVBand="0" w:evenVBand="0" w:oddHBand="0" w:evenHBand="0" w:firstRowFirstColumn="0" w:firstRowLastColumn="0" w:lastRowFirstColumn="0" w:lastRowLastColumn="0"/>
              <w:rPr>
                <w:b w:val="0"/>
              </w:rPr>
            </w:pPr>
            <w:r w:rsidRPr="006C7B74">
              <w:t>GRP for the region</w:t>
            </w:r>
          </w:p>
          <w:p w14:paraId="1DEDE3F9" w14:textId="345BBEB1" w:rsidR="004700E2" w:rsidRPr="006C7B74" w:rsidRDefault="004700E2" w:rsidP="002353A3">
            <w:pPr>
              <w:pStyle w:val="BodyText"/>
              <w:jc w:val="left"/>
              <w:cnfStyle w:val="100000000000" w:firstRow="1" w:lastRow="0" w:firstColumn="0" w:lastColumn="0" w:oddVBand="0" w:evenVBand="0" w:oddHBand="0" w:evenHBand="0" w:firstRowFirstColumn="0" w:firstRowLastColumn="0" w:lastRowFirstColumn="0" w:lastRowLastColumn="0"/>
            </w:pPr>
            <w:r w:rsidRPr="006C7B74">
              <w:rPr>
                <w:sz w:val="44"/>
                <w:szCs w:val="44"/>
              </w:rPr>
              <w:t>$117 billion</w:t>
            </w:r>
          </w:p>
          <w:p w14:paraId="289A3E78" w14:textId="77777777" w:rsidR="004700E2" w:rsidRPr="006C7B74" w:rsidRDefault="004700E2" w:rsidP="002353A3">
            <w:pPr>
              <w:pStyle w:val="BodyText"/>
              <w:jc w:val="left"/>
              <w:cnfStyle w:val="100000000000" w:firstRow="1" w:lastRow="0" w:firstColumn="0" w:lastColumn="0" w:oddVBand="0" w:evenVBand="0" w:oddHBand="0" w:evenHBand="0" w:firstRowFirstColumn="0" w:firstRowLastColumn="0" w:lastRowFirstColumn="0" w:lastRowLastColumn="0"/>
            </w:pPr>
          </w:p>
          <w:p w14:paraId="7035B282" w14:textId="77777777" w:rsidR="00A102C1" w:rsidRPr="006C7B74" w:rsidRDefault="004700E2" w:rsidP="002353A3">
            <w:pPr>
              <w:pStyle w:val="BodyText"/>
              <w:jc w:val="left"/>
              <w:cnfStyle w:val="100000000000" w:firstRow="1" w:lastRow="0" w:firstColumn="0" w:lastColumn="0" w:oddVBand="0" w:evenVBand="0" w:oddHBand="0" w:evenHBand="0" w:firstRowFirstColumn="0" w:firstRowLastColumn="0" w:lastRowFirstColumn="0" w:lastRowLastColumn="0"/>
              <w:rPr>
                <w:b w:val="0"/>
              </w:rPr>
            </w:pPr>
            <w:r w:rsidRPr="006C7B74">
              <w:t>Share of metropolitan Melbourne’s total GRP</w:t>
            </w:r>
          </w:p>
          <w:p w14:paraId="13D56C9A" w14:textId="77777777" w:rsidR="00A102C1" w:rsidRPr="006C7B74" w:rsidRDefault="004700E2" w:rsidP="002353A3">
            <w:pPr>
              <w:pStyle w:val="BodyText"/>
              <w:jc w:val="left"/>
              <w:cnfStyle w:val="100000000000" w:firstRow="1" w:lastRow="0" w:firstColumn="0" w:lastColumn="0" w:oddVBand="0" w:evenVBand="0" w:oddHBand="0" w:evenHBand="0" w:firstRowFirstColumn="0" w:firstRowLastColumn="0" w:lastRowFirstColumn="0" w:lastRowLastColumn="0"/>
              <w:rPr>
                <w:b w:val="0"/>
                <w:sz w:val="44"/>
                <w:szCs w:val="44"/>
              </w:rPr>
            </w:pPr>
            <w:r w:rsidRPr="006C7B74">
              <w:rPr>
                <w:sz w:val="44"/>
                <w:szCs w:val="44"/>
              </w:rPr>
              <w:t>35%</w:t>
            </w:r>
          </w:p>
          <w:p w14:paraId="3DDC4777" w14:textId="50CAEC3B" w:rsidR="004700E2" w:rsidRPr="006C7B74" w:rsidRDefault="004700E2" w:rsidP="002353A3">
            <w:pPr>
              <w:pStyle w:val="BodyText"/>
              <w:jc w:val="left"/>
              <w:cnfStyle w:val="100000000000" w:firstRow="1" w:lastRow="0" w:firstColumn="0" w:lastColumn="0" w:oddVBand="0" w:evenVBand="0" w:oddHBand="0" w:evenHBand="0" w:firstRowFirstColumn="0" w:firstRowLastColumn="0" w:lastRowFirstColumn="0" w:lastRowLastColumn="0"/>
            </w:pPr>
            <w:r w:rsidRPr="006C7B74">
              <w:t xml:space="preserve">Melbourne = </w:t>
            </w:r>
            <w:r w:rsidRPr="006C7B74">
              <w:rPr>
                <w:sz w:val="28"/>
                <w:szCs w:val="28"/>
              </w:rPr>
              <w:t>$90.5 billion</w:t>
            </w:r>
          </w:p>
          <w:p w14:paraId="46AE71C1" w14:textId="605B852F" w:rsidR="004700E2" w:rsidRPr="006C7B74" w:rsidRDefault="004700E2" w:rsidP="002353A3">
            <w:pPr>
              <w:pStyle w:val="BodyText"/>
              <w:jc w:val="left"/>
              <w:cnfStyle w:val="100000000000" w:firstRow="1" w:lastRow="0" w:firstColumn="0" w:lastColumn="0" w:oddVBand="0" w:evenVBand="0" w:oddHBand="0" w:evenHBand="0" w:firstRowFirstColumn="0" w:firstRowLastColumn="0" w:lastRowFirstColumn="0" w:lastRowLastColumn="0"/>
            </w:pPr>
            <w:r w:rsidRPr="006C7B74">
              <w:t xml:space="preserve">Port Phillip = </w:t>
            </w:r>
            <w:r w:rsidRPr="006C7B74">
              <w:rPr>
                <w:sz w:val="28"/>
                <w:szCs w:val="28"/>
              </w:rPr>
              <w:t>$13.6 billion</w:t>
            </w:r>
          </w:p>
          <w:p w14:paraId="2D4EC491" w14:textId="2DA4B458" w:rsidR="004700E2" w:rsidRPr="006C7B74" w:rsidRDefault="004700E2" w:rsidP="002353A3">
            <w:pPr>
              <w:pStyle w:val="BodyText"/>
              <w:jc w:val="left"/>
              <w:cnfStyle w:val="100000000000" w:firstRow="1" w:lastRow="0" w:firstColumn="0" w:lastColumn="0" w:oddVBand="0" w:evenVBand="0" w:oddHBand="0" w:evenHBand="0" w:firstRowFirstColumn="0" w:firstRowLastColumn="0" w:lastRowFirstColumn="0" w:lastRowLastColumn="0"/>
            </w:pPr>
            <w:r w:rsidRPr="006C7B74">
              <w:t xml:space="preserve">Yarra = </w:t>
            </w:r>
            <w:r w:rsidRPr="006C7B74">
              <w:rPr>
                <w:sz w:val="28"/>
                <w:szCs w:val="28"/>
              </w:rPr>
              <w:t>$13.1 billion</w:t>
            </w:r>
          </w:p>
          <w:p w14:paraId="7018AD50" w14:textId="5E6687F0" w:rsidR="004700E2" w:rsidRPr="006C7B74" w:rsidRDefault="004700E2" w:rsidP="002353A3">
            <w:pPr>
              <w:pStyle w:val="BodyText"/>
              <w:cnfStyle w:val="100000000000" w:firstRow="1" w:lastRow="0" w:firstColumn="0" w:lastColumn="0" w:oddVBand="0" w:evenVBand="0" w:oddHBand="0" w:evenHBand="0" w:firstRowFirstColumn="0" w:firstRowLastColumn="0" w:lastRowFirstColumn="0" w:lastRowLastColumn="0"/>
            </w:pPr>
          </w:p>
        </w:tc>
      </w:tr>
    </w:tbl>
    <w:p w14:paraId="40DC69EF" w14:textId="4222B53B" w:rsidR="00C642BF" w:rsidRPr="006C7B74" w:rsidRDefault="00DC580D" w:rsidP="002353A3">
      <w:pPr>
        <w:pStyle w:val="Quote"/>
        <w:rPr>
          <w:rFonts w:eastAsiaTheme="majorEastAsia" w:cstheme="majorBidi"/>
          <w:b/>
          <w:sz w:val="20"/>
        </w:rPr>
      </w:pPr>
      <w:r w:rsidRPr="006C7B74">
        <w:t>Source:</w:t>
      </w:r>
      <w:r w:rsidR="007C154C" w:rsidRPr="006C7B74">
        <w:t xml:space="preserve"> </w:t>
      </w:r>
      <w:r w:rsidRPr="006C7B74">
        <w:t>Department of Environment, Land, Water and Planning, unpublished data (2019)</w:t>
      </w:r>
      <w:r w:rsidR="00C642BF" w:rsidRPr="006C7B74">
        <w:br w:type="page"/>
      </w:r>
    </w:p>
    <w:p w14:paraId="1FDB75A9" w14:textId="07C173BE" w:rsidR="00205650" w:rsidRPr="006C7B74" w:rsidRDefault="00205650" w:rsidP="00205650">
      <w:pPr>
        <w:spacing w:after="120"/>
        <w:rPr>
          <w:rFonts w:cstheme="minorHAnsi"/>
          <w:sz w:val="20"/>
          <w:szCs w:val="20"/>
        </w:rPr>
      </w:pPr>
      <w:r w:rsidRPr="006C7B74">
        <w:rPr>
          <w:rFonts w:cstheme="minorHAnsi"/>
          <w:sz w:val="20"/>
          <w:szCs w:val="20"/>
        </w:rPr>
        <w:lastRenderedPageBreak/>
        <w:t xml:space="preserve">The region was home to around </w:t>
      </w:r>
      <w:r w:rsidR="00E61956" w:rsidRPr="006C7B74">
        <w:rPr>
          <w:rFonts w:cstheme="minorHAnsi"/>
          <w:sz w:val="20"/>
          <w:szCs w:val="20"/>
        </w:rPr>
        <w:t xml:space="preserve">347,600 </w:t>
      </w:r>
      <w:r w:rsidRPr="006C7B74">
        <w:rPr>
          <w:rFonts w:cstheme="minorHAnsi"/>
          <w:sz w:val="20"/>
          <w:szCs w:val="20"/>
        </w:rPr>
        <w:t>people in 2016. By 20</w:t>
      </w:r>
      <w:r w:rsidR="006F254E" w:rsidRPr="006C7B74">
        <w:rPr>
          <w:rFonts w:cstheme="minorHAnsi"/>
          <w:sz w:val="20"/>
          <w:szCs w:val="20"/>
        </w:rPr>
        <w:t>3</w:t>
      </w:r>
      <w:r w:rsidRPr="006C7B74">
        <w:rPr>
          <w:rFonts w:cstheme="minorHAnsi"/>
          <w:sz w:val="20"/>
          <w:szCs w:val="20"/>
        </w:rPr>
        <w:t xml:space="preserve">1 it is projected that the region will grow by </w:t>
      </w:r>
      <w:r w:rsidR="00F82A0F" w:rsidRPr="006C7B74">
        <w:rPr>
          <w:rFonts w:cstheme="minorHAnsi"/>
          <w:sz w:val="20"/>
          <w:szCs w:val="20"/>
        </w:rPr>
        <w:t xml:space="preserve">191,700 </w:t>
      </w:r>
      <w:r w:rsidRPr="006C7B74">
        <w:rPr>
          <w:rFonts w:cstheme="minorHAnsi"/>
          <w:sz w:val="20"/>
          <w:szCs w:val="20"/>
        </w:rPr>
        <w:t xml:space="preserve">people to a total population of around </w:t>
      </w:r>
      <w:r w:rsidR="00F8591B" w:rsidRPr="006C7B74">
        <w:rPr>
          <w:rFonts w:cstheme="minorHAnsi"/>
          <w:sz w:val="20"/>
          <w:szCs w:val="20"/>
        </w:rPr>
        <w:t>539,300</w:t>
      </w:r>
      <w:r w:rsidRPr="006C7B74">
        <w:rPr>
          <w:rFonts w:cstheme="minorHAnsi"/>
          <w:sz w:val="20"/>
          <w:szCs w:val="20"/>
        </w:rPr>
        <w:t>. The municipality of Melbourne will experience the strongest population growth over this period.</w:t>
      </w:r>
    </w:p>
    <w:p w14:paraId="1D6C1DBE" w14:textId="240199DE" w:rsidR="00A102C1" w:rsidRPr="006C7B74" w:rsidRDefault="0097714A" w:rsidP="00075B79">
      <w:pPr>
        <w:pStyle w:val="Heading5"/>
      </w:pPr>
      <w:r w:rsidRPr="004D52AD">
        <w:t xml:space="preserve">Figure </w:t>
      </w:r>
      <w:r w:rsidR="0083160F" w:rsidRPr="004D52AD">
        <w:t>11</w:t>
      </w:r>
      <w:r w:rsidRPr="004D52AD">
        <w:t>: Projected population growth</w:t>
      </w:r>
      <w:r w:rsidRPr="006C7B74">
        <w:t xml:space="preserve">, Inner </w:t>
      </w:r>
      <w:r w:rsidR="003A4F82" w:rsidRPr="006C7B74">
        <w:t xml:space="preserve">Metro </w:t>
      </w:r>
      <w:r w:rsidRPr="006C7B74">
        <w:t>Region, 2016</w:t>
      </w:r>
      <w:r w:rsidR="00F8591B" w:rsidRPr="006C7B74">
        <w:t xml:space="preserve"> </w:t>
      </w:r>
      <w:r w:rsidR="00305798" w:rsidRPr="006C7B74">
        <w:t>to</w:t>
      </w:r>
      <w:r w:rsidRPr="006C7B74">
        <w:t xml:space="preserve"> 2031</w:t>
      </w:r>
    </w:p>
    <w:p w14:paraId="13792468" w14:textId="068AC009" w:rsidR="0097714A" w:rsidRPr="006C7B74" w:rsidRDefault="00E61956" w:rsidP="0088779C">
      <w:pPr>
        <w:spacing w:after="120"/>
        <w:rPr>
          <w:rFonts w:cstheme="minorHAnsi"/>
          <w:sz w:val="20"/>
          <w:szCs w:val="20"/>
        </w:rPr>
      </w:pPr>
      <w:r w:rsidRPr="006C7B74">
        <w:rPr>
          <w:noProof/>
        </w:rPr>
        <w:drawing>
          <wp:inline distT="0" distB="0" distL="0" distR="0" wp14:anchorId="2CB80122" wp14:editId="36F718E9">
            <wp:extent cx="4022725" cy="1979875"/>
            <wp:effectExtent l="0" t="0" r="0" b="0"/>
            <wp:docPr id="4" name="Chart 4" descr="Bar graph showing projected population growth, Inner Metro Region, 2016 to 2031 ">
              <a:extLst xmlns:a="http://schemas.openxmlformats.org/drawingml/2006/main">
                <a:ext uri="{FF2B5EF4-FFF2-40B4-BE49-F238E27FC236}">
                  <a16:creationId xmlns:a16="http://schemas.microsoft.com/office/drawing/2014/main" id="{E1E7D8B6-1258-439B-AB86-44930935B8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C632478" w14:textId="7341622B" w:rsidR="0097714A" w:rsidRPr="006C7B74" w:rsidRDefault="00677880" w:rsidP="00934C4D">
      <w:pPr>
        <w:spacing w:after="120"/>
        <w:rPr>
          <w:rFonts w:cstheme="minorHAnsi"/>
          <w:sz w:val="20"/>
          <w:szCs w:val="20"/>
        </w:rPr>
      </w:pPr>
      <w:r w:rsidRPr="006C7B74">
        <w:rPr>
          <w:i/>
          <w:iCs/>
          <w:color w:val="404040" w:themeColor="text1" w:themeTint="BF"/>
          <w:sz w:val="18"/>
        </w:rPr>
        <w:t xml:space="preserve">Source: Department of Environment, Land, Water and Planning, Victoria in Future 2019 </w:t>
      </w:r>
      <w:r w:rsidR="00C7670E" w:rsidRPr="006C7B74">
        <w:rPr>
          <w:i/>
          <w:iCs/>
          <w:color w:val="404040" w:themeColor="text1" w:themeTint="BF"/>
          <w:sz w:val="18"/>
        </w:rPr>
        <w:t>(</w:t>
      </w:r>
      <w:r w:rsidRPr="006C7B74">
        <w:rPr>
          <w:i/>
          <w:iCs/>
          <w:color w:val="404040" w:themeColor="text1" w:themeTint="BF"/>
          <w:sz w:val="18"/>
        </w:rPr>
        <w:t>July 2019</w:t>
      </w:r>
      <w:r w:rsidR="00C7670E" w:rsidRPr="006C7B74">
        <w:rPr>
          <w:i/>
          <w:iCs/>
          <w:color w:val="404040" w:themeColor="text1" w:themeTint="BF"/>
          <w:sz w:val="18"/>
        </w:rPr>
        <w:t>)</w:t>
      </w:r>
      <w:r w:rsidRPr="006C7B74">
        <w:rPr>
          <w:i/>
          <w:iCs/>
          <w:color w:val="404040" w:themeColor="text1" w:themeTint="BF"/>
          <w:sz w:val="18"/>
        </w:rPr>
        <w:t>.</w:t>
      </w:r>
    </w:p>
    <w:p w14:paraId="6C63B9BD" w14:textId="1F382248" w:rsidR="007C09B5" w:rsidRPr="006C7B74" w:rsidRDefault="00F02E06" w:rsidP="00934C4D">
      <w:pPr>
        <w:spacing w:after="120"/>
        <w:rPr>
          <w:rFonts w:cstheme="minorHAnsi"/>
          <w:sz w:val="20"/>
          <w:szCs w:val="20"/>
        </w:rPr>
      </w:pPr>
      <w:r w:rsidRPr="006C7B74">
        <w:rPr>
          <w:rFonts w:cstheme="minorHAnsi"/>
          <w:sz w:val="20"/>
          <w:szCs w:val="20"/>
        </w:rPr>
        <w:t>In 2016 t</w:t>
      </w:r>
      <w:r w:rsidR="0097714A" w:rsidRPr="006C7B74">
        <w:rPr>
          <w:rFonts w:cstheme="minorHAnsi"/>
          <w:sz w:val="20"/>
          <w:szCs w:val="20"/>
        </w:rPr>
        <w:t xml:space="preserve">he region </w:t>
      </w:r>
      <w:r w:rsidR="00F8544D" w:rsidRPr="006C7B74">
        <w:rPr>
          <w:rFonts w:cstheme="minorHAnsi"/>
          <w:sz w:val="20"/>
          <w:szCs w:val="20"/>
        </w:rPr>
        <w:t>support</w:t>
      </w:r>
      <w:r w:rsidRPr="006C7B74">
        <w:rPr>
          <w:rFonts w:cstheme="minorHAnsi"/>
          <w:sz w:val="20"/>
          <w:szCs w:val="20"/>
        </w:rPr>
        <w:t>ed</w:t>
      </w:r>
      <w:r w:rsidR="0097714A" w:rsidRPr="006C7B74">
        <w:rPr>
          <w:rFonts w:cstheme="minorHAnsi"/>
          <w:sz w:val="20"/>
          <w:szCs w:val="20"/>
        </w:rPr>
        <w:t xml:space="preserve"> </w:t>
      </w:r>
      <w:r w:rsidR="00EE5581" w:rsidRPr="006C7B74">
        <w:rPr>
          <w:rFonts w:cstheme="minorHAnsi"/>
          <w:sz w:val="20"/>
          <w:szCs w:val="20"/>
        </w:rPr>
        <w:t>6</w:t>
      </w:r>
      <w:r w:rsidR="0099105B" w:rsidRPr="006C7B74">
        <w:rPr>
          <w:rFonts w:cstheme="minorHAnsi"/>
          <w:sz w:val="20"/>
          <w:szCs w:val="20"/>
        </w:rPr>
        <w:t>82</w:t>
      </w:r>
      <w:r w:rsidR="00EE5581" w:rsidRPr="006C7B74">
        <w:rPr>
          <w:rFonts w:cstheme="minorHAnsi"/>
          <w:sz w:val="20"/>
          <w:szCs w:val="20"/>
        </w:rPr>
        <w:t>,</w:t>
      </w:r>
      <w:r w:rsidR="0099105B" w:rsidRPr="006C7B74">
        <w:rPr>
          <w:rFonts w:cstheme="minorHAnsi"/>
          <w:sz w:val="20"/>
          <w:szCs w:val="20"/>
        </w:rPr>
        <w:t>8</w:t>
      </w:r>
      <w:r w:rsidR="00EE5581" w:rsidRPr="006C7B74">
        <w:rPr>
          <w:rFonts w:cstheme="minorHAnsi"/>
          <w:sz w:val="20"/>
          <w:szCs w:val="20"/>
        </w:rPr>
        <w:t xml:space="preserve">00 </w:t>
      </w:r>
      <w:r w:rsidR="00EE5581" w:rsidRPr="006C7B74">
        <w:rPr>
          <w:rFonts w:cstheme="minorHAnsi"/>
          <w:sz w:val="20"/>
        </w:rPr>
        <w:t>jobs</w:t>
      </w:r>
      <w:r w:rsidR="0097714A" w:rsidRPr="006C7B74">
        <w:rPr>
          <w:rFonts w:cstheme="minorHAnsi"/>
          <w:sz w:val="20"/>
          <w:szCs w:val="20"/>
        </w:rPr>
        <w:t xml:space="preserve"> accounting for around </w:t>
      </w:r>
      <w:r w:rsidR="00B635DE" w:rsidRPr="006C7B74">
        <w:rPr>
          <w:rFonts w:cstheme="minorHAnsi"/>
          <w:sz w:val="20"/>
          <w:szCs w:val="20"/>
        </w:rPr>
        <w:t>30</w:t>
      </w:r>
      <w:r w:rsidR="0097714A" w:rsidRPr="006C7B74">
        <w:rPr>
          <w:rFonts w:cstheme="minorHAnsi"/>
          <w:sz w:val="20"/>
          <w:szCs w:val="20"/>
        </w:rPr>
        <w:t xml:space="preserve"> per cent of all employment </w:t>
      </w:r>
      <w:r w:rsidR="00EE5581" w:rsidRPr="006C7B74">
        <w:rPr>
          <w:rFonts w:cstheme="minorHAnsi"/>
          <w:sz w:val="20"/>
          <w:szCs w:val="20"/>
        </w:rPr>
        <w:t>in metropolitan</w:t>
      </w:r>
      <w:r w:rsidR="0097714A" w:rsidRPr="006C7B74">
        <w:rPr>
          <w:rFonts w:cstheme="minorHAnsi"/>
          <w:sz w:val="20"/>
          <w:szCs w:val="20"/>
        </w:rPr>
        <w:t xml:space="preserve"> </w:t>
      </w:r>
      <w:r w:rsidR="001F5B8B" w:rsidRPr="006C7B74">
        <w:rPr>
          <w:rFonts w:cstheme="minorHAnsi"/>
          <w:sz w:val="20"/>
          <w:szCs w:val="20"/>
        </w:rPr>
        <w:t>Melbourne</w:t>
      </w:r>
      <w:r w:rsidR="0097714A" w:rsidRPr="006C7B74">
        <w:rPr>
          <w:rFonts w:cstheme="minorHAnsi"/>
          <w:sz w:val="20"/>
          <w:szCs w:val="20"/>
        </w:rPr>
        <w:t xml:space="preserve">. </w:t>
      </w:r>
    </w:p>
    <w:p w14:paraId="644B38BD" w14:textId="4AC56C72" w:rsidR="00A53547" w:rsidRPr="006C7B74" w:rsidRDefault="0097714A" w:rsidP="00934C4D">
      <w:pPr>
        <w:spacing w:after="120"/>
        <w:rPr>
          <w:rFonts w:cstheme="minorHAnsi"/>
          <w:sz w:val="20"/>
          <w:szCs w:val="20"/>
        </w:rPr>
      </w:pPr>
      <w:r w:rsidRPr="006C7B74">
        <w:rPr>
          <w:rFonts w:cstheme="minorHAnsi"/>
          <w:sz w:val="20"/>
          <w:szCs w:val="20"/>
        </w:rPr>
        <w:t xml:space="preserve">By 2031 it is </w:t>
      </w:r>
      <w:r w:rsidR="00DA33EB">
        <w:rPr>
          <w:rFonts w:cstheme="minorHAnsi"/>
          <w:sz w:val="20"/>
          <w:szCs w:val="20"/>
        </w:rPr>
        <w:t xml:space="preserve">projected </w:t>
      </w:r>
      <w:r w:rsidRPr="006C7B74">
        <w:rPr>
          <w:rFonts w:cstheme="minorHAnsi"/>
          <w:sz w:val="20"/>
          <w:szCs w:val="20"/>
        </w:rPr>
        <w:t xml:space="preserve">that </w:t>
      </w:r>
      <w:r w:rsidR="007921CD" w:rsidRPr="006C7B74">
        <w:rPr>
          <w:rFonts w:cstheme="minorHAnsi"/>
          <w:sz w:val="20"/>
          <w:szCs w:val="20"/>
        </w:rPr>
        <w:t>approximately</w:t>
      </w:r>
      <w:r w:rsidR="00D051ED" w:rsidRPr="006C7B74">
        <w:rPr>
          <w:rFonts w:cstheme="minorHAnsi"/>
          <w:sz w:val="20"/>
          <w:szCs w:val="20"/>
        </w:rPr>
        <w:t xml:space="preserve"> 280,000 </w:t>
      </w:r>
      <w:r w:rsidR="007921CD" w:rsidRPr="006C7B74">
        <w:rPr>
          <w:rFonts w:cstheme="minorHAnsi"/>
          <w:sz w:val="20"/>
          <w:szCs w:val="20"/>
        </w:rPr>
        <w:t xml:space="preserve">additional </w:t>
      </w:r>
      <w:r w:rsidRPr="006C7B74">
        <w:rPr>
          <w:rFonts w:cstheme="minorHAnsi"/>
          <w:sz w:val="20"/>
          <w:szCs w:val="20"/>
        </w:rPr>
        <w:t xml:space="preserve">jobs will </w:t>
      </w:r>
      <w:r w:rsidR="00A53547" w:rsidRPr="006C7B74">
        <w:rPr>
          <w:rFonts w:cstheme="minorHAnsi"/>
          <w:sz w:val="20"/>
          <w:szCs w:val="20"/>
        </w:rPr>
        <w:t xml:space="preserve">be </w:t>
      </w:r>
      <w:r w:rsidR="00DA33EB">
        <w:rPr>
          <w:rFonts w:cstheme="minorHAnsi"/>
          <w:sz w:val="20"/>
          <w:szCs w:val="20"/>
        </w:rPr>
        <w:t>located</w:t>
      </w:r>
      <w:r w:rsidR="00DA33EB" w:rsidRPr="006C7B74">
        <w:rPr>
          <w:rFonts w:cstheme="minorHAnsi"/>
          <w:sz w:val="20"/>
          <w:szCs w:val="20"/>
        </w:rPr>
        <w:t xml:space="preserve"> </w:t>
      </w:r>
      <w:r w:rsidRPr="006C7B74">
        <w:rPr>
          <w:rFonts w:cstheme="minorHAnsi"/>
          <w:sz w:val="20"/>
          <w:szCs w:val="20"/>
        </w:rPr>
        <w:t xml:space="preserve">across the region. </w:t>
      </w:r>
      <w:r w:rsidR="00E03630" w:rsidRPr="006C7B74">
        <w:rPr>
          <w:rFonts w:cstheme="minorHAnsi"/>
          <w:sz w:val="20"/>
          <w:szCs w:val="20"/>
        </w:rPr>
        <w:t xml:space="preserve">Approximately 70 per cent of </w:t>
      </w:r>
      <w:r w:rsidR="006F6D25" w:rsidRPr="006C7B74">
        <w:rPr>
          <w:rFonts w:cstheme="minorHAnsi"/>
          <w:sz w:val="20"/>
          <w:szCs w:val="20"/>
        </w:rPr>
        <w:t xml:space="preserve">new </w:t>
      </w:r>
      <w:r w:rsidR="00E03630" w:rsidRPr="006C7B74">
        <w:rPr>
          <w:rFonts w:cstheme="minorHAnsi"/>
          <w:sz w:val="20"/>
          <w:szCs w:val="20"/>
        </w:rPr>
        <w:t>job</w:t>
      </w:r>
      <w:r w:rsidR="006F6D25" w:rsidRPr="006C7B74">
        <w:rPr>
          <w:rFonts w:cstheme="minorHAnsi"/>
          <w:sz w:val="20"/>
          <w:szCs w:val="20"/>
        </w:rPr>
        <w:t xml:space="preserve">s in the region are expected to be within the </w:t>
      </w:r>
      <w:r w:rsidRPr="006C7B74">
        <w:rPr>
          <w:rFonts w:cstheme="minorHAnsi"/>
          <w:sz w:val="20"/>
          <w:szCs w:val="20"/>
        </w:rPr>
        <w:t>municipalit</w:t>
      </w:r>
      <w:r w:rsidR="00672258" w:rsidRPr="006C7B74">
        <w:rPr>
          <w:rFonts w:cstheme="minorHAnsi"/>
          <w:sz w:val="20"/>
          <w:szCs w:val="20"/>
        </w:rPr>
        <w:t>y</w:t>
      </w:r>
      <w:r w:rsidR="00C7670E" w:rsidRPr="006C7B74">
        <w:rPr>
          <w:rFonts w:cstheme="minorHAnsi"/>
          <w:sz w:val="20"/>
          <w:szCs w:val="20"/>
        </w:rPr>
        <w:t xml:space="preserve"> of</w:t>
      </w:r>
      <w:r w:rsidRPr="006C7B74">
        <w:rPr>
          <w:rFonts w:cstheme="minorHAnsi"/>
          <w:sz w:val="20"/>
          <w:szCs w:val="20"/>
        </w:rPr>
        <w:t xml:space="preserve"> </w:t>
      </w:r>
      <w:r w:rsidRPr="006C7B74">
        <w:rPr>
          <w:rFonts w:cstheme="minorHAnsi"/>
          <w:sz w:val="20"/>
        </w:rPr>
        <w:t>Melbourne</w:t>
      </w:r>
      <w:r w:rsidRPr="006C7B74">
        <w:rPr>
          <w:rFonts w:cstheme="minorHAnsi"/>
          <w:sz w:val="20"/>
          <w:szCs w:val="20"/>
        </w:rPr>
        <w:t>.</w:t>
      </w:r>
      <w:r w:rsidR="00815014" w:rsidRPr="006C7B74">
        <w:rPr>
          <w:rFonts w:cstheme="minorHAnsi"/>
          <w:sz w:val="20"/>
          <w:szCs w:val="20"/>
        </w:rPr>
        <w:t xml:space="preserve"> </w:t>
      </w:r>
    </w:p>
    <w:p w14:paraId="623C7C5F" w14:textId="3918001A" w:rsidR="004C066C" w:rsidRPr="006C7B74" w:rsidRDefault="0097714A" w:rsidP="004C066C">
      <w:pPr>
        <w:rPr>
          <w:rFonts w:cstheme="minorHAnsi"/>
          <w:sz w:val="20"/>
          <w:szCs w:val="20"/>
        </w:rPr>
      </w:pPr>
      <w:r w:rsidRPr="006C7B74">
        <w:rPr>
          <w:rFonts w:cstheme="minorHAnsi"/>
          <w:sz w:val="20"/>
          <w:szCs w:val="20"/>
        </w:rPr>
        <w:t xml:space="preserve">The industries that </w:t>
      </w:r>
      <w:r w:rsidR="006D18D9" w:rsidRPr="006C7B74">
        <w:rPr>
          <w:rFonts w:cstheme="minorHAnsi"/>
          <w:sz w:val="20"/>
          <w:szCs w:val="20"/>
        </w:rPr>
        <w:t xml:space="preserve">are expected to </w:t>
      </w:r>
      <w:r w:rsidRPr="006C7B74">
        <w:rPr>
          <w:rFonts w:cstheme="minorHAnsi"/>
          <w:sz w:val="20"/>
          <w:szCs w:val="20"/>
        </w:rPr>
        <w:t>experience the strongest growth are</w:t>
      </w:r>
      <w:r w:rsidR="00A53547" w:rsidRPr="006C7B74">
        <w:rPr>
          <w:rFonts w:cstheme="minorHAnsi"/>
          <w:sz w:val="20"/>
          <w:szCs w:val="20"/>
        </w:rPr>
        <w:t>:</w:t>
      </w:r>
      <w:r w:rsidR="006D18D9" w:rsidRPr="006C7B74">
        <w:rPr>
          <w:rFonts w:cstheme="minorHAnsi"/>
          <w:sz w:val="20"/>
          <w:szCs w:val="20"/>
        </w:rPr>
        <w:t xml:space="preserve"> </w:t>
      </w:r>
      <w:r w:rsidR="004C066C" w:rsidRPr="006C7B74">
        <w:rPr>
          <w:rFonts w:cstheme="minorHAnsi"/>
          <w:sz w:val="20"/>
          <w:szCs w:val="20"/>
        </w:rPr>
        <w:t>professional, scientific and technical services; health care and social assistance; financial and insurance services; public administration and safety</w:t>
      </w:r>
      <w:r w:rsidR="007F5CA4" w:rsidRPr="006C7B74">
        <w:rPr>
          <w:rFonts w:cstheme="minorHAnsi"/>
          <w:sz w:val="20"/>
          <w:szCs w:val="20"/>
        </w:rPr>
        <w:t>;</w:t>
      </w:r>
      <w:r w:rsidR="007F5CA4" w:rsidRPr="006C7B74">
        <w:t xml:space="preserve"> </w:t>
      </w:r>
      <w:r w:rsidR="007F5CA4" w:rsidRPr="006C7B74">
        <w:rPr>
          <w:rFonts w:cstheme="minorHAnsi"/>
          <w:sz w:val="20"/>
          <w:szCs w:val="20"/>
        </w:rPr>
        <w:t>Education and training</w:t>
      </w:r>
      <w:r w:rsidR="004C066C" w:rsidRPr="006C7B74">
        <w:rPr>
          <w:rFonts w:cstheme="minorHAnsi"/>
          <w:sz w:val="20"/>
          <w:szCs w:val="20"/>
        </w:rPr>
        <w:t>.</w:t>
      </w:r>
    </w:p>
    <w:p w14:paraId="03B1B872" w14:textId="68C8C580" w:rsidR="00934C4D" w:rsidRPr="006C7B74" w:rsidRDefault="00BA5C7A" w:rsidP="00FE71F8">
      <w:pPr>
        <w:pStyle w:val="Heading5"/>
      </w:pPr>
      <w:r w:rsidRPr="006C7B74">
        <w:t xml:space="preserve">Figure </w:t>
      </w:r>
      <w:r w:rsidR="00CB4A92" w:rsidRPr="006C7B74">
        <w:t>1</w:t>
      </w:r>
      <w:r w:rsidR="0083160F" w:rsidRPr="006C7B74">
        <w:t>2</w:t>
      </w:r>
      <w:r w:rsidRPr="006C7B74">
        <w:t xml:space="preserve">: Projected employment growth, Inner </w:t>
      </w:r>
      <w:r w:rsidR="003A4F82" w:rsidRPr="006C7B74">
        <w:t xml:space="preserve">Metro </w:t>
      </w:r>
      <w:r w:rsidRPr="006C7B74">
        <w:t>Region, 2016 to 2031</w:t>
      </w:r>
    </w:p>
    <w:p w14:paraId="77305028" w14:textId="59F6FAAE" w:rsidR="00BA5C7A" w:rsidRPr="006C7B74" w:rsidRDefault="00647BED" w:rsidP="00FE71F8">
      <w:pPr>
        <w:pStyle w:val="Quote"/>
      </w:pPr>
      <w:r w:rsidRPr="006C7B74">
        <w:rPr>
          <w:noProof/>
        </w:rPr>
        <w:drawing>
          <wp:inline distT="0" distB="0" distL="0" distR="0" wp14:anchorId="5E90B024" wp14:editId="5B25CCB9">
            <wp:extent cx="5727609" cy="3352743"/>
            <wp:effectExtent l="0" t="0" r="0" b="0"/>
            <wp:docPr id="6" name="Picture 6" descr="Graphic showing projected employment growth, Inner Metro Region 2016-2031 as being: Melboure: Up195K jobs, growth 2.5%pa, Yarra: Up 43K jobs, growth 2.7%pa, Port Phillip: Up 42K, jobs growth 2.8%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rojected employment growth map_2020 update-01.png"/>
                    <pic:cNvPicPr/>
                  </pic:nvPicPr>
                  <pic:blipFill rotWithShape="1">
                    <a:blip r:embed="rId38"/>
                    <a:srcRect t="5472" b="11756"/>
                    <a:stretch/>
                  </pic:blipFill>
                  <pic:spPr bwMode="auto">
                    <a:xfrm>
                      <a:off x="0" y="0"/>
                      <a:ext cx="5727700" cy="3352796"/>
                    </a:xfrm>
                    <a:prstGeom prst="rect">
                      <a:avLst/>
                    </a:prstGeom>
                    <a:ln>
                      <a:noFill/>
                    </a:ln>
                    <a:extLst>
                      <a:ext uri="{53640926-AAD7-44D8-BBD7-CCE9431645EC}">
                        <a14:shadowObscured xmlns:a14="http://schemas.microsoft.com/office/drawing/2010/main"/>
                      </a:ext>
                    </a:extLst>
                  </pic:spPr>
                </pic:pic>
              </a:graphicData>
            </a:graphic>
          </wp:inline>
        </w:drawing>
      </w:r>
      <w:r w:rsidR="00DC580D" w:rsidRPr="006C7B74">
        <w:t xml:space="preserve"> </w:t>
      </w:r>
      <w:r w:rsidR="00124FC5" w:rsidRPr="006C7B74">
        <w:br/>
      </w:r>
      <w:r w:rsidR="00DC580D" w:rsidRPr="006C7B74">
        <w:t>Source: Department of Jobs, Precincts and Regions, internal analysis (201</w:t>
      </w:r>
      <w:r w:rsidRPr="006C7B74">
        <w:t>9</w:t>
      </w:r>
      <w:r w:rsidR="00DC580D" w:rsidRPr="006C7B74">
        <w:t>)</w:t>
      </w:r>
    </w:p>
    <w:p w14:paraId="6556BDFB" w14:textId="77777777" w:rsidR="00944BE6" w:rsidRPr="006C7B74" w:rsidRDefault="00944BE6" w:rsidP="00683949">
      <w:pPr>
        <w:pStyle w:val="BodyText"/>
      </w:pPr>
      <w:r>
        <w:t xml:space="preserve">NOTE: Job </w:t>
      </w:r>
      <w:r w:rsidRPr="00C77EF1">
        <w:t xml:space="preserve">figures </w:t>
      </w:r>
      <w:r>
        <w:t xml:space="preserve">have been </w:t>
      </w:r>
      <w:r w:rsidRPr="00C77EF1">
        <w:t>rounded to the nearest thou</w:t>
      </w:r>
      <w:r>
        <w:t>s</w:t>
      </w:r>
      <w:r w:rsidRPr="00C77EF1">
        <w:t>and.</w:t>
      </w:r>
    </w:p>
    <w:p w14:paraId="69DF57EC" w14:textId="1215054E" w:rsidR="00BA5C7A" w:rsidRPr="006C7B74" w:rsidRDefault="00BA5C7A" w:rsidP="00934C4D">
      <w:pPr>
        <w:spacing w:after="120"/>
        <w:rPr>
          <w:rFonts w:cstheme="minorHAnsi"/>
          <w:sz w:val="20"/>
          <w:szCs w:val="20"/>
        </w:rPr>
      </w:pPr>
    </w:p>
    <w:p w14:paraId="4C9D4136" w14:textId="77777777" w:rsidR="00864502" w:rsidRPr="006C7B74" w:rsidRDefault="00864502" w:rsidP="00934C4D">
      <w:pPr>
        <w:spacing w:after="120"/>
        <w:rPr>
          <w:rFonts w:cstheme="minorHAnsi"/>
          <w:sz w:val="20"/>
          <w:szCs w:val="20"/>
        </w:rPr>
      </w:pPr>
    </w:p>
    <w:p w14:paraId="22F29A21" w14:textId="2C7F5872" w:rsidR="0097714A" w:rsidRPr="006C7B74" w:rsidRDefault="00F8789D" w:rsidP="00934C4D">
      <w:pPr>
        <w:pStyle w:val="Heading2-Contenttable"/>
        <w:spacing w:after="120"/>
      </w:pPr>
      <w:bookmarkStart w:id="35" w:name="_Toc21694814"/>
      <w:r w:rsidRPr="006C7B74">
        <w:lastRenderedPageBreak/>
        <w:t>Key industrial and commercial areas</w:t>
      </w:r>
      <w:bookmarkEnd w:id="35"/>
    </w:p>
    <w:p w14:paraId="1B886EE8" w14:textId="4787E771" w:rsidR="002A4CC4" w:rsidRPr="006C7B74" w:rsidRDefault="002A4CC4" w:rsidP="00934C4D">
      <w:pPr>
        <w:pStyle w:val="paragraph"/>
        <w:spacing w:before="0" w:beforeAutospacing="0" w:after="120" w:afterAutospacing="0"/>
        <w:textAlignment w:val="baseline"/>
        <w:rPr>
          <w:rFonts w:cstheme="minorHAnsi"/>
          <w:sz w:val="18"/>
          <w:szCs w:val="18"/>
        </w:rPr>
      </w:pPr>
      <w:r w:rsidRPr="006C7B74">
        <w:rPr>
          <w:rStyle w:val="normaltextrun"/>
          <w:rFonts w:cstheme="minorHAnsi"/>
          <w:sz w:val="20"/>
          <w:szCs w:val="20"/>
        </w:rPr>
        <w:t xml:space="preserve">The </w:t>
      </w:r>
      <w:r w:rsidRPr="006C7B74">
        <w:rPr>
          <w:rStyle w:val="normaltextrun"/>
          <w:rFonts w:cstheme="minorHAnsi"/>
          <w:b/>
          <w:sz w:val="20"/>
          <w:szCs w:val="20"/>
        </w:rPr>
        <w:t xml:space="preserve">Central </w:t>
      </w:r>
      <w:r w:rsidR="00205650" w:rsidRPr="006C7B74">
        <w:rPr>
          <w:rStyle w:val="normaltextrun"/>
          <w:rFonts w:cstheme="minorHAnsi"/>
          <w:b/>
          <w:sz w:val="20"/>
          <w:szCs w:val="20"/>
        </w:rPr>
        <w:t>City</w:t>
      </w:r>
      <w:r w:rsidRPr="006C7B74">
        <w:rPr>
          <w:rStyle w:val="normaltextrun"/>
          <w:rFonts w:cstheme="minorHAnsi"/>
          <w:sz w:val="20"/>
          <w:szCs w:val="20"/>
        </w:rPr>
        <w:t xml:space="preserve"> incorporates the </w:t>
      </w:r>
      <w:r w:rsidR="00205650" w:rsidRPr="006C7B74">
        <w:rPr>
          <w:rStyle w:val="normaltextrun"/>
          <w:rFonts w:cstheme="minorHAnsi"/>
          <w:sz w:val="20"/>
          <w:szCs w:val="20"/>
        </w:rPr>
        <w:t>CBD (</w:t>
      </w:r>
      <w:r w:rsidRPr="006C7B74">
        <w:rPr>
          <w:rStyle w:val="normaltextrun"/>
          <w:rFonts w:cstheme="minorHAnsi"/>
          <w:sz w:val="20"/>
          <w:szCs w:val="20"/>
        </w:rPr>
        <w:t>Hoddle grid, north to Grattan Street between Peel and Swanston Streets</w:t>
      </w:r>
      <w:r w:rsidR="00205650" w:rsidRPr="006C7B74">
        <w:rPr>
          <w:rStyle w:val="normaltextrun"/>
          <w:rFonts w:cstheme="minorHAnsi"/>
          <w:sz w:val="20"/>
          <w:szCs w:val="20"/>
        </w:rPr>
        <w:t xml:space="preserve">) as well as </w:t>
      </w:r>
      <w:r w:rsidR="00273D78" w:rsidRPr="006C7B74">
        <w:rPr>
          <w:rStyle w:val="normaltextrun"/>
          <w:rFonts w:cstheme="minorHAnsi"/>
          <w:sz w:val="20"/>
          <w:szCs w:val="20"/>
        </w:rPr>
        <w:t xml:space="preserve">Docklands, </w:t>
      </w:r>
      <w:r w:rsidR="00205650" w:rsidRPr="006C7B74">
        <w:rPr>
          <w:rStyle w:val="normaltextrun"/>
          <w:rFonts w:cstheme="minorHAnsi"/>
          <w:sz w:val="20"/>
          <w:szCs w:val="20"/>
        </w:rPr>
        <w:t xml:space="preserve">Southbank </w:t>
      </w:r>
      <w:r w:rsidR="009A748E" w:rsidRPr="006C7B74">
        <w:rPr>
          <w:rStyle w:val="normaltextrun"/>
          <w:rFonts w:cstheme="minorHAnsi"/>
          <w:sz w:val="20"/>
          <w:szCs w:val="20"/>
        </w:rPr>
        <w:t>and St Kilda Road</w:t>
      </w:r>
      <w:r w:rsidRPr="006C7B74">
        <w:rPr>
          <w:rStyle w:val="normaltextrun"/>
          <w:rFonts w:cstheme="minorHAnsi"/>
          <w:sz w:val="20"/>
          <w:szCs w:val="20"/>
        </w:rPr>
        <w:t>. It is home to the largest concentration of jobs across the city</w:t>
      </w:r>
      <w:r w:rsidR="00260F11" w:rsidRPr="006C7B74">
        <w:rPr>
          <w:rStyle w:val="normaltextrun"/>
          <w:rFonts w:cstheme="minorHAnsi"/>
          <w:sz w:val="20"/>
          <w:szCs w:val="20"/>
        </w:rPr>
        <w:t xml:space="preserve"> </w:t>
      </w:r>
      <w:r w:rsidR="002F6C71" w:rsidRPr="006C7B74">
        <w:rPr>
          <w:rStyle w:val="normaltextrun"/>
          <w:rFonts w:cstheme="minorHAnsi"/>
          <w:sz w:val="20"/>
          <w:szCs w:val="20"/>
        </w:rPr>
        <w:t xml:space="preserve">and is metropolitan Melbourne’s principal centre for commerce, professional, business and financial services. </w:t>
      </w:r>
      <w:r w:rsidR="00260F11" w:rsidRPr="006C7B74">
        <w:rPr>
          <w:rStyle w:val="normaltextrun"/>
          <w:rFonts w:cstheme="minorHAnsi"/>
          <w:sz w:val="20"/>
          <w:szCs w:val="20"/>
        </w:rPr>
        <w:t xml:space="preserve">It will continue to be the key location for business services </w:t>
      </w:r>
      <w:r w:rsidR="002F6C71" w:rsidRPr="006C7B74">
        <w:rPr>
          <w:rFonts w:cstheme="minorHAnsi"/>
          <w:sz w:val="20"/>
          <w:szCs w:val="20"/>
        </w:rPr>
        <w:t>offering a range of office, retail and tourism</w:t>
      </w:r>
      <w:r w:rsidR="00260F11" w:rsidRPr="006C7B74">
        <w:rPr>
          <w:rFonts w:cstheme="minorHAnsi"/>
          <w:sz w:val="20"/>
          <w:szCs w:val="20"/>
        </w:rPr>
        <w:t>.</w:t>
      </w:r>
      <w:r w:rsidR="002F6C71" w:rsidRPr="006C7B74">
        <w:rPr>
          <w:rFonts w:cstheme="minorHAnsi"/>
          <w:sz w:val="20"/>
          <w:szCs w:val="20"/>
        </w:rPr>
        <w:t xml:space="preserve"> Increasingly these areas are becoming locations for housing.</w:t>
      </w:r>
      <w:r w:rsidR="00523A40" w:rsidRPr="006C7B74">
        <w:rPr>
          <w:rFonts w:cstheme="minorHAnsi"/>
          <w:sz w:val="20"/>
          <w:szCs w:val="20"/>
        </w:rPr>
        <w:t xml:space="preserve"> </w:t>
      </w:r>
      <w:r w:rsidRPr="006C7B74">
        <w:rPr>
          <w:rStyle w:val="normaltextrun"/>
          <w:rFonts w:cstheme="minorHAnsi"/>
          <w:sz w:val="20"/>
          <w:szCs w:val="20"/>
        </w:rPr>
        <w:t>St Kilda Road is a significant mixed</w:t>
      </w:r>
      <w:r w:rsidR="00834346" w:rsidRPr="006C7B74">
        <w:rPr>
          <w:rStyle w:val="normaltextrun"/>
          <w:rFonts w:cstheme="minorHAnsi"/>
          <w:sz w:val="20"/>
          <w:szCs w:val="20"/>
        </w:rPr>
        <w:t>-</w:t>
      </w:r>
      <w:r w:rsidRPr="006C7B74">
        <w:rPr>
          <w:rStyle w:val="normaltextrun"/>
          <w:rFonts w:cstheme="minorHAnsi"/>
          <w:sz w:val="20"/>
          <w:szCs w:val="20"/>
        </w:rPr>
        <w:t xml:space="preserve">use and commercial area </w:t>
      </w:r>
      <w:r w:rsidR="00BA359C" w:rsidRPr="006C7B74">
        <w:rPr>
          <w:rStyle w:val="normaltextrun"/>
          <w:rFonts w:cstheme="minorHAnsi"/>
          <w:sz w:val="20"/>
          <w:szCs w:val="20"/>
        </w:rPr>
        <w:t xml:space="preserve">that transverses the City of Melbourne and City of Port Phillip. It comprises </w:t>
      </w:r>
      <w:r w:rsidRPr="006C7B74">
        <w:rPr>
          <w:rStyle w:val="normaltextrun"/>
          <w:rFonts w:cstheme="minorHAnsi"/>
          <w:sz w:val="20"/>
          <w:szCs w:val="20"/>
        </w:rPr>
        <w:t>large concentrations of existing office</w:t>
      </w:r>
      <w:r w:rsidR="007B0590" w:rsidRPr="006C7B74">
        <w:rPr>
          <w:rStyle w:val="normaltextrun"/>
          <w:rFonts w:cstheme="minorHAnsi"/>
          <w:sz w:val="20"/>
          <w:szCs w:val="20"/>
        </w:rPr>
        <w:t>s</w:t>
      </w:r>
      <w:r w:rsidRPr="006C7B74">
        <w:rPr>
          <w:rStyle w:val="normaltextrun"/>
          <w:rFonts w:cstheme="minorHAnsi"/>
          <w:sz w:val="20"/>
          <w:szCs w:val="20"/>
        </w:rPr>
        <w:t xml:space="preserve"> and accommodation </w:t>
      </w:r>
      <w:r w:rsidR="00BA359C" w:rsidRPr="006C7B74">
        <w:rPr>
          <w:rStyle w:val="normaltextrun"/>
          <w:rFonts w:cstheme="minorHAnsi"/>
          <w:sz w:val="20"/>
          <w:szCs w:val="20"/>
        </w:rPr>
        <w:t xml:space="preserve">and will be further enhanced </w:t>
      </w:r>
      <w:r w:rsidRPr="006C7B74">
        <w:rPr>
          <w:rStyle w:val="normaltextrun"/>
          <w:rFonts w:cstheme="minorHAnsi"/>
          <w:sz w:val="20"/>
          <w:szCs w:val="20"/>
        </w:rPr>
        <w:t>with the proposed</w:t>
      </w:r>
      <w:r w:rsidR="00BA359C" w:rsidRPr="006C7B74">
        <w:rPr>
          <w:rStyle w:val="normaltextrun"/>
          <w:rFonts w:cstheme="minorHAnsi"/>
          <w:sz w:val="20"/>
          <w:szCs w:val="20"/>
        </w:rPr>
        <w:t xml:space="preserve"> </w:t>
      </w:r>
      <w:r w:rsidRPr="006C7B74">
        <w:rPr>
          <w:rStyle w:val="normaltextrun"/>
          <w:rFonts w:cstheme="minorHAnsi"/>
          <w:sz w:val="20"/>
          <w:szCs w:val="20"/>
        </w:rPr>
        <w:t>Anzac Station as part of</w:t>
      </w:r>
      <w:r w:rsidR="00BA359C" w:rsidRPr="006C7B74">
        <w:rPr>
          <w:rStyle w:val="normaltextrun"/>
          <w:rFonts w:cstheme="minorHAnsi"/>
          <w:sz w:val="20"/>
          <w:szCs w:val="20"/>
        </w:rPr>
        <w:t xml:space="preserve"> </w:t>
      </w:r>
      <w:r w:rsidRPr="006C7B74">
        <w:rPr>
          <w:rStyle w:val="normaltextrun"/>
          <w:rFonts w:cstheme="minorHAnsi"/>
          <w:sz w:val="20"/>
          <w:szCs w:val="20"/>
        </w:rPr>
        <w:t>the</w:t>
      </w:r>
      <w:r w:rsidR="00BA359C" w:rsidRPr="006C7B74">
        <w:rPr>
          <w:rStyle w:val="normaltextrun"/>
          <w:rFonts w:cstheme="minorHAnsi"/>
          <w:sz w:val="20"/>
          <w:szCs w:val="20"/>
        </w:rPr>
        <w:t xml:space="preserve"> </w:t>
      </w:r>
      <w:r w:rsidRPr="006C7B74">
        <w:rPr>
          <w:rStyle w:val="normaltextrun"/>
          <w:rFonts w:cstheme="minorHAnsi"/>
          <w:sz w:val="20"/>
          <w:szCs w:val="20"/>
        </w:rPr>
        <w:t>Melbourne Metro</w:t>
      </w:r>
      <w:r w:rsidR="00BA359C" w:rsidRPr="006C7B74">
        <w:rPr>
          <w:rStyle w:val="normaltextrun"/>
          <w:rFonts w:cstheme="minorHAnsi"/>
          <w:sz w:val="20"/>
          <w:szCs w:val="20"/>
        </w:rPr>
        <w:t xml:space="preserve"> </w:t>
      </w:r>
      <w:r w:rsidRPr="006C7B74">
        <w:rPr>
          <w:rStyle w:val="normaltextrun"/>
          <w:rFonts w:cstheme="minorHAnsi"/>
          <w:sz w:val="20"/>
          <w:szCs w:val="20"/>
        </w:rPr>
        <w:t>rail project.</w:t>
      </w:r>
      <w:r w:rsidR="00BA359C" w:rsidRPr="006C7B74">
        <w:rPr>
          <w:rStyle w:val="normaltextrun"/>
          <w:rFonts w:cstheme="minorHAnsi"/>
          <w:sz w:val="20"/>
          <w:szCs w:val="20"/>
        </w:rPr>
        <w:t xml:space="preserve"> </w:t>
      </w:r>
    </w:p>
    <w:p w14:paraId="57B27430" w14:textId="002A5D29" w:rsidR="00F8789D" w:rsidRPr="006C7B74" w:rsidRDefault="00F8789D" w:rsidP="00934C4D">
      <w:pPr>
        <w:pStyle w:val="BodyText"/>
        <w:spacing w:before="0" w:line="240" w:lineRule="auto"/>
        <w:rPr>
          <w:lang w:eastAsia="en-AU"/>
        </w:rPr>
      </w:pPr>
      <w:proofErr w:type="spellStart"/>
      <w:r w:rsidRPr="006C7B74">
        <w:rPr>
          <w:b/>
          <w:lang w:eastAsia="en-AU"/>
        </w:rPr>
        <w:t>Fishermans</w:t>
      </w:r>
      <w:proofErr w:type="spellEnd"/>
      <w:r w:rsidRPr="006C7B74">
        <w:rPr>
          <w:b/>
          <w:lang w:eastAsia="en-AU"/>
        </w:rPr>
        <w:t xml:space="preserve"> Bend</w:t>
      </w:r>
      <w:r w:rsidRPr="006C7B74">
        <w:rPr>
          <w:b/>
          <w:bCs/>
          <w:lang w:eastAsia="en-AU"/>
        </w:rPr>
        <w:t xml:space="preserve"> </w:t>
      </w:r>
      <w:r w:rsidR="00377C3E" w:rsidRPr="006C7B74">
        <w:rPr>
          <w:b/>
          <w:bCs/>
          <w:lang w:eastAsia="en-AU"/>
        </w:rPr>
        <w:t>NEIC</w:t>
      </w:r>
      <w:r w:rsidR="00377C3E" w:rsidRPr="006C7B74">
        <w:rPr>
          <w:lang w:eastAsia="en-AU"/>
        </w:rPr>
        <w:t xml:space="preserve"> </w:t>
      </w:r>
      <w:r w:rsidRPr="006C7B74">
        <w:rPr>
          <w:lang w:eastAsia="en-AU"/>
        </w:rPr>
        <w:t xml:space="preserve">has direct access to West Gate Freeway and </w:t>
      </w:r>
      <w:proofErr w:type="spellStart"/>
      <w:r w:rsidRPr="006C7B74">
        <w:rPr>
          <w:lang w:eastAsia="en-AU"/>
        </w:rPr>
        <w:t>City</w:t>
      </w:r>
      <w:r w:rsidR="002F4A8B" w:rsidRPr="006C7B74">
        <w:rPr>
          <w:lang w:eastAsia="en-AU"/>
        </w:rPr>
        <w:t>L</w:t>
      </w:r>
      <w:r w:rsidRPr="006C7B74">
        <w:rPr>
          <w:lang w:eastAsia="en-AU"/>
        </w:rPr>
        <w:t>ink</w:t>
      </w:r>
      <w:proofErr w:type="spellEnd"/>
      <w:r w:rsidR="00377C3E" w:rsidRPr="006C7B74">
        <w:rPr>
          <w:lang w:eastAsia="en-AU"/>
        </w:rPr>
        <w:t xml:space="preserve"> </w:t>
      </w:r>
      <w:r w:rsidRPr="006C7B74">
        <w:rPr>
          <w:lang w:eastAsia="en-AU"/>
        </w:rPr>
        <w:t>and is strategically located</w:t>
      </w:r>
      <w:r w:rsidR="0064253E" w:rsidRPr="006C7B74">
        <w:rPr>
          <w:lang w:eastAsia="en-AU"/>
        </w:rPr>
        <w:t>,</w:t>
      </w:r>
      <w:r w:rsidRPr="006C7B74">
        <w:rPr>
          <w:lang w:eastAsia="en-AU"/>
        </w:rPr>
        <w:t xml:space="preserve"> adjacent to the Port of Melbourne</w:t>
      </w:r>
      <w:r w:rsidR="000E4D13" w:rsidRPr="006C7B74">
        <w:rPr>
          <w:lang w:eastAsia="en-AU"/>
        </w:rPr>
        <w:t>,</w:t>
      </w:r>
      <w:r w:rsidRPr="006C7B74">
        <w:rPr>
          <w:lang w:eastAsia="en-AU"/>
        </w:rPr>
        <w:t xml:space="preserve"> the CBD and Docklands. </w:t>
      </w:r>
      <w:r w:rsidR="008A7312" w:rsidRPr="006C7B74">
        <w:rPr>
          <w:lang w:eastAsia="en-AU"/>
        </w:rPr>
        <w:t>T</w:t>
      </w:r>
      <w:r w:rsidRPr="006C7B74">
        <w:rPr>
          <w:lang w:eastAsia="en-AU"/>
        </w:rPr>
        <w:t xml:space="preserve">he </w:t>
      </w:r>
      <w:r w:rsidR="00205650" w:rsidRPr="006C7B74">
        <w:rPr>
          <w:lang w:eastAsia="en-AU"/>
        </w:rPr>
        <w:t>e</w:t>
      </w:r>
      <w:r w:rsidR="0064253E" w:rsidRPr="006C7B74">
        <w:rPr>
          <w:lang w:eastAsia="en-AU"/>
        </w:rPr>
        <w:t xml:space="preserve">mployment </w:t>
      </w:r>
      <w:r w:rsidR="00205650" w:rsidRPr="006C7B74">
        <w:rPr>
          <w:lang w:eastAsia="en-AU"/>
        </w:rPr>
        <w:t>p</w:t>
      </w:r>
      <w:r w:rsidR="0064253E" w:rsidRPr="006C7B74">
        <w:rPr>
          <w:lang w:eastAsia="en-AU"/>
        </w:rPr>
        <w:t>recinct</w:t>
      </w:r>
      <w:r w:rsidRPr="006C7B74">
        <w:rPr>
          <w:lang w:eastAsia="en-AU"/>
        </w:rPr>
        <w:t xml:space="preserve"> is </w:t>
      </w:r>
      <w:r w:rsidR="008A7312" w:rsidRPr="006C7B74">
        <w:rPr>
          <w:lang w:eastAsia="en-AU"/>
        </w:rPr>
        <w:t xml:space="preserve">currently </w:t>
      </w:r>
      <w:r w:rsidRPr="006C7B74">
        <w:rPr>
          <w:lang w:eastAsia="en-AU"/>
        </w:rPr>
        <w:t>home to approximately 13,000 jobs</w:t>
      </w:r>
      <w:r w:rsidR="008A7312" w:rsidRPr="006C7B74">
        <w:rPr>
          <w:lang w:eastAsia="en-AU"/>
        </w:rPr>
        <w:t xml:space="preserve">. </w:t>
      </w:r>
      <w:r w:rsidRPr="006C7B74">
        <w:rPr>
          <w:lang w:eastAsia="en-AU"/>
        </w:rPr>
        <w:t>The</w:t>
      </w:r>
      <w:r w:rsidRPr="006C7B74">
        <w:rPr>
          <w:i/>
          <w:lang w:eastAsia="en-AU"/>
        </w:rPr>
        <w:t xml:space="preserve"> </w:t>
      </w:r>
      <w:proofErr w:type="spellStart"/>
      <w:r w:rsidRPr="006C7B74">
        <w:rPr>
          <w:i/>
          <w:lang w:eastAsia="en-AU"/>
        </w:rPr>
        <w:t>Fishermans</w:t>
      </w:r>
      <w:proofErr w:type="spellEnd"/>
      <w:r w:rsidRPr="006C7B74">
        <w:rPr>
          <w:i/>
          <w:lang w:eastAsia="en-AU"/>
        </w:rPr>
        <w:t xml:space="preserve"> Bend Framework </w:t>
      </w:r>
      <w:r w:rsidRPr="006C7B74">
        <w:rPr>
          <w:lang w:eastAsia="en-AU"/>
        </w:rPr>
        <w:t xml:space="preserve">outlines a vision for the precinct to become </w:t>
      </w:r>
      <w:r w:rsidR="008E4D77" w:rsidRPr="006C7B74">
        <w:rPr>
          <w:lang w:eastAsia="en-AU"/>
        </w:rPr>
        <w:t>internationally renowned as a centre of innovation in advanced manufacturing, engineering and design</w:t>
      </w:r>
      <w:r w:rsidR="000C259A" w:rsidRPr="006C7B74">
        <w:rPr>
          <w:lang w:eastAsia="en-AU"/>
        </w:rPr>
        <w:t xml:space="preserve">, building on the </w:t>
      </w:r>
      <w:r w:rsidR="00DF5C7D" w:rsidRPr="006C7B74">
        <w:rPr>
          <w:lang w:eastAsia="en-AU"/>
        </w:rPr>
        <w:t xml:space="preserve">presence of the University of Melbourne at the </w:t>
      </w:r>
      <w:r w:rsidR="000C259A" w:rsidRPr="006C7B74">
        <w:rPr>
          <w:lang w:eastAsia="en-AU"/>
        </w:rPr>
        <w:t xml:space="preserve">former General </w:t>
      </w:r>
      <w:r w:rsidR="00DF5C7D" w:rsidRPr="006C7B74">
        <w:rPr>
          <w:lang w:eastAsia="en-AU"/>
        </w:rPr>
        <w:t xml:space="preserve">Motors Holden site and significant investment in </w:t>
      </w:r>
      <w:r w:rsidR="004B0A58" w:rsidRPr="006C7B74">
        <w:rPr>
          <w:lang w:eastAsia="en-AU"/>
        </w:rPr>
        <w:t>public transport</w:t>
      </w:r>
      <w:r w:rsidR="00205650" w:rsidRPr="006C7B74">
        <w:rPr>
          <w:lang w:eastAsia="en-AU"/>
        </w:rPr>
        <w:t>.</w:t>
      </w:r>
      <w:r w:rsidRPr="006C7B74" w:rsidDel="004B0A58">
        <w:rPr>
          <w:lang w:eastAsia="en-AU"/>
        </w:rPr>
        <w:t xml:space="preserve"> </w:t>
      </w:r>
      <w:r w:rsidR="00796D03" w:rsidRPr="006C7B74">
        <w:rPr>
          <w:lang w:eastAsia="en-AU"/>
        </w:rPr>
        <w:t xml:space="preserve">It is anticipated that there will be up to </w:t>
      </w:r>
      <w:r w:rsidRPr="006C7B74">
        <w:rPr>
          <w:lang w:eastAsia="en-AU"/>
        </w:rPr>
        <w:t xml:space="preserve">40,000 </w:t>
      </w:r>
      <w:r w:rsidR="00796D03" w:rsidRPr="006C7B74">
        <w:rPr>
          <w:lang w:eastAsia="en-AU"/>
        </w:rPr>
        <w:t xml:space="preserve">jobs in this </w:t>
      </w:r>
      <w:r w:rsidR="00CC52B4" w:rsidRPr="006C7B74">
        <w:rPr>
          <w:lang w:eastAsia="en-AU"/>
        </w:rPr>
        <w:t>precinct</w:t>
      </w:r>
      <w:r w:rsidRPr="006C7B74">
        <w:rPr>
          <w:lang w:eastAsia="en-AU"/>
        </w:rPr>
        <w:t xml:space="preserve"> by 2050. </w:t>
      </w:r>
      <w:r w:rsidR="00804A25" w:rsidRPr="006C7B74">
        <w:rPr>
          <w:lang w:eastAsia="en-AU"/>
        </w:rPr>
        <w:t xml:space="preserve">The </w:t>
      </w:r>
      <w:r w:rsidR="0064253E" w:rsidRPr="006C7B74">
        <w:rPr>
          <w:lang w:eastAsia="en-AU"/>
        </w:rPr>
        <w:t>F</w:t>
      </w:r>
      <w:r w:rsidR="00804A25" w:rsidRPr="006C7B74">
        <w:rPr>
          <w:lang w:eastAsia="en-AU"/>
        </w:rPr>
        <w:t xml:space="preserve">ramework also envisages significant opportunity for </w:t>
      </w:r>
      <w:r w:rsidR="004519C8" w:rsidRPr="006C7B74">
        <w:rPr>
          <w:lang w:eastAsia="en-AU"/>
        </w:rPr>
        <w:t xml:space="preserve">increased </w:t>
      </w:r>
      <w:r w:rsidR="00804A25" w:rsidRPr="006C7B74">
        <w:rPr>
          <w:lang w:eastAsia="en-AU"/>
        </w:rPr>
        <w:t>commercial floorspace and jobs in the mixed</w:t>
      </w:r>
      <w:r w:rsidR="00784E6C" w:rsidRPr="006C7B74">
        <w:rPr>
          <w:lang w:eastAsia="en-AU"/>
        </w:rPr>
        <w:t>-</w:t>
      </w:r>
      <w:r w:rsidR="00804A25" w:rsidRPr="006C7B74">
        <w:rPr>
          <w:lang w:eastAsia="en-AU"/>
        </w:rPr>
        <w:t>use precincts</w:t>
      </w:r>
      <w:r w:rsidR="008F6F10" w:rsidRPr="006C7B74">
        <w:rPr>
          <w:lang w:eastAsia="en-AU"/>
        </w:rPr>
        <w:t xml:space="preserve">, particularly </w:t>
      </w:r>
      <w:r w:rsidR="00AD492C" w:rsidRPr="006C7B74">
        <w:rPr>
          <w:lang w:eastAsia="en-AU"/>
        </w:rPr>
        <w:t>in the</w:t>
      </w:r>
      <w:r w:rsidR="008F6F10" w:rsidRPr="006C7B74">
        <w:rPr>
          <w:lang w:eastAsia="en-AU"/>
        </w:rPr>
        <w:t xml:space="preserve"> Sandridge</w:t>
      </w:r>
      <w:r w:rsidR="00AD492C" w:rsidRPr="006C7B74">
        <w:rPr>
          <w:lang w:eastAsia="en-AU"/>
        </w:rPr>
        <w:t xml:space="preserve"> precinct</w:t>
      </w:r>
      <w:r w:rsidR="002F4A8B" w:rsidRPr="006C7B74">
        <w:rPr>
          <w:lang w:eastAsia="en-AU"/>
        </w:rPr>
        <w:t>.</w:t>
      </w:r>
      <w:r w:rsidR="00AD492C" w:rsidRPr="006C7B74">
        <w:rPr>
          <w:lang w:eastAsia="en-AU"/>
        </w:rPr>
        <w:t xml:space="preserve"> </w:t>
      </w:r>
      <w:r w:rsidR="000B2146" w:rsidRPr="006C7B74">
        <w:rPr>
          <w:lang w:eastAsia="en-AU"/>
        </w:rPr>
        <w:t xml:space="preserve">These mixed-use precincts will transition away from industrial uses </w:t>
      </w:r>
      <w:r w:rsidR="00856016" w:rsidRPr="006C7B74">
        <w:rPr>
          <w:lang w:eastAsia="en-AU"/>
        </w:rPr>
        <w:t>and it</w:t>
      </w:r>
      <w:r w:rsidR="00702FF8">
        <w:rPr>
          <w:lang w:eastAsia="en-AU"/>
        </w:rPr>
        <w:t xml:space="preserve"> </w:t>
      </w:r>
      <w:r w:rsidR="00AD492C" w:rsidRPr="006C7B74">
        <w:rPr>
          <w:lang w:eastAsia="en-AU"/>
        </w:rPr>
        <w:t xml:space="preserve">is </w:t>
      </w:r>
      <w:r w:rsidR="00A54E9D" w:rsidRPr="006C7B74">
        <w:rPr>
          <w:lang w:eastAsia="en-AU"/>
        </w:rPr>
        <w:t>projected</w:t>
      </w:r>
      <w:r w:rsidR="00AD492C" w:rsidRPr="006C7B74">
        <w:rPr>
          <w:lang w:eastAsia="en-AU"/>
        </w:rPr>
        <w:t xml:space="preserve"> that </w:t>
      </w:r>
      <w:r w:rsidR="002B550F" w:rsidRPr="006C7B74">
        <w:rPr>
          <w:lang w:eastAsia="en-AU"/>
        </w:rPr>
        <w:t>40,000 jobs will be provided across the mixed</w:t>
      </w:r>
      <w:r w:rsidR="00784E6C" w:rsidRPr="006C7B74">
        <w:rPr>
          <w:lang w:eastAsia="en-AU"/>
        </w:rPr>
        <w:t>-</w:t>
      </w:r>
      <w:r w:rsidR="002B550F" w:rsidRPr="006C7B74">
        <w:rPr>
          <w:lang w:eastAsia="en-AU"/>
        </w:rPr>
        <w:t xml:space="preserve">use precincts, </w:t>
      </w:r>
      <w:r w:rsidR="00BC3621" w:rsidRPr="006C7B74">
        <w:rPr>
          <w:lang w:eastAsia="en-AU"/>
        </w:rPr>
        <w:t xml:space="preserve">potentially creating </w:t>
      </w:r>
      <w:r w:rsidR="00205650" w:rsidRPr="006C7B74">
        <w:rPr>
          <w:lang w:eastAsia="en-AU"/>
        </w:rPr>
        <w:t xml:space="preserve">a total of </w:t>
      </w:r>
      <w:r w:rsidR="002B550F" w:rsidRPr="006C7B74">
        <w:rPr>
          <w:lang w:eastAsia="en-AU"/>
        </w:rPr>
        <w:t xml:space="preserve">80,000 jobs </w:t>
      </w:r>
      <w:r w:rsidR="00675AF0" w:rsidRPr="006C7B74">
        <w:rPr>
          <w:lang w:eastAsia="en-AU"/>
        </w:rPr>
        <w:t>in</w:t>
      </w:r>
      <w:r w:rsidR="002B550F" w:rsidRPr="006C7B74">
        <w:rPr>
          <w:lang w:eastAsia="en-AU"/>
        </w:rPr>
        <w:t xml:space="preserve"> </w:t>
      </w:r>
      <w:proofErr w:type="spellStart"/>
      <w:r w:rsidR="002B550F" w:rsidRPr="006C7B74">
        <w:rPr>
          <w:lang w:eastAsia="en-AU"/>
        </w:rPr>
        <w:t>Fishermans</w:t>
      </w:r>
      <w:proofErr w:type="spellEnd"/>
      <w:r w:rsidR="002B550F" w:rsidRPr="006C7B74">
        <w:rPr>
          <w:lang w:eastAsia="en-AU"/>
        </w:rPr>
        <w:t xml:space="preserve"> Bend</w:t>
      </w:r>
      <w:r w:rsidR="00BC3621" w:rsidRPr="006C7B74">
        <w:rPr>
          <w:lang w:eastAsia="en-AU"/>
        </w:rPr>
        <w:t xml:space="preserve"> by 2050.</w:t>
      </w:r>
      <w:r w:rsidR="00804A25" w:rsidRPr="006C7B74">
        <w:rPr>
          <w:lang w:eastAsia="en-AU"/>
        </w:rPr>
        <w:t xml:space="preserve"> </w:t>
      </w:r>
    </w:p>
    <w:p w14:paraId="7A0B944F" w14:textId="6B05D5C8" w:rsidR="00E54137" w:rsidRPr="006C7B74" w:rsidRDefault="00E54137" w:rsidP="00AA2CF3">
      <w:pPr>
        <w:spacing w:after="120"/>
        <w:rPr>
          <w:rFonts w:cstheme="minorHAnsi"/>
          <w:sz w:val="20"/>
          <w:szCs w:val="20"/>
        </w:rPr>
      </w:pPr>
      <w:r w:rsidRPr="006C7B74">
        <w:rPr>
          <w:rFonts w:cstheme="minorHAnsi"/>
          <w:sz w:val="20"/>
          <w:szCs w:val="20"/>
        </w:rPr>
        <w:t xml:space="preserve">The </w:t>
      </w:r>
      <w:r w:rsidRPr="006C7B74">
        <w:rPr>
          <w:rFonts w:cstheme="minorHAnsi"/>
          <w:b/>
          <w:sz w:val="20"/>
          <w:szCs w:val="20"/>
        </w:rPr>
        <w:t>Parkville NEIC</w:t>
      </w:r>
      <w:r w:rsidRPr="006C7B74">
        <w:rPr>
          <w:rFonts w:cstheme="minorHAnsi"/>
          <w:sz w:val="20"/>
          <w:szCs w:val="20"/>
        </w:rPr>
        <w:t xml:space="preserve"> </w:t>
      </w:r>
      <w:r w:rsidR="00AA2CF3" w:rsidRPr="006C7B74">
        <w:rPr>
          <w:rFonts w:cstheme="minorHAnsi"/>
          <w:sz w:val="20"/>
          <w:szCs w:val="20"/>
        </w:rPr>
        <w:t xml:space="preserve">has a range of </w:t>
      </w:r>
      <w:r w:rsidR="00205650" w:rsidRPr="006C7B74">
        <w:rPr>
          <w:rFonts w:cstheme="minorHAnsi"/>
          <w:sz w:val="20"/>
          <w:szCs w:val="20"/>
        </w:rPr>
        <w:t>education, research, health, professional and technical industries as well as significant parkland</w:t>
      </w:r>
      <w:r w:rsidR="00AA2CF3" w:rsidRPr="006C7B74">
        <w:rPr>
          <w:rFonts w:cstheme="minorHAnsi"/>
          <w:sz w:val="20"/>
          <w:szCs w:val="20"/>
        </w:rPr>
        <w:t>. It is an established, internationally renowned research centre</w:t>
      </w:r>
      <w:r w:rsidR="00E11191" w:rsidRPr="006C7B74">
        <w:rPr>
          <w:rFonts w:cstheme="minorHAnsi"/>
          <w:sz w:val="20"/>
          <w:szCs w:val="20"/>
        </w:rPr>
        <w:t>, particularly in biomedical sciences,</w:t>
      </w:r>
      <w:r w:rsidR="00AA2CF3" w:rsidRPr="006C7B74">
        <w:rPr>
          <w:rFonts w:cstheme="minorHAnsi"/>
          <w:sz w:val="20"/>
          <w:szCs w:val="20"/>
        </w:rPr>
        <w:t xml:space="preserve"> on the doorstep of the CBD</w:t>
      </w:r>
      <w:r w:rsidR="00AE0CAE" w:rsidRPr="006C7B74">
        <w:rPr>
          <w:rFonts w:cstheme="minorHAnsi"/>
          <w:sz w:val="20"/>
          <w:szCs w:val="20"/>
        </w:rPr>
        <w:t>. It</w:t>
      </w:r>
      <w:r w:rsidR="00AA2CF3" w:rsidRPr="006C7B74">
        <w:rPr>
          <w:rFonts w:cstheme="minorHAnsi"/>
          <w:sz w:val="20"/>
          <w:szCs w:val="20"/>
        </w:rPr>
        <w:t xml:space="preserve"> </w:t>
      </w:r>
      <w:r w:rsidRPr="006C7B74">
        <w:rPr>
          <w:rFonts w:cstheme="minorHAnsi"/>
          <w:sz w:val="20"/>
          <w:szCs w:val="20"/>
        </w:rPr>
        <w:t>compris</w:t>
      </w:r>
      <w:r w:rsidR="00AE0CAE" w:rsidRPr="006C7B74">
        <w:rPr>
          <w:rFonts w:cstheme="minorHAnsi"/>
          <w:sz w:val="20"/>
          <w:szCs w:val="20"/>
        </w:rPr>
        <w:t>es</w:t>
      </w:r>
      <w:r w:rsidR="00AA2CF3" w:rsidRPr="006C7B74">
        <w:rPr>
          <w:rFonts w:cstheme="minorHAnsi"/>
          <w:sz w:val="20"/>
          <w:szCs w:val="20"/>
        </w:rPr>
        <w:t xml:space="preserve"> </w:t>
      </w:r>
      <w:r w:rsidR="007963A3" w:rsidRPr="006C7B74">
        <w:rPr>
          <w:rFonts w:cstheme="minorHAnsi"/>
          <w:sz w:val="20"/>
          <w:szCs w:val="20"/>
        </w:rPr>
        <w:t xml:space="preserve">a range of institutions including </w:t>
      </w:r>
      <w:r w:rsidR="00AA2CF3" w:rsidRPr="006C7B74">
        <w:rPr>
          <w:rFonts w:cstheme="minorHAnsi"/>
          <w:sz w:val="20"/>
          <w:szCs w:val="20"/>
        </w:rPr>
        <w:t>t</w:t>
      </w:r>
      <w:r w:rsidRPr="006C7B74">
        <w:rPr>
          <w:rFonts w:cstheme="minorHAnsi"/>
          <w:sz w:val="20"/>
          <w:szCs w:val="20"/>
        </w:rPr>
        <w:t>he University of Melbourne, Monash University</w:t>
      </w:r>
      <w:r w:rsidR="0034670C" w:rsidRPr="006C7B74">
        <w:rPr>
          <w:rFonts w:cstheme="minorHAnsi"/>
          <w:sz w:val="20"/>
          <w:szCs w:val="20"/>
        </w:rPr>
        <w:t xml:space="preserve"> </w:t>
      </w:r>
      <w:r w:rsidR="00E11191" w:rsidRPr="006C7B74">
        <w:rPr>
          <w:rFonts w:cstheme="minorHAnsi"/>
          <w:sz w:val="20"/>
          <w:szCs w:val="20"/>
        </w:rPr>
        <w:t xml:space="preserve">(Faculty of </w:t>
      </w:r>
      <w:r w:rsidR="004C7FCA" w:rsidRPr="006C7B74">
        <w:rPr>
          <w:rFonts w:cstheme="minorHAnsi"/>
          <w:sz w:val="20"/>
          <w:szCs w:val="20"/>
        </w:rPr>
        <w:t>Pharmacy and Pharmaceutical Sciences</w:t>
      </w:r>
      <w:r w:rsidR="00E11191" w:rsidRPr="006C7B74">
        <w:rPr>
          <w:rFonts w:cstheme="minorHAnsi"/>
          <w:sz w:val="20"/>
          <w:szCs w:val="20"/>
        </w:rPr>
        <w:t>)</w:t>
      </w:r>
      <w:r w:rsidRPr="006C7B74">
        <w:rPr>
          <w:rFonts w:cstheme="minorHAnsi"/>
          <w:sz w:val="20"/>
          <w:szCs w:val="20"/>
        </w:rPr>
        <w:t xml:space="preserve">, RMIT University, Royal Melbourne Hospital, Doherty Institute, the </w:t>
      </w:r>
      <w:r w:rsidR="00A54710" w:rsidRPr="006C7B74">
        <w:rPr>
          <w:rFonts w:cstheme="minorHAnsi"/>
          <w:sz w:val="20"/>
          <w:szCs w:val="20"/>
        </w:rPr>
        <w:t>Victorian Comprehensive Cancer Centre</w:t>
      </w:r>
      <w:r w:rsidRPr="006C7B74">
        <w:rPr>
          <w:rFonts w:cstheme="minorHAnsi"/>
          <w:sz w:val="20"/>
          <w:szCs w:val="20"/>
        </w:rPr>
        <w:t xml:space="preserve">, the </w:t>
      </w:r>
      <w:r w:rsidR="005A61B5" w:rsidRPr="006C7B74">
        <w:rPr>
          <w:rFonts w:cstheme="minorHAnsi"/>
          <w:sz w:val="20"/>
          <w:szCs w:val="20"/>
        </w:rPr>
        <w:t>Walter and Eliza Hall Institute of Medical Research</w:t>
      </w:r>
      <w:r w:rsidRPr="006C7B74">
        <w:rPr>
          <w:rFonts w:cstheme="minorHAnsi"/>
          <w:sz w:val="20"/>
          <w:szCs w:val="20"/>
        </w:rPr>
        <w:t xml:space="preserve">, the Florey Institute and </w:t>
      </w:r>
      <w:r w:rsidR="007963A3" w:rsidRPr="006C7B74">
        <w:rPr>
          <w:rFonts w:cstheme="minorHAnsi"/>
          <w:sz w:val="20"/>
          <w:szCs w:val="20"/>
        </w:rPr>
        <w:t xml:space="preserve">the </w:t>
      </w:r>
      <w:r w:rsidRPr="006C7B74">
        <w:rPr>
          <w:rFonts w:cstheme="minorHAnsi"/>
          <w:sz w:val="20"/>
          <w:szCs w:val="20"/>
        </w:rPr>
        <w:t>Commonwealth Serum Laboratories</w:t>
      </w:r>
      <w:r w:rsidR="00154C16" w:rsidRPr="006C7B74">
        <w:rPr>
          <w:rFonts w:cstheme="minorHAnsi"/>
          <w:sz w:val="20"/>
          <w:szCs w:val="20"/>
        </w:rPr>
        <w:t xml:space="preserve">. </w:t>
      </w:r>
      <w:r w:rsidR="00AA2CF3" w:rsidRPr="006C7B74">
        <w:rPr>
          <w:rFonts w:cstheme="minorHAnsi"/>
          <w:sz w:val="20"/>
          <w:szCs w:val="20"/>
        </w:rPr>
        <w:t xml:space="preserve">The cluster has a high level of public transport access, with tram routes via Swanston and Elizabeth </w:t>
      </w:r>
      <w:r w:rsidR="00712C17" w:rsidRPr="006C7B74">
        <w:rPr>
          <w:rFonts w:cstheme="minorHAnsi"/>
          <w:sz w:val="20"/>
          <w:szCs w:val="20"/>
        </w:rPr>
        <w:t>S</w:t>
      </w:r>
      <w:r w:rsidR="00AA2CF3" w:rsidRPr="006C7B74">
        <w:rPr>
          <w:rFonts w:cstheme="minorHAnsi"/>
          <w:sz w:val="20"/>
          <w:szCs w:val="20"/>
        </w:rPr>
        <w:t>treets. Accessibility will be improved with the establishment of a new, state-of-the-art train station at Parkville as part of the Metro Tunnel project.</w:t>
      </w:r>
    </w:p>
    <w:p w14:paraId="3437FE1A" w14:textId="71F411A4" w:rsidR="00E54137" w:rsidRPr="006C7B74" w:rsidRDefault="00E54137" w:rsidP="006C7B74">
      <w:pPr>
        <w:pStyle w:val="BodyText"/>
        <w:rPr>
          <w:lang w:eastAsia="en-AU"/>
        </w:rPr>
      </w:pPr>
      <w:r w:rsidRPr="006C7B74">
        <w:rPr>
          <w:b/>
          <w:lang w:eastAsia="en-AU"/>
        </w:rPr>
        <w:t>Arden and Macaul</w:t>
      </w:r>
      <w:r w:rsidR="004A0491" w:rsidRPr="006C7B74">
        <w:rPr>
          <w:b/>
          <w:lang w:eastAsia="en-AU"/>
        </w:rPr>
        <w:t>a</w:t>
      </w:r>
      <w:r w:rsidRPr="006C7B74">
        <w:rPr>
          <w:b/>
          <w:lang w:eastAsia="en-AU"/>
        </w:rPr>
        <w:t>y</w:t>
      </w:r>
      <w:r w:rsidRPr="006C7B74">
        <w:rPr>
          <w:lang w:eastAsia="en-AU"/>
        </w:rPr>
        <w:t xml:space="preserve"> </w:t>
      </w:r>
      <w:r w:rsidR="00054F39">
        <w:rPr>
          <w:lang w:eastAsia="en-AU"/>
        </w:rPr>
        <w:t>l</w:t>
      </w:r>
      <w:r w:rsidR="00750D3A" w:rsidRPr="006C7B74">
        <w:rPr>
          <w:lang w:eastAsia="en-AU"/>
        </w:rPr>
        <w:t xml:space="preserve">ocated in </w:t>
      </w:r>
      <w:r w:rsidRPr="006C7B74">
        <w:rPr>
          <w:lang w:eastAsia="en-AU"/>
        </w:rPr>
        <w:t xml:space="preserve">Kensington and North Melbourne have been identified as major urban renewal areas </w:t>
      </w:r>
      <w:r w:rsidR="00B413B9" w:rsidRPr="006C7B74">
        <w:rPr>
          <w:lang w:eastAsia="en-AU"/>
        </w:rPr>
        <w:t>which</w:t>
      </w:r>
      <w:r w:rsidRPr="006C7B74">
        <w:rPr>
          <w:lang w:eastAsia="en-AU"/>
        </w:rPr>
        <w:t xml:space="preserve"> have the potential to transition away from traditional industri</w:t>
      </w:r>
      <w:r w:rsidR="00AC3755" w:rsidRPr="006C7B74">
        <w:rPr>
          <w:lang w:eastAsia="en-AU"/>
        </w:rPr>
        <w:t xml:space="preserve">es to </w:t>
      </w:r>
      <w:r w:rsidRPr="006C7B74">
        <w:rPr>
          <w:lang w:eastAsia="en-AU"/>
        </w:rPr>
        <w:t>new areas for knowledge-based employment</w:t>
      </w:r>
      <w:r w:rsidR="00AC3755" w:rsidRPr="006C7B74">
        <w:rPr>
          <w:lang w:eastAsia="en-AU"/>
        </w:rPr>
        <w:t>,</w:t>
      </w:r>
      <w:r w:rsidRPr="006C7B74">
        <w:rPr>
          <w:lang w:eastAsia="en-AU"/>
        </w:rPr>
        <w:t xml:space="preserve"> extending from the </w:t>
      </w:r>
      <w:r w:rsidR="007F2AEB" w:rsidRPr="006C7B74">
        <w:rPr>
          <w:lang w:eastAsia="en-AU"/>
        </w:rPr>
        <w:t>C</w:t>
      </w:r>
      <w:r w:rsidRPr="006C7B74">
        <w:rPr>
          <w:lang w:eastAsia="en-AU"/>
        </w:rPr>
        <w:t xml:space="preserve">entral </w:t>
      </w:r>
      <w:r w:rsidR="007F2AEB" w:rsidRPr="006C7B74">
        <w:rPr>
          <w:lang w:eastAsia="en-AU"/>
        </w:rPr>
        <w:t>C</w:t>
      </w:r>
      <w:r w:rsidRPr="006C7B74">
        <w:rPr>
          <w:lang w:eastAsia="en-AU"/>
        </w:rPr>
        <w:t xml:space="preserve">ity to the Parkville NEIC. The </w:t>
      </w:r>
      <w:r w:rsidR="006B6211" w:rsidRPr="006C7B74">
        <w:rPr>
          <w:lang w:eastAsia="en-AU"/>
        </w:rPr>
        <w:t xml:space="preserve">Arden </w:t>
      </w:r>
      <w:r w:rsidRPr="006C7B74">
        <w:rPr>
          <w:lang w:eastAsia="en-AU"/>
        </w:rPr>
        <w:t xml:space="preserve">area will be further enhanced by a new train station </w:t>
      </w:r>
      <w:r w:rsidR="004920FC" w:rsidRPr="006C7B74">
        <w:rPr>
          <w:lang w:eastAsia="en-AU"/>
        </w:rPr>
        <w:t>as</w:t>
      </w:r>
      <w:r w:rsidRPr="006C7B74">
        <w:rPr>
          <w:lang w:eastAsia="en-AU"/>
        </w:rPr>
        <w:t xml:space="preserve"> part of the Metro</w:t>
      </w:r>
      <w:r w:rsidR="004920FC" w:rsidRPr="006C7B74">
        <w:rPr>
          <w:lang w:eastAsia="en-AU"/>
        </w:rPr>
        <w:t xml:space="preserve"> </w:t>
      </w:r>
      <w:r w:rsidR="00D503E7" w:rsidRPr="006C7B74">
        <w:rPr>
          <w:lang w:eastAsia="en-AU"/>
        </w:rPr>
        <w:t xml:space="preserve">Tunnel </w:t>
      </w:r>
      <w:r w:rsidR="004920FC" w:rsidRPr="006C7B74">
        <w:rPr>
          <w:lang w:eastAsia="en-AU"/>
        </w:rPr>
        <w:t>project</w:t>
      </w:r>
      <w:r w:rsidRPr="006C7B74">
        <w:rPr>
          <w:lang w:eastAsia="en-AU"/>
        </w:rPr>
        <w:t xml:space="preserve">. A number of </w:t>
      </w:r>
      <w:r w:rsidR="004920FC" w:rsidRPr="006C7B74">
        <w:rPr>
          <w:lang w:eastAsia="en-AU"/>
        </w:rPr>
        <w:t xml:space="preserve">sites have been </w:t>
      </w:r>
      <w:r w:rsidRPr="006C7B74">
        <w:rPr>
          <w:lang w:eastAsia="en-AU"/>
        </w:rPr>
        <w:t>rezon</w:t>
      </w:r>
      <w:r w:rsidR="004920FC" w:rsidRPr="006C7B74">
        <w:rPr>
          <w:lang w:eastAsia="en-AU"/>
        </w:rPr>
        <w:t>ed</w:t>
      </w:r>
      <w:r w:rsidRPr="006C7B74">
        <w:rPr>
          <w:lang w:eastAsia="en-AU"/>
        </w:rPr>
        <w:t xml:space="preserve"> from industrial to mixed</w:t>
      </w:r>
      <w:r w:rsidR="00784E6C" w:rsidRPr="006C7B74">
        <w:rPr>
          <w:lang w:eastAsia="en-AU"/>
        </w:rPr>
        <w:t>-</w:t>
      </w:r>
      <w:r w:rsidRPr="006C7B74">
        <w:rPr>
          <w:lang w:eastAsia="en-AU"/>
        </w:rPr>
        <w:t>use</w:t>
      </w:r>
      <w:r w:rsidR="004920FC" w:rsidRPr="006C7B74">
        <w:rPr>
          <w:lang w:eastAsia="en-AU"/>
        </w:rPr>
        <w:t>.</w:t>
      </w:r>
      <w:r w:rsidRPr="006C7B74">
        <w:rPr>
          <w:lang w:eastAsia="en-AU"/>
        </w:rPr>
        <w:t xml:space="preserve"> </w:t>
      </w:r>
      <w:r w:rsidRPr="006C7B74">
        <w:rPr>
          <w:rStyle w:val="normaltextrun"/>
        </w:rPr>
        <w:t>Arden Central will provide an extension of the Parkville Biomedical Precinct, providing an estimated 34,000 jobs and 15,000 residents (</w:t>
      </w:r>
      <w:r w:rsidRPr="006C7B74">
        <w:rPr>
          <w:rStyle w:val="normaltextrun"/>
          <w:i/>
        </w:rPr>
        <w:t>Arden Vision</w:t>
      </w:r>
      <w:r w:rsidRPr="006C7B74">
        <w:rPr>
          <w:rStyle w:val="normaltextrun"/>
        </w:rPr>
        <w:t>, July 2018)</w:t>
      </w:r>
      <w:r w:rsidR="003C76FE" w:rsidRPr="006C7B74">
        <w:rPr>
          <w:rStyle w:val="normaltextrun"/>
        </w:rPr>
        <w:t>.</w:t>
      </w:r>
      <w:r w:rsidR="00944314" w:rsidRPr="006C7B74">
        <w:rPr>
          <w:rStyle w:val="normaltextrun"/>
        </w:rPr>
        <w:t xml:space="preserve"> </w:t>
      </w:r>
      <w:r w:rsidR="004A0491" w:rsidRPr="006C7B74">
        <w:rPr>
          <w:rStyle w:val="normaltextrun"/>
        </w:rPr>
        <w:t xml:space="preserve">The area around Macaulay </w:t>
      </w:r>
      <w:r w:rsidR="00A24254" w:rsidRPr="006C7B74">
        <w:rPr>
          <w:rStyle w:val="normaltextrun"/>
        </w:rPr>
        <w:t xml:space="preserve">provides opportunity to </w:t>
      </w:r>
      <w:r w:rsidR="00944314" w:rsidRPr="006C7B74">
        <w:t>creat</w:t>
      </w:r>
      <w:r w:rsidR="00A24254" w:rsidRPr="006C7B74">
        <w:t>e</w:t>
      </w:r>
      <w:r w:rsidR="00944314" w:rsidRPr="006C7B74">
        <w:t xml:space="preserve"> a mid-rise, mixed use neighbourhood with sustainable transport, new open spaces and community facilities</w:t>
      </w:r>
      <w:r w:rsidR="00A24254" w:rsidRPr="006C7B74">
        <w:t>.</w:t>
      </w:r>
    </w:p>
    <w:p w14:paraId="69573CBB" w14:textId="77777777" w:rsidR="004E0133" w:rsidRPr="006C7B74" w:rsidRDefault="004E0133" w:rsidP="004E0133">
      <w:pPr>
        <w:pStyle w:val="BodyText"/>
        <w:spacing w:before="0" w:line="240" w:lineRule="auto"/>
        <w:rPr>
          <w:lang w:eastAsia="en-AU"/>
        </w:rPr>
      </w:pPr>
      <w:r w:rsidRPr="006C7B74">
        <w:rPr>
          <w:b/>
          <w:lang w:eastAsia="en-AU"/>
        </w:rPr>
        <w:t>The Port of Melbourne</w:t>
      </w:r>
      <w:r w:rsidRPr="006C7B74">
        <w:rPr>
          <w:lang w:eastAsia="en-AU"/>
        </w:rPr>
        <w:t xml:space="preserve"> is the largest international container terminal, automotive and general cargo port in Australia. It operates 24 hours per day, 365 days per year, and it handles around 36 per cent of Australia’s container trade. The port plays a vital role in generating jobs and economic prosperity for Victoria and south-eastern Australia, with a total trade of more than $90 billion annually. Planning and development for land uses within and near the port area needs to protect the viability of the port’s operation and Melbourne’s position as a leader in freight and logistics.</w:t>
      </w:r>
    </w:p>
    <w:p w14:paraId="742035DE" w14:textId="324D78A6" w:rsidR="00F8789D" w:rsidRPr="006C7B74" w:rsidRDefault="00F8789D" w:rsidP="00934C4D">
      <w:pPr>
        <w:pStyle w:val="BodyText"/>
        <w:spacing w:before="0" w:line="240" w:lineRule="auto"/>
        <w:rPr>
          <w:lang w:eastAsia="en-AU"/>
        </w:rPr>
      </w:pPr>
      <w:r w:rsidRPr="006C7B74">
        <w:rPr>
          <w:b/>
          <w:lang w:eastAsia="en-AU"/>
        </w:rPr>
        <w:t>West Melbourne</w:t>
      </w:r>
      <w:r w:rsidR="007F0286" w:rsidRPr="006C7B74">
        <w:rPr>
          <w:b/>
          <w:lang w:eastAsia="en-AU"/>
        </w:rPr>
        <w:t xml:space="preserve"> and</w:t>
      </w:r>
      <w:r w:rsidR="00123B03" w:rsidRPr="006C7B74">
        <w:rPr>
          <w:b/>
          <w:lang w:eastAsia="en-AU"/>
        </w:rPr>
        <w:t xml:space="preserve"> </w:t>
      </w:r>
      <w:r w:rsidRPr="006C7B74">
        <w:rPr>
          <w:b/>
          <w:lang w:eastAsia="en-AU"/>
        </w:rPr>
        <w:t>Dynon Road industrial area</w:t>
      </w:r>
      <w:r w:rsidRPr="006C7B74">
        <w:rPr>
          <w:lang w:eastAsia="en-AU"/>
        </w:rPr>
        <w:t xml:space="preserve"> is an industrial area </w:t>
      </w:r>
      <w:r w:rsidR="004920FC" w:rsidRPr="006C7B74">
        <w:rPr>
          <w:lang w:eastAsia="en-AU"/>
        </w:rPr>
        <w:t xml:space="preserve">located </w:t>
      </w:r>
      <w:r w:rsidRPr="006C7B74">
        <w:rPr>
          <w:lang w:eastAsia="en-AU"/>
        </w:rPr>
        <w:t xml:space="preserve">in West Melbourne. It accommodates a range of freight and industrial uses. Council’s strategy supports the ongoing manufacturing, wholesale transport and distribution industries in the precinct. The precinct is located adjacent to the Port of Melbourne and has direct access to the </w:t>
      </w:r>
      <w:r w:rsidR="00E96035" w:rsidRPr="006C7B74">
        <w:rPr>
          <w:lang w:eastAsia="en-AU"/>
        </w:rPr>
        <w:t>PFN</w:t>
      </w:r>
      <w:r w:rsidRPr="006C7B74">
        <w:rPr>
          <w:lang w:eastAsia="en-AU"/>
        </w:rPr>
        <w:t xml:space="preserve">. </w:t>
      </w:r>
    </w:p>
    <w:p w14:paraId="2D83F193" w14:textId="62D5D56F" w:rsidR="00F8789D" w:rsidRPr="006C7B74" w:rsidRDefault="00F8789D" w:rsidP="00934C4D">
      <w:pPr>
        <w:spacing w:after="120"/>
        <w:rPr>
          <w:rFonts w:cstheme="minorHAnsi"/>
          <w:sz w:val="20"/>
          <w:szCs w:val="20"/>
        </w:rPr>
      </w:pPr>
      <w:r w:rsidRPr="006C7B74">
        <w:rPr>
          <w:rFonts w:cstheme="minorHAnsi"/>
          <w:sz w:val="20"/>
          <w:szCs w:val="20"/>
        </w:rPr>
        <w:t xml:space="preserve">In the City of Yarra, there are a number of </w:t>
      </w:r>
      <w:r w:rsidRPr="006C7B74">
        <w:rPr>
          <w:rFonts w:cstheme="minorHAnsi"/>
          <w:b/>
          <w:sz w:val="20"/>
          <w:szCs w:val="20"/>
        </w:rPr>
        <w:t>industrial precincts in Abbotsford</w:t>
      </w:r>
      <w:r w:rsidRPr="006C7B74">
        <w:rPr>
          <w:rFonts w:cstheme="minorHAnsi"/>
          <w:sz w:val="20"/>
          <w:szCs w:val="20"/>
        </w:rPr>
        <w:t xml:space="preserve"> along </w:t>
      </w:r>
      <w:r w:rsidR="005F5CD3" w:rsidRPr="006C7B74">
        <w:rPr>
          <w:rFonts w:cstheme="minorHAnsi"/>
          <w:sz w:val="20"/>
          <w:szCs w:val="20"/>
        </w:rPr>
        <w:t xml:space="preserve">the </w:t>
      </w:r>
      <w:r w:rsidRPr="006C7B74">
        <w:rPr>
          <w:rFonts w:cstheme="minorHAnsi"/>
          <w:sz w:val="20"/>
          <w:szCs w:val="20"/>
        </w:rPr>
        <w:t xml:space="preserve">Yarra River. The Carlton and United Breweries (CUB) site is an anchor use in this </w:t>
      </w:r>
      <w:r w:rsidR="00282FAD" w:rsidRPr="006C7B74">
        <w:rPr>
          <w:rFonts w:cstheme="minorHAnsi"/>
          <w:sz w:val="20"/>
          <w:szCs w:val="20"/>
        </w:rPr>
        <w:t>area and</w:t>
      </w:r>
      <w:r w:rsidR="00C44952" w:rsidRPr="006C7B74">
        <w:rPr>
          <w:rFonts w:cstheme="minorHAnsi"/>
          <w:sz w:val="20"/>
          <w:szCs w:val="20"/>
        </w:rPr>
        <w:t xml:space="preserve"> </w:t>
      </w:r>
      <w:r w:rsidRPr="006C7B74">
        <w:rPr>
          <w:rFonts w:cstheme="minorHAnsi"/>
          <w:sz w:val="20"/>
          <w:szCs w:val="20"/>
        </w:rPr>
        <w:t xml:space="preserve">has been identified for ongoing industrial and business needs. </w:t>
      </w:r>
      <w:r w:rsidR="006D3840" w:rsidRPr="006C7B74">
        <w:rPr>
          <w:rFonts w:cstheme="minorHAnsi"/>
          <w:sz w:val="20"/>
          <w:szCs w:val="20"/>
        </w:rPr>
        <w:t>These</w:t>
      </w:r>
      <w:r w:rsidRPr="006C7B74">
        <w:rPr>
          <w:rFonts w:cstheme="minorHAnsi"/>
          <w:sz w:val="20"/>
          <w:szCs w:val="20"/>
        </w:rPr>
        <w:t xml:space="preserve"> precinct</w:t>
      </w:r>
      <w:r w:rsidR="00842284">
        <w:rPr>
          <w:rFonts w:cstheme="minorHAnsi"/>
          <w:sz w:val="20"/>
          <w:szCs w:val="20"/>
        </w:rPr>
        <w:t>s</w:t>
      </w:r>
      <w:r w:rsidRPr="006C7B74">
        <w:rPr>
          <w:rFonts w:cstheme="minorHAnsi"/>
          <w:sz w:val="20"/>
          <w:szCs w:val="20"/>
        </w:rPr>
        <w:t xml:space="preserve"> </w:t>
      </w:r>
      <w:r w:rsidR="006D3840" w:rsidRPr="006C7B74">
        <w:rPr>
          <w:rFonts w:cstheme="minorHAnsi"/>
          <w:sz w:val="20"/>
          <w:szCs w:val="20"/>
        </w:rPr>
        <w:t xml:space="preserve">are </w:t>
      </w:r>
      <w:r w:rsidRPr="006C7B74">
        <w:rPr>
          <w:rFonts w:cstheme="minorHAnsi"/>
          <w:sz w:val="20"/>
          <w:szCs w:val="20"/>
        </w:rPr>
        <w:t xml:space="preserve">identified by council </w:t>
      </w:r>
      <w:r w:rsidR="008D1213" w:rsidRPr="006C7B74">
        <w:rPr>
          <w:rFonts w:cstheme="minorHAnsi"/>
          <w:sz w:val="20"/>
          <w:szCs w:val="20"/>
        </w:rPr>
        <w:t>to be retained for</w:t>
      </w:r>
      <w:r w:rsidR="005909DA" w:rsidRPr="006C7B74">
        <w:rPr>
          <w:rFonts w:cstheme="minorHAnsi"/>
          <w:sz w:val="20"/>
          <w:szCs w:val="20"/>
        </w:rPr>
        <w:t xml:space="preserve"> a range of employment uses including manufacturing, offices and urban services</w:t>
      </w:r>
      <w:r w:rsidRPr="006C7B74">
        <w:rPr>
          <w:rFonts w:cstheme="minorHAnsi"/>
          <w:sz w:val="20"/>
          <w:szCs w:val="20"/>
        </w:rPr>
        <w:t>.</w:t>
      </w:r>
    </w:p>
    <w:p w14:paraId="14E17DE9" w14:textId="51EF4880" w:rsidR="00F8789D" w:rsidRPr="006C7B74" w:rsidRDefault="00F8789D" w:rsidP="00934C4D">
      <w:pPr>
        <w:spacing w:after="120"/>
        <w:rPr>
          <w:rFonts w:cstheme="minorHAnsi"/>
          <w:sz w:val="20"/>
          <w:szCs w:val="20"/>
        </w:rPr>
      </w:pPr>
      <w:r w:rsidRPr="006C7B74">
        <w:rPr>
          <w:rFonts w:cstheme="minorHAnsi"/>
          <w:sz w:val="20"/>
          <w:szCs w:val="20"/>
        </w:rPr>
        <w:lastRenderedPageBreak/>
        <w:t xml:space="preserve">The </w:t>
      </w:r>
      <w:r w:rsidRPr="006C7B74">
        <w:rPr>
          <w:rFonts w:cstheme="minorHAnsi"/>
          <w:b/>
          <w:sz w:val="20"/>
          <w:szCs w:val="20"/>
        </w:rPr>
        <w:t>Gipps Street</w:t>
      </w:r>
      <w:r w:rsidRPr="006C7B74">
        <w:rPr>
          <w:rFonts w:cstheme="minorHAnsi"/>
          <w:sz w:val="20"/>
          <w:szCs w:val="20"/>
        </w:rPr>
        <w:t xml:space="preserve"> precinct in Collin</w:t>
      </w:r>
      <w:r w:rsidR="002F4A8B" w:rsidRPr="006C7B74">
        <w:rPr>
          <w:rFonts w:cstheme="minorHAnsi"/>
          <w:sz w:val="20"/>
          <w:szCs w:val="20"/>
        </w:rPr>
        <w:t>g</w:t>
      </w:r>
      <w:r w:rsidRPr="006C7B74">
        <w:rPr>
          <w:rFonts w:cstheme="minorHAnsi"/>
          <w:sz w:val="20"/>
          <w:szCs w:val="20"/>
        </w:rPr>
        <w:t>wood is home to creative sectors</w:t>
      </w:r>
      <w:r w:rsidR="00861994" w:rsidRPr="006C7B74">
        <w:rPr>
          <w:rFonts w:cstheme="minorHAnsi"/>
          <w:sz w:val="20"/>
          <w:szCs w:val="20"/>
        </w:rPr>
        <w:t xml:space="preserve"> s</w:t>
      </w:r>
      <w:r w:rsidR="002E3C7E" w:rsidRPr="006C7B74">
        <w:rPr>
          <w:rFonts w:cstheme="minorHAnsi"/>
          <w:sz w:val="20"/>
          <w:szCs w:val="20"/>
        </w:rPr>
        <w:t>uch as architecture</w:t>
      </w:r>
      <w:r w:rsidR="006E50C0" w:rsidRPr="006C7B74">
        <w:rPr>
          <w:rFonts w:cstheme="minorHAnsi"/>
          <w:sz w:val="20"/>
          <w:szCs w:val="20"/>
        </w:rPr>
        <w:t xml:space="preserve"> and design</w:t>
      </w:r>
      <w:r w:rsidR="002E3C7E" w:rsidRPr="006C7B74">
        <w:rPr>
          <w:rFonts w:cstheme="minorHAnsi"/>
          <w:sz w:val="20"/>
          <w:szCs w:val="20"/>
        </w:rPr>
        <w:t xml:space="preserve">, </w:t>
      </w:r>
      <w:r w:rsidR="00D81DDC" w:rsidRPr="006C7B74">
        <w:rPr>
          <w:rFonts w:cstheme="minorHAnsi"/>
          <w:sz w:val="20"/>
          <w:szCs w:val="20"/>
        </w:rPr>
        <w:t>software and interface design and visual arts</w:t>
      </w:r>
      <w:r w:rsidR="002E3C7E" w:rsidRPr="006C7B74">
        <w:rPr>
          <w:rFonts w:cstheme="minorHAnsi"/>
          <w:sz w:val="20"/>
          <w:szCs w:val="20"/>
        </w:rPr>
        <w:t xml:space="preserve">. </w:t>
      </w:r>
      <w:r w:rsidRPr="006C7B74">
        <w:rPr>
          <w:rFonts w:cstheme="minorHAnsi"/>
          <w:sz w:val="20"/>
          <w:szCs w:val="20"/>
        </w:rPr>
        <w:t>Council strateg</w:t>
      </w:r>
      <w:r w:rsidR="00C5632B" w:rsidRPr="006C7B74">
        <w:rPr>
          <w:rFonts w:cstheme="minorHAnsi"/>
          <w:sz w:val="20"/>
          <w:szCs w:val="20"/>
        </w:rPr>
        <w:t>ies</w:t>
      </w:r>
      <w:r w:rsidRPr="006C7B74">
        <w:rPr>
          <w:rFonts w:cstheme="minorHAnsi"/>
          <w:sz w:val="20"/>
          <w:szCs w:val="20"/>
        </w:rPr>
        <w:t xml:space="preserve"> support commercial office conversions, small office complexes, light industry and office warehouse development</w:t>
      </w:r>
      <w:r w:rsidR="002E3C7E" w:rsidRPr="006C7B74">
        <w:rPr>
          <w:rFonts w:cstheme="minorHAnsi"/>
          <w:sz w:val="20"/>
          <w:szCs w:val="20"/>
        </w:rPr>
        <w:t>s</w:t>
      </w:r>
      <w:r w:rsidRPr="006C7B74">
        <w:rPr>
          <w:rFonts w:cstheme="minorHAnsi"/>
          <w:sz w:val="20"/>
          <w:szCs w:val="20"/>
        </w:rPr>
        <w:t xml:space="preserve"> in the area. </w:t>
      </w:r>
    </w:p>
    <w:p w14:paraId="2FDAEE47" w14:textId="368FFF32" w:rsidR="00F8789D" w:rsidRPr="006C7B74" w:rsidRDefault="00F8789D" w:rsidP="00934C4D">
      <w:pPr>
        <w:spacing w:after="120"/>
        <w:rPr>
          <w:rFonts w:cstheme="minorHAnsi"/>
          <w:sz w:val="20"/>
          <w:szCs w:val="20"/>
        </w:rPr>
      </w:pPr>
      <w:r w:rsidRPr="006C7B74">
        <w:rPr>
          <w:rFonts w:cstheme="minorHAnsi"/>
          <w:sz w:val="20"/>
          <w:szCs w:val="20"/>
        </w:rPr>
        <w:t xml:space="preserve">The </w:t>
      </w:r>
      <w:r w:rsidRPr="006C7B74">
        <w:rPr>
          <w:rFonts w:cstheme="minorHAnsi"/>
          <w:b/>
          <w:sz w:val="20"/>
          <w:szCs w:val="20"/>
        </w:rPr>
        <w:t>Cremorne</w:t>
      </w:r>
      <w:r w:rsidRPr="006C7B74">
        <w:rPr>
          <w:rFonts w:cstheme="minorHAnsi"/>
          <w:sz w:val="20"/>
          <w:szCs w:val="20"/>
        </w:rPr>
        <w:t xml:space="preserve"> precinct is strategically located adjacent to </w:t>
      </w:r>
      <w:proofErr w:type="spellStart"/>
      <w:r w:rsidRPr="006C7B74">
        <w:rPr>
          <w:rFonts w:cstheme="minorHAnsi"/>
          <w:sz w:val="20"/>
          <w:szCs w:val="20"/>
        </w:rPr>
        <w:t>City</w:t>
      </w:r>
      <w:r w:rsidR="002F4A8B" w:rsidRPr="006C7B74">
        <w:rPr>
          <w:rFonts w:cstheme="minorHAnsi"/>
          <w:sz w:val="20"/>
          <w:szCs w:val="20"/>
        </w:rPr>
        <w:t>L</w:t>
      </w:r>
      <w:r w:rsidRPr="006C7B74">
        <w:rPr>
          <w:rFonts w:cstheme="minorHAnsi"/>
          <w:sz w:val="20"/>
          <w:szCs w:val="20"/>
        </w:rPr>
        <w:t>ink</w:t>
      </w:r>
      <w:proofErr w:type="spellEnd"/>
      <w:r w:rsidR="00C5632B" w:rsidRPr="006C7B74">
        <w:rPr>
          <w:rFonts w:cstheme="minorHAnsi"/>
          <w:sz w:val="20"/>
          <w:szCs w:val="20"/>
        </w:rPr>
        <w:t xml:space="preserve"> and </w:t>
      </w:r>
      <w:r w:rsidRPr="006C7B74">
        <w:rPr>
          <w:rFonts w:cstheme="minorHAnsi"/>
          <w:sz w:val="20"/>
          <w:szCs w:val="20"/>
        </w:rPr>
        <w:t>Richmond Station</w:t>
      </w:r>
      <w:r w:rsidR="0087220D" w:rsidRPr="006C7B74">
        <w:rPr>
          <w:rFonts w:cstheme="minorHAnsi"/>
          <w:sz w:val="20"/>
          <w:szCs w:val="20"/>
        </w:rPr>
        <w:t xml:space="preserve"> and is emerging as </w:t>
      </w:r>
      <w:r w:rsidR="0098071F" w:rsidRPr="006C7B74">
        <w:rPr>
          <w:rFonts w:cstheme="minorHAnsi"/>
          <w:sz w:val="20"/>
          <w:szCs w:val="20"/>
        </w:rPr>
        <w:t>one of Melbourne’s premier destinations for creative design, particularly tech and digital design</w:t>
      </w:r>
      <w:r w:rsidRPr="006C7B74">
        <w:rPr>
          <w:rFonts w:cstheme="minorHAnsi"/>
          <w:sz w:val="20"/>
          <w:szCs w:val="20"/>
        </w:rPr>
        <w:t xml:space="preserve">. </w:t>
      </w:r>
      <w:r w:rsidR="00A91DB7" w:rsidRPr="006C7B74">
        <w:rPr>
          <w:rFonts w:cstheme="minorHAnsi"/>
          <w:sz w:val="20"/>
          <w:szCs w:val="20"/>
        </w:rPr>
        <w:t>It is an area that has experienced a transition from manufacturing</w:t>
      </w:r>
      <w:r w:rsidR="00770FFC" w:rsidRPr="006C7B74">
        <w:rPr>
          <w:rFonts w:cstheme="minorHAnsi"/>
          <w:sz w:val="20"/>
          <w:szCs w:val="20"/>
        </w:rPr>
        <w:t xml:space="preserve"> uses to more contemporary uses such as small creative industry firms as well as large web-based companies</w:t>
      </w:r>
      <w:r w:rsidRPr="006C7B74">
        <w:rPr>
          <w:rFonts w:cstheme="minorHAnsi"/>
          <w:sz w:val="20"/>
          <w:szCs w:val="20"/>
        </w:rPr>
        <w:t>.</w:t>
      </w:r>
      <w:r w:rsidR="007C154C" w:rsidRPr="006C7B74">
        <w:rPr>
          <w:rFonts w:cstheme="minorHAnsi"/>
          <w:sz w:val="20"/>
          <w:szCs w:val="20"/>
        </w:rPr>
        <w:t xml:space="preserve"> </w:t>
      </w:r>
      <w:r w:rsidR="00F46133" w:rsidRPr="006C7B74">
        <w:rPr>
          <w:rFonts w:cstheme="minorHAnsi"/>
          <w:sz w:val="20"/>
          <w:szCs w:val="20"/>
        </w:rPr>
        <w:t xml:space="preserve">It is home to global companies </w:t>
      </w:r>
      <w:r w:rsidR="002B10BD" w:rsidRPr="006C7B74">
        <w:rPr>
          <w:rFonts w:cstheme="minorHAnsi"/>
          <w:sz w:val="20"/>
          <w:szCs w:val="20"/>
        </w:rPr>
        <w:t>as well as small to medium sized firms, start-ups and co-working spaces</w:t>
      </w:r>
      <w:r w:rsidR="00C80B49" w:rsidRPr="006C7B74">
        <w:rPr>
          <w:rFonts w:cstheme="minorHAnsi"/>
          <w:sz w:val="20"/>
          <w:szCs w:val="20"/>
        </w:rPr>
        <w:t xml:space="preserve">. </w:t>
      </w:r>
      <w:r w:rsidRPr="006C7B74">
        <w:rPr>
          <w:rFonts w:cstheme="minorHAnsi"/>
          <w:sz w:val="20"/>
          <w:szCs w:val="20"/>
        </w:rPr>
        <w:t>The Victorian Planning Authority is currently working with the City of Yarra to support Cremorne’s continued growth as a thriving enterprise precinct.</w:t>
      </w:r>
    </w:p>
    <w:p w14:paraId="17B8489A" w14:textId="62B2DDEB" w:rsidR="00E54137" w:rsidRPr="006C7B74" w:rsidRDefault="004B61D3" w:rsidP="00934C4D">
      <w:pPr>
        <w:pStyle w:val="BodyText"/>
        <w:spacing w:before="0" w:line="240" w:lineRule="auto"/>
        <w:rPr>
          <w:lang w:eastAsia="en-AU"/>
        </w:rPr>
      </w:pPr>
      <w:r w:rsidRPr="006C7B74">
        <w:rPr>
          <w:lang w:eastAsia="en-AU"/>
        </w:rPr>
        <w:t>T</w:t>
      </w:r>
      <w:r w:rsidR="00E54137" w:rsidRPr="006C7B74">
        <w:rPr>
          <w:lang w:eastAsia="en-AU"/>
        </w:rPr>
        <w:t>he</w:t>
      </w:r>
      <w:r w:rsidRPr="006C7B74">
        <w:rPr>
          <w:lang w:eastAsia="en-AU"/>
        </w:rPr>
        <w:t xml:space="preserve"> </w:t>
      </w:r>
      <w:r w:rsidRPr="006C7B74">
        <w:rPr>
          <w:b/>
          <w:lang w:eastAsia="en-AU"/>
        </w:rPr>
        <w:t>South Melbourne Central Business Precinct</w:t>
      </w:r>
      <w:r w:rsidRPr="006C7B74">
        <w:rPr>
          <w:lang w:eastAsia="en-AU"/>
        </w:rPr>
        <w:t xml:space="preserve"> in the</w:t>
      </w:r>
      <w:r w:rsidR="00E54137" w:rsidRPr="006C7B74">
        <w:rPr>
          <w:lang w:eastAsia="en-AU"/>
        </w:rPr>
        <w:t xml:space="preserve"> City of Port Phil</w:t>
      </w:r>
      <w:r w:rsidR="005953A8" w:rsidRPr="006C7B74">
        <w:rPr>
          <w:lang w:eastAsia="en-AU"/>
        </w:rPr>
        <w:t>l</w:t>
      </w:r>
      <w:r w:rsidR="00E54137" w:rsidRPr="006C7B74">
        <w:rPr>
          <w:lang w:eastAsia="en-AU"/>
        </w:rPr>
        <w:t xml:space="preserve">ip </w:t>
      </w:r>
      <w:r w:rsidR="00852641" w:rsidRPr="006C7B74">
        <w:rPr>
          <w:lang w:eastAsia="en-AU"/>
        </w:rPr>
        <w:t>offer</w:t>
      </w:r>
      <w:r w:rsidR="00DB674C" w:rsidRPr="006C7B74">
        <w:rPr>
          <w:lang w:eastAsia="en-AU"/>
        </w:rPr>
        <w:t>s</w:t>
      </w:r>
      <w:r w:rsidR="00852641" w:rsidRPr="006C7B74">
        <w:rPr>
          <w:lang w:eastAsia="en-AU"/>
        </w:rPr>
        <w:t xml:space="preserve"> a </w:t>
      </w:r>
      <w:r w:rsidR="00E54137" w:rsidRPr="006C7B74">
        <w:rPr>
          <w:lang w:eastAsia="en-AU"/>
        </w:rPr>
        <w:t>mixture of service industr</w:t>
      </w:r>
      <w:r w:rsidR="005E6268" w:rsidRPr="006C7B74">
        <w:rPr>
          <w:lang w:eastAsia="en-AU"/>
        </w:rPr>
        <w:t>ies</w:t>
      </w:r>
      <w:r w:rsidR="00E54137" w:rsidRPr="006C7B74">
        <w:rPr>
          <w:lang w:eastAsia="en-AU"/>
        </w:rPr>
        <w:t xml:space="preserve"> and showroom</w:t>
      </w:r>
      <w:r w:rsidR="005E6268" w:rsidRPr="006C7B74">
        <w:rPr>
          <w:lang w:eastAsia="en-AU"/>
        </w:rPr>
        <w:t>s</w:t>
      </w:r>
      <w:r w:rsidR="00852641" w:rsidRPr="006C7B74">
        <w:rPr>
          <w:lang w:eastAsia="en-AU"/>
        </w:rPr>
        <w:t>,</w:t>
      </w:r>
      <w:r w:rsidR="00E54137" w:rsidRPr="006C7B74">
        <w:rPr>
          <w:lang w:eastAsia="en-AU"/>
        </w:rPr>
        <w:t xml:space="preserve"> office</w:t>
      </w:r>
      <w:r w:rsidR="00852641" w:rsidRPr="006C7B74">
        <w:rPr>
          <w:lang w:eastAsia="en-AU"/>
        </w:rPr>
        <w:t>s</w:t>
      </w:r>
      <w:r w:rsidR="00100724" w:rsidRPr="006C7B74">
        <w:rPr>
          <w:lang w:eastAsia="en-AU"/>
        </w:rPr>
        <w:t xml:space="preserve"> and</w:t>
      </w:r>
      <w:r w:rsidR="00852641" w:rsidRPr="006C7B74">
        <w:rPr>
          <w:lang w:eastAsia="en-AU"/>
        </w:rPr>
        <w:t xml:space="preserve"> </w:t>
      </w:r>
      <w:r w:rsidR="00E54137" w:rsidRPr="006C7B74">
        <w:rPr>
          <w:lang w:eastAsia="en-AU"/>
        </w:rPr>
        <w:t>warehouse</w:t>
      </w:r>
      <w:r w:rsidR="00392088" w:rsidRPr="006C7B74">
        <w:rPr>
          <w:lang w:eastAsia="en-AU"/>
        </w:rPr>
        <w:t>s</w:t>
      </w:r>
      <w:r w:rsidR="005E6268" w:rsidRPr="006C7B74">
        <w:rPr>
          <w:lang w:eastAsia="en-AU"/>
        </w:rPr>
        <w:t xml:space="preserve">. This precinct </w:t>
      </w:r>
      <w:r w:rsidR="003447A4" w:rsidRPr="006C7B74">
        <w:rPr>
          <w:lang w:eastAsia="en-AU"/>
        </w:rPr>
        <w:t xml:space="preserve">is </w:t>
      </w:r>
      <w:r w:rsidR="00FB5DFD" w:rsidRPr="006C7B74">
        <w:rPr>
          <w:lang w:eastAsia="en-AU"/>
        </w:rPr>
        <w:t>a long</w:t>
      </w:r>
      <w:r w:rsidR="00886E38" w:rsidRPr="006C7B74">
        <w:rPr>
          <w:lang w:eastAsia="en-AU"/>
        </w:rPr>
        <w:t>-standing</w:t>
      </w:r>
      <w:r w:rsidR="003447A4" w:rsidRPr="006C7B74">
        <w:rPr>
          <w:lang w:eastAsia="en-AU"/>
        </w:rPr>
        <w:t xml:space="preserve"> key </w:t>
      </w:r>
      <w:r w:rsidR="00E54137" w:rsidRPr="006C7B74">
        <w:rPr>
          <w:lang w:eastAsia="en-AU"/>
        </w:rPr>
        <w:t xml:space="preserve">location </w:t>
      </w:r>
      <w:r w:rsidR="003447A4" w:rsidRPr="006C7B74">
        <w:rPr>
          <w:lang w:eastAsia="en-AU"/>
        </w:rPr>
        <w:t xml:space="preserve">for </w:t>
      </w:r>
      <w:r w:rsidR="00E54137" w:rsidRPr="006C7B74">
        <w:rPr>
          <w:lang w:eastAsia="en-AU"/>
        </w:rPr>
        <w:t>creative industr</w:t>
      </w:r>
      <w:r w:rsidR="003447A4" w:rsidRPr="006C7B74">
        <w:rPr>
          <w:lang w:eastAsia="en-AU"/>
        </w:rPr>
        <w:t>ies</w:t>
      </w:r>
      <w:r w:rsidR="00861994" w:rsidRPr="006C7B74">
        <w:rPr>
          <w:lang w:eastAsia="en-AU"/>
        </w:rPr>
        <w:t xml:space="preserve"> such as design, music</w:t>
      </w:r>
      <w:r w:rsidR="00B66E28" w:rsidRPr="006C7B74">
        <w:rPr>
          <w:lang w:eastAsia="en-AU"/>
        </w:rPr>
        <w:t>,</w:t>
      </w:r>
      <w:r w:rsidR="00861994" w:rsidRPr="006C7B74">
        <w:rPr>
          <w:lang w:eastAsia="en-AU"/>
        </w:rPr>
        <w:t xml:space="preserve"> film and </w:t>
      </w:r>
      <w:r w:rsidR="00B66E28" w:rsidRPr="006C7B74">
        <w:rPr>
          <w:lang w:eastAsia="en-AU"/>
        </w:rPr>
        <w:t>television as well as photography</w:t>
      </w:r>
      <w:r w:rsidR="00E54137" w:rsidRPr="006C7B74">
        <w:rPr>
          <w:lang w:eastAsia="en-AU"/>
        </w:rPr>
        <w:t>. The area enjoys a premium location</w:t>
      </w:r>
      <w:r w:rsidR="003447A4" w:rsidRPr="006C7B74">
        <w:rPr>
          <w:lang w:eastAsia="en-AU"/>
        </w:rPr>
        <w:t xml:space="preserve"> </w:t>
      </w:r>
      <w:r w:rsidR="00D73551" w:rsidRPr="006C7B74">
        <w:rPr>
          <w:lang w:eastAsia="en-AU"/>
        </w:rPr>
        <w:t>adjacent to the South Melbourne Major Activity Centre</w:t>
      </w:r>
      <w:r w:rsidR="00392088" w:rsidRPr="006C7B74">
        <w:rPr>
          <w:lang w:eastAsia="en-AU"/>
        </w:rPr>
        <w:t>. It has</w:t>
      </w:r>
      <w:r w:rsidR="00E54137" w:rsidRPr="006C7B74">
        <w:rPr>
          <w:lang w:eastAsia="en-AU"/>
        </w:rPr>
        <w:t xml:space="preserve"> close </w:t>
      </w:r>
      <w:r w:rsidR="003447A4" w:rsidRPr="006C7B74">
        <w:rPr>
          <w:lang w:eastAsia="en-AU"/>
        </w:rPr>
        <w:t xml:space="preserve">proximity </w:t>
      </w:r>
      <w:r w:rsidR="00E54137" w:rsidRPr="006C7B74">
        <w:rPr>
          <w:lang w:eastAsia="en-AU"/>
        </w:rPr>
        <w:t xml:space="preserve">to </w:t>
      </w:r>
      <w:r w:rsidR="003447A4" w:rsidRPr="006C7B74">
        <w:rPr>
          <w:lang w:eastAsia="en-AU"/>
        </w:rPr>
        <w:t xml:space="preserve">the </w:t>
      </w:r>
      <w:r w:rsidR="00E54137" w:rsidRPr="006C7B74">
        <w:rPr>
          <w:lang w:eastAsia="en-AU"/>
        </w:rPr>
        <w:t xml:space="preserve">CBD and </w:t>
      </w:r>
      <w:proofErr w:type="spellStart"/>
      <w:r w:rsidR="00E54137" w:rsidRPr="006C7B74">
        <w:rPr>
          <w:lang w:eastAsia="en-AU"/>
        </w:rPr>
        <w:t>Fishermans</w:t>
      </w:r>
      <w:proofErr w:type="spellEnd"/>
      <w:r w:rsidR="00E54137" w:rsidRPr="006C7B74">
        <w:rPr>
          <w:lang w:eastAsia="en-AU"/>
        </w:rPr>
        <w:t xml:space="preserve"> Bend</w:t>
      </w:r>
      <w:r w:rsidR="00C9384F" w:rsidRPr="006C7B74">
        <w:rPr>
          <w:lang w:eastAsia="en-AU"/>
        </w:rPr>
        <w:t xml:space="preserve"> as well as</w:t>
      </w:r>
      <w:r w:rsidR="00E54137" w:rsidRPr="006C7B74">
        <w:rPr>
          <w:lang w:eastAsia="en-AU"/>
        </w:rPr>
        <w:t xml:space="preserve"> good access to </w:t>
      </w:r>
      <w:r w:rsidR="00165CA2" w:rsidRPr="006C7B74">
        <w:rPr>
          <w:lang w:eastAsia="en-AU"/>
        </w:rPr>
        <w:t>a</w:t>
      </w:r>
      <w:r w:rsidR="00E54137" w:rsidRPr="006C7B74">
        <w:rPr>
          <w:lang w:eastAsia="en-AU"/>
        </w:rPr>
        <w:t xml:space="preserve"> skilled workforce and </w:t>
      </w:r>
      <w:r w:rsidR="005F445A" w:rsidRPr="006C7B74">
        <w:rPr>
          <w:lang w:eastAsia="en-AU"/>
        </w:rPr>
        <w:t>public transport</w:t>
      </w:r>
      <w:r w:rsidR="00C9384F" w:rsidRPr="006C7B74">
        <w:rPr>
          <w:lang w:eastAsia="en-AU"/>
        </w:rPr>
        <w:t xml:space="preserve"> services</w:t>
      </w:r>
      <w:r w:rsidR="00E54137" w:rsidRPr="006C7B74">
        <w:rPr>
          <w:lang w:eastAsia="en-AU"/>
        </w:rPr>
        <w:t xml:space="preserve">. </w:t>
      </w:r>
    </w:p>
    <w:p w14:paraId="09333FAD" w14:textId="7B962CD2" w:rsidR="00D31258" w:rsidRPr="006C7B74" w:rsidRDefault="00D31258" w:rsidP="00934C4D">
      <w:pPr>
        <w:spacing w:after="120"/>
        <w:rPr>
          <w:rFonts w:cstheme="minorHAnsi"/>
          <w:sz w:val="20"/>
          <w:szCs w:val="20"/>
        </w:rPr>
      </w:pPr>
      <w:r w:rsidRPr="006C7B74">
        <w:rPr>
          <w:rFonts w:cstheme="minorHAnsi"/>
          <w:sz w:val="20"/>
          <w:szCs w:val="20"/>
        </w:rPr>
        <w:t xml:space="preserve">The </w:t>
      </w:r>
      <w:r w:rsidR="00554C1A" w:rsidRPr="006C7B74">
        <w:rPr>
          <w:rFonts w:cstheme="minorHAnsi"/>
          <w:b/>
          <w:sz w:val="20"/>
          <w:szCs w:val="20"/>
        </w:rPr>
        <w:t>A</w:t>
      </w:r>
      <w:r w:rsidRPr="006C7B74">
        <w:rPr>
          <w:rFonts w:cstheme="minorHAnsi"/>
          <w:b/>
          <w:sz w:val="20"/>
          <w:szCs w:val="20"/>
        </w:rPr>
        <w:t xml:space="preserve">ctivity </w:t>
      </w:r>
      <w:r w:rsidR="00554C1A" w:rsidRPr="006C7B74">
        <w:rPr>
          <w:rFonts w:cstheme="minorHAnsi"/>
          <w:b/>
          <w:sz w:val="20"/>
          <w:szCs w:val="20"/>
        </w:rPr>
        <w:t>C</w:t>
      </w:r>
      <w:r w:rsidRPr="006C7B74">
        <w:rPr>
          <w:rFonts w:cstheme="minorHAnsi"/>
          <w:b/>
          <w:sz w:val="20"/>
          <w:szCs w:val="20"/>
        </w:rPr>
        <w:t>entres network</w:t>
      </w:r>
      <w:r w:rsidRPr="006C7B74">
        <w:rPr>
          <w:rFonts w:cstheme="minorHAnsi"/>
          <w:sz w:val="20"/>
          <w:szCs w:val="20"/>
        </w:rPr>
        <w:t xml:space="preserve"> in the region is anchored by the </w:t>
      </w:r>
      <w:r w:rsidR="00B66E28" w:rsidRPr="006C7B74">
        <w:rPr>
          <w:rFonts w:cstheme="minorHAnsi"/>
          <w:sz w:val="20"/>
          <w:szCs w:val="20"/>
        </w:rPr>
        <w:t xml:space="preserve">Central City </w:t>
      </w:r>
      <w:r w:rsidR="00554C1A" w:rsidRPr="006C7B74">
        <w:rPr>
          <w:rFonts w:cstheme="minorHAnsi"/>
          <w:sz w:val="20"/>
          <w:szCs w:val="20"/>
        </w:rPr>
        <w:t xml:space="preserve">and </w:t>
      </w:r>
      <w:r w:rsidRPr="006C7B74">
        <w:rPr>
          <w:rFonts w:cstheme="minorHAnsi"/>
          <w:sz w:val="20"/>
          <w:szCs w:val="20"/>
        </w:rPr>
        <w:t xml:space="preserve">supported by 10 </w:t>
      </w:r>
      <w:r w:rsidR="00A20BF3" w:rsidRPr="006C7B74">
        <w:rPr>
          <w:rFonts w:cstheme="minorHAnsi"/>
          <w:sz w:val="20"/>
          <w:szCs w:val="20"/>
        </w:rPr>
        <w:t>m</w:t>
      </w:r>
      <w:r w:rsidRPr="006C7B74">
        <w:rPr>
          <w:rFonts w:cstheme="minorHAnsi"/>
          <w:sz w:val="20"/>
          <w:szCs w:val="20"/>
        </w:rPr>
        <w:t xml:space="preserve">ajor </w:t>
      </w:r>
      <w:r w:rsidR="00A20BF3" w:rsidRPr="006C7B74">
        <w:rPr>
          <w:rFonts w:cstheme="minorHAnsi"/>
          <w:sz w:val="20"/>
          <w:szCs w:val="20"/>
        </w:rPr>
        <w:t>a</w:t>
      </w:r>
      <w:r w:rsidRPr="006C7B74">
        <w:rPr>
          <w:rFonts w:cstheme="minorHAnsi"/>
          <w:sz w:val="20"/>
          <w:szCs w:val="20"/>
        </w:rPr>
        <w:t xml:space="preserve">ctivity </w:t>
      </w:r>
      <w:r w:rsidR="00A20BF3" w:rsidRPr="006C7B74">
        <w:rPr>
          <w:rFonts w:cstheme="minorHAnsi"/>
          <w:sz w:val="20"/>
          <w:szCs w:val="20"/>
        </w:rPr>
        <w:t>c</w:t>
      </w:r>
      <w:r w:rsidRPr="006C7B74">
        <w:rPr>
          <w:rFonts w:cstheme="minorHAnsi"/>
          <w:sz w:val="20"/>
          <w:szCs w:val="20"/>
        </w:rPr>
        <w:t xml:space="preserve">entres </w:t>
      </w:r>
      <w:r w:rsidR="002F6C71" w:rsidRPr="006C7B74">
        <w:rPr>
          <w:rFonts w:cstheme="minorHAnsi"/>
          <w:sz w:val="20"/>
          <w:szCs w:val="20"/>
        </w:rPr>
        <w:t xml:space="preserve">and numerous smaller </w:t>
      </w:r>
      <w:r w:rsidR="00A20BF3" w:rsidRPr="006C7B74">
        <w:rPr>
          <w:rFonts w:cstheme="minorHAnsi"/>
          <w:sz w:val="20"/>
          <w:szCs w:val="20"/>
        </w:rPr>
        <w:t>n</w:t>
      </w:r>
      <w:r w:rsidR="002F6C71" w:rsidRPr="006C7B74">
        <w:rPr>
          <w:rFonts w:cstheme="minorHAnsi"/>
          <w:sz w:val="20"/>
          <w:szCs w:val="20"/>
        </w:rPr>
        <w:t xml:space="preserve">eighbourhood </w:t>
      </w:r>
      <w:r w:rsidR="00B04E33" w:rsidRPr="006C7B74">
        <w:rPr>
          <w:rFonts w:cstheme="minorHAnsi"/>
          <w:sz w:val="20"/>
          <w:szCs w:val="20"/>
        </w:rPr>
        <w:t>a</w:t>
      </w:r>
      <w:r w:rsidR="002F6C71" w:rsidRPr="006C7B74">
        <w:rPr>
          <w:rFonts w:cstheme="minorHAnsi"/>
          <w:sz w:val="20"/>
          <w:szCs w:val="20"/>
        </w:rPr>
        <w:t xml:space="preserve">ctivity </w:t>
      </w:r>
      <w:r w:rsidR="00B04E33" w:rsidRPr="006C7B74">
        <w:rPr>
          <w:rFonts w:cstheme="minorHAnsi"/>
          <w:sz w:val="20"/>
          <w:szCs w:val="20"/>
        </w:rPr>
        <w:t>c</w:t>
      </w:r>
      <w:r w:rsidR="002F6C71" w:rsidRPr="006C7B74">
        <w:rPr>
          <w:rFonts w:cstheme="minorHAnsi"/>
          <w:sz w:val="20"/>
          <w:szCs w:val="20"/>
        </w:rPr>
        <w:t xml:space="preserve">entres </w:t>
      </w:r>
      <w:r w:rsidRPr="006C7B74">
        <w:rPr>
          <w:rFonts w:cstheme="minorHAnsi"/>
          <w:sz w:val="20"/>
          <w:szCs w:val="20"/>
        </w:rPr>
        <w:t xml:space="preserve">across the region. These activity centres </w:t>
      </w:r>
      <w:r w:rsidR="00554C1A" w:rsidRPr="006C7B74">
        <w:rPr>
          <w:rFonts w:cstheme="minorHAnsi"/>
          <w:sz w:val="20"/>
          <w:szCs w:val="20"/>
        </w:rPr>
        <w:t xml:space="preserve">are generally </w:t>
      </w:r>
      <w:r w:rsidR="00B260A6" w:rsidRPr="006C7B74">
        <w:rPr>
          <w:rFonts w:cstheme="minorHAnsi"/>
          <w:sz w:val="20"/>
          <w:szCs w:val="20"/>
        </w:rPr>
        <w:t xml:space="preserve">located on the Principal </w:t>
      </w:r>
      <w:r w:rsidR="00E64189" w:rsidRPr="006C7B74">
        <w:rPr>
          <w:rFonts w:cstheme="minorHAnsi"/>
          <w:sz w:val="20"/>
          <w:szCs w:val="20"/>
        </w:rPr>
        <w:t xml:space="preserve">Public </w:t>
      </w:r>
      <w:r w:rsidR="00B260A6" w:rsidRPr="006C7B74">
        <w:rPr>
          <w:rFonts w:cstheme="minorHAnsi"/>
          <w:sz w:val="20"/>
          <w:szCs w:val="20"/>
        </w:rPr>
        <w:t>Transport Network</w:t>
      </w:r>
      <w:r w:rsidR="00932E84" w:rsidRPr="006C7B74">
        <w:rPr>
          <w:rFonts w:cstheme="minorHAnsi"/>
          <w:sz w:val="20"/>
          <w:szCs w:val="20"/>
        </w:rPr>
        <w:t>. T</w:t>
      </w:r>
      <w:r w:rsidR="00B260A6" w:rsidRPr="006C7B74">
        <w:rPr>
          <w:rFonts w:cstheme="minorHAnsi"/>
          <w:sz w:val="20"/>
          <w:szCs w:val="20"/>
        </w:rPr>
        <w:t>hey</w:t>
      </w:r>
      <w:r w:rsidRPr="006C7B74">
        <w:rPr>
          <w:rFonts w:cstheme="minorHAnsi"/>
          <w:sz w:val="20"/>
          <w:szCs w:val="20"/>
        </w:rPr>
        <w:t xml:space="preserve"> vary in size, role and function and offer different potential for growth. </w:t>
      </w:r>
    </w:p>
    <w:p w14:paraId="7B533094" w14:textId="4B427BD6" w:rsidR="0097714A" w:rsidRPr="006C7B74" w:rsidRDefault="00D31258" w:rsidP="00934C4D">
      <w:pPr>
        <w:spacing w:after="120"/>
        <w:rPr>
          <w:rFonts w:cstheme="minorHAnsi"/>
          <w:sz w:val="20"/>
          <w:szCs w:val="20"/>
        </w:rPr>
      </w:pPr>
      <w:r w:rsidRPr="006C7B74">
        <w:rPr>
          <w:rFonts w:cstheme="minorHAnsi"/>
          <w:sz w:val="20"/>
          <w:szCs w:val="20"/>
        </w:rPr>
        <w:t>Victoria Gardens</w:t>
      </w:r>
      <w:r w:rsidR="000677A9" w:rsidRPr="006C7B74">
        <w:rPr>
          <w:rFonts w:cstheme="minorHAnsi"/>
          <w:sz w:val="20"/>
          <w:szCs w:val="20"/>
        </w:rPr>
        <w:t>,</w:t>
      </w:r>
      <w:r w:rsidRPr="006C7B74">
        <w:rPr>
          <w:rFonts w:cstheme="minorHAnsi"/>
          <w:sz w:val="20"/>
          <w:szCs w:val="20"/>
        </w:rPr>
        <w:t xml:space="preserve"> </w:t>
      </w:r>
      <w:r w:rsidR="00B260A6" w:rsidRPr="006C7B74">
        <w:rPr>
          <w:rFonts w:cstheme="minorHAnsi"/>
          <w:sz w:val="20"/>
          <w:szCs w:val="20"/>
        </w:rPr>
        <w:t>a large free</w:t>
      </w:r>
      <w:r w:rsidR="00596D5E" w:rsidRPr="006C7B74">
        <w:rPr>
          <w:rFonts w:cstheme="minorHAnsi"/>
          <w:sz w:val="20"/>
          <w:szCs w:val="20"/>
        </w:rPr>
        <w:t>-</w:t>
      </w:r>
      <w:r w:rsidR="00B260A6" w:rsidRPr="006C7B74">
        <w:rPr>
          <w:rFonts w:cstheme="minorHAnsi"/>
          <w:sz w:val="20"/>
          <w:szCs w:val="20"/>
        </w:rPr>
        <w:t>standing shopping centre</w:t>
      </w:r>
      <w:r w:rsidR="000677A9" w:rsidRPr="006C7B74">
        <w:rPr>
          <w:rFonts w:cstheme="minorHAnsi"/>
          <w:sz w:val="20"/>
          <w:szCs w:val="20"/>
        </w:rPr>
        <w:t>,</w:t>
      </w:r>
      <w:r w:rsidR="00B61005" w:rsidRPr="006C7B74">
        <w:rPr>
          <w:rFonts w:cstheme="minorHAnsi"/>
          <w:sz w:val="20"/>
          <w:szCs w:val="20"/>
        </w:rPr>
        <w:t xml:space="preserve"> </w:t>
      </w:r>
      <w:r w:rsidR="008C5F63" w:rsidRPr="006C7B74">
        <w:rPr>
          <w:rFonts w:cstheme="minorHAnsi"/>
          <w:sz w:val="20"/>
          <w:szCs w:val="20"/>
        </w:rPr>
        <w:t>together with</w:t>
      </w:r>
      <w:r w:rsidR="00B260A6" w:rsidRPr="006C7B74">
        <w:rPr>
          <w:rFonts w:cstheme="minorHAnsi"/>
          <w:sz w:val="20"/>
          <w:szCs w:val="20"/>
        </w:rPr>
        <w:t xml:space="preserve"> </w:t>
      </w:r>
      <w:r w:rsidRPr="006C7B74">
        <w:rPr>
          <w:rFonts w:cstheme="minorHAnsi"/>
          <w:sz w:val="20"/>
          <w:szCs w:val="20"/>
        </w:rPr>
        <w:t>Victoria Street</w:t>
      </w:r>
      <w:r w:rsidR="002F6C71" w:rsidRPr="006C7B74">
        <w:rPr>
          <w:rFonts w:cstheme="minorHAnsi"/>
          <w:sz w:val="20"/>
          <w:szCs w:val="20"/>
        </w:rPr>
        <w:t>,</w:t>
      </w:r>
      <w:r w:rsidRPr="006C7B74">
        <w:rPr>
          <w:rFonts w:cstheme="minorHAnsi"/>
          <w:sz w:val="20"/>
          <w:szCs w:val="20"/>
        </w:rPr>
        <w:t xml:space="preserve"> offer</w:t>
      </w:r>
      <w:r w:rsidR="00B61005" w:rsidRPr="006C7B74">
        <w:rPr>
          <w:rFonts w:cstheme="minorHAnsi"/>
          <w:sz w:val="20"/>
          <w:szCs w:val="20"/>
        </w:rPr>
        <w:t xml:space="preserve">s a </w:t>
      </w:r>
      <w:r w:rsidRPr="006C7B74">
        <w:rPr>
          <w:rFonts w:cstheme="minorHAnsi"/>
          <w:sz w:val="20"/>
          <w:szCs w:val="20"/>
        </w:rPr>
        <w:t>significant retail</w:t>
      </w:r>
      <w:r w:rsidR="00B61005" w:rsidRPr="006C7B74">
        <w:rPr>
          <w:rFonts w:cstheme="minorHAnsi"/>
          <w:sz w:val="20"/>
          <w:szCs w:val="20"/>
        </w:rPr>
        <w:t xml:space="preserve"> presence</w:t>
      </w:r>
      <w:r w:rsidRPr="006C7B74">
        <w:rPr>
          <w:rFonts w:cstheme="minorHAnsi"/>
          <w:sz w:val="20"/>
          <w:szCs w:val="20"/>
        </w:rPr>
        <w:t xml:space="preserve">, serving </w:t>
      </w:r>
      <w:r w:rsidR="00B61005" w:rsidRPr="006C7B74">
        <w:rPr>
          <w:rFonts w:cstheme="minorHAnsi"/>
          <w:sz w:val="20"/>
          <w:szCs w:val="20"/>
        </w:rPr>
        <w:t xml:space="preserve">a </w:t>
      </w:r>
      <w:r w:rsidRPr="006C7B74">
        <w:rPr>
          <w:rFonts w:cstheme="minorHAnsi"/>
          <w:sz w:val="20"/>
          <w:szCs w:val="20"/>
        </w:rPr>
        <w:t>larger</w:t>
      </w:r>
      <w:r w:rsidR="00717906" w:rsidRPr="006C7B74">
        <w:rPr>
          <w:rFonts w:cstheme="minorHAnsi"/>
          <w:sz w:val="20"/>
          <w:szCs w:val="20"/>
        </w:rPr>
        <w:t>,</w:t>
      </w:r>
      <w:r w:rsidRPr="006C7B74">
        <w:rPr>
          <w:rFonts w:cstheme="minorHAnsi"/>
          <w:sz w:val="20"/>
          <w:szCs w:val="20"/>
        </w:rPr>
        <w:t xml:space="preserve"> sub-regional catchmen</w:t>
      </w:r>
      <w:r w:rsidR="00596D5E" w:rsidRPr="006C7B74">
        <w:rPr>
          <w:rFonts w:cstheme="minorHAnsi"/>
          <w:sz w:val="20"/>
          <w:szCs w:val="20"/>
        </w:rPr>
        <w:t>t</w:t>
      </w:r>
      <w:r w:rsidRPr="006C7B74">
        <w:rPr>
          <w:rFonts w:cstheme="minorHAnsi"/>
          <w:sz w:val="20"/>
          <w:szCs w:val="20"/>
        </w:rPr>
        <w:t>. In other parts of the region, strip-based centres such as Balaclava, Carlton-</w:t>
      </w:r>
      <w:proofErr w:type="spellStart"/>
      <w:r w:rsidRPr="006C7B74">
        <w:rPr>
          <w:rFonts w:cstheme="minorHAnsi"/>
          <w:sz w:val="20"/>
          <w:szCs w:val="20"/>
        </w:rPr>
        <w:t>Lygon</w:t>
      </w:r>
      <w:proofErr w:type="spellEnd"/>
      <w:r w:rsidRPr="006C7B74">
        <w:rPr>
          <w:rFonts w:cstheme="minorHAnsi"/>
          <w:sz w:val="20"/>
          <w:szCs w:val="20"/>
        </w:rPr>
        <w:t xml:space="preserve"> Street, Fitzroy-Brunswick Street, </w:t>
      </w:r>
      <w:r w:rsidR="00596D5E" w:rsidRPr="006C7B74">
        <w:rPr>
          <w:rFonts w:cstheme="minorHAnsi"/>
          <w:sz w:val="20"/>
          <w:szCs w:val="20"/>
        </w:rPr>
        <w:t xml:space="preserve">Bay Street </w:t>
      </w:r>
      <w:r w:rsidR="0097534C" w:rsidRPr="006C7B74">
        <w:rPr>
          <w:rFonts w:cstheme="minorHAnsi"/>
          <w:sz w:val="20"/>
          <w:szCs w:val="20"/>
        </w:rPr>
        <w:t xml:space="preserve">Port Melbourne, </w:t>
      </w:r>
      <w:r w:rsidRPr="006C7B74">
        <w:rPr>
          <w:rFonts w:cstheme="minorHAnsi"/>
          <w:sz w:val="20"/>
          <w:szCs w:val="20"/>
        </w:rPr>
        <w:t>Richmond-Bridge Road</w:t>
      </w:r>
      <w:r w:rsidR="005B1CBA" w:rsidRPr="006C7B74">
        <w:rPr>
          <w:rFonts w:cstheme="minorHAnsi"/>
          <w:sz w:val="20"/>
          <w:szCs w:val="20"/>
        </w:rPr>
        <w:t xml:space="preserve"> and Swan Street</w:t>
      </w:r>
      <w:r w:rsidR="002A160C" w:rsidRPr="006C7B74">
        <w:rPr>
          <w:rFonts w:cstheme="minorHAnsi"/>
          <w:sz w:val="20"/>
          <w:szCs w:val="20"/>
        </w:rPr>
        <w:t>, Clarendon Street South Melbourne</w:t>
      </w:r>
      <w:r w:rsidRPr="006C7B74">
        <w:rPr>
          <w:rFonts w:cstheme="minorHAnsi"/>
          <w:sz w:val="20"/>
          <w:szCs w:val="20"/>
        </w:rPr>
        <w:t xml:space="preserve"> and </w:t>
      </w:r>
      <w:r w:rsidR="00FE4C38" w:rsidRPr="006C7B74">
        <w:rPr>
          <w:rFonts w:cstheme="minorHAnsi"/>
          <w:sz w:val="20"/>
          <w:szCs w:val="20"/>
        </w:rPr>
        <w:t>Acland Street</w:t>
      </w:r>
      <w:r w:rsidR="002A160C" w:rsidRPr="006C7B74">
        <w:rPr>
          <w:rFonts w:cstheme="minorHAnsi"/>
          <w:sz w:val="20"/>
          <w:szCs w:val="20"/>
        </w:rPr>
        <w:t xml:space="preserve"> and </w:t>
      </w:r>
      <w:r w:rsidR="00AD4460" w:rsidRPr="006C7B74">
        <w:rPr>
          <w:rFonts w:cstheme="minorHAnsi"/>
          <w:sz w:val="20"/>
          <w:szCs w:val="20"/>
        </w:rPr>
        <w:t xml:space="preserve">Carlisle Street </w:t>
      </w:r>
      <w:r w:rsidRPr="006C7B74">
        <w:rPr>
          <w:rFonts w:cstheme="minorHAnsi"/>
          <w:sz w:val="20"/>
          <w:szCs w:val="20"/>
        </w:rPr>
        <w:t>St Kilda offer a range of retailing, office, restaurant, entertainment, tourism, accommodation and community uses.</w:t>
      </w:r>
      <w:r w:rsidR="007C154C" w:rsidRPr="006C7B74">
        <w:rPr>
          <w:rFonts w:cstheme="minorHAnsi"/>
          <w:sz w:val="20"/>
          <w:szCs w:val="20"/>
        </w:rPr>
        <w:t xml:space="preserve"> </w:t>
      </w:r>
    </w:p>
    <w:p w14:paraId="2DB51633" w14:textId="77777777" w:rsidR="0097714A" w:rsidRPr="00683949" w:rsidRDefault="0097714A" w:rsidP="00683949">
      <w:pPr>
        <w:pStyle w:val="Heading2-Contenttable"/>
      </w:pPr>
      <w:bookmarkStart w:id="36" w:name="_Toc21694815"/>
      <w:r w:rsidRPr="00683949">
        <w:t>Supply and demand for industrial and commercial land across the region</w:t>
      </w:r>
      <w:bookmarkEnd w:id="36"/>
    </w:p>
    <w:p w14:paraId="79E97C9C" w14:textId="77777777" w:rsidR="0097714A" w:rsidRPr="00683949" w:rsidRDefault="0097714A" w:rsidP="00683949">
      <w:pPr>
        <w:pStyle w:val="Heading3"/>
      </w:pPr>
      <w:r w:rsidRPr="00683949">
        <w:t>Industrial land</w:t>
      </w:r>
    </w:p>
    <w:p w14:paraId="0D5E781E" w14:textId="02F85D36" w:rsidR="0097714A" w:rsidRPr="006C7B74" w:rsidRDefault="00CF54E7" w:rsidP="00934C4D">
      <w:pPr>
        <w:spacing w:after="120"/>
        <w:rPr>
          <w:rFonts w:cstheme="minorHAnsi"/>
          <w:sz w:val="20"/>
          <w:szCs w:val="20"/>
        </w:rPr>
      </w:pPr>
      <w:r w:rsidRPr="006C7B74">
        <w:rPr>
          <w:rFonts w:cstheme="minorHAnsi"/>
          <w:sz w:val="20"/>
          <w:szCs w:val="20"/>
        </w:rPr>
        <w:t xml:space="preserve">There are </w:t>
      </w:r>
      <w:r w:rsidR="00196273" w:rsidRPr="006C7B74">
        <w:rPr>
          <w:rFonts w:cstheme="minorHAnsi"/>
          <w:sz w:val="20"/>
          <w:szCs w:val="20"/>
        </w:rPr>
        <w:t xml:space="preserve">460 </w:t>
      </w:r>
      <w:r w:rsidR="00A40437" w:rsidRPr="006C7B74">
        <w:rPr>
          <w:rFonts w:cstheme="minorHAnsi"/>
          <w:sz w:val="20"/>
          <w:szCs w:val="20"/>
        </w:rPr>
        <w:t xml:space="preserve">hectares of zoned industrial land within the Inner Metro </w:t>
      </w:r>
      <w:r w:rsidR="002970BD" w:rsidRPr="006C7B74">
        <w:rPr>
          <w:rFonts w:cstheme="minorHAnsi"/>
          <w:sz w:val="20"/>
          <w:szCs w:val="20"/>
        </w:rPr>
        <w:t>R</w:t>
      </w:r>
      <w:r w:rsidR="00A40437" w:rsidRPr="006C7B74">
        <w:rPr>
          <w:rFonts w:cstheme="minorHAnsi"/>
          <w:sz w:val="20"/>
          <w:szCs w:val="20"/>
        </w:rPr>
        <w:t>egion. Most of this land is</w:t>
      </w:r>
      <w:r w:rsidRPr="006C7B74">
        <w:rPr>
          <w:rFonts w:cstheme="minorHAnsi"/>
          <w:sz w:val="20"/>
          <w:szCs w:val="20"/>
        </w:rPr>
        <w:t xml:space="preserve"> </w:t>
      </w:r>
      <w:r w:rsidR="001268EE" w:rsidRPr="006C7B74">
        <w:rPr>
          <w:rFonts w:cstheme="minorHAnsi"/>
          <w:sz w:val="20"/>
          <w:szCs w:val="20"/>
        </w:rPr>
        <w:t>occupied with</w:t>
      </w:r>
      <w:r w:rsidR="00524524" w:rsidRPr="006C7B74">
        <w:rPr>
          <w:rFonts w:cstheme="minorHAnsi"/>
          <w:sz w:val="20"/>
          <w:szCs w:val="20"/>
        </w:rPr>
        <w:t xml:space="preserve"> only</w:t>
      </w:r>
      <w:r w:rsidR="001268EE" w:rsidRPr="006C7B74">
        <w:rPr>
          <w:rFonts w:cstheme="minorHAnsi"/>
          <w:sz w:val="20"/>
          <w:szCs w:val="20"/>
        </w:rPr>
        <w:t xml:space="preserve"> 28 hectares of land being vacant.</w:t>
      </w:r>
      <w:r w:rsidR="0097714A" w:rsidRPr="006C7B74">
        <w:rPr>
          <w:rFonts w:cstheme="minorHAnsi"/>
          <w:sz w:val="20"/>
          <w:szCs w:val="20"/>
        </w:rPr>
        <w:t xml:space="preserve"> </w:t>
      </w:r>
      <w:r w:rsidR="004C4604" w:rsidRPr="006C7B74">
        <w:rPr>
          <w:rFonts w:cstheme="minorHAnsi"/>
          <w:sz w:val="20"/>
          <w:szCs w:val="20"/>
        </w:rPr>
        <w:t>The majority of vacant industrial land is located within the City of Melbourne</w:t>
      </w:r>
      <w:r w:rsidR="007C6732" w:rsidRPr="006C7B74">
        <w:rPr>
          <w:rFonts w:cstheme="minorHAnsi"/>
          <w:sz w:val="20"/>
          <w:szCs w:val="20"/>
        </w:rPr>
        <w:t>,</w:t>
      </w:r>
      <w:r w:rsidR="004C4604" w:rsidRPr="006C7B74">
        <w:rPr>
          <w:rFonts w:cstheme="minorHAnsi"/>
          <w:sz w:val="20"/>
          <w:szCs w:val="20"/>
        </w:rPr>
        <w:t xml:space="preserve"> adjacent to the Port of Melbourne in the Dynon Precinct.</w:t>
      </w:r>
    </w:p>
    <w:p w14:paraId="7C32CBB8" w14:textId="77777777" w:rsidR="0097714A" w:rsidRPr="006C7B74" w:rsidRDefault="0097714A" w:rsidP="00934C4D">
      <w:pPr>
        <w:spacing w:after="120"/>
        <w:rPr>
          <w:rFonts w:cstheme="minorHAnsi"/>
          <w:sz w:val="20"/>
          <w:szCs w:val="20"/>
        </w:rPr>
      </w:pPr>
    </w:p>
    <w:p w14:paraId="43BE5438" w14:textId="3A22F0B7" w:rsidR="0097714A" w:rsidRPr="00683949" w:rsidRDefault="0097714A" w:rsidP="00683949">
      <w:pPr>
        <w:pStyle w:val="Heading5"/>
      </w:pPr>
      <w:r w:rsidRPr="00683949">
        <w:t xml:space="preserve">Table </w:t>
      </w:r>
      <w:r w:rsidR="00C80CFA" w:rsidRPr="00683949">
        <w:t>9</w:t>
      </w:r>
      <w:r w:rsidRPr="00683949">
        <w:t>: Industrial land suppl</w:t>
      </w:r>
      <w:r w:rsidR="007F23D0" w:rsidRPr="00683949">
        <w:t>y</w:t>
      </w:r>
      <w:r w:rsidR="003A4F82" w:rsidRPr="00683949">
        <w:t>,</w:t>
      </w:r>
      <w:r w:rsidR="007F23D0" w:rsidRPr="00683949">
        <w:t xml:space="preserve"> Inner Metro Region</w:t>
      </w:r>
    </w:p>
    <w:tbl>
      <w:tblPr>
        <w:tblW w:w="9064" w:type="dxa"/>
        <w:tblLayout w:type="fixed"/>
        <w:tblLook w:val="04A0" w:firstRow="1" w:lastRow="0" w:firstColumn="1" w:lastColumn="0" w:noHBand="0" w:noVBand="1"/>
      </w:tblPr>
      <w:tblGrid>
        <w:gridCol w:w="2940"/>
        <w:gridCol w:w="1531"/>
        <w:gridCol w:w="1531"/>
        <w:gridCol w:w="1531"/>
        <w:gridCol w:w="1531"/>
      </w:tblGrid>
      <w:tr w:rsidR="00C622AE" w:rsidRPr="006C7B74" w14:paraId="560BE1A3" w14:textId="77777777" w:rsidTr="00BE7F62">
        <w:trPr>
          <w:trHeight w:val="567"/>
        </w:trPr>
        <w:tc>
          <w:tcPr>
            <w:tcW w:w="2940" w:type="dxa"/>
            <w:tcBorders>
              <w:top w:val="nil"/>
              <w:left w:val="nil"/>
              <w:bottom w:val="single" w:sz="8" w:space="0" w:color="4D446C"/>
              <w:right w:val="nil"/>
            </w:tcBorders>
            <w:shd w:val="clear" w:color="000000" w:fill="4D446C"/>
            <w:noWrap/>
            <w:vAlign w:val="center"/>
            <w:hideMark/>
          </w:tcPr>
          <w:p w14:paraId="2F52B7C0" w14:textId="4A78C19A" w:rsidR="00C622AE" w:rsidRPr="006C7B74" w:rsidRDefault="00C622AE" w:rsidP="00683949">
            <w:pPr>
              <w:pStyle w:val="TableHeaderRow"/>
            </w:pPr>
            <w:r w:rsidRPr="006C7B74">
              <w:t>Council</w:t>
            </w:r>
          </w:p>
        </w:tc>
        <w:tc>
          <w:tcPr>
            <w:tcW w:w="1531" w:type="dxa"/>
            <w:tcBorders>
              <w:top w:val="nil"/>
              <w:left w:val="nil"/>
              <w:bottom w:val="single" w:sz="8" w:space="0" w:color="4D446C"/>
              <w:right w:val="nil"/>
            </w:tcBorders>
            <w:shd w:val="clear" w:color="000000" w:fill="4D446C"/>
            <w:vAlign w:val="center"/>
            <w:hideMark/>
          </w:tcPr>
          <w:p w14:paraId="13601ECA" w14:textId="7A34E5C8" w:rsidR="00C622AE" w:rsidRPr="006C7B74" w:rsidRDefault="00C622AE" w:rsidP="00683949">
            <w:pPr>
              <w:pStyle w:val="TableHeaderRow"/>
              <w:jc w:val="center"/>
            </w:pPr>
            <w:r w:rsidRPr="006C7B74">
              <w:t>Zoned occupied (ha)</w:t>
            </w:r>
          </w:p>
        </w:tc>
        <w:tc>
          <w:tcPr>
            <w:tcW w:w="1531" w:type="dxa"/>
            <w:tcBorders>
              <w:top w:val="nil"/>
              <w:left w:val="nil"/>
              <w:bottom w:val="single" w:sz="8" w:space="0" w:color="4D446C"/>
              <w:right w:val="nil"/>
            </w:tcBorders>
            <w:shd w:val="clear" w:color="000000" w:fill="4D446C"/>
            <w:vAlign w:val="center"/>
            <w:hideMark/>
          </w:tcPr>
          <w:p w14:paraId="6989DD48" w14:textId="37F5FA4A" w:rsidR="00C622AE" w:rsidRPr="006C7B74" w:rsidRDefault="00C622AE" w:rsidP="00683949">
            <w:pPr>
              <w:pStyle w:val="TableHeaderRow"/>
              <w:jc w:val="center"/>
            </w:pPr>
            <w:r w:rsidRPr="006C7B74">
              <w:t>Zoned vacant (ha)</w:t>
            </w:r>
          </w:p>
        </w:tc>
        <w:tc>
          <w:tcPr>
            <w:tcW w:w="1531" w:type="dxa"/>
            <w:tcBorders>
              <w:top w:val="nil"/>
              <w:left w:val="nil"/>
              <w:bottom w:val="single" w:sz="8" w:space="0" w:color="4D446C"/>
              <w:right w:val="nil"/>
            </w:tcBorders>
            <w:shd w:val="clear" w:color="000000" w:fill="4D446C"/>
            <w:vAlign w:val="center"/>
            <w:hideMark/>
          </w:tcPr>
          <w:p w14:paraId="68FB124F" w14:textId="10E31CBC" w:rsidR="00C622AE" w:rsidRPr="006C7B74" w:rsidRDefault="00C622AE" w:rsidP="00683949">
            <w:pPr>
              <w:pStyle w:val="TableHeaderRow"/>
              <w:jc w:val="center"/>
            </w:pPr>
            <w:r w:rsidRPr="006C7B74">
              <w:t>Future supply (ha)</w:t>
            </w:r>
          </w:p>
        </w:tc>
        <w:tc>
          <w:tcPr>
            <w:tcW w:w="1531" w:type="dxa"/>
            <w:tcBorders>
              <w:top w:val="nil"/>
              <w:left w:val="nil"/>
              <w:bottom w:val="single" w:sz="8" w:space="0" w:color="4D446C"/>
              <w:right w:val="nil"/>
            </w:tcBorders>
            <w:shd w:val="clear" w:color="000000" w:fill="4D446C"/>
            <w:vAlign w:val="center"/>
            <w:hideMark/>
          </w:tcPr>
          <w:p w14:paraId="02FA43E9" w14:textId="5D622DDB" w:rsidR="00C622AE" w:rsidRPr="006C7B74" w:rsidRDefault="00C622AE" w:rsidP="00683949">
            <w:pPr>
              <w:pStyle w:val="TableHeaderRow"/>
              <w:jc w:val="center"/>
            </w:pPr>
            <w:r w:rsidRPr="006C7B74">
              <w:t>Total available supply (ha)</w:t>
            </w:r>
          </w:p>
        </w:tc>
      </w:tr>
      <w:tr w:rsidR="00196273" w:rsidRPr="006C7B74" w14:paraId="49115D66" w14:textId="77777777" w:rsidTr="006C7B74">
        <w:trPr>
          <w:trHeight w:val="315"/>
        </w:trPr>
        <w:tc>
          <w:tcPr>
            <w:tcW w:w="2940" w:type="dxa"/>
            <w:tcBorders>
              <w:top w:val="nil"/>
              <w:left w:val="nil"/>
              <w:bottom w:val="single" w:sz="8" w:space="0" w:color="4D446C"/>
              <w:right w:val="nil"/>
            </w:tcBorders>
            <w:shd w:val="clear" w:color="auto" w:fill="auto"/>
            <w:noWrap/>
            <w:vAlign w:val="center"/>
            <w:hideMark/>
          </w:tcPr>
          <w:p w14:paraId="20DC1990" w14:textId="77777777" w:rsidR="00196273" w:rsidRPr="006C7B74" w:rsidRDefault="00196273" w:rsidP="00196273">
            <w:pPr>
              <w:rPr>
                <w:rFonts w:ascii="Calibri" w:hAnsi="Calibri" w:cs="Calibri"/>
                <w:color w:val="000000"/>
                <w:sz w:val="18"/>
                <w:szCs w:val="18"/>
                <w:lang w:eastAsia="en-AU"/>
              </w:rPr>
            </w:pPr>
            <w:r w:rsidRPr="006C7B74">
              <w:rPr>
                <w:rFonts w:ascii="Calibri" w:hAnsi="Calibri" w:cs="Calibri"/>
                <w:color w:val="000000"/>
                <w:sz w:val="18"/>
                <w:szCs w:val="18"/>
                <w:lang w:eastAsia="en-AU"/>
              </w:rPr>
              <w:t>Melbourne</w:t>
            </w:r>
          </w:p>
        </w:tc>
        <w:tc>
          <w:tcPr>
            <w:tcW w:w="1531" w:type="dxa"/>
            <w:tcBorders>
              <w:top w:val="nil"/>
              <w:left w:val="nil"/>
              <w:bottom w:val="single" w:sz="8" w:space="0" w:color="4D446C"/>
              <w:right w:val="nil"/>
            </w:tcBorders>
            <w:shd w:val="clear" w:color="auto" w:fill="auto"/>
            <w:noWrap/>
            <w:hideMark/>
          </w:tcPr>
          <w:p w14:paraId="36CD70A5" w14:textId="77B571DD" w:rsidR="00196273" w:rsidRPr="006C7B74" w:rsidRDefault="00196273" w:rsidP="00196273">
            <w:pPr>
              <w:jc w:val="center"/>
              <w:rPr>
                <w:rFonts w:ascii="Calibri" w:hAnsi="Calibri" w:cs="Calibri"/>
                <w:color w:val="363534"/>
                <w:sz w:val="18"/>
                <w:szCs w:val="18"/>
                <w:lang w:eastAsia="en-AU"/>
              </w:rPr>
            </w:pPr>
            <w:r w:rsidRPr="006C7B74">
              <w:rPr>
                <w:sz w:val="18"/>
                <w:szCs w:val="18"/>
              </w:rPr>
              <w:t>310.0</w:t>
            </w:r>
          </w:p>
        </w:tc>
        <w:tc>
          <w:tcPr>
            <w:tcW w:w="1531" w:type="dxa"/>
            <w:tcBorders>
              <w:top w:val="nil"/>
              <w:left w:val="nil"/>
              <w:bottom w:val="single" w:sz="8" w:space="0" w:color="4D446C"/>
              <w:right w:val="nil"/>
            </w:tcBorders>
            <w:shd w:val="clear" w:color="auto" w:fill="auto"/>
            <w:noWrap/>
            <w:vAlign w:val="center"/>
            <w:hideMark/>
          </w:tcPr>
          <w:p w14:paraId="026740CA" w14:textId="77777777" w:rsidR="00196273" w:rsidRPr="006C7B74" w:rsidRDefault="00196273" w:rsidP="00196273">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25.5</w:t>
            </w:r>
          </w:p>
        </w:tc>
        <w:tc>
          <w:tcPr>
            <w:tcW w:w="1531" w:type="dxa"/>
            <w:tcBorders>
              <w:top w:val="nil"/>
              <w:left w:val="nil"/>
              <w:bottom w:val="single" w:sz="8" w:space="0" w:color="4D446C"/>
              <w:right w:val="nil"/>
            </w:tcBorders>
            <w:shd w:val="clear" w:color="auto" w:fill="auto"/>
            <w:noWrap/>
            <w:vAlign w:val="center"/>
            <w:hideMark/>
          </w:tcPr>
          <w:p w14:paraId="4E2D2680" w14:textId="77777777" w:rsidR="00196273" w:rsidRPr="006C7B74" w:rsidRDefault="00196273" w:rsidP="00196273">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0.0</w:t>
            </w:r>
          </w:p>
        </w:tc>
        <w:tc>
          <w:tcPr>
            <w:tcW w:w="1531" w:type="dxa"/>
            <w:tcBorders>
              <w:top w:val="nil"/>
              <w:left w:val="nil"/>
              <w:bottom w:val="single" w:sz="8" w:space="0" w:color="4D446C"/>
              <w:right w:val="nil"/>
            </w:tcBorders>
            <w:shd w:val="clear" w:color="auto" w:fill="auto"/>
            <w:noWrap/>
            <w:vAlign w:val="center"/>
            <w:hideMark/>
          </w:tcPr>
          <w:p w14:paraId="352AE148" w14:textId="77777777" w:rsidR="00196273" w:rsidRPr="006C7B74" w:rsidRDefault="00196273" w:rsidP="00196273">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25.5</w:t>
            </w:r>
          </w:p>
        </w:tc>
      </w:tr>
      <w:tr w:rsidR="00196273" w:rsidRPr="006C7B74" w14:paraId="71EBA9BB" w14:textId="77777777" w:rsidTr="006C7B74">
        <w:trPr>
          <w:trHeight w:val="315"/>
        </w:trPr>
        <w:tc>
          <w:tcPr>
            <w:tcW w:w="2940" w:type="dxa"/>
            <w:tcBorders>
              <w:top w:val="nil"/>
              <w:left w:val="nil"/>
              <w:bottom w:val="single" w:sz="8" w:space="0" w:color="4D446C"/>
              <w:right w:val="nil"/>
            </w:tcBorders>
            <w:shd w:val="clear" w:color="auto" w:fill="auto"/>
            <w:noWrap/>
            <w:vAlign w:val="center"/>
            <w:hideMark/>
          </w:tcPr>
          <w:p w14:paraId="3A38EE84" w14:textId="77777777" w:rsidR="00196273" w:rsidRPr="006C7B74" w:rsidRDefault="00196273" w:rsidP="00196273">
            <w:pPr>
              <w:rPr>
                <w:rFonts w:ascii="Calibri" w:hAnsi="Calibri" w:cs="Calibri"/>
                <w:color w:val="000000"/>
                <w:sz w:val="18"/>
                <w:szCs w:val="18"/>
                <w:lang w:eastAsia="en-AU"/>
              </w:rPr>
            </w:pPr>
            <w:r w:rsidRPr="006C7B74">
              <w:rPr>
                <w:rFonts w:ascii="Calibri" w:hAnsi="Calibri" w:cs="Calibri"/>
                <w:color w:val="000000"/>
                <w:sz w:val="18"/>
                <w:szCs w:val="18"/>
                <w:lang w:eastAsia="en-AU"/>
              </w:rPr>
              <w:t>Port Phillip</w:t>
            </w:r>
          </w:p>
        </w:tc>
        <w:tc>
          <w:tcPr>
            <w:tcW w:w="1531" w:type="dxa"/>
            <w:tcBorders>
              <w:top w:val="nil"/>
              <w:left w:val="nil"/>
              <w:bottom w:val="single" w:sz="8" w:space="0" w:color="4D446C"/>
              <w:right w:val="nil"/>
            </w:tcBorders>
            <w:shd w:val="clear" w:color="auto" w:fill="auto"/>
            <w:noWrap/>
            <w:hideMark/>
          </w:tcPr>
          <w:p w14:paraId="35231D56" w14:textId="06DE207A" w:rsidR="00196273" w:rsidRPr="006C7B74" w:rsidRDefault="00196273" w:rsidP="00196273">
            <w:pPr>
              <w:jc w:val="center"/>
              <w:rPr>
                <w:rFonts w:ascii="Calibri" w:hAnsi="Calibri" w:cs="Calibri"/>
                <w:color w:val="363534"/>
                <w:sz w:val="18"/>
                <w:szCs w:val="18"/>
                <w:lang w:eastAsia="en-AU"/>
              </w:rPr>
            </w:pPr>
            <w:r w:rsidRPr="006C7B74">
              <w:rPr>
                <w:sz w:val="18"/>
                <w:szCs w:val="18"/>
              </w:rPr>
              <w:t>12.7</w:t>
            </w:r>
          </w:p>
        </w:tc>
        <w:tc>
          <w:tcPr>
            <w:tcW w:w="1531" w:type="dxa"/>
            <w:tcBorders>
              <w:top w:val="nil"/>
              <w:left w:val="nil"/>
              <w:bottom w:val="single" w:sz="8" w:space="0" w:color="4D446C"/>
              <w:right w:val="nil"/>
            </w:tcBorders>
            <w:shd w:val="clear" w:color="auto" w:fill="auto"/>
            <w:noWrap/>
            <w:vAlign w:val="center"/>
            <w:hideMark/>
          </w:tcPr>
          <w:p w14:paraId="1F294EDA" w14:textId="77777777" w:rsidR="00196273" w:rsidRPr="006C7B74" w:rsidRDefault="00196273" w:rsidP="00196273">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0.8</w:t>
            </w:r>
          </w:p>
        </w:tc>
        <w:tc>
          <w:tcPr>
            <w:tcW w:w="1531" w:type="dxa"/>
            <w:tcBorders>
              <w:top w:val="nil"/>
              <w:left w:val="nil"/>
              <w:bottom w:val="single" w:sz="8" w:space="0" w:color="4D446C"/>
              <w:right w:val="nil"/>
            </w:tcBorders>
            <w:shd w:val="clear" w:color="auto" w:fill="auto"/>
            <w:noWrap/>
            <w:vAlign w:val="center"/>
            <w:hideMark/>
          </w:tcPr>
          <w:p w14:paraId="0EC2B62C" w14:textId="77777777" w:rsidR="00196273" w:rsidRPr="006C7B74" w:rsidRDefault="00196273" w:rsidP="00196273">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0.0</w:t>
            </w:r>
          </w:p>
        </w:tc>
        <w:tc>
          <w:tcPr>
            <w:tcW w:w="1531" w:type="dxa"/>
            <w:tcBorders>
              <w:top w:val="nil"/>
              <w:left w:val="nil"/>
              <w:bottom w:val="single" w:sz="8" w:space="0" w:color="4D446C"/>
              <w:right w:val="nil"/>
            </w:tcBorders>
            <w:shd w:val="clear" w:color="auto" w:fill="auto"/>
            <w:noWrap/>
            <w:vAlign w:val="center"/>
            <w:hideMark/>
          </w:tcPr>
          <w:p w14:paraId="5ED37991" w14:textId="77777777" w:rsidR="00196273" w:rsidRPr="006C7B74" w:rsidRDefault="00196273" w:rsidP="00196273">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0.8</w:t>
            </w:r>
          </w:p>
        </w:tc>
      </w:tr>
      <w:tr w:rsidR="00196273" w:rsidRPr="006C7B74" w14:paraId="0D49C8C2" w14:textId="77777777" w:rsidTr="006C7B74">
        <w:trPr>
          <w:trHeight w:val="315"/>
        </w:trPr>
        <w:tc>
          <w:tcPr>
            <w:tcW w:w="2940" w:type="dxa"/>
            <w:tcBorders>
              <w:top w:val="nil"/>
              <w:left w:val="nil"/>
              <w:bottom w:val="single" w:sz="8" w:space="0" w:color="4D446C"/>
              <w:right w:val="nil"/>
            </w:tcBorders>
            <w:shd w:val="clear" w:color="auto" w:fill="auto"/>
            <w:noWrap/>
            <w:vAlign w:val="center"/>
            <w:hideMark/>
          </w:tcPr>
          <w:p w14:paraId="78DB6703" w14:textId="77777777" w:rsidR="00196273" w:rsidRPr="006C7B74" w:rsidRDefault="00196273" w:rsidP="00196273">
            <w:pPr>
              <w:rPr>
                <w:rFonts w:ascii="Calibri" w:hAnsi="Calibri" w:cs="Calibri"/>
                <w:color w:val="000000"/>
                <w:sz w:val="18"/>
                <w:szCs w:val="18"/>
                <w:lang w:eastAsia="en-AU"/>
              </w:rPr>
            </w:pPr>
            <w:r w:rsidRPr="006C7B74">
              <w:rPr>
                <w:rFonts w:ascii="Calibri" w:hAnsi="Calibri" w:cs="Calibri"/>
                <w:color w:val="000000"/>
                <w:sz w:val="18"/>
                <w:szCs w:val="18"/>
                <w:lang w:eastAsia="en-AU"/>
              </w:rPr>
              <w:t>Yarra</w:t>
            </w:r>
          </w:p>
        </w:tc>
        <w:tc>
          <w:tcPr>
            <w:tcW w:w="1531" w:type="dxa"/>
            <w:tcBorders>
              <w:top w:val="nil"/>
              <w:left w:val="nil"/>
              <w:bottom w:val="single" w:sz="8" w:space="0" w:color="4D446C"/>
              <w:right w:val="nil"/>
            </w:tcBorders>
            <w:shd w:val="clear" w:color="auto" w:fill="auto"/>
            <w:noWrap/>
            <w:hideMark/>
          </w:tcPr>
          <w:p w14:paraId="140BD681" w14:textId="12909F19" w:rsidR="00196273" w:rsidRPr="006C7B74" w:rsidRDefault="00196273" w:rsidP="00196273">
            <w:pPr>
              <w:jc w:val="center"/>
              <w:rPr>
                <w:rFonts w:ascii="Calibri" w:hAnsi="Calibri" w:cs="Calibri"/>
                <w:color w:val="363534"/>
                <w:sz w:val="18"/>
                <w:szCs w:val="18"/>
                <w:lang w:eastAsia="en-AU"/>
              </w:rPr>
            </w:pPr>
            <w:r w:rsidRPr="006C7B74">
              <w:rPr>
                <w:sz w:val="18"/>
                <w:szCs w:val="18"/>
              </w:rPr>
              <w:t>136.7</w:t>
            </w:r>
          </w:p>
        </w:tc>
        <w:tc>
          <w:tcPr>
            <w:tcW w:w="1531" w:type="dxa"/>
            <w:tcBorders>
              <w:top w:val="nil"/>
              <w:left w:val="nil"/>
              <w:bottom w:val="single" w:sz="8" w:space="0" w:color="4D446C"/>
              <w:right w:val="nil"/>
            </w:tcBorders>
            <w:shd w:val="clear" w:color="auto" w:fill="auto"/>
            <w:noWrap/>
            <w:vAlign w:val="center"/>
            <w:hideMark/>
          </w:tcPr>
          <w:p w14:paraId="2530C272" w14:textId="77777777" w:rsidR="00196273" w:rsidRPr="006C7B74" w:rsidRDefault="00196273" w:rsidP="00196273">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1.7</w:t>
            </w:r>
          </w:p>
        </w:tc>
        <w:tc>
          <w:tcPr>
            <w:tcW w:w="1531" w:type="dxa"/>
            <w:tcBorders>
              <w:top w:val="nil"/>
              <w:left w:val="nil"/>
              <w:bottom w:val="single" w:sz="8" w:space="0" w:color="4D446C"/>
              <w:right w:val="nil"/>
            </w:tcBorders>
            <w:shd w:val="clear" w:color="auto" w:fill="auto"/>
            <w:noWrap/>
            <w:vAlign w:val="center"/>
            <w:hideMark/>
          </w:tcPr>
          <w:p w14:paraId="5AA05000" w14:textId="77777777" w:rsidR="00196273" w:rsidRPr="006C7B74" w:rsidRDefault="00196273" w:rsidP="00196273">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0.0</w:t>
            </w:r>
          </w:p>
        </w:tc>
        <w:tc>
          <w:tcPr>
            <w:tcW w:w="1531" w:type="dxa"/>
            <w:tcBorders>
              <w:top w:val="nil"/>
              <w:left w:val="nil"/>
              <w:bottom w:val="single" w:sz="8" w:space="0" w:color="4D446C"/>
              <w:right w:val="nil"/>
            </w:tcBorders>
            <w:shd w:val="clear" w:color="auto" w:fill="auto"/>
            <w:noWrap/>
            <w:vAlign w:val="center"/>
            <w:hideMark/>
          </w:tcPr>
          <w:p w14:paraId="5329FFDE" w14:textId="77777777" w:rsidR="00196273" w:rsidRPr="006C7B74" w:rsidRDefault="00196273" w:rsidP="00196273">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1.7</w:t>
            </w:r>
          </w:p>
        </w:tc>
      </w:tr>
      <w:tr w:rsidR="00196273" w:rsidRPr="006C7B74" w14:paraId="2A0A4C70" w14:textId="77777777" w:rsidTr="006C7B74">
        <w:trPr>
          <w:trHeight w:val="315"/>
        </w:trPr>
        <w:tc>
          <w:tcPr>
            <w:tcW w:w="2940" w:type="dxa"/>
            <w:tcBorders>
              <w:top w:val="nil"/>
              <w:left w:val="nil"/>
              <w:bottom w:val="single" w:sz="8" w:space="0" w:color="4D446C"/>
              <w:right w:val="nil"/>
            </w:tcBorders>
            <w:shd w:val="clear" w:color="auto" w:fill="auto"/>
            <w:noWrap/>
            <w:vAlign w:val="center"/>
            <w:hideMark/>
          </w:tcPr>
          <w:p w14:paraId="62A77D89" w14:textId="77777777" w:rsidR="00196273" w:rsidRPr="006C7B74" w:rsidRDefault="00196273" w:rsidP="00196273">
            <w:pPr>
              <w:rPr>
                <w:rFonts w:ascii="Calibri" w:hAnsi="Calibri" w:cs="Calibri"/>
                <w:b/>
                <w:bCs/>
                <w:color w:val="000000"/>
                <w:sz w:val="18"/>
                <w:szCs w:val="18"/>
                <w:lang w:eastAsia="en-AU"/>
              </w:rPr>
            </w:pPr>
            <w:r w:rsidRPr="006C7B74">
              <w:rPr>
                <w:rFonts w:ascii="Calibri" w:hAnsi="Calibri" w:cs="Calibri"/>
                <w:b/>
                <w:bCs/>
                <w:color w:val="000000"/>
                <w:sz w:val="18"/>
                <w:szCs w:val="18"/>
                <w:lang w:eastAsia="en-AU"/>
              </w:rPr>
              <w:t>Total</w:t>
            </w:r>
          </w:p>
        </w:tc>
        <w:tc>
          <w:tcPr>
            <w:tcW w:w="1531" w:type="dxa"/>
            <w:tcBorders>
              <w:top w:val="nil"/>
              <w:left w:val="nil"/>
              <w:bottom w:val="single" w:sz="8" w:space="0" w:color="4D446C"/>
              <w:right w:val="nil"/>
            </w:tcBorders>
            <w:shd w:val="clear" w:color="auto" w:fill="auto"/>
            <w:noWrap/>
            <w:hideMark/>
          </w:tcPr>
          <w:p w14:paraId="4E87E06A" w14:textId="51342D17" w:rsidR="00196273" w:rsidRPr="006C7B74" w:rsidRDefault="00196273" w:rsidP="00196273">
            <w:pPr>
              <w:jc w:val="center"/>
              <w:rPr>
                <w:rFonts w:ascii="Calibri" w:hAnsi="Calibri" w:cs="Calibri"/>
                <w:b/>
                <w:color w:val="363534"/>
                <w:sz w:val="18"/>
                <w:szCs w:val="18"/>
                <w:lang w:eastAsia="en-AU"/>
              </w:rPr>
            </w:pPr>
            <w:r w:rsidRPr="006C7B74">
              <w:rPr>
                <w:b/>
                <w:sz w:val="18"/>
                <w:szCs w:val="18"/>
              </w:rPr>
              <w:t>459.4</w:t>
            </w:r>
          </w:p>
        </w:tc>
        <w:tc>
          <w:tcPr>
            <w:tcW w:w="1531" w:type="dxa"/>
            <w:tcBorders>
              <w:top w:val="nil"/>
              <w:left w:val="nil"/>
              <w:bottom w:val="single" w:sz="8" w:space="0" w:color="4D446C"/>
              <w:right w:val="nil"/>
            </w:tcBorders>
            <w:shd w:val="clear" w:color="auto" w:fill="auto"/>
            <w:noWrap/>
            <w:vAlign w:val="center"/>
            <w:hideMark/>
          </w:tcPr>
          <w:p w14:paraId="4DB90EB6" w14:textId="16835EFD" w:rsidR="00196273" w:rsidRPr="006C7B74" w:rsidRDefault="00196273" w:rsidP="00196273">
            <w:pPr>
              <w:jc w:val="center"/>
              <w:rPr>
                <w:rFonts w:ascii="Calibri" w:hAnsi="Calibri" w:cs="Calibri"/>
                <w:b/>
                <w:bCs/>
                <w:color w:val="363534"/>
                <w:sz w:val="18"/>
                <w:szCs w:val="18"/>
                <w:lang w:eastAsia="en-AU"/>
              </w:rPr>
            </w:pPr>
            <w:r w:rsidRPr="006C7B74">
              <w:rPr>
                <w:rFonts w:ascii="Calibri" w:hAnsi="Calibri" w:cs="Calibri"/>
                <w:b/>
                <w:bCs/>
                <w:color w:val="363534"/>
                <w:sz w:val="18"/>
                <w:szCs w:val="18"/>
                <w:lang w:eastAsia="en-AU"/>
              </w:rPr>
              <w:t>28</w:t>
            </w:r>
            <w:r w:rsidRPr="006C7B74">
              <w:rPr>
                <w:rFonts w:ascii="Calibri" w:hAnsi="Calibri" w:cs="Calibri"/>
                <w:b/>
                <w:color w:val="363534"/>
                <w:sz w:val="18"/>
                <w:szCs w:val="18"/>
                <w:lang w:eastAsia="en-AU"/>
              </w:rPr>
              <w:t>.0</w:t>
            </w:r>
          </w:p>
        </w:tc>
        <w:tc>
          <w:tcPr>
            <w:tcW w:w="1531" w:type="dxa"/>
            <w:tcBorders>
              <w:top w:val="nil"/>
              <w:left w:val="nil"/>
              <w:bottom w:val="single" w:sz="8" w:space="0" w:color="4D446C"/>
              <w:right w:val="nil"/>
            </w:tcBorders>
            <w:shd w:val="clear" w:color="auto" w:fill="auto"/>
            <w:noWrap/>
            <w:vAlign w:val="center"/>
            <w:hideMark/>
          </w:tcPr>
          <w:p w14:paraId="4F762B8A" w14:textId="77777777" w:rsidR="00196273" w:rsidRPr="006C7B74" w:rsidRDefault="00196273" w:rsidP="00196273">
            <w:pPr>
              <w:jc w:val="center"/>
              <w:rPr>
                <w:rFonts w:ascii="Calibri" w:hAnsi="Calibri" w:cs="Calibri"/>
                <w:b/>
                <w:bCs/>
                <w:color w:val="363534"/>
                <w:sz w:val="18"/>
                <w:szCs w:val="18"/>
                <w:lang w:eastAsia="en-AU"/>
              </w:rPr>
            </w:pPr>
            <w:r w:rsidRPr="006C7B74">
              <w:rPr>
                <w:rFonts w:ascii="Calibri" w:hAnsi="Calibri" w:cs="Calibri"/>
                <w:b/>
                <w:bCs/>
                <w:color w:val="363534"/>
                <w:sz w:val="18"/>
                <w:szCs w:val="18"/>
                <w:lang w:eastAsia="en-AU"/>
              </w:rPr>
              <w:t>0.0</w:t>
            </w:r>
          </w:p>
        </w:tc>
        <w:tc>
          <w:tcPr>
            <w:tcW w:w="1531" w:type="dxa"/>
            <w:tcBorders>
              <w:top w:val="nil"/>
              <w:left w:val="nil"/>
              <w:bottom w:val="single" w:sz="8" w:space="0" w:color="4D446C"/>
              <w:right w:val="nil"/>
            </w:tcBorders>
            <w:shd w:val="clear" w:color="auto" w:fill="auto"/>
            <w:noWrap/>
            <w:vAlign w:val="center"/>
            <w:hideMark/>
          </w:tcPr>
          <w:p w14:paraId="03713BA8" w14:textId="77777777" w:rsidR="00196273" w:rsidRPr="006C7B74" w:rsidRDefault="00196273" w:rsidP="00196273">
            <w:pPr>
              <w:jc w:val="center"/>
              <w:rPr>
                <w:rFonts w:ascii="Calibri" w:hAnsi="Calibri" w:cs="Calibri"/>
                <w:b/>
                <w:bCs/>
                <w:color w:val="363534"/>
                <w:sz w:val="18"/>
                <w:szCs w:val="18"/>
                <w:lang w:eastAsia="en-AU"/>
              </w:rPr>
            </w:pPr>
            <w:r w:rsidRPr="006C7B74">
              <w:rPr>
                <w:rFonts w:ascii="Calibri" w:hAnsi="Calibri" w:cs="Calibri"/>
                <w:b/>
                <w:bCs/>
                <w:color w:val="363534"/>
                <w:sz w:val="18"/>
                <w:szCs w:val="18"/>
                <w:lang w:eastAsia="en-AU"/>
              </w:rPr>
              <w:t>28.0</w:t>
            </w:r>
          </w:p>
        </w:tc>
      </w:tr>
    </w:tbl>
    <w:p w14:paraId="2BE7EBCA" w14:textId="76BC9E44" w:rsidR="0097714A" w:rsidRPr="006C7B74" w:rsidRDefault="00DC580D" w:rsidP="00683949">
      <w:pPr>
        <w:pStyle w:val="Quote"/>
        <w:rPr>
          <w:sz w:val="20"/>
        </w:rPr>
      </w:pPr>
      <w:r w:rsidRPr="006C7B74">
        <w:t>Source: Department of Environment, Land, Water and Planning, Urban Development Program – Melbourne Metropolitan Industrial 2018</w:t>
      </w:r>
    </w:p>
    <w:p w14:paraId="7B4D7168" w14:textId="208DAA13" w:rsidR="0097714A" w:rsidRPr="00CC08D3" w:rsidRDefault="0097714A" w:rsidP="001B2A5D">
      <w:pPr>
        <w:pStyle w:val="Heading5"/>
      </w:pPr>
      <w:r w:rsidRPr="00683949">
        <w:t xml:space="preserve">Table </w:t>
      </w:r>
      <w:r w:rsidR="00741E89" w:rsidRPr="00683949">
        <w:t>10</w:t>
      </w:r>
      <w:r w:rsidRPr="00683949">
        <w:t xml:space="preserve">: </w:t>
      </w:r>
      <w:r w:rsidR="005F2E63" w:rsidRPr="00683949">
        <w:t>Industrial land consumption</w:t>
      </w:r>
      <w:r w:rsidR="003A4F82" w:rsidRPr="00683949">
        <w:t>,</w:t>
      </w:r>
      <w:r w:rsidR="007F23D0" w:rsidRPr="00683949">
        <w:t xml:space="preserve"> Inner Metro Region</w:t>
      </w:r>
      <w:r w:rsidR="0093068B" w:rsidRPr="00683949">
        <w:t>,</w:t>
      </w:r>
      <w:r w:rsidRPr="00683949">
        <w:t xml:space="preserve"> </w:t>
      </w:r>
      <w:r w:rsidR="00FB691B" w:rsidRPr="00683949">
        <w:t>20</w:t>
      </w:r>
      <w:r w:rsidR="00AE490C" w:rsidRPr="00683949">
        <w:t>15-</w:t>
      </w:r>
      <w:r w:rsidR="00FB691B" w:rsidRPr="00683949">
        <w:t>1</w:t>
      </w:r>
      <w:r w:rsidR="002C191A" w:rsidRPr="00683949">
        <w:t>6</w:t>
      </w:r>
      <w:r w:rsidR="00FB691B" w:rsidRPr="00683949">
        <w:t xml:space="preserve"> to 20</w:t>
      </w:r>
      <w:r w:rsidR="00AE490C" w:rsidRPr="00683949">
        <w:t>17-</w:t>
      </w:r>
      <w:r w:rsidR="00FB691B" w:rsidRPr="00154F8F">
        <w:t>18</w:t>
      </w:r>
      <w:r w:rsidRPr="00154F8F">
        <w:t xml:space="preserve"> </w:t>
      </w:r>
    </w:p>
    <w:tbl>
      <w:tblPr>
        <w:tblW w:w="5000" w:type="pct"/>
        <w:tblCellMar>
          <w:left w:w="0" w:type="dxa"/>
          <w:right w:w="0" w:type="dxa"/>
        </w:tblCellMar>
        <w:tblLook w:val="04A0" w:firstRow="1" w:lastRow="0" w:firstColumn="1" w:lastColumn="0" w:noHBand="0" w:noVBand="1"/>
      </w:tblPr>
      <w:tblGrid>
        <w:gridCol w:w="3874"/>
        <w:gridCol w:w="1716"/>
        <w:gridCol w:w="1716"/>
        <w:gridCol w:w="1714"/>
      </w:tblGrid>
      <w:tr w:rsidR="00490F9E" w:rsidRPr="006C7B74" w14:paraId="689F4B98" w14:textId="77777777" w:rsidTr="00DC580D">
        <w:trPr>
          <w:trHeight w:val="283"/>
        </w:trPr>
        <w:tc>
          <w:tcPr>
            <w:tcW w:w="2147" w:type="pct"/>
            <w:tcBorders>
              <w:top w:val="nil"/>
              <w:left w:val="nil"/>
              <w:bottom w:val="single" w:sz="8" w:space="0" w:color="4D446C"/>
              <w:right w:val="nil"/>
            </w:tcBorders>
            <w:shd w:val="clear" w:color="000000" w:fill="4D446C"/>
            <w:noWrap/>
            <w:tcMar>
              <w:top w:w="15" w:type="dxa"/>
              <w:left w:w="15" w:type="dxa"/>
              <w:bottom w:w="0" w:type="dxa"/>
              <w:right w:w="15" w:type="dxa"/>
            </w:tcMar>
            <w:vAlign w:val="center"/>
            <w:hideMark/>
          </w:tcPr>
          <w:p w14:paraId="372B27AD" w14:textId="4EDC12F5" w:rsidR="00490F9E" w:rsidRPr="006C7B74" w:rsidRDefault="00490F9E" w:rsidP="00490F9E">
            <w:pPr>
              <w:rPr>
                <w:rFonts w:ascii="Calibri" w:hAnsi="Calibri" w:cs="Calibri"/>
                <w:b/>
                <w:bCs/>
                <w:color w:val="FFFFFF"/>
                <w:sz w:val="18"/>
                <w:szCs w:val="18"/>
              </w:rPr>
            </w:pPr>
            <w:r w:rsidRPr="006C7B74">
              <w:rPr>
                <w:rFonts w:ascii="Calibri" w:hAnsi="Calibri" w:cs="Calibri"/>
                <w:b/>
                <w:bCs/>
                <w:color w:val="FFFFFF"/>
                <w:sz w:val="18"/>
                <w:szCs w:val="18"/>
              </w:rPr>
              <w:t>Council</w:t>
            </w:r>
          </w:p>
        </w:tc>
        <w:tc>
          <w:tcPr>
            <w:tcW w:w="951" w:type="pct"/>
            <w:tcBorders>
              <w:top w:val="nil"/>
              <w:left w:val="nil"/>
              <w:bottom w:val="single" w:sz="8" w:space="0" w:color="4D446C"/>
              <w:right w:val="nil"/>
            </w:tcBorders>
            <w:shd w:val="clear" w:color="000000" w:fill="4D446C"/>
            <w:tcMar>
              <w:top w:w="15" w:type="dxa"/>
              <w:left w:w="15" w:type="dxa"/>
              <w:bottom w:w="0" w:type="dxa"/>
              <w:right w:w="15" w:type="dxa"/>
            </w:tcMar>
            <w:vAlign w:val="center"/>
            <w:hideMark/>
          </w:tcPr>
          <w:p w14:paraId="0D9DEE8B" w14:textId="19C3FE84" w:rsidR="00490F9E" w:rsidRPr="006C7B74" w:rsidRDefault="00490F9E" w:rsidP="00683949">
            <w:pPr>
              <w:pStyle w:val="TableHeaderRow"/>
              <w:jc w:val="center"/>
            </w:pPr>
            <w:r w:rsidRPr="006C7B74">
              <w:t>2015-16</w:t>
            </w:r>
            <w:r w:rsidR="006574E9" w:rsidRPr="006C7B74">
              <w:t xml:space="preserve"> (ha)</w:t>
            </w:r>
          </w:p>
        </w:tc>
        <w:tc>
          <w:tcPr>
            <w:tcW w:w="951" w:type="pct"/>
            <w:tcBorders>
              <w:top w:val="nil"/>
              <w:left w:val="nil"/>
              <w:bottom w:val="single" w:sz="8" w:space="0" w:color="4D446C"/>
              <w:right w:val="nil"/>
            </w:tcBorders>
            <w:shd w:val="clear" w:color="000000" w:fill="4D446C"/>
            <w:tcMar>
              <w:top w:w="15" w:type="dxa"/>
              <w:left w:w="15" w:type="dxa"/>
              <w:bottom w:w="0" w:type="dxa"/>
              <w:right w:w="15" w:type="dxa"/>
            </w:tcMar>
            <w:vAlign w:val="center"/>
            <w:hideMark/>
          </w:tcPr>
          <w:p w14:paraId="7ED5040A" w14:textId="48240FA5" w:rsidR="00490F9E" w:rsidRPr="006C7B74" w:rsidRDefault="00490F9E" w:rsidP="00683949">
            <w:pPr>
              <w:pStyle w:val="TableHeaderRow"/>
              <w:jc w:val="center"/>
            </w:pPr>
            <w:r w:rsidRPr="006C7B74">
              <w:t>2016-17</w:t>
            </w:r>
            <w:r w:rsidR="006574E9" w:rsidRPr="006C7B74">
              <w:t xml:space="preserve"> (ha)</w:t>
            </w:r>
          </w:p>
        </w:tc>
        <w:tc>
          <w:tcPr>
            <w:tcW w:w="950" w:type="pct"/>
            <w:tcBorders>
              <w:top w:val="nil"/>
              <w:left w:val="nil"/>
              <w:bottom w:val="single" w:sz="8" w:space="0" w:color="4D446C"/>
              <w:right w:val="nil"/>
            </w:tcBorders>
            <w:shd w:val="clear" w:color="000000" w:fill="4D446C"/>
            <w:tcMar>
              <w:top w:w="15" w:type="dxa"/>
              <w:left w:w="15" w:type="dxa"/>
              <w:bottom w:w="0" w:type="dxa"/>
              <w:right w:w="15" w:type="dxa"/>
            </w:tcMar>
            <w:vAlign w:val="center"/>
            <w:hideMark/>
          </w:tcPr>
          <w:p w14:paraId="4D08E0A7" w14:textId="7F3421C4" w:rsidR="00490F9E" w:rsidRPr="006C7B74" w:rsidRDefault="00490F9E" w:rsidP="00683949">
            <w:pPr>
              <w:pStyle w:val="TableHeaderRow"/>
              <w:jc w:val="center"/>
            </w:pPr>
            <w:r w:rsidRPr="006C7B74">
              <w:t>2017-18</w:t>
            </w:r>
            <w:r w:rsidR="006574E9" w:rsidRPr="006C7B74">
              <w:t xml:space="preserve"> (ha)</w:t>
            </w:r>
          </w:p>
        </w:tc>
      </w:tr>
      <w:tr w:rsidR="00F209AF" w:rsidRPr="006C7B74" w14:paraId="61A4D395" w14:textId="77777777" w:rsidTr="00DC580D">
        <w:trPr>
          <w:trHeight w:val="283"/>
        </w:trPr>
        <w:tc>
          <w:tcPr>
            <w:tcW w:w="214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4223F9C2" w14:textId="77777777" w:rsidR="00F209AF" w:rsidRPr="006C7B74" w:rsidRDefault="00F209AF">
            <w:pPr>
              <w:rPr>
                <w:rFonts w:ascii="Calibri" w:hAnsi="Calibri" w:cs="Calibri"/>
                <w:color w:val="000000"/>
                <w:sz w:val="18"/>
                <w:szCs w:val="18"/>
              </w:rPr>
            </w:pPr>
            <w:r w:rsidRPr="006C7B74">
              <w:rPr>
                <w:rFonts w:ascii="Calibri" w:hAnsi="Calibri" w:cs="Calibri"/>
                <w:color w:val="000000"/>
                <w:sz w:val="18"/>
                <w:szCs w:val="18"/>
              </w:rPr>
              <w:t>Melbourne</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793164C2" w14:textId="77777777" w:rsidR="00F209AF" w:rsidRPr="006C7B74" w:rsidRDefault="00F209AF">
            <w:pPr>
              <w:jc w:val="center"/>
              <w:rPr>
                <w:rFonts w:ascii="Calibri" w:hAnsi="Calibri" w:cs="Calibri"/>
                <w:color w:val="363534"/>
                <w:sz w:val="18"/>
                <w:szCs w:val="18"/>
              </w:rPr>
            </w:pPr>
            <w:r w:rsidRPr="006C7B74">
              <w:rPr>
                <w:rFonts w:ascii="Calibri" w:hAnsi="Calibri" w:cs="Calibri"/>
                <w:color w:val="363534"/>
                <w:sz w:val="18"/>
                <w:szCs w:val="18"/>
              </w:rPr>
              <w:t>-1.0</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76F36C25" w14:textId="77777777" w:rsidR="00F209AF" w:rsidRPr="006C7B74" w:rsidRDefault="00F209AF">
            <w:pPr>
              <w:jc w:val="center"/>
              <w:rPr>
                <w:rFonts w:ascii="Calibri" w:hAnsi="Calibri" w:cs="Calibri"/>
                <w:color w:val="363534"/>
                <w:sz w:val="18"/>
                <w:szCs w:val="18"/>
              </w:rPr>
            </w:pPr>
            <w:r w:rsidRPr="006C7B74">
              <w:rPr>
                <w:rFonts w:ascii="Calibri" w:hAnsi="Calibri" w:cs="Calibri"/>
                <w:color w:val="363534"/>
                <w:sz w:val="18"/>
                <w:szCs w:val="18"/>
              </w:rPr>
              <w:t>-0.3</w:t>
            </w:r>
          </w:p>
        </w:tc>
        <w:tc>
          <w:tcPr>
            <w:tcW w:w="950"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7388C970" w14:textId="77777777" w:rsidR="00F209AF" w:rsidRPr="006C7B74" w:rsidRDefault="00F209AF">
            <w:pPr>
              <w:jc w:val="center"/>
              <w:rPr>
                <w:rFonts w:ascii="Calibri" w:hAnsi="Calibri" w:cs="Calibri"/>
                <w:color w:val="363534"/>
                <w:sz w:val="18"/>
                <w:szCs w:val="18"/>
              </w:rPr>
            </w:pPr>
            <w:r w:rsidRPr="006C7B74">
              <w:rPr>
                <w:rFonts w:ascii="Calibri" w:hAnsi="Calibri" w:cs="Calibri"/>
                <w:color w:val="363534"/>
                <w:sz w:val="18"/>
                <w:szCs w:val="18"/>
              </w:rPr>
              <w:t>-18.3</w:t>
            </w:r>
          </w:p>
        </w:tc>
      </w:tr>
      <w:tr w:rsidR="00F209AF" w:rsidRPr="006C7B74" w14:paraId="24199537" w14:textId="77777777" w:rsidTr="00DC580D">
        <w:trPr>
          <w:trHeight w:val="283"/>
        </w:trPr>
        <w:tc>
          <w:tcPr>
            <w:tcW w:w="214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0B55EBC0" w14:textId="77777777" w:rsidR="00F209AF" w:rsidRPr="006C7B74" w:rsidRDefault="00F209AF">
            <w:pPr>
              <w:rPr>
                <w:rFonts w:ascii="Calibri" w:hAnsi="Calibri" w:cs="Calibri"/>
                <w:color w:val="000000"/>
                <w:sz w:val="18"/>
                <w:szCs w:val="18"/>
              </w:rPr>
            </w:pPr>
            <w:r w:rsidRPr="006C7B74">
              <w:rPr>
                <w:rFonts w:ascii="Calibri" w:hAnsi="Calibri" w:cs="Calibri"/>
                <w:color w:val="000000"/>
                <w:sz w:val="18"/>
                <w:szCs w:val="18"/>
              </w:rPr>
              <w:t>Port Phillip</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7A41D873" w14:textId="77777777" w:rsidR="00F209AF" w:rsidRPr="006C7B74" w:rsidRDefault="00F209AF">
            <w:pPr>
              <w:jc w:val="center"/>
              <w:rPr>
                <w:rFonts w:ascii="Calibri" w:hAnsi="Calibri" w:cs="Calibri"/>
                <w:color w:val="363534"/>
                <w:sz w:val="18"/>
                <w:szCs w:val="18"/>
              </w:rPr>
            </w:pPr>
            <w:r w:rsidRPr="006C7B74">
              <w:rPr>
                <w:rFonts w:ascii="Calibri" w:hAnsi="Calibri" w:cs="Calibri"/>
                <w:color w:val="363534"/>
                <w:sz w:val="18"/>
                <w:szCs w:val="18"/>
              </w:rPr>
              <w:t>0.0</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4B199A5B" w14:textId="77777777" w:rsidR="00F209AF" w:rsidRPr="006C7B74" w:rsidRDefault="00F209AF">
            <w:pPr>
              <w:jc w:val="center"/>
              <w:rPr>
                <w:rFonts w:ascii="Calibri" w:hAnsi="Calibri" w:cs="Calibri"/>
                <w:color w:val="363534"/>
                <w:sz w:val="18"/>
                <w:szCs w:val="18"/>
              </w:rPr>
            </w:pPr>
            <w:r w:rsidRPr="006C7B74">
              <w:rPr>
                <w:rFonts w:ascii="Calibri" w:hAnsi="Calibri" w:cs="Calibri"/>
                <w:color w:val="363534"/>
                <w:sz w:val="18"/>
                <w:szCs w:val="18"/>
              </w:rPr>
              <w:t>-0.1</w:t>
            </w:r>
          </w:p>
        </w:tc>
        <w:tc>
          <w:tcPr>
            <w:tcW w:w="950"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30436229" w14:textId="77777777" w:rsidR="00F209AF" w:rsidRPr="006C7B74" w:rsidRDefault="00F209AF">
            <w:pPr>
              <w:jc w:val="center"/>
              <w:rPr>
                <w:rFonts w:ascii="Calibri" w:hAnsi="Calibri" w:cs="Calibri"/>
                <w:color w:val="363534"/>
                <w:sz w:val="18"/>
                <w:szCs w:val="18"/>
              </w:rPr>
            </w:pPr>
            <w:r w:rsidRPr="006C7B74">
              <w:rPr>
                <w:rFonts w:ascii="Calibri" w:hAnsi="Calibri" w:cs="Calibri"/>
                <w:color w:val="363534"/>
                <w:sz w:val="18"/>
                <w:szCs w:val="18"/>
              </w:rPr>
              <w:t>-0.7</w:t>
            </w:r>
          </w:p>
        </w:tc>
      </w:tr>
      <w:tr w:rsidR="00F209AF" w:rsidRPr="006C7B74" w14:paraId="563D0252" w14:textId="77777777" w:rsidTr="00DC580D">
        <w:trPr>
          <w:trHeight w:val="283"/>
        </w:trPr>
        <w:tc>
          <w:tcPr>
            <w:tcW w:w="214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047E1C0D" w14:textId="77777777" w:rsidR="00F209AF" w:rsidRPr="006C7B74" w:rsidRDefault="00F209AF">
            <w:pPr>
              <w:rPr>
                <w:rFonts w:ascii="Calibri" w:hAnsi="Calibri" w:cs="Calibri"/>
                <w:color w:val="000000"/>
                <w:sz w:val="18"/>
                <w:szCs w:val="18"/>
              </w:rPr>
            </w:pPr>
            <w:r w:rsidRPr="006C7B74">
              <w:rPr>
                <w:rFonts w:ascii="Calibri" w:hAnsi="Calibri" w:cs="Calibri"/>
                <w:color w:val="000000"/>
                <w:sz w:val="18"/>
                <w:szCs w:val="18"/>
              </w:rPr>
              <w:t>Yarra</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7506D39E" w14:textId="77777777" w:rsidR="00F209AF" w:rsidRPr="006C7B74" w:rsidRDefault="00F209AF">
            <w:pPr>
              <w:jc w:val="center"/>
              <w:rPr>
                <w:rFonts w:ascii="Calibri" w:hAnsi="Calibri" w:cs="Calibri"/>
                <w:color w:val="363534"/>
                <w:sz w:val="18"/>
                <w:szCs w:val="18"/>
              </w:rPr>
            </w:pPr>
            <w:r w:rsidRPr="006C7B74">
              <w:rPr>
                <w:rFonts w:ascii="Calibri" w:hAnsi="Calibri" w:cs="Calibri"/>
                <w:color w:val="363534"/>
                <w:sz w:val="18"/>
                <w:szCs w:val="18"/>
              </w:rPr>
              <w:t>-0.1</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21F15DBF" w14:textId="77777777" w:rsidR="00F209AF" w:rsidRPr="006C7B74" w:rsidRDefault="00F209AF">
            <w:pPr>
              <w:jc w:val="center"/>
              <w:rPr>
                <w:rFonts w:ascii="Calibri" w:hAnsi="Calibri" w:cs="Calibri"/>
                <w:color w:val="363534"/>
                <w:sz w:val="18"/>
                <w:szCs w:val="18"/>
              </w:rPr>
            </w:pPr>
            <w:r w:rsidRPr="006C7B74">
              <w:rPr>
                <w:rFonts w:ascii="Calibri" w:hAnsi="Calibri" w:cs="Calibri"/>
                <w:color w:val="363534"/>
                <w:sz w:val="18"/>
                <w:szCs w:val="18"/>
              </w:rPr>
              <w:t>-0.3</w:t>
            </w:r>
          </w:p>
        </w:tc>
        <w:tc>
          <w:tcPr>
            <w:tcW w:w="950"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43A619EA" w14:textId="77777777" w:rsidR="00F209AF" w:rsidRPr="006C7B74" w:rsidRDefault="00F209AF">
            <w:pPr>
              <w:jc w:val="center"/>
              <w:rPr>
                <w:rFonts w:ascii="Calibri" w:hAnsi="Calibri" w:cs="Calibri"/>
                <w:color w:val="363534"/>
                <w:sz w:val="18"/>
                <w:szCs w:val="18"/>
              </w:rPr>
            </w:pPr>
            <w:r w:rsidRPr="006C7B74">
              <w:rPr>
                <w:rFonts w:ascii="Calibri" w:hAnsi="Calibri" w:cs="Calibri"/>
                <w:color w:val="363534"/>
                <w:sz w:val="18"/>
                <w:szCs w:val="18"/>
              </w:rPr>
              <w:t>-0.6</w:t>
            </w:r>
          </w:p>
        </w:tc>
      </w:tr>
      <w:tr w:rsidR="00F209AF" w:rsidRPr="006C7B74" w14:paraId="2FF48077" w14:textId="77777777" w:rsidTr="00DC580D">
        <w:trPr>
          <w:trHeight w:val="283"/>
        </w:trPr>
        <w:tc>
          <w:tcPr>
            <w:tcW w:w="214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7D8ED53C" w14:textId="25DCDD35" w:rsidR="00F209AF" w:rsidRPr="006C7B74" w:rsidRDefault="00EB237D">
            <w:pPr>
              <w:rPr>
                <w:rFonts w:ascii="Calibri" w:hAnsi="Calibri" w:cs="Calibri"/>
                <w:b/>
                <w:bCs/>
                <w:color w:val="000000"/>
                <w:sz w:val="18"/>
                <w:szCs w:val="18"/>
              </w:rPr>
            </w:pPr>
            <w:r w:rsidRPr="006C7B74">
              <w:rPr>
                <w:rFonts w:ascii="Calibri" w:hAnsi="Calibri" w:cs="Calibri"/>
                <w:b/>
                <w:bCs/>
                <w:color w:val="000000"/>
                <w:sz w:val="18"/>
                <w:szCs w:val="18"/>
              </w:rPr>
              <w:t>Total</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6B9749A4" w14:textId="77777777" w:rsidR="00F209AF" w:rsidRPr="006C7B74" w:rsidRDefault="00F209AF">
            <w:pPr>
              <w:jc w:val="center"/>
              <w:rPr>
                <w:rFonts w:ascii="Calibri" w:hAnsi="Calibri" w:cs="Calibri"/>
                <w:b/>
                <w:bCs/>
                <w:color w:val="363534"/>
                <w:sz w:val="18"/>
                <w:szCs w:val="18"/>
              </w:rPr>
            </w:pPr>
            <w:r w:rsidRPr="006C7B74">
              <w:rPr>
                <w:rFonts w:ascii="Calibri" w:hAnsi="Calibri" w:cs="Calibri"/>
                <w:b/>
                <w:bCs/>
                <w:color w:val="363534"/>
                <w:sz w:val="18"/>
                <w:szCs w:val="18"/>
              </w:rPr>
              <w:t>-1.1</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25F119AE" w14:textId="77777777" w:rsidR="00F209AF" w:rsidRPr="006C7B74" w:rsidRDefault="00F209AF">
            <w:pPr>
              <w:jc w:val="center"/>
              <w:rPr>
                <w:rFonts w:ascii="Calibri" w:hAnsi="Calibri" w:cs="Calibri"/>
                <w:b/>
                <w:bCs/>
                <w:color w:val="363534"/>
                <w:sz w:val="18"/>
                <w:szCs w:val="18"/>
              </w:rPr>
            </w:pPr>
            <w:r w:rsidRPr="006C7B74">
              <w:rPr>
                <w:rFonts w:ascii="Calibri" w:hAnsi="Calibri" w:cs="Calibri"/>
                <w:b/>
                <w:bCs/>
                <w:color w:val="363534"/>
                <w:sz w:val="18"/>
                <w:szCs w:val="18"/>
              </w:rPr>
              <w:t>-0.7</w:t>
            </w:r>
          </w:p>
        </w:tc>
        <w:tc>
          <w:tcPr>
            <w:tcW w:w="950"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2D7300DA" w14:textId="77777777" w:rsidR="00F209AF" w:rsidRPr="006C7B74" w:rsidRDefault="00F209AF">
            <w:pPr>
              <w:jc w:val="center"/>
              <w:rPr>
                <w:rFonts w:ascii="Calibri" w:hAnsi="Calibri" w:cs="Calibri"/>
                <w:b/>
                <w:bCs/>
                <w:color w:val="363534"/>
                <w:sz w:val="18"/>
                <w:szCs w:val="18"/>
              </w:rPr>
            </w:pPr>
            <w:r w:rsidRPr="006C7B74">
              <w:rPr>
                <w:rFonts w:ascii="Calibri" w:hAnsi="Calibri" w:cs="Calibri"/>
                <w:b/>
                <w:bCs/>
                <w:color w:val="363534"/>
                <w:sz w:val="18"/>
                <w:szCs w:val="18"/>
              </w:rPr>
              <w:t>-19.6</w:t>
            </w:r>
          </w:p>
        </w:tc>
      </w:tr>
    </w:tbl>
    <w:p w14:paraId="58D60474" w14:textId="10535202" w:rsidR="0097714A" w:rsidRPr="006C7B74" w:rsidRDefault="00DC580D" w:rsidP="00683949">
      <w:pPr>
        <w:pStyle w:val="Quote"/>
        <w:rPr>
          <w:sz w:val="20"/>
        </w:rPr>
      </w:pPr>
      <w:r w:rsidRPr="006C7B74">
        <w:t>Source: Department of Environment, Land, Water and Planning, Urban Development Program – Melbourne Metropolitan Industrial 2018</w:t>
      </w:r>
    </w:p>
    <w:p w14:paraId="052B28FE" w14:textId="77777777" w:rsidR="00DC1FF6" w:rsidRPr="006C7B74" w:rsidRDefault="00DC1FF6" w:rsidP="00934C4D">
      <w:pPr>
        <w:spacing w:after="120"/>
        <w:rPr>
          <w:rFonts w:cstheme="minorHAnsi"/>
          <w:sz w:val="20"/>
          <w:szCs w:val="20"/>
        </w:rPr>
      </w:pPr>
    </w:p>
    <w:p w14:paraId="3FC902DD" w14:textId="3C1FFB92" w:rsidR="008813C9" w:rsidRPr="006C7B74" w:rsidRDefault="00001321" w:rsidP="00934C4D">
      <w:pPr>
        <w:spacing w:after="120"/>
        <w:rPr>
          <w:rFonts w:cstheme="minorHAnsi"/>
          <w:sz w:val="20"/>
          <w:szCs w:val="20"/>
        </w:rPr>
      </w:pPr>
      <w:r w:rsidRPr="006C7B74">
        <w:rPr>
          <w:rFonts w:cstheme="minorHAnsi"/>
          <w:sz w:val="20"/>
          <w:szCs w:val="20"/>
        </w:rPr>
        <w:lastRenderedPageBreak/>
        <w:t>Co</w:t>
      </w:r>
      <w:r w:rsidR="00C377A1" w:rsidRPr="006C7B74">
        <w:rPr>
          <w:rFonts w:cstheme="minorHAnsi"/>
          <w:sz w:val="20"/>
          <w:szCs w:val="20"/>
        </w:rPr>
        <w:t>n</w:t>
      </w:r>
      <w:r w:rsidRPr="006C7B74">
        <w:rPr>
          <w:rFonts w:cstheme="minorHAnsi"/>
          <w:sz w:val="20"/>
          <w:szCs w:val="20"/>
        </w:rPr>
        <w:t xml:space="preserve">sumption </w:t>
      </w:r>
      <w:r w:rsidR="007D3519" w:rsidRPr="006C7B74">
        <w:rPr>
          <w:rFonts w:cstheme="minorHAnsi"/>
          <w:sz w:val="20"/>
          <w:szCs w:val="20"/>
        </w:rPr>
        <w:t>figures provided here a</w:t>
      </w:r>
      <w:r w:rsidR="00C377A1" w:rsidRPr="006C7B74">
        <w:rPr>
          <w:rFonts w:cstheme="minorHAnsi"/>
          <w:sz w:val="20"/>
          <w:szCs w:val="20"/>
        </w:rPr>
        <w:t>n</w:t>
      </w:r>
      <w:r w:rsidR="007D3519" w:rsidRPr="006C7B74">
        <w:rPr>
          <w:rFonts w:cstheme="minorHAnsi"/>
          <w:sz w:val="20"/>
          <w:szCs w:val="20"/>
        </w:rPr>
        <w:t>d in the UDP are for net activity. A negative figure</w:t>
      </w:r>
      <w:r w:rsidR="00C377A1" w:rsidRPr="006C7B74">
        <w:rPr>
          <w:rFonts w:cstheme="minorHAnsi"/>
          <w:sz w:val="20"/>
          <w:szCs w:val="20"/>
        </w:rPr>
        <w:t xml:space="preserve"> </w:t>
      </w:r>
      <w:r w:rsidR="007D3519" w:rsidRPr="006C7B74">
        <w:rPr>
          <w:rFonts w:cstheme="minorHAnsi"/>
          <w:sz w:val="20"/>
          <w:szCs w:val="20"/>
        </w:rPr>
        <w:t>i</w:t>
      </w:r>
      <w:r w:rsidR="00C377A1" w:rsidRPr="006C7B74">
        <w:rPr>
          <w:rFonts w:cstheme="minorHAnsi"/>
          <w:sz w:val="20"/>
          <w:szCs w:val="20"/>
        </w:rPr>
        <w:t>n</w:t>
      </w:r>
      <w:r w:rsidR="007D3519" w:rsidRPr="006C7B74">
        <w:rPr>
          <w:rFonts w:cstheme="minorHAnsi"/>
          <w:sz w:val="20"/>
          <w:szCs w:val="20"/>
        </w:rPr>
        <w:t>d</w:t>
      </w:r>
      <w:r w:rsidR="00C377A1" w:rsidRPr="006C7B74">
        <w:rPr>
          <w:rFonts w:cstheme="minorHAnsi"/>
          <w:sz w:val="20"/>
          <w:szCs w:val="20"/>
        </w:rPr>
        <w:t>i</w:t>
      </w:r>
      <w:r w:rsidR="007D3519" w:rsidRPr="006C7B74">
        <w:rPr>
          <w:rFonts w:cstheme="minorHAnsi"/>
          <w:sz w:val="20"/>
          <w:szCs w:val="20"/>
        </w:rPr>
        <w:t xml:space="preserve">cates that </w:t>
      </w:r>
      <w:r w:rsidR="0013505D" w:rsidRPr="006C7B74">
        <w:rPr>
          <w:rFonts w:cstheme="minorHAnsi"/>
          <w:sz w:val="20"/>
          <w:szCs w:val="20"/>
        </w:rPr>
        <w:t>building</w:t>
      </w:r>
      <w:r w:rsidR="007D3519" w:rsidRPr="006C7B74">
        <w:rPr>
          <w:rFonts w:cstheme="minorHAnsi"/>
          <w:sz w:val="20"/>
          <w:szCs w:val="20"/>
        </w:rPr>
        <w:t xml:space="preserve"> </w:t>
      </w:r>
      <w:r w:rsidR="00C377A1" w:rsidRPr="006C7B74">
        <w:rPr>
          <w:rFonts w:cstheme="minorHAnsi"/>
          <w:sz w:val="20"/>
          <w:szCs w:val="20"/>
        </w:rPr>
        <w:t>demolition</w:t>
      </w:r>
      <w:r w:rsidR="007D3519" w:rsidRPr="006C7B74">
        <w:rPr>
          <w:rFonts w:cstheme="minorHAnsi"/>
          <w:sz w:val="20"/>
          <w:szCs w:val="20"/>
        </w:rPr>
        <w:t xml:space="preserve"> </w:t>
      </w:r>
      <w:r w:rsidR="0068582B" w:rsidRPr="006C7B74">
        <w:rPr>
          <w:rFonts w:cstheme="minorHAnsi"/>
          <w:sz w:val="20"/>
          <w:szCs w:val="20"/>
        </w:rPr>
        <w:t>activity was greater than the level of</w:t>
      </w:r>
      <w:r w:rsidR="0013505D" w:rsidRPr="006C7B74">
        <w:rPr>
          <w:rFonts w:cstheme="minorHAnsi"/>
          <w:sz w:val="20"/>
          <w:szCs w:val="20"/>
        </w:rPr>
        <w:t xml:space="preserve"> building </w:t>
      </w:r>
      <w:r w:rsidR="0068582B" w:rsidRPr="006C7B74">
        <w:rPr>
          <w:rFonts w:cstheme="minorHAnsi"/>
          <w:sz w:val="20"/>
          <w:szCs w:val="20"/>
        </w:rPr>
        <w:t>construction activity</w:t>
      </w:r>
      <w:r w:rsidR="0013505D" w:rsidRPr="006C7B74">
        <w:rPr>
          <w:rFonts w:cstheme="minorHAnsi"/>
          <w:sz w:val="20"/>
          <w:szCs w:val="20"/>
        </w:rPr>
        <w:t xml:space="preserve"> (consumption). </w:t>
      </w:r>
      <w:r w:rsidR="0068582B" w:rsidRPr="006C7B74">
        <w:rPr>
          <w:rFonts w:cstheme="minorHAnsi"/>
          <w:sz w:val="20"/>
          <w:szCs w:val="20"/>
        </w:rPr>
        <w:t xml:space="preserve">In locations such as the </w:t>
      </w:r>
      <w:r w:rsidR="0013505D" w:rsidRPr="006C7B74">
        <w:rPr>
          <w:rFonts w:cstheme="minorHAnsi"/>
          <w:sz w:val="20"/>
          <w:szCs w:val="20"/>
        </w:rPr>
        <w:t>I</w:t>
      </w:r>
      <w:r w:rsidR="0068582B" w:rsidRPr="006C7B74">
        <w:rPr>
          <w:rFonts w:cstheme="minorHAnsi"/>
          <w:sz w:val="20"/>
          <w:szCs w:val="20"/>
        </w:rPr>
        <w:t xml:space="preserve">nner </w:t>
      </w:r>
      <w:r w:rsidR="0013505D" w:rsidRPr="006C7B74">
        <w:rPr>
          <w:rFonts w:cstheme="minorHAnsi"/>
          <w:sz w:val="20"/>
          <w:szCs w:val="20"/>
        </w:rPr>
        <w:t>M</w:t>
      </w:r>
      <w:r w:rsidR="0068582B" w:rsidRPr="006C7B74">
        <w:rPr>
          <w:rFonts w:cstheme="minorHAnsi"/>
          <w:sz w:val="20"/>
          <w:szCs w:val="20"/>
        </w:rPr>
        <w:t xml:space="preserve">etro </w:t>
      </w:r>
      <w:r w:rsidR="0013505D" w:rsidRPr="006C7B74">
        <w:rPr>
          <w:rFonts w:cstheme="minorHAnsi"/>
          <w:sz w:val="20"/>
          <w:szCs w:val="20"/>
        </w:rPr>
        <w:t>R</w:t>
      </w:r>
      <w:r w:rsidR="0068582B" w:rsidRPr="006C7B74">
        <w:rPr>
          <w:rFonts w:cstheme="minorHAnsi"/>
          <w:sz w:val="20"/>
          <w:szCs w:val="20"/>
        </w:rPr>
        <w:t>egion, most of the land is</w:t>
      </w:r>
      <w:r w:rsidR="008813C9" w:rsidRPr="006C7B74">
        <w:rPr>
          <w:rFonts w:cstheme="minorHAnsi"/>
          <w:sz w:val="20"/>
          <w:szCs w:val="20"/>
        </w:rPr>
        <w:t xml:space="preserve"> o</w:t>
      </w:r>
      <w:r w:rsidR="0068582B" w:rsidRPr="006C7B74">
        <w:rPr>
          <w:rFonts w:cstheme="minorHAnsi"/>
          <w:sz w:val="20"/>
          <w:szCs w:val="20"/>
        </w:rPr>
        <w:t xml:space="preserve">ccupied by </w:t>
      </w:r>
      <w:r w:rsidR="00E4562C" w:rsidRPr="006C7B74">
        <w:rPr>
          <w:rFonts w:cstheme="minorHAnsi"/>
          <w:sz w:val="20"/>
          <w:szCs w:val="20"/>
        </w:rPr>
        <w:t xml:space="preserve">an existing </w:t>
      </w:r>
      <w:r w:rsidR="008651E9" w:rsidRPr="006C7B74">
        <w:rPr>
          <w:rFonts w:cstheme="minorHAnsi"/>
          <w:sz w:val="20"/>
          <w:szCs w:val="20"/>
        </w:rPr>
        <w:t xml:space="preserve">building and </w:t>
      </w:r>
      <w:r w:rsidR="00E4562C" w:rsidRPr="006C7B74">
        <w:rPr>
          <w:rFonts w:cstheme="minorHAnsi"/>
          <w:sz w:val="20"/>
          <w:szCs w:val="20"/>
        </w:rPr>
        <w:t>use</w:t>
      </w:r>
      <w:r w:rsidR="0013505D" w:rsidRPr="006C7B74">
        <w:rPr>
          <w:rFonts w:cstheme="minorHAnsi"/>
          <w:sz w:val="20"/>
          <w:szCs w:val="20"/>
        </w:rPr>
        <w:t>. I</w:t>
      </w:r>
      <w:r w:rsidR="00E4562C" w:rsidRPr="006C7B74">
        <w:rPr>
          <w:rFonts w:cstheme="minorHAnsi"/>
          <w:sz w:val="20"/>
          <w:szCs w:val="20"/>
        </w:rPr>
        <w:t>n</w:t>
      </w:r>
      <w:r w:rsidR="008813C9" w:rsidRPr="006C7B74">
        <w:rPr>
          <w:rFonts w:cstheme="minorHAnsi"/>
          <w:sz w:val="20"/>
          <w:szCs w:val="20"/>
        </w:rPr>
        <w:t xml:space="preserve"> </w:t>
      </w:r>
      <w:r w:rsidR="00D9633F" w:rsidRPr="006C7B74">
        <w:rPr>
          <w:rFonts w:cstheme="minorHAnsi"/>
          <w:sz w:val="20"/>
          <w:szCs w:val="20"/>
        </w:rPr>
        <w:t xml:space="preserve">many instances, in </w:t>
      </w:r>
      <w:r w:rsidR="008813C9" w:rsidRPr="006C7B74">
        <w:rPr>
          <w:rFonts w:cstheme="minorHAnsi"/>
          <w:sz w:val="20"/>
          <w:szCs w:val="20"/>
        </w:rPr>
        <w:t>o</w:t>
      </w:r>
      <w:r w:rsidR="00E4562C" w:rsidRPr="006C7B74">
        <w:rPr>
          <w:rFonts w:cstheme="minorHAnsi"/>
          <w:sz w:val="20"/>
          <w:szCs w:val="20"/>
        </w:rPr>
        <w:t>r</w:t>
      </w:r>
      <w:r w:rsidR="008813C9" w:rsidRPr="006C7B74">
        <w:rPr>
          <w:rFonts w:cstheme="minorHAnsi"/>
          <w:sz w:val="20"/>
          <w:szCs w:val="20"/>
        </w:rPr>
        <w:t>d</w:t>
      </w:r>
      <w:r w:rsidR="00E4562C" w:rsidRPr="006C7B74">
        <w:rPr>
          <w:rFonts w:cstheme="minorHAnsi"/>
          <w:sz w:val="20"/>
          <w:szCs w:val="20"/>
        </w:rPr>
        <w:t>er to de</w:t>
      </w:r>
      <w:r w:rsidR="008813C9" w:rsidRPr="006C7B74">
        <w:rPr>
          <w:rFonts w:cstheme="minorHAnsi"/>
          <w:sz w:val="20"/>
          <w:szCs w:val="20"/>
        </w:rPr>
        <w:t>v</w:t>
      </w:r>
      <w:r w:rsidR="00E4562C" w:rsidRPr="006C7B74">
        <w:rPr>
          <w:rFonts w:cstheme="minorHAnsi"/>
          <w:sz w:val="20"/>
          <w:szCs w:val="20"/>
        </w:rPr>
        <w:t xml:space="preserve">elop land for </w:t>
      </w:r>
      <w:r w:rsidR="00D9633F" w:rsidRPr="006C7B74">
        <w:rPr>
          <w:rFonts w:cstheme="minorHAnsi"/>
          <w:sz w:val="20"/>
          <w:szCs w:val="20"/>
        </w:rPr>
        <w:t>new</w:t>
      </w:r>
      <w:r w:rsidR="00E4562C" w:rsidRPr="006C7B74">
        <w:rPr>
          <w:rFonts w:cstheme="minorHAnsi"/>
          <w:sz w:val="20"/>
          <w:szCs w:val="20"/>
        </w:rPr>
        <w:t xml:space="preserve"> </w:t>
      </w:r>
      <w:r w:rsidR="008813C9" w:rsidRPr="006C7B74">
        <w:rPr>
          <w:rFonts w:cstheme="minorHAnsi"/>
          <w:sz w:val="20"/>
          <w:szCs w:val="20"/>
        </w:rPr>
        <w:t xml:space="preserve">industrial </w:t>
      </w:r>
      <w:r w:rsidR="00E4562C" w:rsidRPr="006C7B74">
        <w:rPr>
          <w:rFonts w:cstheme="minorHAnsi"/>
          <w:sz w:val="20"/>
          <w:szCs w:val="20"/>
        </w:rPr>
        <w:t>use</w:t>
      </w:r>
      <w:r w:rsidR="008813C9" w:rsidRPr="006C7B74">
        <w:rPr>
          <w:rFonts w:cstheme="minorHAnsi"/>
          <w:sz w:val="20"/>
          <w:szCs w:val="20"/>
        </w:rPr>
        <w:t xml:space="preserve">, the existing </w:t>
      </w:r>
      <w:r w:rsidR="00D9633F" w:rsidRPr="006C7B74">
        <w:rPr>
          <w:rFonts w:cstheme="minorHAnsi"/>
          <w:sz w:val="20"/>
          <w:szCs w:val="20"/>
        </w:rPr>
        <w:t>building</w:t>
      </w:r>
      <w:r w:rsidR="008813C9" w:rsidRPr="006C7B74">
        <w:rPr>
          <w:rFonts w:cstheme="minorHAnsi"/>
          <w:sz w:val="20"/>
          <w:szCs w:val="20"/>
        </w:rPr>
        <w:t xml:space="preserve"> needs to be demolished. Therefore</w:t>
      </w:r>
      <w:r w:rsidR="00947970" w:rsidRPr="006C7B74">
        <w:rPr>
          <w:rFonts w:cstheme="minorHAnsi"/>
          <w:sz w:val="20"/>
          <w:szCs w:val="20"/>
        </w:rPr>
        <w:t>,</w:t>
      </w:r>
      <w:r w:rsidR="008813C9" w:rsidRPr="006C7B74">
        <w:rPr>
          <w:rFonts w:cstheme="minorHAnsi"/>
          <w:sz w:val="20"/>
          <w:szCs w:val="20"/>
        </w:rPr>
        <w:t xml:space="preserve"> a negative consumption figure </w:t>
      </w:r>
      <w:r w:rsidR="00D9633F" w:rsidRPr="006C7B74">
        <w:rPr>
          <w:rFonts w:cstheme="minorHAnsi"/>
          <w:sz w:val="20"/>
          <w:szCs w:val="20"/>
        </w:rPr>
        <w:t>will be recorded</w:t>
      </w:r>
      <w:r w:rsidR="0097190F" w:rsidRPr="006C7B74">
        <w:rPr>
          <w:rFonts w:cstheme="minorHAnsi"/>
          <w:sz w:val="20"/>
          <w:szCs w:val="20"/>
        </w:rPr>
        <w:t xml:space="preserve"> until the </w:t>
      </w:r>
      <w:r w:rsidR="008813C9" w:rsidRPr="006C7B74">
        <w:rPr>
          <w:rFonts w:cstheme="minorHAnsi"/>
          <w:sz w:val="20"/>
          <w:szCs w:val="20"/>
        </w:rPr>
        <w:t>site</w:t>
      </w:r>
      <w:r w:rsidR="0097190F" w:rsidRPr="006C7B74">
        <w:rPr>
          <w:rFonts w:cstheme="minorHAnsi"/>
          <w:sz w:val="20"/>
          <w:szCs w:val="20"/>
        </w:rPr>
        <w:t xml:space="preserve"> is redeveloped for </w:t>
      </w:r>
      <w:r w:rsidR="008813C9" w:rsidRPr="006C7B74">
        <w:rPr>
          <w:rFonts w:cstheme="minorHAnsi"/>
          <w:sz w:val="20"/>
          <w:szCs w:val="20"/>
        </w:rPr>
        <w:t>further industrial development activity</w:t>
      </w:r>
      <w:r w:rsidR="00EA5BE8" w:rsidRPr="006C7B74">
        <w:rPr>
          <w:rFonts w:cstheme="minorHAnsi"/>
          <w:sz w:val="20"/>
          <w:szCs w:val="20"/>
        </w:rPr>
        <w:t>. The former GMH site is an example of this where the building was demolished, how</w:t>
      </w:r>
      <w:r w:rsidR="0097190F" w:rsidRPr="006C7B74">
        <w:rPr>
          <w:rFonts w:cstheme="minorHAnsi"/>
          <w:sz w:val="20"/>
          <w:szCs w:val="20"/>
        </w:rPr>
        <w:t>e</w:t>
      </w:r>
      <w:r w:rsidR="00EA5BE8" w:rsidRPr="006C7B74">
        <w:rPr>
          <w:rFonts w:cstheme="minorHAnsi"/>
          <w:sz w:val="20"/>
          <w:szCs w:val="20"/>
        </w:rPr>
        <w:t>ver</w:t>
      </w:r>
      <w:r w:rsidR="00C377A1" w:rsidRPr="006C7B74">
        <w:rPr>
          <w:rFonts w:cstheme="minorHAnsi"/>
          <w:sz w:val="20"/>
          <w:szCs w:val="20"/>
        </w:rPr>
        <w:t xml:space="preserve"> the site will be </w:t>
      </w:r>
      <w:r w:rsidR="0071006A" w:rsidRPr="006C7B74">
        <w:rPr>
          <w:rFonts w:cstheme="minorHAnsi"/>
          <w:sz w:val="20"/>
          <w:szCs w:val="20"/>
        </w:rPr>
        <w:t xml:space="preserve">used </w:t>
      </w:r>
      <w:r w:rsidR="00C377A1" w:rsidRPr="006C7B74">
        <w:rPr>
          <w:rFonts w:cstheme="minorHAnsi"/>
          <w:sz w:val="20"/>
          <w:szCs w:val="20"/>
        </w:rPr>
        <w:t xml:space="preserve">for a new building </w:t>
      </w:r>
      <w:r w:rsidR="00786C8A" w:rsidRPr="006C7B74">
        <w:rPr>
          <w:rFonts w:cstheme="minorHAnsi"/>
          <w:sz w:val="20"/>
          <w:szCs w:val="20"/>
        </w:rPr>
        <w:t>or use</w:t>
      </w:r>
      <w:r w:rsidR="00C377A1" w:rsidRPr="006C7B74">
        <w:rPr>
          <w:rFonts w:cstheme="minorHAnsi"/>
          <w:sz w:val="20"/>
          <w:szCs w:val="20"/>
        </w:rPr>
        <w:t xml:space="preserve"> at a point in time in the future.</w:t>
      </w:r>
    </w:p>
    <w:p w14:paraId="7F641231" w14:textId="63D05497" w:rsidR="00AE490C" w:rsidRPr="006C7B74" w:rsidRDefault="00F40582" w:rsidP="00934C4D">
      <w:pPr>
        <w:spacing w:after="120"/>
        <w:rPr>
          <w:rFonts w:cstheme="minorHAnsi"/>
          <w:sz w:val="20"/>
          <w:szCs w:val="20"/>
        </w:rPr>
      </w:pPr>
      <w:r w:rsidRPr="006C7B74">
        <w:rPr>
          <w:rFonts w:cstheme="minorHAnsi"/>
          <w:sz w:val="20"/>
          <w:szCs w:val="20"/>
        </w:rPr>
        <w:t>Between 2000-01 and 2017-18 a total of</w:t>
      </w:r>
      <w:r w:rsidR="00C27A07" w:rsidRPr="006C7B74">
        <w:rPr>
          <w:rFonts w:cstheme="minorHAnsi"/>
          <w:sz w:val="20"/>
          <w:szCs w:val="20"/>
        </w:rPr>
        <w:t xml:space="preserve"> </w:t>
      </w:r>
      <w:r w:rsidR="00BD1419" w:rsidRPr="006C7B74">
        <w:rPr>
          <w:rFonts w:cstheme="minorHAnsi"/>
          <w:sz w:val="20"/>
          <w:szCs w:val="20"/>
        </w:rPr>
        <w:t>32</w:t>
      </w:r>
      <w:r w:rsidR="00084A23" w:rsidRPr="006C7B74">
        <w:rPr>
          <w:rFonts w:cstheme="minorHAnsi"/>
          <w:sz w:val="20"/>
          <w:szCs w:val="20"/>
        </w:rPr>
        <w:t>6</w:t>
      </w:r>
      <w:r w:rsidRPr="006C7B74">
        <w:rPr>
          <w:rFonts w:cstheme="minorHAnsi"/>
          <w:sz w:val="20"/>
          <w:szCs w:val="20"/>
        </w:rPr>
        <w:t xml:space="preserve"> h</w:t>
      </w:r>
      <w:r w:rsidR="00982170" w:rsidRPr="006C7B74">
        <w:rPr>
          <w:rFonts w:cstheme="minorHAnsi"/>
          <w:sz w:val="20"/>
          <w:szCs w:val="20"/>
        </w:rPr>
        <w:t>ect</w:t>
      </w:r>
      <w:r w:rsidRPr="006C7B74">
        <w:rPr>
          <w:rFonts w:cstheme="minorHAnsi"/>
          <w:sz w:val="20"/>
          <w:szCs w:val="20"/>
        </w:rPr>
        <w:t>a</w:t>
      </w:r>
      <w:r w:rsidR="00982170" w:rsidRPr="006C7B74">
        <w:rPr>
          <w:rFonts w:cstheme="minorHAnsi"/>
          <w:sz w:val="20"/>
          <w:szCs w:val="20"/>
        </w:rPr>
        <w:t>res</w:t>
      </w:r>
      <w:r w:rsidRPr="006C7B74">
        <w:rPr>
          <w:rFonts w:cstheme="minorHAnsi"/>
          <w:sz w:val="20"/>
          <w:szCs w:val="20"/>
        </w:rPr>
        <w:t xml:space="preserve"> of industrial land was rezoned across the region for non-industrial uses. </w:t>
      </w:r>
    </w:p>
    <w:p w14:paraId="7CC2A35A" w14:textId="18F78DA5" w:rsidR="00F40582" w:rsidRPr="006C7B74" w:rsidRDefault="00F40582" w:rsidP="00934C4D">
      <w:pPr>
        <w:spacing w:after="120"/>
        <w:rPr>
          <w:rFonts w:cstheme="minorHAnsi"/>
          <w:sz w:val="20"/>
          <w:szCs w:val="20"/>
        </w:rPr>
      </w:pPr>
      <w:r w:rsidRPr="006C7B74">
        <w:rPr>
          <w:rFonts w:cstheme="minorHAnsi"/>
          <w:sz w:val="20"/>
          <w:szCs w:val="20"/>
        </w:rPr>
        <w:t xml:space="preserve">The largest </w:t>
      </w:r>
      <w:r w:rsidR="00F96EC6" w:rsidRPr="006C7B74">
        <w:rPr>
          <w:rFonts w:cstheme="minorHAnsi"/>
          <w:sz w:val="20"/>
          <w:szCs w:val="20"/>
        </w:rPr>
        <w:t xml:space="preserve">single </w:t>
      </w:r>
      <w:r w:rsidRPr="006C7B74">
        <w:rPr>
          <w:rFonts w:cstheme="minorHAnsi"/>
          <w:sz w:val="20"/>
          <w:szCs w:val="20"/>
        </w:rPr>
        <w:t xml:space="preserve">loss of industrial land over this period was within the City of Port Phillip with approximately </w:t>
      </w:r>
      <w:r w:rsidR="00CD573F" w:rsidRPr="006C7B74">
        <w:rPr>
          <w:rFonts w:cstheme="minorHAnsi"/>
          <w:sz w:val="20"/>
          <w:szCs w:val="20"/>
        </w:rPr>
        <w:t>2</w:t>
      </w:r>
      <w:r w:rsidR="00B250D0" w:rsidRPr="006C7B74">
        <w:rPr>
          <w:rFonts w:cstheme="minorHAnsi"/>
          <w:sz w:val="20"/>
          <w:szCs w:val="20"/>
        </w:rPr>
        <w:t>1</w:t>
      </w:r>
      <w:r w:rsidR="00C87572" w:rsidRPr="006C7B74">
        <w:rPr>
          <w:rFonts w:cstheme="minorHAnsi"/>
          <w:sz w:val="20"/>
          <w:szCs w:val="20"/>
        </w:rPr>
        <w:t>6</w:t>
      </w:r>
      <w:r w:rsidRPr="006C7B74">
        <w:rPr>
          <w:rFonts w:cstheme="minorHAnsi"/>
          <w:sz w:val="20"/>
          <w:szCs w:val="20"/>
        </w:rPr>
        <w:t xml:space="preserve"> h</w:t>
      </w:r>
      <w:r w:rsidR="00711994" w:rsidRPr="006C7B74">
        <w:rPr>
          <w:rFonts w:cstheme="minorHAnsi"/>
          <w:sz w:val="20"/>
          <w:szCs w:val="20"/>
        </w:rPr>
        <w:t>ect</w:t>
      </w:r>
      <w:r w:rsidRPr="006C7B74">
        <w:rPr>
          <w:rFonts w:cstheme="minorHAnsi"/>
          <w:sz w:val="20"/>
          <w:szCs w:val="20"/>
        </w:rPr>
        <w:t>a</w:t>
      </w:r>
      <w:r w:rsidR="00711994" w:rsidRPr="006C7B74">
        <w:rPr>
          <w:rFonts w:cstheme="minorHAnsi"/>
          <w:sz w:val="20"/>
          <w:szCs w:val="20"/>
        </w:rPr>
        <w:t>res</w:t>
      </w:r>
      <w:r w:rsidRPr="006C7B74">
        <w:rPr>
          <w:rFonts w:cstheme="minorHAnsi"/>
          <w:sz w:val="20"/>
          <w:szCs w:val="20"/>
        </w:rPr>
        <w:t xml:space="preserve"> of land </w:t>
      </w:r>
      <w:r w:rsidR="0064082C" w:rsidRPr="006C7B74">
        <w:rPr>
          <w:rFonts w:cstheme="minorHAnsi"/>
          <w:sz w:val="20"/>
          <w:szCs w:val="20"/>
        </w:rPr>
        <w:t xml:space="preserve">rezoned </w:t>
      </w:r>
      <w:r w:rsidR="004C4604" w:rsidRPr="006C7B74">
        <w:rPr>
          <w:rFonts w:cstheme="minorHAnsi"/>
          <w:sz w:val="20"/>
          <w:szCs w:val="20"/>
        </w:rPr>
        <w:t xml:space="preserve">to Capital City Zone </w:t>
      </w:r>
      <w:r w:rsidRPr="006C7B74">
        <w:rPr>
          <w:rFonts w:cstheme="minorHAnsi"/>
          <w:sz w:val="20"/>
          <w:szCs w:val="20"/>
        </w:rPr>
        <w:t xml:space="preserve">within </w:t>
      </w:r>
      <w:proofErr w:type="spellStart"/>
      <w:r w:rsidRPr="006C7B74">
        <w:rPr>
          <w:rFonts w:cstheme="minorHAnsi"/>
          <w:sz w:val="20"/>
          <w:szCs w:val="20"/>
        </w:rPr>
        <w:t>Fishermans</w:t>
      </w:r>
      <w:proofErr w:type="spellEnd"/>
      <w:r w:rsidRPr="006C7B74">
        <w:rPr>
          <w:rFonts w:cstheme="minorHAnsi"/>
          <w:sz w:val="20"/>
          <w:szCs w:val="20"/>
        </w:rPr>
        <w:t xml:space="preserve"> Bend.</w:t>
      </w:r>
      <w:r w:rsidR="00AE490C" w:rsidRPr="006C7B74">
        <w:rPr>
          <w:rFonts w:cstheme="minorHAnsi"/>
          <w:sz w:val="20"/>
          <w:szCs w:val="20"/>
        </w:rPr>
        <w:t xml:space="preserve"> </w:t>
      </w:r>
      <w:r w:rsidRPr="006C7B74">
        <w:rPr>
          <w:rFonts w:cstheme="minorHAnsi"/>
          <w:sz w:val="20"/>
          <w:szCs w:val="20"/>
        </w:rPr>
        <w:t xml:space="preserve">Of the remaining </w:t>
      </w:r>
      <w:r w:rsidR="00CD573F" w:rsidRPr="006C7B74">
        <w:rPr>
          <w:rFonts w:cstheme="minorHAnsi"/>
          <w:sz w:val="20"/>
          <w:szCs w:val="20"/>
        </w:rPr>
        <w:t>industrial land</w:t>
      </w:r>
      <w:r w:rsidRPr="006C7B74">
        <w:rPr>
          <w:rFonts w:cstheme="minorHAnsi"/>
          <w:sz w:val="20"/>
          <w:szCs w:val="20"/>
        </w:rPr>
        <w:t xml:space="preserve"> </w:t>
      </w:r>
      <w:proofErr w:type="spellStart"/>
      <w:r w:rsidRPr="006C7B74">
        <w:rPr>
          <w:rFonts w:cstheme="minorHAnsi"/>
          <w:sz w:val="20"/>
          <w:szCs w:val="20"/>
        </w:rPr>
        <w:t>rezon</w:t>
      </w:r>
      <w:r w:rsidR="0064082C" w:rsidRPr="006C7B74">
        <w:rPr>
          <w:rFonts w:cstheme="minorHAnsi"/>
          <w:sz w:val="20"/>
          <w:szCs w:val="20"/>
        </w:rPr>
        <w:t>ings</w:t>
      </w:r>
      <w:proofErr w:type="spellEnd"/>
      <w:r w:rsidR="0064082C" w:rsidRPr="006C7B74">
        <w:rPr>
          <w:rFonts w:cstheme="minorHAnsi"/>
          <w:sz w:val="20"/>
          <w:szCs w:val="20"/>
        </w:rPr>
        <w:t xml:space="preserve"> over</w:t>
      </w:r>
      <w:r w:rsidR="004C4604" w:rsidRPr="006C7B74">
        <w:rPr>
          <w:rFonts w:cstheme="minorHAnsi"/>
          <w:sz w:val="20"/>
          <w:szCs w:val="20"/>
        </w:rPr>
        <w:t xml:space="preserve"> this period</w:t>
      </w:r>
      <w:r w:rsidRPr="006C7B74">
        <w:rPr>
          <w:rFonts w:cstheme="minorHAnsi"/>
          <w:sz w:val="20"/>
          <w:szCs w:val="20"/>
        </w:rPr>
        <w:t>, the vast majority (</w:t>
      </w:r>
      <w:r w:rsidR="00E1482E" w:rsidRPr="006C7B74">
        <w:rPr>
          <w:rFonts w:cstheme="minorHAnsi"/>
          <w:sz w:val="20"/>
          <w:szCs w:val="20"/>
        </w:rPr>
        <w:t>77</w:t>
      </w:r>
      <w:r w:rsidR="004C4604" w:rsidRPr="006C7B74">
        <w:rPr>
          <w:rFonts w:cstheme="minorHAnsi"/>
          <w:sz w:val="20"/>
          <w:szCs w:val="20"/>
        </w:rPr>
        <w:t xml:space="preserve"> </w:t>
      </w:r>
      <w:r w:rsidR="00F772F9" w:rsidRPr="006C7B74">
        <w:rPr>
          <w:rFonts w:cstheme="minorHAnsi"/>
          <w:sz w:val="20"/>
          <w:szCs w:val="20"/>
        </w:rPr>
        <w:t>per cent</w:t>
      </w:r>
      <w:r w:rsidR="004C4604" w:rsidRPr="006C7B74">
        <w:rPr>
          <w:rFonts w:cstheme="minorHAnsi"/>
          <w:sz w:val="20"/>
          <w:szCs w:val="20"/>
        </w:rPr>
        <w:t>) w</w:t>
      </w:r>
      <w:r w:rsidR="00711994" w:rsidRPr="006C7B74">
        <w:rPr>
          <w:rFonts w:cstheme="minorHAnsi"/>
          <w:sz w:val="20"/>
          <w:szCs w:val="20"/>
        </w:rPr>
        <w:t>ere</w:t>
      </w:r>
      <w:r w:rsidR="004C4604" w:rsidRPr="006C7B74">
        <w:rPr>
          <w:rFonts w:cstheme="minorHAnsi"/>
          <w:sz w:val="20"/>
          <w:szCs w:val="20"/>
        </w:rPr>
        <w:t xml:space="preserve"> sites of less than 2 h</w:t>
      </w:r>
      <w:r w:rsidR="00711994" w:rsidRPr="006C7B74">
        <w:rPr>
          <w:rFonts w:cstheme="minorHAnsi"/>
          <w:sz w:val="20"/>
          <w:szCs w:val="20"/>
        </w:rPr>
        <w:t>ect</w:t>
      </w:r>
      <w:r w:rsidR="004C4604" w:rsidRPr="006C7B74">
        <w:rPr>
          <w:rFonts w:cstheme="minorHAnsi"/>
          <w:sz w:val="20"/>
          <w:szCs w:val="20"/>
        </w:rPr>
        <w:t>a</w:t>
      </w:r>
      <w:r w:rsidR="00711994" w:rsidRPr="006C7B74">
        <w:rPr>
          <w:rFonts w:cstheme="minorHAnsi"/>
          <w:sz w:val="20"/>
          <w:szCs w:val="20"/>
        </w:rPr>
        <w:t>res</w:t>
      </w:r>
      <w:r w:rsidR="004C4604" w:rsidRPr="006C7B74">
        <w:rPr>
          <w:rFonts w:cstheme="minorHAnsi"/>
          <w:sz w:val="20"/>
          <w:szCs w:val="20"/>
        </w:rPr>
        <w:t xml:space="preserve"> in size.</w:t>
      </w:r>
    </w:p>
    <w:p w14:paraId="1880F1A9" w14:textId="1404F2E2" w:rsidR="00AE490C" w:rsidRPr="006C7B74" w:rsidRDefault="00AE490C" w:rsidP="00934C4D">
      <w:pPr>
        <w:spacing w:after="120"/>
        <w:rPr>
          <w:rFonts w:cstheme="minorHAnsi"/>
          <w:sz w:val="20"/>
          <w:szCs w:val="20"/>
        </w:rPr>
      </w:pPr>
      <w:r w:rsidRPr="006C7B74">
        <w:rPr>
          <w:rFonts w:cstheme="minorHAnsi"/>
          <w:sz w:val="20"/>
          <w:szCs w:val="20"/>
        </w:rPr>
        <w:t>Of all the industrial land rezoned over the period, 87 per cent was rezoned to allow for mixed</w:t>
      </w:r>
      <w:r w:rsidR="00784E6C" w:rsidRPr="006C7B74">
        <w:rPr>
          <w:rFonts w:cstheme="minorHAnsi"/>
          <w:sz w:val="20"/>
          <w:szCs w:val="20"/>
        </w:rPr>
        <w:t>-</w:t>
      </w:r>
      <w:r w:rsidRPr="006C7B74">
        <w:rPr>
          <w:rFonts w:cstheme="minorHAnsi"/>
          <w:sz w:val="20"/>
          <w:szCs w:val="20"/>
        </w:rPr>
        <w:t xml:space="preserve">use or residential development. This included the land at </w:t>
      </w:r>
      <w:proofErr w:type="spellStart"/>
      <w:r w:rsidRPr="006C7B74">
        <w:rPr>
          <w:rFonts w:cstheme="minorHAnsi"/>
          <w:sz w:val="20"/>
          <w:szCs w:val="20"/>
        </w:rPr>
        <w:t>Fishermans</w:t>
      </w:r>
      <w:proofErr w:type="spellEnd"/>
      <w:r w:rsidRPr="006C7B74">
        <w:rPr>
          <w:rFonts w:cstheme="minorHAnsi"/>
          <w:sz w:val="20"/>
          <w:szCs w:val="20"/>
        </w:rPr>
        <w:t xml:space="preserve"> Bend rezoned to Capital City Zone.</w:t>
      </w:r>
    </w:p>
    <w:p w14:paraId="3A0FDEA9" w14:textId="1CE694E8" w:rsidR="00307005" w:rsidRPr="006C7B74" w:rsidRDefault="00307005" w:rsidP="00934C4D">
      <w:pPr>
        <w:spacing w:after="120"/>
        <w:rPr>
          <w:rFonts w:cstheme="minorHAnsi"/>
          <w:sz w:val="20"/>
          <w:szCs w:val="20"/>
        </w:rPr>
      </w:pPr>
      <w:r w:rsidRPr="006C7B74">
        <w:rPr>
          <w:rFonts w:cstheme="minorHAnsi"/>
          <w:sz w:val="20"/>
          <w:szCs w:val="20"/>
        </w:rPr>
        <w:t xml:space="preserve">While there is limited land available for industrial purposes </w:t>
      </w:r>
      <w:r w:rsidR="00AE490C" w:rsidRPr="006C7B74">
        <w:rPr>
          <w:rFonts w:cstheme="minorHAnsi"/>
          <w:sz w:val="20"/>
          <w:szCs w:val="20"/>
        </w:rPr>
        <w:t xml:space="preserve">across </w:t>
      </w:r>
      <w:r w:rsidRPr="006C7B74">
        <w:rPr>
          <w:rFonts w:cstheme="minorHAnsi"/>
          <w:sz w:val="20"/>
          <w:szCs w:val="20"/>
        </w:rPr>
        <w:t xml:space="preserve">the region, growth in manufacturing and industrial jobs will account for almost </w:t>
      </w:r>
      <w:r w:rsidR="005B041A" w:rsidRPr="006C7B74">
        <w:rPr>
          <w:rFonts w:cstheme="minorHAnsi"/>
          <w:sz w:val="20"/>
          <w:szCs w:val="20"/>
        </w:rPr>
        <w:t>4</w:t>
      </w:r>
      <w:r w:rsidRPr="006C7B74">
        <w:rPr>
          <w:rFonts w:cstheme="minorHAnsi"/>
          <w:sz w:val="20"/>
          <w:szCs w:val="20"/>
        </w:rPr>
        <w:t xml:space="preserve"> per cent of all new jobs</w:t>
      </w:r>
      <w:r w:rsidR="00F03B39" w:rsidRPr="006C7B74">
        <w:rPr>
          <w:rFonts w:cstheme="minorHAnsi"/>
          <w:sz w:val="20"/>
          <w:szCs w:val="20"/>
        </w:rPr>
        <w:t xml:space="preserve"> over the period 2016</w:t>
      </w:r>
      <w:r w:rsidR="003776BF" w:rsidRPr="006C7B74">
        <w:rPr>
          <w:rFonts w:cstheme="minorHAnsi"/>
          <w:sz w:val="20"/>
          <w:szCs w:val="20"/>
        </w:rPr>
        <w:t xml:space="preserve"> to </w:t>
      </w:r>
      <w:r w:rsidR="00F03B39" w:rsidRPr="006C7B74">
        <w:rPr>
          <w:rFonts w:cstheme="minorHAnsi"/>
          <w:sz w:val="20"/>
          <w:szCs w:val="20"/>
        </w:rPr>
        <w:t>2031</w:t>
      </w:r>
      <w:r w:rsidRPr="006C7B74">
        <w:rPr>
          <w:rFonts w:cstheme="minorHAnsi"/>
          <w:sz w:val="20"/>
          <w:szCs w:val="20"/>
        </w:rPr>
        <w:t xml:space="preserve">. </w:t>
      </w:r>
      <w:r w:rsidR="008D3152" w:rsidRPr="006C7B74">
        <w:rPr>
          <w:rFonts w:cstheme="minorHAnsi"/>
          <w:sz w:val="20"/>
          <w:szCs w:val="20"/>
        </w:rPr>
        <w:t>Therefore,</w:t>
      </w:r>
      <w:r w:rsidR="00C91416" w:rsidRPr="006C7B74">
        <w:rPr>
          <w:rFonts w:cstheme="minorHAnsi"/>
          <w:sz w:val="20"/>
          <w:szCs w:val="20"/>
        </w:rPr>
        <w:t xml:space="preserve"> </w:t>
      </w:r>
      <w:r w:rsidR="00F03B39" w:rsidRPr="006C7B74">
        <w:rPr>
          <w:rFonts w:cstheme="minorHAnsi"/>
          <w:sz w:val="20"/>
          <w:szCs w:val="20"/>
        </w:rPr>
        <w:t>o</w:t>
      </w:r>
      <w:r w:rsidRPr="006C7B74">
        <w:rPr>
          <w:rFonts w:cstheme="minorHAnsi"/>
          <w:sz w:val="20"/>
          <w:szCs w:val="20"/>
        </w:rPr>
        <w:t>pportunit</w:t>
      </w:r>
      <w:r w:rsidR="00F03B39" w:rsidRPr="006C7B74">
        <w:rPr>
          <w:rFonts w:cstheme="minorHAnsi"/>
          <w:sz w:val="20"/>
          <w:szCs w:val="20"/>
        </w:rPr>
        <w:t>ies</w:t>
      </w:r>
      <w:r w:rsidRPr="006C7B74">
        <w:rPr>
          <w:rFonts w:cstheme="minorHAnsi"/>
          <w:sz w:val="20"/>
          <w:szCs w:val="20"/>
        </w:rPr>
        <w:t xml:space="preserve"> will need to </w:t>
      </w:r>
      <w:r w:rsidR="00AE490C" w:rsidRPr="006C7B74">
        <w:rPr>
          <w:rFonts w:cstheme="minorHAnsi"/>
          <w:sz w:val="20"/>
          <w:szCs w:val="20"/>
        </w:rPr>
        <w:t xml:space="preserve">continue to </w:t>
      </w:r>
      <w:r w:rsidRPr="006C7B74">
        <w:rPr>
          <w:rFonts w:cstheme="minorHAnsi"/>
          <w:sz w:val="20"/>
          <w:szCs w:val="20"/>
        </w:rPr>
        <w:t>be provided across the region to accommodate these</w:t>
      </w:r>
      <w:r w:rsidR="00AE490C" w:rsidRPr="006C7B74">
        <w:rPr>
          <w:rFonts w:cstheme="minorHAnsi"/>
          <w:sz w:val="20"/>
          <w:szCs w:val="20"/>
        </w:rPr>
        <w:t xml:space="preserve"> types of</w:t>
      </w:r>
      <w:r w:rsidRPr="006C7B74">
        <w:rPr>
          <w:rFonts w:cstheme="minorHAnsi"/>
          <w:sz w:val="20"/>
          <w:szCs w:val="20"/>
        </w:rPr>
        <w:t xml:space="preserve"> jobs</w:t>
      </w:r>
      <w:r w:rsidR="00CA5AE1" w:rsidRPr="006C7B74">
        <w:rPr>
          <w:rFonts w:cstheme="minorHAnsi"/>
          <w:sz w:val="20"/>
          <w:szCs w:val="20"/>
        </w:rPr>
        <w:t xml:space="preserve">. </w:t>
      </w:r>
    </w:p>
    <w:p w14:paraId="3D039EBE" w14:textId="77777777" w:rsidR="00F40582" w:rsidRPr="006C7B74" w:rsidRDefault="00F40582" w:rsidP="00934C4D">
      <w:pPr>
        <w:spacing w:after="120"/>
        <w:rPr>
          <w:rFonts w:cstheme="minorHAnsi"/>
          <w:sz w:val="20"/>
          <w:szCs w:val="20"/>
        </w:rPr>
      </w:pPr>
    </w:p>
    <w:p w14:paraId="48F8AD20" w14:textId="59B2AF3C" w:rsidR="00FB691B" w:rsidRPr="00CC08D3" w:rsidRDefault="00FB691B" w:rsidP="001B2A5D">
      <w:pPr>
        <w:pStyle w:val="Heading5"/>
      </w:pPr>
      <w:r w:rsidRPr="005476F2">
        <w:t xml:space="preserve">Figure </w:t>
      </w:r>
      <w:r w:rsidR="00AB16F5" w:rsidRPr="005476F2">
        <w:t>1</w:t>
      </w:r>
      <w:r w:rsidR="0083160F" w:rsidRPr="0045307B">
        <w:t>3</w:t>
      </w:r>
      <w:r w:rsidRPr="007E3736">
        <w:t xml:space="preserve">: Change of </w:t>
      </w:r>
      <w:r w:rsidR="003A4F82" w:rsidRPr="00542775">
        <w:t>z</w:t>
      </w:r>
      <w:r w:rsidRPr="00D309DC">
        <w:t xml:space="preserve">oned </w:t>
      </w:r>
      <w:r w:rsidR="003A4F82" w:rsidRPr="00F2680C">
        <w:t>i</w:t>
      </w:r>
      <w:r w:rsidRPr="00F2680C">
        <w:t xml:space="preserve">ndustrial </w:t>
      </w:r>
      <w:r w:rsidR="003A4F82" w:rsidRPr="00863743">
        <w:t>l</w:t>
      </w:r>
      <w:r w:rsidRPr="002B75EA">
        <w:t>and, Inner Metro Region, 2000-01 to 2017-18</w:t>
      </w:r>
    </w:p>
    <w:p w14:paraId="249ABF05" w14:textId="40F83374" w:rsidR="00FB691B" w:rsidRPr="006C7B74" w:rsidRDefault="00BC577C" w:rsidP="00934C4D">
      <w:pPr>
        <w:spacing w:after="120"/>
        <w:rPr>
          <w:rFonts w:cstheme="minorHAnsi"/>
          <w:sz w:val="20"/>
          <w:szCs w:val="20"/>
        </w:rPr>
      </w:pPr>
      <w:r w:rsidRPr="006C7B74">
        <w:rPr>
          <w:noProof/>
        </w:rPr>
        <w:drawing>
          <wp:inline distT="0" distB="0" distL="0" distR="0" wp14:anchorId="0CDAB3B3" wp14:editId="38D0980D">
            <wp:extent cx="5727700" cy="4016375"/>
            <wp:effectExtent l="0" t="0" r="6350" b="3175"/>
            <wp:docPr id="1984355074" name="Picture 1984355074" descr="Map showing change of zoned industrial land, Inner Metro Region, 2000-01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27700" cy="4016375"/>
                    </a:xfrm>
                    <a:prstGeom prst="rect">
                      <a:avLst/>
                    </a:prstGeom>
                  </pic:spPr>
                </pic:pic>
              </a:graphicData>
            </a:graphic>
          </wp:inline>
        </w:drawing>
      </w:r>
    </w:p>
    <w:p w14:paraId="112C94B5" w14:textId="2426B06A" w:rsidR="00552473" w:rsidRPr="006C7B74" w:rsidRDefault="00552473" w:rsidP="00552473">
      <w:pPr>
        <w:spacing w:after="120"/>
        <w:rPr>
          <w:rFonts w:cstheme="minorHAnsi"/>
          <w:i/>
          <w:sz w:val="18"/>
          <w:szCs w:val="20"/>
        </w:rPr>
      </w:pPr>
      <w:r w:rsidRPr="006C7B74">
        <w:rPr>
          <w:rFonts w:cstheme="minorHAnsi"/>
          <w:i/>
          <w:sz w:val="18"/>
          <w:szCs w:val="20"/>
        </w:rPr>
        <w:t xml:space="preserve">Source: Department of Environment, Land, Water and Planning, </w:t>
      </w:r>
      <w:r w:rsidR="00EF5935" w:rsidRPr="006C7B74">
        <w:rPr>
          <w:rFonts w:cstheme="minorHAnsi"/>
          <w:i/>
          <w:sz w:val="18"/>
          <w:szCs w:val="20"/>
        </w:rPr>
        <w:t>2018</w:t>
      </w:r>
      <w:r w:rsidR="004D0445" w:rsidRPr="006C7B74">
        <w:rPr>
          <w:rFonts w:cstheme="minorHAnsi"/>
          <w:i/>
          <w:sz w:val="18"/>
          <w:szCs w:val="20"/>
        </w:rPr>
        <w:t>, Urban Development Program – Melbourne Metropolitan Industrial 2018</w:t>
      </w:r>
    </w:p>
    <w:p w14:paraId="40F8943A" w14:textId="77777777" w:rsidR="0097714A" w:rsidRPr="006C7B74" w:rsidRDefault="0097714A" w:rsidP="00934C4D">
      <w:pPr>
        <w:spacing w:after="120"/>
        <w:rPr>
          <w:rFonts w:cstheme="minorHAnsi"/>
          <w:sz w:val="20"/>
          <w:szCs w:val="20"/>
        </w:rPr>
      </w:pPr>
    </w:p>
    <w:p w14:paraId="1B5B3CA1" w14:textId="77777777" w:rsidR="0097714A" w:rsidRPr="006C7B74" w:rsidRDefault="0097714A" w:rsidP="00934C4D">
      <w:pPr>
        <w:pStyle w:val="Heading3"/>
        <w:spacing w:before="0" w:after="120"/>
      </w:pPr>
      <w:r w:rsidRPr="006C7B74">
        <w:lastRenderedPageBreak/>
        <w:t>Commercial land</w:t>
      </w:r>
    </w:p>
    <w:p w14:paraId="1631B1E0" w14:textId="1A37987C" w:rsidR="0097714A" w:rsidRPr="006C7B74" w:rsidRDefault="0097714A" w:rsidP="00934C4D">
      <w:pPr>
        <w:spacing w:after="120"/>
        <w:rPr>
          <w:rFonts w:cstheme="minorHAnsi"/>
          <w:sz w:val="20"/>
          <w:szCs w:val="20"/>
        </w:rPr>
      </w:pPr>
      <w:r w:rsidRPr="006C7B74">
        <w:rPr>
          <w:rFonts w:cstheme="minorHAnsi"/>
          <w:sz w:val="20"/>
          <w:szCs w:val="20"/>
        </w:rPr>
        <w:t xml:space="preserve">Currently across the region there is a total of </w:t>
      </w:r>
      <w:r w:rsidR="00A107F8" w:rsidRPr="006C7B74">
        <w:rPr>
          <w:rFonts w:cstheme="minorHAnsi"/>
          <w:sz w:val="20"/>
          <w:szCs w:val="20"/>
        </w:rPr>
        <w:t>1,158</w:t>
      </w:r>
      <w:r w:rsidRPr="006C7B74">
        <w:rPr>
          <w:rFonts w:cstheme="minorHAnsi"/>
          <w:sz w:val="20"/>
          <w:szCs w:val="20"/>
        </w:rPr>
        <w:t xml:space="preserve"> hectares of land that has been identified as being zoned for commercial purposes. It is estimated that there is approximately </w:t>
      </w:r>
      <w:r w:rsidR="0045330C" w:rsidRPr="006C7B74">
        <w:rPr>
          <w:rFonts w:cstheme="minorHAnsi"/>
          <w:sz w:val="20"/>
          <w:szCs w:val="20"/>
        </w:rPr>
        <w:t>9</w:t>
      </w:r>
      <w:r w:rsidRPr="006C7B74">
        <w:rPr>
          <w:rFonts w:cstheme="minorHAnsi"/>
          <w:sz w:val="20"/>
          <w:szCs w:val="20"/>
        </w:rPr>
        <w:t xml:space="preserve"> million square metres of floorspace used or available for commercial purposes </w:t>
      </w:r>
      <w:r w:rsidR="00CA5AE1" w:rsidRPr="006C7B74">
        <w:rPr>
          <w:rFonts w:cstheme="minorHAnsi"/>
          <w:sz w:val="20"/>
          <w:szCs w:val="20"/>
        </w:rPr>
        <w:t>on this land</w:t>
      </w:r>
      <w:r w:rsidRPr="006C7B74">
        <w:rPr>
          <w:rFonts w:cstheme="minorHAnsi"/>
          <w:sz w:val="20"/>
          <w:szCs w:val="20"/>
        </w:rPr>
        <w:t xml:space="preserve">. </w:t>
      </w:r>
    </w:p>
    <w:p w14:paraId="6679FB56" w14:textId="3BC6AC47" w:rsidR="00CA5AE1" w:rsidRPr="006C7B74" w:rsidRDefault="0097714A" w:rsidP="00934C4D">
      <w:pPr>
        <w:spacing w:after="120"/>
        <w:rPr>
          <w:rFonts w:cstheme="minorHAnsi"/>
          <w:sz w:val="20"/>
          <w:szCs w:val="20"/>
        </w:rPr>
      </w:pPr>
      <w:r w:rsidRPr="006C7B74">
        <w:rPr>
          <w:rFonts w:cstheme="minorHAnsi"/>
          <w:sz w:val="20"/>
          <w:szCs w:val="20"/>
        </w:rPr>
        <w:t>Across the region</w:t>
      </w:r>
      <w:r w:rsidR="005F0055" w:rsidRPr="006C7B74">
        <w:rPr>
          <w:rFonts w:cstheme="minorHAnsi"/>
          <w:sz w:val="20"/>
          <w:szCs w:val="20"/>
        </w:rPr>
        <w:t>,</w:t>
      </w:r>
      <w:r w:rsidRPr="006C7B74">
        <w:rPr>
          <w:rFonts w:cstheme="minorHAnsi"/>
          <w:sz w:val="20"/>
          <w:szCs w:val="20"/>
        </w:rPr>
        <w:t xml:space="preserve"> a total of </w:t>
      </w:r>
      <w:r w:rsidR="002809F6" w:rsidRPr="006C7B74">
        <w:rPr>
          <w:rFonts w:cstheme="minorHAnsi"/>
          <w:sz w:val="20"/>
          <w:szCs w:val="20"/>
        </w:rPr>
        <w:t>7</w:t>
      </w:r>
      <w:r w:rsidR="00CB2FC9" w:rsidRPr="006C7B74">
        <w:rPr>
          <w:rFonts w:cstheme="minorHAnsi"/>
          <w:sz w:val="20"/>
          <w:szCs w:val="20"/>
        </w:rPr>
        <w:t>2</w:t>
      </w:r>
      <w:r w:rsidR="002809F6" w:rsidRPr="006C7B74">
        <w:rPr>
          <w:rFonts w:cstheme="minorHAnsi"/>
          <w:sz w:val="20"/>
          <w:szCs w:val="20"/>
        </w:rPr>
        <w:t xml:space="preserve"> </w:t>
      </w:r>
      <w:r w:rsidRPr="006C7B74">
        <w:rPr>
          <w:rFonts w:cstheme="minorHAnsi"/>
          <w:sz w:val="20"/>
          <w:szCs w:val="20"/>
        </w:rPr>
        <w:t xml:space="preserve">commercial areas or centres have been identified. Of these, </w:t>
      </w:r>
      <w:r w:rsidR="002F0221" w:rsidRPr="006C7B74">
        <w:rPr>
          <w:rFonts w:cstheme="minorHAnsi"/>
          <w:sz w:val="20"/>
          <w:szCs w:val="20"/>
        </w:rPr>
        <w:t>3</w:t>
      </w:r>
      <w:r w:rsidR="00CB2FC9" w:rsidRPr="006C7B74">
        <w:rPr>
          <w:rFonts w:cstheme="minorHAnsi"/>
          <w:sz w:val="20"/>
          <w:szCs w:val="20"/>
        </w:rPr>
        <w:t>5</w:t>
      </w:r>
      <w:r w:rsidRPr="006C7B74">
        <w:rPr>
          <w:rFonts w:cstheme="minorHAnsi"/>
          <w:sz w:val="20"/>
          <w:szCs w:val="20"/>
        </w:rPr>
        <w:t xml:space="preserve"> have less than 10,000 square metres of floorspace</w:t>
      </w:r>
      <w:r w:rsidR="00815809" w:rsidRPr="006C7B74">
        <w:rPr>
          <w:rFonts w:cstheme="minorHAnsi"/>
          <w:sz w:val="20"/>
          <w:szCs w:val="20"/>
        </w:rPr>
        <w:t xml:space="preserve"> and </w:t>
      </w:r>
      <w:r w:rsidR="000B084D" w:rsidRPr="006C7B74">
        <w:rPr>
          <w:rFonts w:cstheme="minorHAnsi"/>
          <w:sz w:val="20"/>
          <w:szCs w:val="20"/>
        </w:rPr>
        <w:t>19</w:t>
      </w:r>
      <w:r w:rsidR="00367E7C" w:rsidRPr="006C7B74">
        <w:rPr>
          <w:rFonts w:cstheme="minorHAnsi"/>
          <w:sz w:val="20"/>
          <w:szCs w:val="20"/>
        </w:rPr>
        <w:t xml:space="preserve"> </w:t>
      </w:r>
      <w:r w:rsidR="00815809" w:rsidRPr="006C7B74">
        <w:rPr>
          <w:rFonts w:cstheme="minorHAnsi"/>
          <w:sz w:val="20"/>
          <w:szCs w:val="20"/>
        </w:rPr>
        <w:t>centres have between 10,000 and 49,999</w:t>
      </w:r>
      <w:r w:rsidR="00DA4006" w:rsidRPr="006C7B74">
        <w:rPr>
          <w:rFonts w:cstheme="minorHAnsi"/>
          <w:sz w:val="20"/>
          <w:szCs w:val="20"/>
        </w:rPr>
        <w:t xml:space="preserve"> square metres</w:t>
      </w:r>
      <w:r w:rsidRPr="006C7B74">
        <w:rPr>
          <w:rFonts w:cstheme="minorHAnsi"/>
          <w:sz w:val="20"/>
          <w:szCs w:val="20"/>
        </w:rPr>
        <w:t xml:space="preserve">. </w:t>
      </w:r>
    </w:p>
    <w:p w14:paraId="05EA5CAE" w14:textId="67024D53" w:rsidR="0097714A" w:rsidRPr="006C7B74" w:rsidRDefault="002311B2" w:rsidP="00934C4D">
      <w:pPr>
        <w:spacing w:after="120"/>
        <w:rPr>
          <w:rFonts w:cstheme="minorHAnsi"/>
          <w:sz w:val="20"/>
          <w:szCs w:val="20"/>
        </w:rPr>
      </w:pPr>
      <w:r w:rsidRPr="006C7B74">
        <w:rPr>
          <w:rFonts w:cstheme="minorHAnsi"/>
          <w:sz w:val="20"/>
          <w:szCs w:val="20"/>
        </w:rPr>
        <w:t xml:space="preserve">Thirteen </w:t>
      </w:r>
      <w:r w:rsidR="00CC7AB1" w:rsidRPr="006C7B74">
        <w:rPr>
          <w:rFonts w:cstheme="minorHAnsi"/>
          <w:sz w:val="20"/>
          <w:szCs w:val="20"/>
        </w:rPr>
        <w:t xml:space="preserve">commercial </w:t>
      </w:r>
      <w:r w:rsidR="00CA5AE1" w:rsidRPr="006C7B74">
        <w:rPr>
          <w:rFonts w:cstheme="minorHAnsi"/>
          <w:sz w:val="20"/>
          <w:szCs w:val="20"/>
        </w:rPr>
        <w:t>areas</w:t>
      </w:r>
      <w:r w:rsidR="0097714A" w:rsidRPr="006C7B74">
        <w:rPr>
          <w:rFonts w:cstheme="minorHAnsi"/>
          <w:sz w:val="20"/>
          <w:szCs w:val="20"/>
        </w:rPr>
        <w:t xml:space="preserve"> have more than 100,000 square metres of floorspace</w:t>
      </w:r>
      <w:r w:rsidR="00C5713A" w:rsidRPr="006C7B74">
        <w:rPr>
          <w:rFonts w:cstheme="minorHAnsi"/>
          <w:sz w:val="20"/>
          <w:szCs w:val="20"/>
        </w:rPr>
        <w:t>, including</w:t>
      </w:r>
      <w:r w:rsidR="00CA5AE1" w:rsidRPr="006C7B74">
        <w:rPr>
          <w:rFonts w:cstheme="minorHAnsi"/>
          <w:sz w:val="20"/>
          <w:szCs w:val="20"/>
        </w:rPr>
        <w:t xml:space="preserve"> the key office locations </w:t>
      </w:r>
      <w:r w:rsidR="00273D78" w:rsidRPr="006C7B74">
        <w:rPr>
          <w:rFonts w:cstheme="minorHAnsi"/>
          <w:sz w:val="20"/>
          <w:szCs w:val="20"/>
        </w:rPr>
        <w:t>of</w:t>
      </w:r>
      <w:r w:rsidR="00CA5AE1" w:rsidRPr="006C7B74">
        <w:rPr>
          <w:rFonts w:cstheme="minorHAnsi"/>
          <w:sz w:val="20"/>
          <w:szCs w:val="20"/>
        </w:rPr>
        <w:t xml:space="preserve"> Victoria Parade, Docklands, Southbank</w:t>
      </w:r>
      <w:r w:rsidR="003D3592" w:rsidRPr="006C7B74">
        <w:rPr>
          <w:rFonts w:cstheme="minorHAnsi"/>
          <w:sz w:val="20"/>
          <w:szCs w:val="20"/>
        </w:rPr>
        <w:t xml:space="preserve"> and</w:t>
      </w:r>
      <w:r w:rsidR="00CA5AE1" w:rsidRPr="006C7B74">
        <w:rPr>
          <w:rFonts w:cstheme="minorHAnsi"/>
          <w:sz w:val="20"/>
          <w:szCs w:val="20"/>
        </w:rPr>
        <w:t xml:space="preserve"> St Kilda Road (both in the City of Melbourne and the City of Port Phillip) </w:t>
      </w:r>
      <w:r w:rsidR="003D3592" w:rsidRPr="006C7B74">
        <w:rPr>
          <w:rFonts w:cstheme="minorHAnsi"/>
          <w:sz w:val="20"/>
          <w:szCs w:val="20"/>
        </w:rPr>
        <w:t xml:space="preserve">as well as </w:t>
      </w:r>
      <w:r w:rsidR="00CA5AE1" w:rsidRPr="006C7B74">
        <w:rPr>
          <w:rFonts w:cstheme="minorHAnsi"/>
          <w:sz w:val="20"/>
          <w:szCs w:val="20"/>
        </w:rPr>
        <w:t xml:space="preserve">retail areas </w:t>
      </w:r>
      <w:r w:rsidR="003D3592" w:rsidRPr="006C7B74">
        <w:rPr>
          <w:rFonts w:cstheme="minorHAnsi"/>
          <w:sz w:val="20"/>
          <w:szCs w:val="20"/>
        </w:rPr>
        <w:t xml:space="preserve">such as </w:t>
      </w:r>
      <w:proofErr w:type="spellStart"/>
      <w:r w:rsidR="00CA5AE1" w:rsidRPr="006C7B74">
        <w:rPr>
          <w:rFonts w:cstheme="minorHAnsi"/>
          <w:sz w:val="20"/>
          <w:szCs w:val="20"/>
        </w:rPr>
        <w:t>Lygon</w:t>
      </w:r>
      <w:proofErr w:type="spellEnd"/>
      <w:r w:rsidR="00CA5AE1" w:rsidRPr="006C7B74">
        <w:rPr>
          <w:rFonts w:cstheme="minorHAnsi"/>
          <w:sz w:val="20"/>
          <w:szCs w:val="20"/>
        </w:rPr>
        <w:t xml:space="preserve"> Street, St Kilda</w:t>
      </w:r>
      <w:r w:rsidR="004C56CF" w:rsidRPr="006C7B74">
        <w:rPr>
          <w:rFonts w:cstheme="minorHAnsi"/>
          <w:sz w:val="20"/>
          <w:szCs w:val="20"/>
        </w:rPr>
        <w:t xml:space="preserve"> </w:t>
      </w:r>
      <w:r w:rsidR="00C5713A" w:rsidRPr="006C7B74">
        <w:rPr>
          <w:rFonts w:cstheme="minorHAnsi"/>
          <w:sz w:val="20"/>
          <w:szCs w:val="20"/>
        </w:rPr>
        <w:t xml:space="preserve">and </w:t>
      </w:r>
      <w:r w:rsidR="004C56CF" w:rsidRPr="006C7B74">
        <w:rPr>
          <w:rFonts w:cstheme="minorHAnsi"/>
          <w:sz w:val="20"/>
          <w:szCs w:val="20"/>
        </w:rPr>
        <w:t>Smith Street</w:t>
      </w:r>
      <w:r w:rsidR="00CA5AE1" w:rsidRPr="006C7B74">
        <w:rPr>
          <w:rFonts w:cstheme="minorHAnsi"/>
          <w:sz w:val="20"/>
          <w:szCs w:val="20"/>
        </w:rPr>
        <w:t xml:space="preserve">. These centres account for approximately </w:t>
      </w:r>
      <w:r w:rsidR="00EB525B" w:rsidRPr="006C7B74">
        <w:rPr>
          <w:rFonts w:cstheme="minorHAnsi"/>
          <w:sz w:val="20"/>
          <w:szCs w:val="20"/>
        </w:rPr>
        <w:t>89</w:t>
      </w:r>
      <w:r w:rsidR="00CA5AE1" w:rsidRPr="006C7B74">
        <w:rPr>
          <w:rFonts w:cstheme="minorHAnsi"/>
          <w:sz w:val="20"/>
          <w:szCs w:val="20"/>
        </w:rPr>
        <w:t xml:space="preserve"> per cent of all </w:t>
      </w:r>
      <w:r w:rsidR="003D3592" w:rsidRPr="006C7B74">
        <w:rPr>
          <w:rFonts w:cstheme="minorHAnsi"/>
          <w:sz w:val="20"/>
          <w:szCs w:val="20"/>
        </w:rPr>
        <w:t xml:space="preserve">commercial </w:t>
      </w:r>
      <w:r w:rsidR="00CA5AE1" w:rsidRPr="006C7B74">
        <w:rPr>
          <w:rFonts w:cstheme="minorHAnsi"/>
          <w:sz w:val="20"/>
          <w:szCs w:val="20"/>
        </w:rPr>
        <w:t>floorspace supply in the region, and of this a</w:t>
      </w:r>
      <w:r w:rsidR="0097714A" w:rsidRPr="006C7B74">
        <w:rPr>
          <w:rFonts w:cstheme="minorHAnsi"/>
          <w:sz w:val="20"/>
          <w:szCs w:val="20"/>
        </w:rPr>
        <w:t xml:space="preserve">pproximately </w:t>
      </w:r>
      <w:r w:rsidR="00EB525B" w:rsidRPr="006C7B74">
        <w:rPr>
          <w:rFonts w:cstheme="minorHAnsi"/>
          <w:sz w:val="20"/>
          <w:szCs w:val="20"/>
        </w:rPr>
        <w:t>86</w:t>
      </w:r>
      <w:r w:rsidR="0097714A" w:rsidRPr="006C7B74">
        <w:rPr>
          <w:rFonts w:cstheme="minorHAnsi"/>
          <w:sz w:val="20"/>
          <w:szCs w:val="20"/>
        </w:rPr>
        <w:t xml:space="preserve"> </w:t>
      </w:r>
      <w:r w:rsidR="00153C76" w:rsidRPr="006C7B74">
        <w:rPr>
          <w:rFonts w:cstheme="minorHAnsi"/>
          <w:sz w:val="20"/>
          <w:szCs w:val="20"/>
        </w:rPr>
        <w:t>per cent</w:t>
      </w:r>
      <w:r w:rsidR="0097714A" w:rsidRPr="006C7B74">
        <w:rPr>
          <w:rFonts w:cstheme="minorHAnsi"/>
          <w:sz w:val="20"/>
          <w:szCs w:val="20"/>
        </w:rPr>
        <w:t xml:space="preserve"> is located within the </w:t>
      </w:r>
      <w:r w:rsidR="00C5713A" w:rsidRPr="006C7B74">
        <w:rPr>
          <w:rFonts w:cstheme="minorHAnsi"/>
          <w:sz w:val="20"/>
          <w:szCs w:val="20"/>
        </w:rPr>
        <w:t>City</w:t>
      </w:r>
      <w:r w:rsidR="0097714A" w:rsidRPr="006C7B74">
        <w:rPr>
          <w:rFonts w:cstheme="minorHAnsi"/>
          <w:sz w:val="20"/>
          <w:szCs w:val="20"/>
        </w:rPr>
        <w:t xml:space="preserve"> of Melbourne.</w:t>
      </w:r>
      <w:r w:rsidR="00CA5AE1" w:rsidRPr="006C7B74">
        <w:rPr>
          <w:rFonts w:cstheme="minorHAnsi"/>
          <w:sz w:val="20"/>
          <w:szCs w:val="20"/>
        </w:rPr>
        <w:t xml:space="preserve"> </w:t>
      </w:r>
    </w:p>
    <w:p w14:paraId="4261AF93" w14:textId="77777777" w:rsidR="00D31258" w:rsidRPr="006C7B74" w:rsidRDefault="00D31258" w:rsidP="00934C4D">
      <w:pPr>
        <w:spacing w:after="120"/>
        <w:rPr>
          <w:rFonts w:cstheme="minorHAnsi"/>
          <w:sz w:val="20"/>
          <w:szCs w:val="20"/>
        </w:rPr>
      </w:pPr>
    </w:p>
    <w:p w14:paraId="2A52868F" w14:textId="757D6548" w:rsidR="0097714A" w:rsidRPr="006C7B74" w:rsidRDefault="0097714A" w:rsidP="00364B58">
      <w:pPr>
        <w:pStyle w:val="Heading5"/>
      </w:pPr>
      <w:r w:rsidRPr="006C7B74">
        <w:t xml:space="preserve">Table </w:t>
      </w:r>
      <w:r w:rsidR="00741E89" w:rsidRPr="006C7B74">
        <w:t>11</w:t>
      </w:r>
      <w:r w:rsidRPr="006C7B74">
        <w:t xml:space="preserve">: Existing commercial floorspace by centre size, </w:t>
      </w:r>
      <w:r w:rsidR="00337934" w:rsidRPr="006C7B74">
        <w:t>Inner Metro Region</w:t>
      </w:r>
    </w:p>
    <w:tbl>
      <w:tblPr>
        <w:tblW w:w="5000" w:type="pct"/>
        <w:tblLayout w:type="fixed"/>
        <w:tblLook w:val="04A0" w:firstRow="1" w:lastRow="0" w:firstColumn="1" w:lastColumn="0" w:noHBand="0" w:noVBand="1"/>
      </w:tblPr>
      <w:tblGrid>
        <w:gridCol w:w="992"/>
        <w:gridCol w:w="18"/>
        <w:gridCol w:w="689"/>
        <w:gridCol w:w="855"/>
        <w:gridCol w:w="711"/>
        <w:gridCol w:w="832"/>
        <w:gridCol w:w="18"/>
        <w:gridCol w:w="709"/>
        <w:gridCol w:w="850"/>
        <w:gridCol w:w="144"/>
        <w:gridCol w:w="566"/>
        <w:gridCol w:w="704"/>
        <w:gridCol w:w="148"/>
        <w:gridCol w:w="707"/>
        <w:gridCol w:w="1077"/>
      </w:tblGrid>
      <w:tr w:rsidR="00BB1D83" w:rsidRPr="006C7B74" w14:paraId="7F342DF8" w14:textId="77777777" w:rsidTr="006C7B74">
        <w:trPr>
          <w:trHeight w:val="555"/>
        </w:trPr>
        <w:tc>
          <w:tcPr>
            <w:tcW w:w="560" w:type="pct"/>
            <w:gridSpan w:val="2"/>
            <w:tcBorders>
              <w:top w:val="nil"/>
              <w:left w:val="nil"/>
              <w:bottom w:val="nil"/>
              <w:right w:val="nil"/>
            </w:tcBorders>
            <w:shd w:val="clear" w:color="000000" w:fill="4D446C"/>
            <w:noWrap/>
            <w:vAlign w:val="center"/>
            <w:hideMark/>
          </w:tcPr>
          <w:p w14:paraId="03F5E883" w14:textId="77777777" w:rsidR="00371E40" w:rsidRPr="006C7B74" w:rsidRDefault="00371E40" w:rsidP="00683949">
            <w:pPr>
              <w:pStyle w:val="TableHeaderRow"/>
            </w:pPr>
            <w:r w:rsidRPr="006C7B74">
              <w:t>Council</w:t>
            </w:r>
          </w:p>
        </w:tc>
        <w:tc>
          <w:tcPr>
            <w:tcW w:w="856" w:type="pct"/>
            <w:gridSpan w:val="2"/>
            <w:tcBorders>
              <w:top w:val="single" w:sz="4" w:space="0" w:color="auto"/>
              <w:left w:val="nil"/>
              <w:bottom w:val="nil"/>
              <w:right w:val="nil"/>
            </w:tcBorders>
            <w:shd w:val="clear" w:color="000000" w:fill="4D446C"/>
            <w:noWrap/>
            <w:vAlign w:val="center"/>
            <w:hideMark/>
          </w:tcPr>
          <w:p w14:paraId="0BE5A0E4" w14:textId="5DD829ED" w:rsidR="00371E40" w:rsidRPr="006C7B74" w:rsidRDefault="00371E40" w:rsidP="00683949">
            <w:pPr>
              <w:pStyle w:val="TableHeaderRow"/>
              <w:jc w:val="center"/>
            </w:pPr>
            <w:r w:rsidRPr="006C7B74">
              <w:t>Less than 2</w:t>
            </w:r>
            <w:r w:rsidR="00680395" w:rsidRPr="006C7B74">
              <w:t>,</w:t>
            </w:r>
            <w:r w:rsidRPr="006C7B74">
              <w:t>000 (m</w:t>
            </w:r>
            <w:r w:rsidRPr="006C7B74">
              <w:rPr>
                <w:vertAlign w:val="superscript"/>
              </w:rPr>
              <w:t>2</w:t>
            </w:r>
            <w:r w:rsidRPr="006C7B74">
              <w:t>)</w:t>
            </w:r>
          </w:p>
        </w:tc>
        <w:tc>
          <w:tcPr>
            <w:tcW w:w="855" w:type="pct"/>
            <w:gridSpan w:val="2"/>
            <w:tcBorders>
              <w:top w:val="single" w:sz="4" w:space="0" w:color="auto"/>
              <w:left w:val="nil"/>
              <w:bottom w:val="nil"/>
              <w:right w:val="nil"/>
            </w:tcBorders>
            <w:shd w:val="clear" w:color="000000" w:fill="4D446C"/>
            <w:noWrap/>
            <w:vAlign w:val="center"/>
            <w:hideMark/>
          </w:tcPr>
          <w:p w14:paraId="035A0042" w14:textId="77777777" w:rsidR="00371E40" w:rsidRPr="006C7B74" w:rsidRDefault="00371E40" w:rsidP="00683949">
            <w:pPr>
              <w:pStyle w:val="TableHeaderRow"/>
              <w:jc w:val="center"/>
            </w:pPr>
            <w:r w:rsidRPr="006C7B74">
              <w:t>2,000 to 9,999 (m</w:t>
            </w:r>
            <w:r w:rsidRPr="006C7B74">
              <w:rPr>
                <w:vertAlign w:val="superscript"/>
              </w:rPr>
              <w:t>2</w:t>
            </w:r>
            <w:r w:rsidRPr="006C7B74">
              <w:t>)</w:t>
            </w:r>
          </w:p>
        </w:tc>
        <w:tc>
          <w:tcPr>
            <w:tcW w:w="954" w:type="pct"/>
            <w:gridSpan w:val="4"/>
            <w:tcBorders>
              <w:top w:val="single" w:sz="4" w:space="0" w:color="auto"/>
              <w:left w:val="nil"/>
              <w:bottom w:val="nil"/>
              <w:right w:val="nil"/>
            </w:tcBorders>
            <w:shd w:val="clear" w:color="000000" w:fill="4D446C"/>
            <w:noWrap/>
            <w:vAlign w:val="center"/>
            <w:hideMark/>
          </w:tcPr>
          <w:p w14:paraId="2EC884A6" w14:textId="77777777" w:rsidR="00371E40" w:rsidRPr="006C7B74" w:rsidRDefault="00371E40" w:rsidP="00683949">
            <w:pPr>
              <w:pStyle w:val="TableHeaderRow"/>
              <w:jc w:val="center"/>
            </w:pPr>
            <w:r w:rsidRPr="006C7B74">
              <w:t>10,000 to 49,999 (m</w:t>
            </w:r>
            <w:r w:rsidRPr="006C7B74">
              <w:rPr>
                <w:vertAlign w:val="superscript"/>
              </w:rPr>
              <w:t>2</w:t>
            </w:r>
            <w:r w:rsidRPr="006C7B74">
              <w:t>)</w:t>
            </w:r>
          </w:p>
        </w:tc>
        <w:tc>
          <w:tcPr>
            <w:tcW w:w="704" w:type="pct"/>
            <w:gridSpan w:val="2"/>
            <w:tcBorders>
              <w:top w:val="single" w:sz="4" w:space="0" w:color="auto"/>
              <w:left w:val="nil"/>
              <w:bottom w:val="nil"/>
              <w:right w:val="nil"/>
            </w:tcBorders>
            <w:shd w:val="clear" w:color="000000" w:fill="4D446C"/>
            <w:noWrap/>
            <w:vAlign w:val="center"/>
            <w:hideMark/>
          </w:tcPr>
          <w:p w14:paraId="5D958F46" w14:textId="77777777" w:rsidR="00371E40" w:rsidRPr="006C7B74" w:rsidRDefault="00371E40" w:rsidP="00683949">
            <w:pPr>
              <w:pStyle w:val="TableHeaderRow"/>
              <w:jc w:val="center"/>
            </w:pPr>
            <w:r w:rsidRPr="006C7B74">
              <w:t>50,000 to 99,999 (m</w:t>
            </w:r>
            <w:r w:rsidRPr="006C7B74">
              <w:rPr>
                <w:vertAlign w:val="superscript"/>
              </w:rPr>
              <w:t>2</w:t>
            </w:r>
            <w:r w:rsidRPr="006C7B74">
              <w:t>)</w:t>
            </w:r>
          </w:p>
        </w:tc>
        <w:tc>
          <w:tcPr>
            <w:tcW w:w="1071" w:type="pct"/>
            <w:gridSpan w:val="3"/>
            <w:tcBorders>
              <w:top w:val="single" w:sz="4" w:space="0" w:color="auto"/>
              <w:left w:val="nil"/>
              <w:bottom w:val="nil"/>
              <w:right w:val="nil"/>
            </w:tcBorders>
            <w:shd w:val="clear" w:color="000000" w:fill="4D446C"/>
            <w:noWrap/>
            <w:vAlign w:val="center"/>
            <w:hideMark/>
          </w:tcPr>
          <w:p w14:paraId="4DA64865" w14:textId="77777777" w:rsidR="00371E40" w:rsidRPr="006C7B74" w:rsidRDefault="00371E40" w:rsidP="00683949">
            <w:pPr>
              <w:pStyle w:val="TableHeaderRow"/>
              <w:jc w:val="center"/>
            </w:pPr>
            <w:r w:rsidRPr="006C7B74">
              <w:t>Greater than 100,000 (m</w:t>
            </w:r>
            <w:r w:rsidRPr="006C7B74">
              <w:rPr>
                <w:vertAlign w:val="superscript"/>
              </w:rPr>
              <w:t>2</w:t>
            </w:r>
            <w:r w:rsidRPr="006C7B74">
              <w:t>)</w:t>
            </w:r>
          </w:p>
        </w:tc>
      </w:tr>
      <w:tr w:rsidR="00EF7313" w:rsidRPr="006C7B74" w14:paraId="4509E55A" w14:textId="77777777" w:rsidTr="006C7B74">
        <w:trPr>
          <w:trHeight w:val="386"/>
        </w:trPr>
        <w:tc>
          <w:tcPr>
            <w:tcW w:w="550" w:type="pct"/>
            <w:tcBorders>
              <w:top w:val="nil"/>
              <w:left w:val="nil"/>
              <w:bottom w:val="single" w:sz="8" w:space="0" w:color="44546A"/>
              <w:right w:val="nil"/>
            </w:tcBorders>
            <w:shd w:val="clear" w:color="auto" w:fill="auto"/>
            <w:vAlign w:val="center"/>
            <w:hideMark/>
          </w:tcPr>
          <w:p w14:paraId="0FD476C9" w14:textId="77777777" w:rsidR="00371E40" w:rsidRPr="006C7B74" w:rsidRDefault="00371E40" w:rsidP="00371E40">
            <w:pPr>
              <w:rPr>
                <w:rFonts w:cstheme="minorHAnsi"/>
                <w:b/>
                <w:bCs/>
                <w:color w:val="000000"/>
                <w:sz w:val="15"/>
                <w:szCs w:val="15"/>
                <w:lang w:eastAsia="en-AU"/>
              </w:rPr>
            </w:pPr>
            <w:r w:rsidRPr="006C7B74">
              <w:rPr>
                <w:rFonts w:cstheme="minorHAnsi"/>
                <w:b/>
                <w:bCs/>
                <w:color w:val="000000"/>
                <w:sz w:val="15"/>
                <w:szCs w:val="15"/>
                <w:lang w:eastAsia="en-AU"/>
              </w:rPr>
              <w:t> </w:t>
            </w:r>
          </w:p>
        </w:tc>
        <w:tc>
          <w:tcPr>
            <w:tcW w:w="392" w:type="pct"/>
            <w:gridSpan w:val="2"/>
            <w:tcBorders>
              <w:top w:val="nil"/>
              <w:left w:val="nil"/>
              <w:bottom w:val="single" w:sz="8" w:space="0" w:color="44546A"/>
              <w:right w:val="nil"/>
            </w:tcBorders>
            <w:shd w:val="clear" w:color="auto" w:fill="auto"/>
            <w:vAlign w:val="center"/>
            <w:hideMark/>
          </w:tcPr>
          <w:p w14:paraId="64DDC1E0" w14:textId="77777777" w:rsidR="00371E40" w:rsidRPr="006C7B74" w:rsidRDefault="00371E40" w:rsidP="00371E40">
            <w:pPr>
              <w:jc w:val="center"/>
              <w:rPr>
                <w:rFonts w:cstheme="minorHAnsi"/>
                <w:color w:val="000000"/>
                <w:sz w:val="15"/>
                <w:szCs w:val="15"/>
                <w:lang w:eastAsia="en-AU"/>
              </w:rPr>
            </w:pPr>
            <w:r w:rsidRPr="006C7B74">
              <w:rPr>
                <w:rFonts w:cstheme="minorHAnsi"/>
                <w:color w:val="000000"/>
                <w:sz w:val="15"/>
                <w:szCs w:val="15"/>
                <w:lang w:eastAsia="en-AU"/>
              </w:rPr>
              <w:t>No. of centres</w:t>
            </w:r>
          </w:p>
        </w:tc>
        <w:tc>
          <w:tcPr>
            <w:tcW w:w="473" w:type="pct"/>
            <w:tcBorders>
              <w:top w:val="nil"/>
              <w:left w:val="nil"/>
              <w:bottom w:val="single" w:sz="8" w:space="0" w:color="44546A"/>
              <w:right w:val="nil"/>
            </w:tcBorders>
            <w:shd w:val="clear" w:color="auto" w:fill="auto"/>
            <w:vAlign w:val="center"/>
            <w:hideMark/>
          </w:tcPr>
          <w:p w14:paraId="2A63ABCE" w14:textId="77777777" w:rsidR="00371E40" w:rsidRPr="006C7B74" w:rsidRDefault="00371E40" w:rsidP="00371E40">
            <w:pPr>
              <w:jc w:val="center"/>
              <w:rPr>
                <w:rFonts w:cstheme="minorHAnsi"/>
                <w:color w:val="000000"/>
                <w:sz w:val="15"/>
                <w:szCs w:val="15"/>
                <w:lang w:eastAsia="en-AU"/>
              </w:rPr>
            </w:pPr>
            <w:r w:rsidRPr="006C7B74">
              <w:rPr>
                <w:rFonts w:cstheme="minorHAnsi"/>
                <w:color w:val="000000"/>
                <w:sz w:val="15"/>
                <w:szCs w:val="15"/>
                <w:lang w:eastAsia="en-AU"/>
              </w:rPr>
              <w:t>Floorspace (m</w:t>
            </w:r>
            <w:r w:rsidRPr="006C7B74">
              <w:rPr>
                <w:rFonts w:cstheme="minorHAnsi"/>
                <w:color w:val="000000"/>
                <w:sz w:val="15"/>
                <w:szCs w:val="15"/>
                <w:vertAlign w:val="superscript"/>
                <w:lang w:eastAsia="en-AU"/>
              </w:rPr>
              <w:t>2</w:t>
            </w:r>
            <w:r w:rsidRPr="006C7B74">
              <w:rPr>
                <w:rFonts w:cstheme="minorHAnsi"/>
                <w:color w:val="000000"/>
                <w:sz w:val="15"/>
                <w:szCs w:val="15"/>
                <w:lang w:eastAsia="en-AU"/>
              </w:rPr>
              <w:t>)</w:t>
            </w:r>
          </w:p>
        </w:tc>
        <w:tc>
          <w:tcPr>
            <w:tcW w:w="394" w:type="pct"/>
            <w:tcBorders>
              <w:top w:val="nil"/>
              <w:left w:val="nil"/>
              <w:bottom w:val="single" w:sz="8" w:space="0" w:color="44546A"/>
              <w:right w:val="nil"/>
            </w:tcBorders>
            <w:shd w:val="clear" w:color="auto" w:fill="auto"/>
            <w:vAlign w:val="center"/>
            <w:hideMark/>
          </w:tcPr>
          <w:p w14:paraId="4CC2DA39" w14:textId="77777777" w:rsidR="00371E40" w:rsidRPr="006C7B74" w:rsidRDefault="00371E40" w:rsidP="00371E40">
            <w:pPr>
              <w:jc w:val="center"/>
              <w:rPr>
                <w:rFonts w:cstheme="minorHAnsi"/>
                <w:color w:val="000000"/>
                <w:sz w:val="15"/>
                <w:szCs w:val="15"/>
                <w:lang w:eastAsia="en-AU"/>
              </w:rPr>
            </w:pPr>
            <w:r w:rsidRPr="006C7B74">
              <w:rPr>
                <w:rFonts w:cstheme="minorHAnsi"/>
                <w:color w:val="000000"/>
                <w:sz w:val="15"/>
                <w:szCs w:val="15"/>
                <w:lang w:eastAsia="en-AU"/>
              </w:rPr>
              <w:t>No. of centres</w:t>
            </w:r>
          </w:p>
        </w:tc>
        <w:tc>
          <w:tcPr>
            <w:tcW w:w="471" w:type="pct"/>
            <w:gridSpan w:val="2"/>
            <w:tcBorders>
              <w:top w:val="nil"/>
              <w:left w:val="nil"/>
              <w:bottom w:val="single" w:sz="8" w:space="0" w:color="44546A"/>
              <w:right w:val="nil"/>
            </w:tcBorders>
            <w:shd w:val="clear" w:color="auto" w:fill="auto"/>
            <w:vAlign w:val="center"/>
            <w:hideMark/>
          </w:tcPr>
          <w:p w14:paraId="6A3A951F" w14:textId="77777777" w:rsidR="00371E40" w:rsidRPr="006C7B74" w:rsidRDefault="00371E40" w:rsidP="00371E40">
            <w:pPr>
              <w:jc w:val="center"/>
              <w:rPr>
                <w:rFonts w:cstheme="minorHAnsi"/>
                <w:color w:val="000000"/>
                <w:sz w:val="15"/>
                <w:szCs w:val="15"/>
                <w:lang w:eastAsia="en-AU"/>
              </w:rPr>
            </w:pPr>
            <w:r w:rsidRPr="006C7B74">
              <w:rPr>
                <w:rFonts w:cstheme="minorHAnsi"/>
                <w:color w:val="000000"/>
                <w:sz w:val="15"/>
                <w:szCs w:val="15"/>
                <w:lang w:eastAsia="en-AU"/>
              </w:rPr>
              <w:t>Floorspace (m</w:t>
            </w:r>
            <w:r w:rsidRPr="006C7B74">
              <w:rPr>
                <w:rFonts w:cstheme="minorHAnsi"/>
                <w:color w:val="000000"/>
                <w:sz w:val="15"/>
                <w:szCs w:val="15"/>
                <w:vertAlign w:val="superscript"/>
                <w:lang w:eastAsia="en-AU"/>
              </w:rPr>
              <w:t>2</w:t>
            </w:r>
            <w:r w:rsidRPr="006C7B74">
              <w:rPr>
                <w:rFonts w:cstheme="minorHAnsi"/>
                <w:color w:val="000000"/>
                <w:sz w:val="15"/>
                <w:szCs w:val="15"/>
                <w:lang w:eastAsia="en-AU"/>
              </w:rPr>
              <w:t>)</w:t>
            </w:r>
          </w:p>
        </w:tc>
        <w:tc>
          <w:tcPr>
            <w:tcW w:w="393" w:type="pct"/>
            <w:tcBorders>
              <w:top w:val="nil"/>
              <w:left w:val="nil"/>
              <w:bottom w:val="single" w:sz="8" w:space="0" w:color="44546A"/>
              <w:right w:val="nil"/>
            </w:tcBorders>
            <w:shd w:val="clear" w:color="auto" w:fill="auto"/>
            <w:vAlign w:val="center"/>
            <w:hideMark/>
          </w:tcPr>
          <w:p w14:paraId="6477ACFD" w14:textId="77777777" w:rsidR="00371E40" w:rsidRPr="006C7B74" w:rsidRDefault="00371E40" w:rsidP="00371E40">
            <w:pPr>
              <w:jc w:val="center"/>
              <w:rPr>
                <w:rFonts w:cstheme="minorHAnsi"/>
                <w:color w:val="000000"/>
                <w:sz w:val="15"/>
                <w:szCs w:val="15"/>
                <w:lang w:eastAsia="en-AU"/>
              </w:rPr>
            </w:pPr>
            <w:r w:rsidRPr="006C7B74">
              <w:rPr>
                <w:rFonts w:cstheme="minorHAnsi"/>
                <w:color w:val="000000"/>
                <w:sz w:val="15"/>
                <w:szCs w:val="15"/>
                <w:lang w:eastAsia="en-AU"/>
              </w:rPr>
              <w:t>No. of centres</w:t>
            </w:r>
          </w:p>
        </w:tc>
        <w:tc>
          <w:tcPr>
            <w:tcW w:w="471" w:type="pct"/>
            <w:tcBorders>
              <w:top w:val="nil"/>
              <w:left w:val="nil"/>
              <w:bottom w:val="single" w:sz="8" w:space="0" w:color="44546A"/>
              <w:right w:val="nil"/>
            </w:tcBorders>
            <w:shd w:val="clear" w:color="auto" w:fill="auto"/>
            <w:vAlign w:val="center"/>
            <w:hideMark/>
          </w:tcPr>
          <w:p w14:paraId="5E3440DF" w14:textId="77777777" w:rsidR="00371E40" w:rsidRPr="006C7B74" w:rsidRDefault="00371E40" w:rsidP="00371E40">
            <w:pPr>
              <w:jc w:val="center"/>
              <w:rPr>
                <w:rFonts w:cstheme="minorHAnsi"/>
                <w:color w:val="000000"/>
                <w:sz w:val="15"/>
                <w:szCs w:val="15"/>
                <w:lang w:eastAsia="en-AU"/>
              </w:rPr>
            </w:pPr>
            <w:r w:rsidRPr="006C7B74">
              <w:rPr>
                <w:rFonts w:cstheme="minorHAnsi"/>
                <w:color w:val="000000"/>
                <w:sz w:val="15"/>
                <w:szCs w:val="15"/>
                <w:lang w:eastAsia="en-AU"/>
              </w:rPr>
              <w:t>Floorspace (m</w:t>
            </w:r>
            <w:r w:rsidRPr="006C7B74">
              <w:rPr>
                <w:rFonts w:cstheme="minorHAnsi"/>
                <w:color w:val="000000"/>
                <w:sz w:val="15"/>
                <w:szCs w:val="15"/>
                <w:vertAlign w:val="superscript"/>
                <w:lang w:eastAsia="en-AU"/>
              </w:rPr>
              <w:t>2</w:t>
            </w:r>
            <w:r w:rsidRPr="006C7B74">
              <w:rPr>
                <w:rFonts w:cstheme="minorHAnsi"/>
                <w:color w:val="000000"/>
                <w:sz w:val="15"/>
                <w:szCs w:val="15"/>
                <w:lang w:eastAsia="en-AU"/>
              </w:rPr>
              <w:t>)</w:t>
            </w:r>
          </w:p>
        </w:tc>
        <w:tc>
          <w:tcPr>
            <w:tcW w:w="394" w:type="pct"/>
            <w:gridSpan w:val="2"/>
            <w:tcBorders>
              <w:top w:val="nil"/>
              <w:left w:val="nil"/>
              <w:bottom w:val="single" w:sz="8" w:space="0" w:color="44546A"/>
              <w:right w:val="nil"/>
            </w:tcBorders>
            <w:shd w:val="clear" w:color="auto" w:fill="auto"/>
            <w:vAlign w:val="center"/>
            <w:hideMark/>
          </w:tcPr>
          <w:p w14:paraId="15A9987C" w14:textId="77777777" w:rsidR="00371E40" w:rsidRPr="006C7B74" w:rsidRDefault="00371E40" w:rsidP="00371E40">
            <w:pPr>
              <w:jc w:val="center"/>
              <w:rPr>
                <w:rFonts w:cstheme="minorHAnsi"/>
                <w:color w:val="000000"/>
                <w:sz w:val="15"/>
                <w:szCs w:val="15"/>
                <w:lang w:eastAsia="en-AU"/>
              </w:rPr>
            </w:pPr>
            <w:r w:rsidRPr="006C7B74">
              <w:rPr>
                <w:rFonts w:cstheme="minorHAnsi"/>
                <w:color w:val="000000"/>
                <w:sz w:val="15"/>
                <w:szCs w:val="15"/>
                <w:lang w:eastAsia="en-AU"/>
              </w:rPr>
              <w:t>No. of centres</w:t>
            </w:r>
          </w:p>
        </w:tc>
        <w:tc>
          <w:tcPr>
            <w:tcW w:w="472" w:type="pct"/>
            <w:gridSpan w:val="2"/>
            <w:tcBorders>
              <w:top w:val="nil"/>
              <w:left w:val="nil"/>
              <w:bottom w:val="single" w:sz="8" w:space="0" w:color="44546A"/>
              <w:right w:val="nil"/>
            </w:tcBorders>
            <w:shd w:val="clear" w:color="auto" w:fill="auto"/>
            <w:vAlign w:val="center"/>
            <w:hideMark/>
          </w:tcPr>
          <w:p w14:paraId="264B8EFC" w14:textId="77777777" w:rsidR="00371E40" w:rsidRPr="006C7B74" w:rsidRDefault="00371E40" w:rsidP="00371E40">
            <w:pPr>
              <w:jc w:val="center"/>
              <w:rPr>
                <w:rFonts w:cstheme="minorHAnsi"/>
                <w:color w:val="000000"/>
                <w:sz w:val="15"/>
                <w:szCs w:val="15"/>
                <w:lang w:eastAsia="en-AU"/>
              </w:rPr>
            </w:pPr>
            <w:r w:rsidRPr="006C7B74">
              <w:rPr>
                <w:rFonts w:cstheme="minorHAnsi"/>
                <w:color w:val="000000"/>
                <w:sz w:val="15"/>
                <w:szCs w:val="15"/>
                <w:lang w:eastAsia="en-AU"/>
              </w:rPr>
              <w:t>Floorspace (m</w:t>
            </w:r>
            <w:r w:rsidRPr="006C7B74">
              <w:rPr>
                <w:rFonts w:cstheme="minorHAnsi"/>
                <w:color w:val="000000"/>
                <w:sz w:val="15"/>
                <w:szCs w:val="15"/>
                <w:vertAlign w:val="superscript"/>
                <w:lang w:eastAsia="en-AU"/>
              </w:rPr>
              <w:t>2</w:t>
            </w:r>
            <w:r w:rsidRPr="006C7B74">
              <w:rPr>
                <w:rFonts w:cstheme="minorHAnsi"/>
                <w:color w:val="000000"/>
                <w:sz w:val="15"/>
                <w:szCs w:val="15"/>
                <w:lang w:eastAsia="en-AU"/>
              </w:rPr>
              <w:t>)</w:t>
            </w:r>
          </w:p>
        </w:tc>
        <w:tc>
          <w:tcPr>
            <w:tcW w:w="392" w:type="pct"/>
            <w:tcBorders>
              <w:top w:val="nil"/>
              <w:left w:val="nil"/>
              <w:bottom w:val="single" w:sz="8" w:space="0" w:color="44546A"/>
              <w:right w:val="nil"/>
            </w:tcBorders>
            <w:shd w:val="clear" w:color="auto" w:fill="auto"/>
            <w:vAlign w:val="center"/>
            <w:hideMark/>
          </w:tcPr>
          <w:p w14:paraId="3BB92D64" w14:textId="77777777" w:rsidR="00371E40" w:rsidRPr="006C7B74" w:rsidRDefault="00371E40" w:rsidP="00371E40">
            <w:pPr>
              <w:jc w:val="center"/>
              <w:rPr>
                <w:rFonts w:cstheme="minorHAnsi"/>
                <w:color w:val="000000"/>
                <w:sz w:val="15"/>
                <w:szCs w:val="15"/>
                <w:lang w:eastAsia="en-AU"/>
              </w:rPr>
            </w:pPr>
            <w:r w:rsidRPr="006C7B74">
              <w:rPr>
                <w:rFonts w:cstheme="minorHAnsi"/>
                <w:color w:val="000000"/>
                <w:sz w:val="15"/>
                <w:szCs w:val="15"/>
                <w:lang w:eastAsia="en-AU"/>
              </w:rPr>
              <w:t>No. of centres</w:t>
            </w:r>
          </w:p>
        </w:tc>
        <w:tc>
          <w:tcPr>
            <w:tcW w:w="597" w:type="pct"/>
            <w:tcBorders>
              <w:top w:val="nil"/>
              <w:left w:val="nil"/>
              <w:bottom w:val="single" w:sz="8" w:space="0" w:color="44546A"/>
              <w:right w:val="nil"/>
            </w:tcBorders>
            <w:shd w:val="clear" w:color="auto" w:fill="auto"/>
            <w:vAlign w:val="center"/>
            <w:hideMark/>
          </w:tcPr>
          <w:p w14:paraId="4A0F38FC" w14:textId="77777777" w:rsidR="00371E40" w:rsidRPr="006C7B74" w:rsidRDefault="00371E40" w:rsidP="00371E40">
            <w:pPr>
              <w:jc w:val="center"/>
              <w:rPr>
                <w:rFonts w:cstheme="minorHAnsi"/>
                <w:color w:val="000000"/>
                <w:sz w:val="15"/>
                <w:szCs w:val="15"/>
                <w:lang w:eastAsia="en-AU"/>
              </w:rPr>
            </w:pPr>
            <w:r w:rsidRPr="006C7B74">
              <w:rPr>
                <w:rFonts w:cstheme="minorHAnsi"/>
                <w:color w:val="000000"/>
                <w:sz w:val="15"/>
                <w:szCs w:val="15"/>
                <w:lang w:eastAsia="en-AU"/>
              </w:rPr>
              <w:t>Floorspace (m</w:t>
            </w:r>
            <w:r w:rsidRPr="006C7B74">
              <w:rPr>
                <w:rFonts w:cstheme="minorHAnsi"/>
                <w:color w:val="000000"/>
                <w:sz w:val="15"/>
                <w:szCs w:val="15"/>
                <w:vertAlign w:val="superscript"/>
                <w:lang w:eastAsia="en-AU"/>
              </w:rPr>
              <w:t>2</w:t>
            </w:r>
            <w:r w:rsidRPr="006C7B74">
              <w:rPr>
                <w:rFonts w:cstheme="minorHAnsi"/>
                <w:color w:val="000000"/>
                <w:sz w:val="15"/>
                <w:szCs w:val="15"/>
                <w:lang w:eastAsia="en-AU"/>
              </w:rPr>
              <w:t>)</w:t>
            </w:r>
          </w:p>
        </w:tc>
      </w:tr>
      <w:tr w:rsidR="00EF7313" w:rsidRPr="006C7B74" w14:paraId="56A6B6C9" w14:textId="77777777" w:rsidTr="006C7B74">
        <w:trPr>
          <w:trHeight w:val="240"/>
        </w:trPr>
        <w:tc>
          <w:tcPr>
            <w:tcW w:w="550" w:type="pct"/>
            <w:tcBorders>
              <w:top w:val="nil"/>
              <w:left w:val="nil"/>
              <w:bottom w:val="single" w:sz="8" w:space="0" w:color="44546A"/>
              <w:right w:val="nil"/>
            </w:tcBorders>
            <w:shd w:val="clear" w:color="auto" w:fill="auto"/>
            <w:vAlign w:val="center"/>
            <w:hideMark/>
          </w:tcPr>
          <w:p w14:paraId="27B08450" w14:textId="77777777" w:rsidR="004F652B" w:rsidRPr="006C7B74" w:rsidRDefault="004F652B" w:rsidP="004F652B">
            <w:pPr>
              <w:rPr>
                <w:rFonts w:cstheme="minorHAnsi"/>
                <w:color w:val="000000"/>
                <w:sz w:val="15"/>
                <w:szCs w:val="15"/>
                <w:lang w:eastAsia="en-AU"/>
              </w:rPr>
            </w:pPr>
            <w:r w:rsidRPr="006C7B74">
              <w:rPr>
                <w:rFonts w:cstheme="minorHAnsi"/>
                <w:color w:val="000000"/>
                <w:sz w:val="15"/>
                <w:szCs w:val="15"/>
                <w:lang w:eastAsia="en-AU"/>
              </w:rPr>
              <w:t>Melbourne</w:t>
            </w:r>
          </w:p>
        </w:tc>
        <w:tc>
          <w:tcPr>
            <w:tcW w:w="392" w:type="pct"/>
            <w:gridSpan w:val="2"/>
            <w:tcBorders>
              <w:top w:val="nil"/>
              <w:left w:val="nil"/>
              <w:bottom w:val="single" w:sz="8" w:space="0" w:color="44546A"/>
              <w:right w:val="nil"/>
            </w:tcBorders>
            <w:shd w:val="clear" w:color="auto" w:fill="auto"/>
            <w:hideMark/>
          </w:tcPr>
          <w:p w14:paraId="39D0CA01" w14:textId="799B3175" w:rsidR="004F652B" w:rsidRPr="006C7B74" w:rsidRDefault="004F652B" w:rsidP="004F652B">
            <w:pPr>
              <w:jc w:val="center"/>
              <w:rPr>
                <w:rFonts w:cstheme="minorHAnsi"/>
                <w:color w:val="000000"/>
                <w:sz w:val="18"/>
                <w:szCs w:val="18"/>
                <w:lang w:eastAsia="en-AU"/>
              </w:rPr>
            </w:pPr>
            <w:r w:rsidRPr="006C7B74">
              <w:rPr>
                <w:sz w:val="18"/>
                <w:szCs w:val="18"/>
              </w:rPr>
              <w:t>2</w:t>
            </w:r>
          </w:p>
        </w:tc>
        <w:tc>
          <w:tcPr>
            <w:tcW w:w="473" w:type="pct"/>
            <w:tcBorders>
              <w:top w:val="nil"/>
              <w:left w:val="nil"/>
              <w:bottom w:val="single" w:sz="8" w:space="0" w:color="44546A"/>
              <w:right w:val="nil"/>
            </w:tcBorders>
            <w:shd w:val="clear" w:color="auto" w:fill="auto"/>
            <w:hideMark/>
          </w:tcPr>
          <w:p w14:paraId="19E25325" w14:textId="51C54E70" w:rsidR="004F652B" w:rsidRPr="006C7B74" w:rsidRDefault="004F652B" w:rsidP="004F652B">
            <w:pPr>
              <w:jc w:val="center"/>
              <w:rPr>
                <w:rFonts w:cstheme="minorHAnsi"/>
                <w:color w:val="000000"/>
                <w:sz w:val="18"/>
                <w:szCs w:val="18"/>
                <w:lang w:eastAsia="en-AU"/>
              </w:rPr>
            </w:pPr>
            <w:r w:rsidRPr="006C7B74">
              <w:rPr>
                <w:sz w:val="18"/>
                <w:szCs w:val="18"/>
              </w:rPr>
              <w:t>3,300</w:t>
            </w:r>
          </w:p>
        </w:tc>
        <w:tc>
          <w:tcPr>
            <w:tcW w:w="394" w:type="pct"/>
            <w:tcBorders>
              <w:top w:val="nil"/>
              <w:left w:val="nil"/>
              <w:bottom w:val="single" w:sz="8" w:space="0" w:color="44546A"/>
              <w:right w:val="nil"/>
            </w:tcBorders>
            <w:shd w:val="clear" w:color="auto" w:fill="auto"/>
            <w:hideMark/>
          </w:tcPr>
          <w:p w14:paraId="1A9C708F" w14:textId="195EFF1F" w:rsidR="004F652B" w:rsidRPr="006C7B74" w:rsidRDefault="004F652B" w:rsidP="004F652B">
            <w:pPr>
              <w:jc w:val="center"/>
              <w:rPr>
                <w:rFonts w:cstheme="minorHAnsi"/>
                <w:color w:val="000000"/>
                <w:sz w:val="18"/>
                <w:szCs w:val="18"/>
                <w:lang w:eastAsia="en-AU"/>
              </w:rPr>
            </w:pPr>
            <w:r w:rsidRPr="006C7B74">
              <w:rPr>
                <w:sz w:val="18"/>
                <w:szCs w:val="18"/>
              </w:rPr>
              <w:t>4</w:t>
            </w:r>
          </w:p>
        </w:tc>
        <w:tc>
          <w:tcPr>
            <w:tcW w:w="471" w:type="pct"/>
            <w:gridSpan w:val="2"/>
            <w:tcBorders>
              <w:top w:val="nil"/>
              <w:left w:val="nil"/>
              <w:bottom w:val="single" w:sz="8" w:space="0" w:color="44546A"/>
              <w:right w:val="nil"/>
            </w:tcBorders>
            <w:shd w:val="clear" w:color="auto" w:fill="auto"/>
            <w:hideMark/>
          </w:tcPr>
          <w:p w14:paraId="7E96E7AD" w14:textId="6C6E1955" w:rsidR="004F652B" w:rsidRPr="006C7B74" w:rsidRDefault="004F652B" w:rsidP="004F652B">
            <w:pPr>
              <w:jc w:val="center"/>
              <w:rPr>
                <w:rFonts w:cstheme="minorHAnsi"/>
                <w:color w:val="000000"/>
                <w:sz w:val="18"/>
                <w:szCs w:val="18"/>
                <w:lang w:eastAsia="en-AU"/>
              </w:rPr>
            </w:pPr>
            <w:r w:rsidRPr="006C7B74">
              <w:rPr>
                <w:sz w:val="18"/>
                <w:szCs w:val="18"/>
              </w:rPr>
              <w:t>20,500</w:t>
            </w:r>
          </w:p>
        </w:tc>
        <w:tc>
          <w:tcPr>
            <w:tcW w:w="393" w:type="pct"/>
            <w:tcBorders>
              <w:top w:val="nil"/>
              <w:left w:val="nil"/>
              <w:bottom w:val="single" w:sz="8" w:space="0" w:color="44546A"/>
              <w:right w:val="nil"/>
            </w:tcBorders>
            <w:shd w:val="clear" w:color="auto" w:fill="auto"/>
            <w:hideMark/>
          </w:tcPr>
          <w:p w14:paraId="7E42CDDB" w14:textId="56CEC03F" w:rsidR="004F652B" w:rsidRPr="006C7B74" w:rsidRDefault="004F652B" w:rsidP="004F652B">
            <w:pPr>
              <w:jc w:val="center"/>
              <w:rPr>
                <w:rFonts w:cstheme="minorHAnsi"/>
                <w:color w:val="000000"/>
                <w:sz w:val="18"/>
                <w:szCs w:val="18"/>
                <w:lang w:eastAsia="en-AU"/>
              </w:rPr>
            </w:pPr>
            <w:r w:rsidRPr="006C7B74">
              <w:rPr>
                <w:sz w:val="18"/>
                <w:szCs w:val="18"/>
              </w:rPr>
              <w:t>7</w:t>
            </w:r>
          </w:p>
        </w:tc>
        <w:tc>
          <w:tcPr>
            <w:tcW w:w="471" w:type="pct"/>
            <w:tcBorders>
              <w:top w:val="nil"/>
              <w:left w:val="nil"/>
              <w:bottom w:val="single" w:sz="8" w:space="0" w:color="44546A"/>
              <w:right w:val="nil"/>
            </w:tcBorders>
            <w:shd w:val="clear" w:color="auto" w:fill="auto"/>
            <w:hideMark/>
          </w:tcPr>
          <w:p w14:paraId="63E04E0E" w14:textId="54B22027" w:rsidR="004F652B" w:rsidRPr="006C7B74" w:rsidRDefault="004F652B" w:rsidP="004F652B">
            <w:pPr>
              <w:jc w:val="center"/>
              <w:rPr>
                <w:rFonts w:cstheme="minorHAnsi"/>
                <w:color w:val="000000"/>
                <w:sz w:val="18"/>
                <w:szCs w:val="18"/>
                <w:lang w:eastAsia="en-AU"/>
              </w:rPr>
            </w:pPr>
            <w:r w:rsidRPr="006C7B74">
              <w:rPr>
                <w:sz w:val="18"/>
                <w:szCs w:val="18"/>
              </w:rPr>
              <w:t>177,100</w:t>
            </w:r>
          </w:p>
        </w:tc>
        <w:tc>
          <w:tcPr>
            <w:tcW w:w="394" w:type="pct"/>
            <w:gridSpan w:val="2"/>
            <w:tcBorders>
              <w:top w:val="nil"/>
              <w:left w:val="nil"/>
              <w:bottom w:val="single" w:sz="8" w:space="0" w:color="44546A"/>
              <w:right w:val="nil"/>
            </w:tcBorders>
            <w:shd w:val="clear" w:color="auto" w:fill="auto"/>
            <w:hideMark/>
          </w:tcPr>
          <w:p w14:paraId="2F1F66E6" w14:textId="50886E41" w:rsidR="004F652B" w:rsidRPr="006C7B74" w:rsidRDefault="004F652B" w:rsidP="004F652B">
            <w:pPr>
              <w:jc w:val="center"/>
              <w:rPr>
                <w:rFonts w:cstheme="minorHAnsi"/>
                <w:color w:val="000000"/>
                <w:sz w:val="18"/>
                <w:szCs w:val="18"/>
                <w:lang w:eastAsia="en-AU"/>
              </w:rPr>
            </w:pPr>
            <w:r w:rsidRPr="006C7B74">
              <w:rPr>
                <w:sz w:val="18"/>
                <w:szCs w:val="18"/>
              </w:rPr>
              <w:t>0</w:t>
            </w:r>
          </w:p>
        </w:tc>
        <w:tc>
          <w:tcPr>
            <w:tcW w:w="472" w:type="pct"/>
            <w:gridSpan w:val="2"/>
            <w:tcBorders>
              <w:top w:val="nil"/>
              <w:left w:val="nil"/>
              <w:bottom w:val="single" w:sz="8" w:space="0" w:color="44546A"/>
              <w:right w:val="nil"/>
            </w:tcBorders>
            <w:shd w:val="clear" w:color="auto" w:fill="auto"/>
            <w:hideMark/>
          </w:tcPr>
          <w:p w14:paraId="62BB4A0A" w14:textId="1CFA97A5" w:rsidR="004F652B" w:rsidRPr="006C7B74" w:rsidRDefault="004F652B" w:rsidP="004F652B">
            <w:pPr>
              <w:jc w:val="center"/>
              <w:rPr>
                <w:rFonts w:cstheme="minorHAnsi"/>
                <w:color w:val="000000"/>
                <w:sz w:val="18"/>
                <w:szCs w:val="18"/>
                <w:lang w:eastAsia="en-AU"/>
              </w:rPr>
            </w:pPr>
            <w:r w:rsidRPr="006C7B74">
              <w:rPr>
                <w:sz w:val="18"/>
                <w:szCs w:val="18"/>
              </w:rPr>
              <w:t>0</w:t>
            </w:r>
          </w:p>
        </w:tc>
        <w:tc>
          <w:tcPr>
            <w:tcW w:w="392" w:type="pct"/>
            <w:tcBorders>
              <w:top w:val="nil"/>
              <w:left w:val="nil"/>
              <w:bottom w:val="single" w:sz="8" w:space="0" w:color="44546A"/>
              <w:right w:val="nil"/>
            </w:tcBorders>
            <w:shd w:val="clear" w:color="auto" w:fill="auto"/>
            <w:hideMark/>
          </w:tcPr>
          <w:p w14:paraId="46143C39" w14:textId="54985B39" w:rsidR="004F652B" w:rsidRPr="006C7B74" w:rsidRDefault="004F652B" w:rsidP="004F652B">
            <w:pPr>
              <w:jc w:val="center"/>
              <w:rPr>
                <w:rFonts w:cstheme="minorHAnsi"/>
                <w:color w:val="000000"/>
                <w:sz w:val="18"/>
                <w:szCs w:val="18"/>
                <w:lang w:eastAsia="en-AU"/>
              </w:rPr>
            </w:pPr>
            <w:r w:rsidRPr="006C7B74">
              <w:rPr>
                <w:sz w:val="18"/>
                <w:szCs w:val="18"/>
              </w:rPr>
              <w:t>7</w:t>
            </w:r>
          </w:p>
        </w:tc>
        <w:tc>
          <w:tcPr>
            <w:tcW w:w="597" w:type="pct"/>
            <w:tcBorders>
              <w:top w:val="nil"/>
              <w:left w:val="nil"/>
              <w:bottom w:val="single" w:sz="8" w:space="0" w:color="44546A"/>
              <w:right w:val="nil"/>
            </w:tcBorders>
            <w:shd w:val="clear" w:color="auto" w:fill="auto"/>
            <w:hideMark/>
          </w:tcPr>
          <w:p w14:paraId="11572157" w14:textId="73F08214" w:rsidR="004F652B" w:rsidRPr="006C7B74" w:rsidRDefault="004F652B" w:rsidP="004F652B">
            <w:pPr>
              <w:jc w:val="center"/>
              <w:rPr>
                <w:rFonts w:cstheme="minorHAnsi"/>
                <w:color w:val="000000"/>
                <w:sz w:val="18"/>
                <w:szCs w:val="18"/>
                <w:lang w:eastAsia="en-AU"/>
              </w:rPr>
            </w:pPr>
            <w:r w:rsidRPr="006C7B74">
              <w:rPr>
                <w:sz w:val="18"/>
                <w:szCs w:val="18"/>
              </w:rPr>
              <w:t>7,011,600</w:t>
            </w:r>
          </w:p>
        </w:tc>
      </w:tr>
      <w:tr w:rsidR="00EF7313" w:rsidRPr="006C7B74" w14:paraId="72751AD5" w14:textId="77777777" w:rsidTr="006C7B74">
        <w:trPr>
          <w:trHeight w:val="240"/>
        </w:trPr>
        <w:tc>
          <w:tcPr>
            <w:tcW w:w="550" w:type="pct"/>
            <w:tcBorders>
              <w:top w:val="nil"/>
              <w:left w:val="nil"/>
              <w:bottom w:val="single" w:sz="8" w:space="0" w:color="44546A"/>
              <w:right w:val="nil"/>
            </w:tcBorders>
            <w:shd w:val="clear" w:color="auto" w:fill="auto"/>
            <w:vAlign w:val="center"/>
            <w:hideMark/>
          </w:tcPr>
          <w:p w14:paraId="54BF0EFD" w14:textId="77777777" w:rsidR="004F652B" w:rsidRPr="006C7B74" w:rsidRDefault="004F652B" w:rsidP="004F652B">
            <w:pPr>
              <w:rPr>
                <w:rFonts w:cstheme="minorHAnsi"/>
                <w:color w:val="000000"/>
                <w:sz w:val="15"/>
                <w:szCs w:val="15"/>
                <w:lang w:eastAsia="en-AU"/>
              </w:rPr>
            </w:pPr>
            <w:r w:rsidRPr="006C7B74">
              <w:rPr>
                <w:rFonts w:cstheme="minorHAnsi"/>
                <w:color w:val="000000"/>
                <w:sz w:val="15"/>
                <w:szCs w:val="15"/>
                <w:lang w:eastAsia="en-AU"/>
              </w:rPr>
              <w:t>Port Phillip</w:t>
            </w:r>
          </w:p>
        </w:tc>
        <w:tc>
          <w:tcPr>
            <w:tcW w:w="392" w:type="pct"/>
            <w:gridSpan w:val="2"/>
            <w:tcBorders>
              <w:top w:val="nil"/>
              <w:left w:val="nil"/>
              <w:bottom w:val="single" w:sz="8" w:space="0" w:color="44546A"/>
              <w:right w:val="nil"/>
            </w:tcBorders>
            <w:shd w:val="clear" w:color="auto" w:fill="auto"/>
            <w:hideMark/>
          </w:tcPr>
          <w:p w14:paraId="40AEF52C" w14:textId="6CBB3A71" w:rsidR="004F652B" w:rsidRPr="006C7B74" w:rsidRDefault="004F652B" w:rsidP="004F652B">
            <w:pPr>
              <w:jc w:val="center"/>
              <w:rPr>
                <w:rFonts w:cstheme="minorHAnsi"/>
                <w:color w:val="000000"/>
                <w:sz w:val="18"/>
                <w:szCs w:val="18"/>
                <w:lang w:eastAsia="en-AU"/>
              </w:rPr>
            </w:pPr>
            <w:r w:rsidRPr="006C7B74">
              <w:rPr>
                <w:sz w:val="18"/>
                <w:szCs w:val="18"/>
              </w:rPr>
              <w:t>4</w:t>
            </w:r>
          </w:p>
        </w:tc>
        <w:tc>
          <w:tcPr>
            <w:tcW w:w="473" w:type="pct"/>
            <w:tcBorders>
              <w:top w:val="nil"/>
              <w:left w:val="nil"/>
              <w:bottom w:val="single" w:sz="8" w:space="0" w:color="44546A"/>
              <w:right w:val="nil"/>
            </w:tcBorders>
            <w:shd w:val="clear" w:color="auto" w:fill="auto"/>
            <w:hideMark/>
          </w:tcPr>
          <w:p w14:paraId="13007D17" w14:textId="65BDE095" w:rsidR="004F652B" w:rsidRPr="006C7B74" w:rsidRDefault="004F652B" w:rsidP="004F652B">
            <w:pPr>
              <w:jc w:val="center"/>
              <w:rPr>
                <w:rFonts w:cstheme="minorHAnsi"/>
                <w:color w:val="000000"/>
                <w:sz w:val="18"/>
                <w:szCs w:val="18"/>
                <w:lang w:eastAsia="en-AU"/>
              </w:rPr>
            </w:pPr>
            <w:r w:rsidRPr="006C7B74">
              <w:rPr>
                <w:sz w:val="18"/>
                <w:szCs w:val="18"/>
              </w:rPr>
              <w:t>3,050</w:t>
            </w:r>
          </w:p>
        </w:tc>
        <w:tc>
          <w:tcPr>
            <w:tcW w:w="394" w:type="pct"/>
            <w:tcBorders>
              <w:top w:val="nil"/>
              <w:left w:val="nil"/>
              <w:bottom w:val="single" w:sz="8" w:space="0" w:color="44546A"/>
              <w:right w:val="nil"/>
            </w:tcBorders>
            <w:shd w:val="clear" w:color="auto" w:fill="auto"/>
            <w:hideMark/>
          </w:tcPr>
          <w:p w14:paraId="14CBA89C" w14:textId="405DA4BF" w:rsidR="004F652B" w:rsidRPr="006C7B74" w:rsidRDefault="000B084D" w:rsidP="004F652B">
            <w:pPr>
              <w:jc w:val="center"/>
              <w:rPr>
                <w:rFonts w:cstheme="minorHAnsi"/>
                <w:color w:val="000000"/>
                <w:sz w:val="18"/>
                <w:szCs w:val="18"/>
                <w:lang w:eastAsia="en-AU"/>
              </w:rPr>
            </w:pPr>
            <w:r w:rsidRPr="006C7B74">
              <w:rPr>
                <w:sz w:val="18"/>
                <w:szCs w:val="18"/>
                <w:lang w:eastAsia="en-AU"/>
              </w:rPr>
              <w:t>10</w:t>
            </w:r>
          </w:p>
        </w:tc>
        <w:tc>
          <w:tcPr>
            <w:tcW w:w="471" w:type="pct"/>
            <w:gridSpan w:val="2"/>
            <w:tcBorders>
              <w:top w:val="nil"/>
              <w:left w:val="nil"/>
              <w:bottom w:val="single" w:sz="8" w:space="0" w:color="44546A"/>
              <w:right w:val="nil"/>
            </w:tcBorders>
            <w:shd w:val="clear" w:color="auto" w:fill="auto"/>
            <w:hideMark/>
          </w:tcPr>
          <w:p w14:paraId="64102690" w14:textId="63860D73" w:rsidR="004F652B" w:rsidRPr="006C7B74" w:rsidRDefault="000B084D" w:rsidP="004F652B">
            <w:pPr>
              <w:jc w:val="center"/>
              <w:rPr>
                <w:rFonts w:cstheme="minorHAnsi"/>
                <w:color w:val="000000"/>
                <w:sz w:val="18"/>
                <w:szCs w:val="18"/>
                <w:lang w:eastAsia="en-AU"/>
              </w:rPr>
            </w:pPr>
            <w:r w:rsidRPr="006C7B74">
              <w:rPr>
                <w:sz w:val="18"/>
                <w:szCs w:val="18"/>
              </w:rPr>
              <w:t>50,300</w:t>
            </w:r>
          </w:p>
        </w:tc>
        <w:tc>
          <w:tcPr>
            <w:tcW w:w="393" w:type="pct"/>
            <w:tcBorders>
              <w:top w:val="nil"/>
              <w:left w:val="nil"/>
              <w:bottom w:val="single" w:sz="8" w:space="0" w:color="44546A"/>
              <w:right w:val="nil"/>
            </w:tcBorders>
            <w:shd w:val="clear" w:color="auto" w:fill="auto"/>
            <w:hideMark/>
          </w:tcPr>
          <w:p w14:paraId="5AA43D80" w14:textId="28BEDB5B" w:rsidR="004F652B" w:rsidRPr="006C7B74" w:rsidRDefault="006726A3" w:rsidP="004F652B">
            <w:pPr>
              <w:jc w:val="center"/>
              <w:rPr>
                <w:rFonts w:cstheme="minorHAnsi"/>
                <w:color w:val="000000"/>
                <w:sz w:val="18"/>
                <w:szCs w:val="18"/>
                <w:lang w:eastAsia="en-AU"/>
              </w:rPr>
            </w:pPr>
            <w:r w:rsidRPr="006C7B74">
              <w:rPr>
                <w:sz w:val="18"/>
                <w:szCs w:val="18"/>
                <w:lang w:eastAsia="en-AU"/>
              </w:rPr>
              <w:t>5</w:t>
            </w:r>
          </w:p>
        </w:tc>
        <w:tc>
          <w:tcPr>
            <w:tcW w:w="471" w:type="pct"/>
            <w:tcBorders>
              <w:top w:val="nil"/>
              <w:left w:val="nil"/>
              <w:bottom w:val="single" w:sz="8" w:space="0" w:color="44546A"/>
              <w:right w:val="nil"/>
            </w:tcBorders>
            <w:shd w:val="clear" w:color="auto" w:fill="auto"/>
            <w:hideMark/>
          </w:tcPr>
          <w:p w14:paraId="69D83382" w14:textId="3CF1FF16" w:rsidR="004F652B" w:rsidRPr="006C7B74" w:rsidRDefault="004F652B" w:rsidP="004F652B">
            <w:pPr>
              <w:jc w:val="center"/>
              <w:rPr>
                <w:rFonts w:cstheme="minorHAnsi"/>
                <w:color w:val="000000"/>
                <w:sz w:val="18"/>
                <w:szCs w:val="18"/>
                <w:lang w:eastAsia="en-AU"/>
              </w:rPr>
            </w:pPr>
            <w:r w:rsidRPr="006C7B74">
              <w:rPr>
                <w:sz w:val="18"/>
                <w:szCs w:val="18"/>
              </w:rPr>
              <w:t>1</w:t>
            </w:r>
            <w:r w:rsidR="006726A3" w:rsidRPr="006C7B74">
              <w:rPr>
                <w:sz w:val="18"/>
                <w:szCs w:val="18"/>
              </w:rPr>
              <w:t>25,700</w:t>
            </w:r>
          </w:p>
        </w:tc>
        <w:tc>
          <w:tcPr>
            <w:tcW w:w="394" w:type="pct"/>
            <w:gridSpan w:val="2"/>
            <w:tcBorders>
              <w:top w:val="nil"/>
              <w:left w:val="nil"/>
              <w:bottom w:val="single" w:sz="8" w:space="0" w:color="44546A"/>
              <w:right w:val="nil"/>
            </w:tcBorders>
            <w:shd w:val="clear" w:color="auto" w:fill="auto"/>
            <w:hideMark/>
          </w:tcPr>
          <w:p w14:paraId="263D0487" w14:textId="2AD3BE58" w:rsidR="004F652B" w:rsidRPr="006C7B74" w:rsidRDefault="004F652B" w:rsidP="004F652B">
            <w:pPr>
              <w:jc w:val="center"/>
              <w:rPr>
                <w:rFonts w:cstheme="minorHAnsi"/>
                <w:color w:val="000000"/>
                <w:sz w:val="18"/>
                <w:szCs w:val="18"/>
                <w:lang w:eastAsia="en-AU"/>
              </w:rPr>
            </w:pPr>
            <w:r w:rsidRPr="006C7B74">
              <w:rPr>
                <w:sz w:val="18"/>
                <w:szCs w:val="18"/>
              </w:rPr>
              <w:t>1</w:t>
            </w:r>
          </w:p>
        </w:tc>
        <w:tc>
          <w:tcPr>
            <w:tcW w:w="472" w:type="pct"/>
            <w:gridSpan w:val="2"/>
            <w:tcBorders>
              <w:top w:val="nil"/>
              <w:left w:val="nil"/>
              <w:bottom w:val="single" w:sz="8" w:space="0" w:color="44546A"/>
              <w:right w:val="nil"/>
            </w:tcBorders>
            <w:shd w:val="clear" w:color="auto" w:fill="auto"/>
            <w:hideMark/>
          </w:tcPr>
          <w:p w14:paraId="0DE38404" w14:textId="1839F729" w:rsidR="004F652B" w:rsidRPr="006C7B74" w:rsidRDefault="004F652B" w:rsidP="004F652B">
            <w:pPr>
              <w:jc w:val="center"/>
              <w:rPr>
                <w:rFonts w:cstheme="minorHAnsi"/>
                <w:color w:val="000000"/>
                <w:sz w:val="18"/>
                <w:szCs w:val="18"/>
                <w:lang w:eastAsia="en-AU"/>
              </w:rPr>
            </w:pPr>
            <w:r w:rsidRPr="006C7B74">
              <w:rPr>
                <w:sz w:val="18"/>
                <w:szCs w:val="18"/>
              </w:rPr>
              <w:t>52,700</w:t>
            </w:r>
          </w:p>
        </w:tc>
        <w:tc>
          <w:tcPr>
            <w:tcW w:w="392" w:type="pct"/>
            <w:tcBorders>
              <w:top w:val="nil"/>
              <w:left w:val="nil"/>
              <w:bottom w:val="single" w:sz="8" w:space="0" w:color="44546A"/>
              <w:right w:val="nil"/>
            </w:tcBorders>
            <w:shd w:val="clear" w:color="auto" w:fill="auto"/>
            <w:hideMark/>
          </w:tcPr>
          <w:p w14:paraId="6C4C402D" w14:textId="02CB946C" w:rsidR="004F652B" w:rsidRPr="006C7B74" w:rsidRDefault="006726A3" w:rsidP="004F652B">
            <w:pPr>
              <w:jc w:val="center"/>
              <w:rPr>
                <w:rFonts w:cstheme="minorHAnsi"/>
                <w:color w:val="000000"/>
                <w:sz w:val="18"/>
                <w:szCs w:val="18"/>
                <w:lang w:eastAsia="en-AU"/>
              </w:rPr>
            </w:pPr>
            <w:r w:rsidRPr="006C7B74">
              <w:rPr>
                <w:sz w:val="18"/>
                <w:szCs w:val="18"/>
                <w:lang w:eastAsia="en-AU"/>
              </w:rPr>
              <w:t>3</w:t>
            </w:r>
          </w:p>
        </w:tc>
        <w:tc>
          <w:tcPr>
            <w:tcW w:w="597" w:type="pct"/>
            <w:tcBorders>
              <w:top w:val="nil"/>
              <w:left w:val="nil"/>
              <w:bottom w:val="single" w:sz="8" w:space="0" w:color="44546A"/>
              <w:right w:val="nil"/>
            </w:tcBorders>
            <w:shd w:val="clear" w:color="auto" w:fill="auto"/>
            <w:hideMark/>
          </w:tcPr>
          <w:p w14:paraId="4446FD6D" w14:textId="5709B35F" w:rsidR="004F652B" w:rsidRPr="006C7B74" w:rsidRDefault="004F652B" w:rsidP="004F652B">
            <w:pPr>
              <w:jc w:val="center"/>
              <w:rPr>
                <w:rFonts w:cstheme="minorHAnsi"/>
                <w:color w:val="000000"/>
                <w:sz w:val="18"/>
                <w:szCs w:val="18"/>
                <w:lang w:eastAsia="en-AU"/>
              </w:rPr>
            </w:pPr>
            <w:r w:rsidRPr="006C7B74">
              <w:rPr>
                <w:sz w:val="18"/>
                <w:szCs w:val="18"/>
              </w:rPr>
              <w:t>6</w:t>
            </w:r>
            <w:r w:rsidR="006726A3" w:rsidRPr="006C7B74">
              <w:rPr>
                <w:sz w:val="18"/>
                <w:szCs w:val="18"/>
              </w:rPr>
              <w:t>89,700</w:t>
            </w:r>
          </w:p>
        </w:tc>
      </w:tr>
      <w:tr w:rsidR="00EF7313" w:rsidRPr="006C7B74" w14:paraId="7372502B" w14:textId="77777777" w:rsidTr="006C7B74">
        <w:trPr>
          <w:trHeight w:val="240"/>
        </w:trPr>
        <w:tc>
          <w:tcPr>
            <w:tcW w:w="550" w:type="pct"/>
            <w:tcBorders>
              <w:top w:val="nil"/>
              <w:left w:val="nil"/>
              <w:bottom w:val="single" w:sz="8" w:space="0" w:color="44546A"/>
              <w:right w:val="nil"/>
            </w:tcBorders>
            <w:shd w:val="clear" w:color="auto" w:fill="auto"/>
            <w:vAlign w:val="center"/>
            <w:hideMark/>
          </w:tcPr>
          <w:p w14:paraId="11934E39" w14:textId="77777777" w:rsidR="004F652B" w:rsidRPr="006C7B74" w:rsidRDefault="004F652B" w:rsidP="004F652B">
            <w:pPr>
              <w:rPr>
                <w:rFonts w:cstheme="minorHAnsi"/>
                <w:color w:val="000000"/>
                <w:sz w:val="15"/>
                <w:szCs w:val="15"/>
                <w:lang w:eastAsia="en-AU"/>
              </w:rPr>
            </w:pPr>
            <w:r w:rsidRPr="006C7B74">
              <w:rPr>
                <w:rFonts w:cstheme="minorHAnsi"/>
                <w:color w:val="000000"/>
                <w:sz w:val="15"/>
                <w:szCs w:val="15"/>
                <w:lang w:eastAsia="en-AU"/>
              </w:rPr>
              <w:t>Yarra</w:t>
            </w:r>
          </w:p>
        </w:tc>
        <w:tc>
          <w:tcPr>
            <w:tcW w:w="392" w:type="pct"/>
            <w:gridSpan w:val="2"/>
            <w:tcBorders>
              <w:top w:val="nil"/>
              <w:left w:val="nil"/>
              <w:bottom w:val="single" w:sz="8" w:space="0" w:color="44546A"/>
              <w:right w:val="nil"/>
            </w:tcBorders>
            <w:shd w:val="clear" w:color="auto" w:fill="auto"/>
            <w:hideMark/>
          </w:tcPr>
          <w:p w14:paraId="5B2CA976" w14:textId="2A332FF0" w:rsidR="004F652B" w:rsidRPr="006C7B74" w:rsidRDefault="004F652B" w:rsidP="004F652B">
            <w:pPr>
              <w:jc w:val="center"/>
              <w:rPr>
                <w:rFonts w:cstheme="minorHAnsi"/>
                <w:color w:val="000000"/>
                <w:sz w:val="18"/>
                <w:szCs w:val="18"/>
                <w:lang w:eastAsia="en-AU"/>
              </w:rPr>
            </w:pPr>
            <w:r w:rsidRPr="006C7B74">
              <w:rPr>
                <w:sz w:val="18"/>
                <w:szCs w:val="18"/>
              </w:rPr>
              <w:t>9</w:t>
            </w:r>
          </w:p>
        </w:tc>
        <w:tc>
          <w:tcPr>
            <w:tcW w:w="473" w:type="pct"/>
            <w:tcBorders>
              <w:top w:val="nil"/>
              <w:left w:val="nil"/>
              <w:bottom w:val="single" w:sz="8" w:space="0" w:color="44546A"/>
              <w:right w:val="nil"/>
            </w:tcBorders>
            <w:shd w:val="clear" w:color="auto" w:fill="auto"/>
            <w:hideMark/>
          </w:tcPr>
          <w:p w14:paraId="5B6DFC04" w14:textId="08C2CE4D" w:rsidR="004F652B" w:rsidRPr="006C7B74" w:rsidRDefault="004F652B" w:rsidP="004F652B">
            <w:pPr>
              <w:jc w:val="center"/>
              <w:rPr>
                <w:rFonts w:cstheme="minorHAnsi"/>
                <w:color w:val="000000"/>
                <w:sz w:val="18"/>
                <w:szCs w:val="18"/>
                <w:lang w:eastAsia="en-AU"/>
              </w:rPr>
            </w:pPr>
            <w:r w:rsidRPr="006C7B74">
              <w:rPr>
                <w:sz w:val="18"/>
                <w:szCs w:val="18"/>
              </w:rPr>
              <w:t>8,450</w:t>
            </w:r>
          </w:p>
        </w:tc>
        <w:tc>
          <w:tcPr>
            <w:tcW w:w="394" w:type="pct"/>
            <w:tcBorders>
              <w:top w:val="nil"/>
              <w:left w:val="nil"/>
              <w:bottom w:val="single" w:sz="8" w:space="0" w:color="44546A"/>
              <w:right w:val="nil"/>
            </w:tcBorders>
            <w:shd w:val="clear" w:color="auto" w:fill="auto"/>
            <w:hideMark/>
          </w:tcPr>
          <w:p w14:paraId="256A11BA" w14:textId="347117B8" w:rsidR="004F652B" w:rsidRPr="006C7B74" w:rsidRDefault="004F652B" w:rsidP="004F652B">
            <w:pPr>
              <w:jc w:val="center"/>
              <w:rPr>
                <w:rFonts w:cstheme="minorHAnsi"/>
                <w:color w:val="000000"/>
                <w:sz w:val="18"/>
                <w:szCs w:val="18"/>
                <w:lang w:eastAsia="en-AU"/>
              </w:rPr>
            </w:pPr>
            <w:r w:rsidRPr="006C7B74">
              <w:rPr>
                <w:sz w:val="18"/>
                <w:szCs w:val="18"/>
              </w:rPr>
              <w:t>6</w:t>
            </w:r>
          </w:p>
        </w:tc>
        <w:tc>
          <w:tcPr>
            <w:tcW w:w="471" w:type="pct"/>
            <w:gridSpan w:val="2"/>
            <w:tcBorders>
              <w:top w:val="nil"/>
              <w:left w:val="nil"/>
              <w:bottom w:val="single" w:sz="8" w:space="0" w:color="44546A"/>
              <w:right w:val="nil"/>
            </w:tcBorders>
            <w:shd w:val="clear" w:color="auto" w:fill="auto"/>
            <w:hideMark/>
          </w:tcPr>
          <w:p w14:paraId="7136D21A" w14:textId="71A7CD13" w:rsidR="004F652B" w:rsidRPr="006C7B74" w:rsidRDefault="004F652B" w:rsidP="004F652B">
            <w:pPr>
              <w:jc w:val="center"/>
              <w:rPr>
                <w:rFonts w:cstheme="minorHAnsi"/>
                <w:color w:val="000000"/>
                <w:sz w:val="18"/>
                <w:szCs w:val="18"/>
                <w:lang w:eastAsia="en-AU"/>
              </w:rPr>
            </w:pPr>
            <w:r w:rsidRPr="006C7B74">
              <w:rPr>
                <w:sz w:val="18"/>
                <w:szCs w:val="18"/>
              </w:rPr>
              <w:t>26,250</w:t>
            </w:r>
          </w:p>
        </w:tc>
        <w:tc>
          <w:tcPr>
            <w:tcW w:w="393" w:type="pct"/>
            <w:tcBorders>
              <w:top w:val="nil"/>
              <w:left w:val="nil"/>
              <w:bottom w:val="single" w:sz="8" w:space="0" w:color="44546A"/>
              <w:right w:val="nil"/>
            </w:tcBorders>
            <w:shd w:val="clear" w:color="auto" w:fill="auto"/>
            <w:hideMark/>
          </w:tcPr>
          <w:p w14:paraId="5F271EDD" w14:textId="4D734CEF" w:rsidR="004F652B" w:rsidRPr="006C7B74" w:rsidRDefault="004F652B" w:rsidP="004F652B">
            <w:pPr>
              <w:jc w:val="center"/>
              <w:rPr>
                <w:rFonts w:cstheme="minorHAnsi"/>
                <w:color w:val="000000"/>
                <w:sz w:val="18"/>
                <w:szCs w:val="18"/>
                <w:lang w:eastAsia="en-AU"/>
              </w:rPr>
            </w:pPr>
            <w:r w:rsidRPr="006C7B74">
              <w:rPr>
                <w:sz w:val="18"/>
                <w:szCs w:val="18"/>
              </w:rPr>
              <w:t>7</w:t>
            </w:r>
          </w:p>
        </w:tc>
        <w:tc>
          <w:tcPr>
            <w:tcW w:w="471" w:type="pct"/>
            <w:tcBorders>
              <w:top w:val="nil"/>
              <w:left w:val="nil"/>
              <w:bottom w:val="single" w:sz="8" w:space="0" w:color="44546A"/>
              <w:right w:val="nil"/>
            </w:tcBorders>
            <w:shd w:val="clear" w:color="auto" w:fill="auto"/>
            <w:hideMark/>
          </w:tcPr>
          <w:p w14:paraId="7AD7E204" w14:textId="5B5B508D" w:rsidR="004F652B" w:rsidRPr="006C7B74" w:rsidRDefault="004F652B" w:rsidP="004F652B">
            <w:pPr>
              <w:jc w:val="center"/>
              <w:rPr>
                <w:rFonts w:cstheme="minorHAnsi"/>
                <w:color w:val="000000"/>
                <w:sz w:val="18"/>
                <w:szCs w:val="18"/>
                <w:lang w:eastAsia="en-AU"/>
              </w:rPr>
            </w:pPr>
            <w:r w:rsidRPr="006C7B74">
              <w:rPr>
                <w:sz w:val="18"/>
                <w:szCs w:val="18"/>
              </w:rPr>
              <w:t>215,550</w:t>
            </w:r>
          </w:p>
        </w:tc>
        <w:tc>
          <w:tcPr>
            <w:tcW w:w="394" w:type="pct"/>
            <w:gridSpan w:val="2"/>
            <w:tcBorders>
              <w:top w:val="nil"/>
              <w:left w:val="nil"/>
              <w:bottom w:val="single" w:sz="8" w:space="0" w:color="44546A"/>
              <w:right w:val="nil"/>
            </w:tcBorders>
            <w:shd w:val="clear" w:color="auto" w:fill="auto"/>
            <w:hideMark/>
          </w:tcPr>
          <w:p w14:paraId="4706BC92" w14:textId="592E285C" w:rsidR="004F652B" w:rsidRPr="006C7B74" w:rsidRDefault="004F652B" w:rsidP="004F652B">
            <w:pPr>
              <w:jc w:val="center"/>
              <w:rPr>
                <w:rFonts w:cstheme="minorHAnsi"/>
                <w:color w:val="000000"/>
                <w:sz w:val="18"/>
                <w:szCs w:val="18"/>
                <w:lang w:eastAsia="en-AU"/>
              </w:rPr>
            </w:pPr>
            <w:r w:rsidRPr="006C7B74">
              <w:rPr>
                <w:sz w:val="18"/>
                <w:szCs w:val="18"/>
              </w:rPr>
              <w:t>4</w:t>
            </w:r>
          </w:p>
        </w:tc>
        <w:tc>
          <w:tcPr>
            <w:tcW w:w="472" w:type="pct"/>
            <w:gridSpan w:val="2"/>
            <w:tcBorders>
              <w:top w:val="nil"/>
              <w:left w:val="nil"/>
              <w:bottom w:val="single" w:sz="8" w:space="0" w:color="44546A"/>
              <w:right w:val="nil"/>
            </w:tcBorders>
            <w:shd w:val="clear" w:color="auto" w:fill="auto"/>
            <w:hideMark/>
          </w:tcPr>
          <w:p w14:paraId="687D1676" w14:textId="5ACF23EB" w:rsidR="004F652B" w:rsidRPr="006C7B74" w:rsidRDefault="004F652B" w:rsidP="004F652B">
            <w:pPr>
              <w:jc w:val="center"/>
              <w:rPr>
                <w:rFonts w:cstheme="minorHAnsi"/>
                <w:color w:val="000000"/>
                <w:sz w:val="18"/>
                <w:szCs w:val="18"/>
                <w:lang w:eastAsia="en-AU"/>
              </w:rPr>
            </w:pPr>
            <w:r w:rsidRPr="006C7B74">
              <w:rPr>
                <w:sz w:val="18"/>
                <w:szCs w:val="18"/>
              </w:rPr>
              <w:t>271,700</w:t>
            </w:r>
          </w:p>
        </w:tc>
        <w:tc>
          <w:tcPr>
            <w:tcW w:w="392" w:type="pct"/>
            <w:tcBorders>
              <w:top w:val="nil"/>
              <w:left w:val="nil"/>
              <w:bottom w:val="single" w:sz="8" w:space="0" w:color="44546A"/>
              <w:right w:val="nil"/>
            </w:tcBorders>
            <w:shd w:val="clear" w:color="auto" w:fill="auto"/>
            <w:hideMark/>
          </w:tcPr>
          <w:p w14:paraId="21D39C83" w14:textId="57A1C7AF" w:rsidR="004F652B" w:rsidRPr="006C7B74" w:rsidRDefault="004F652B" w:rsidP="004F652B">
            <w:pPr>
              <w:jc w:val="center"/>
              <w:rPr>
                <w:rFonts w:cstheme="minorHAnsi"/>
                <w:color w:val="000000"/>
                <w:sz w:val="18"/>
                <w:szCs w:val="18"/>
                <w:lang w:eastAsia="en-AU"/>
              </w:rPr>
            </w:pPr>
            <w:r w:rsidRPr="006C7B74">
              <w:rPr>
                <w:sz w:val="18"/>
                <w:szCs w:val="18"/>
              </w:rPr>
              <w:t>3</w:t>
            </w:r>
          </w:p>
        </w:tc>
        <w:tc>
          <w:tcPr>
            <w:tcW w:w="597" w:type="pct"/>
            <w:tcBorders>
              <w:top w:val="nil"/>
              <w:left w:val="nil"/>
              <w:bottom w:val="single" w:sz="8" w:space="0" w:color="44546A"/>
              <w:right w:val="nil"/>
            </w:tcBorders>
            <w:shd w:val="clear" w:color="auto" w:fill="auto"/>
            <w:hideMark/>
          </w:tcPr>
          <w:p w14:paraId="4E2819CB" w14:textId="74767231" w:rsidR="004F652B" w:rsidRPr="006C7B74" w:rsidRDefault="004F652B" w:rsidP="004F652B">
            <w:pPr>
              <w:jc w:val="center"/>
              <w:rPr>
                <w:rFonts w:cstheme="minorHAnsi"/>
                <w:color w:val="000000"/>
                <w:sz w:val="18"/>
                <w:szCs w:val="18"/>
                <w:lang w:eastAsia="en-AU"/>
              </w:rPr>
            </w:pPr>
            <w:r w:rsidRPr="006C7B74">
              <w:rPr>
                <w:sz w:val="18"/>
                <w:szCs w:val="18"/>
              </w:rPr>
              <w:t>411,450</w:t>
            </w:r>
          </w:p>
        </w:tc>
      </w:tr>
      <w:tr w:rsidR="00EF7313" w:rsidRPr="006C7B74" w14:paraId="42EF3A70" w14:textId="77777777" w:rsidTr="006C7B74">
        <w:trPr>
          <w:trHeight w:val="240"/>
        </w:trPr>
        <w:tc>
          <w:tcPr>
            <w:tcW w:w="550" w:type="pct"/>
            <w:tcBorders>
              <w:top w:val="nil"/>
              <w:left w:val="nil"/>
              <w:bottom w:val="single" w:sz="8" w:space="0" w:color="44546A"/>
              <w:right w:val="nil"/>
            </w:tcBorders>
            <w:shd w:val="clear" w:color="auto" w:fill="auto"/>
            <w:vAlign w:val="center"/>
            <w:hideMark/>
          </w:tcPr>
          <w:p w14:paraId="037A7025" w14:textId="77777777" w:rsidR="004F652B" w:rsidRPr="006C7B74" w:rsidRDefault="004F652B" w:rsidP="004F652B">
            <w:pPr>
              <w:rPr>
                <w:rFonts w:cstheme="minorHAnsi"/>
                <w:b/>
                <w:bCs/>
                <w:color w:val="000000"/>
                <w:sz w:val="15"/>
                <w:szCs w:val="15"/>
                <w:lang w:eastAsia="en-AU"/>
              </w:rPr>
            </w:pPr>
            <w:r w:rsidRPr="006C7B74">
              <w:rPr>
                <w:rFonts w:cstheme="minorHAnsi"/>
                <w:b/>
                <w:bCs/>
                <w:color w:val="000000"/>
                <w:sz w:val="15"/>
                <w:szCs w:val="15"/>
                <w:lang w:eastAsia="en-AU"/>
              </w:rPr>
              <w:t>Total</w:t>
            </w:r>
          </w:p>
        </w:tc>
        <w:tc>
          <w:tcPr>
            <w:tcW w:w="392" w:type="pct"/>
            <w:gridSpan w:val="2"/>
            <w:tcBorders>
              <w:top w:val="nil"/>
              <w:left w:val="nil"/>
              <w:bottom w:val="single" w:sz="8" w:space="0" w:color="44546A"/>
              <w:right w:val="nil"/>
            </w:tcBorders>
            <w:shd w:val="clear" w:color="auto" w:fill="auto"/>
            <w:hideMark/>
          </w:tcPr>
          <w:p w14:paraId="0B2CEBEC" w14:textId="7F07B809" w:rsidR="004F652B" w:rsidRPr="006C7B74" w:rsidRDefault="004F652B" w:rsidP="004F652B">
            <w:pPr>
              <w:jc w:val="center"/>
              <w:rPr>
                <w:rFonts w:cstheme="minorHAnsi"/>
                <w:b/>
                <w:color w:val="000000"/>
                <w:sz w:val="18"/>
                <w:szCs w:val="18"/>
                <w:lang w:eastAsia="en-AU"/>
              </w:rPr>
            </w:pPr>
            <w:r w:rsidRPr="006C7B74">
              <w:rPr>
                <w:b/>
                <w:sz w:val="18"/>
                <w:szCs w:val="18"/>
              </w:rPr>
              <w:t>15</w:t>
            </w:r>
          </w:p>
        </w:tc>
        <w:tc>
          <w:tcPr>
            <w:tcW w:w="473" w:type="pct"/>
            <w:tcBorders>
              <w:top w:val="nil"/>
              <w:left w:val="nil"/>
              <w:bottom w:val="single" w:sz="8" w:space="0" w:color="44546A"/>
              <w:right w:val="nil"/>
            </w:tcBorders>
            <w:shd w:val="clear" w:color="auto" w:fill="auto"/>
            <w:hideMark/>
          </w:tcPr>
          <w:p w14:paraId="55638437" w14:textId="46565904" w:rsidR="004F652B" w:rsidRPr="006C7B74" w:rsidRDefault="004F652B" w:rsidP="004F652B">
            <w:pPr>
              <w:jc w:val="center"/>
              <w:rPr>
                <w:rFonts w:cstheme="minorHAnsi"/>
                <w:b/>
                <w:color w:val="000000"/>
                <w:sz w:val="18"/>
                <w:szCs w:val="18"/>
                <w:lang w:eastAsia="en-AU"/>
              </w:rPr>
            </w:pPr>
            <w:r w:rsidRPr="006C7B74">
              <w:rPr>
                <w:b/>
                <w:sz w:val="18"/>
                <w:szCs w:val="18"/>
              </w:rPr>
              <w:t>14,800</w:t>
            </w:r>
          </w:p>
        </w:tc>
        <w:tc>
          <w:tcPr>
            <w:tcW w:w="394" w:type="pct"/>
            <w:tcBorders>
              <w:top w:val="nil"/>
              <w:left w:val="nil"/>
              <w:bottom w:val="single" w:sz="8" w:space="0" w:color="44546A"/>
              <w:right w:val="nil"/>
            </w:tcBorders>
            <w:shd w:val="clear" w:color="auto" w:fill="auto"/>
            <w:hideMark/>
          </w:tcPr>
          <w:p w14:paraId="65D416C2" w14:textId="79A1D64D" w:rsidR="004F652B" w:rsidRPr="006C7B74" w:rsidRDefault="000B084D" w:rsidP="004F652B">
            <w:pPr>
              <w:jc w:val="center"/>
              <w:rPr>
                <w:rFonts w:cstheme="minorHAnsi"/>
                <w:b/>
                <w:color w:val="000000"/>
                <w:sz w:val="18"/>
                <w:szCs w:val="18"/>
                <w:lang w:eastAsia="en-AU"/>
              </w:rPr>
            </w:pPr>
            <w:r w:rsidRPr="006C7B74">
              <w:rPr>
                <w:b/>
                <w:bCs/>
                <w:sz w:val="18"/>
                <w:szCs w:val="18"/>
                <w:lang w:eastAsia="en-AU"/>
              </w:rPr>
              <w:t>20</w:t>
            </w:r>
          </w:p>
        </w:tc>
        <w:tc>
          <w:tcPr>
            <w:tcW w:w="471" w:type="pct"/>
            <w:gridSpan w:val="2"/>
            <w:tcBorders>
              <w:top w:val="nil"/>
              <w:left w:val="nil"/>
              <w:bottom w:val="single" w:sz="8" w:space="0" w:color="44546A"/>
              <w:right w:val="nil"/>
            </w:tcBorders>
            <w:shd w:val="clear" w:color="auto" w:fill="auto"/>
            <w:hideMark/>
          </w:tcPr>
          <w:p w14:paraId="1479F615" w14:textId="3B1E8864" w:rsidR="004F652B" w:rsidRPr="006C7B74" w:rsidRDefault="006726A3" w:rsidP="004F652B">
            <w:pPr>
              <w:jc w:val="center"/>
              <w:rPr>
                <w:rFonts w:cstheme="minorHAnsi"/>
                <w:b/>
                <w:color w:val="000000"/>
                <w:sz w:val="18"/>
                <w:szCs w:val="18"/>
                <w:lang w:eastAsia="en-AU"/>
              </w:rPr>
            </w:pPr>
            <w:r w:rsidRPr="006C7B74">
              <w:rPr>
                <w:b/>
                <w:sz w:val="18"/>
                <w:szCs w:val="18"/>
              </w:rPr>
              <w:t>97,050</w:t>
            </w:r>
          </w:p>
        </w:tc>
        <w:tc>
          <w:tcPr>
            <w:tcW w:w="393" w:type="pct"/>
            <w:tcBorders>
              <w:top w:val="nil"/>
              <w:left w:val="nil"/>
              <w:bottom w:val="single" w:sz="8" w:space="0" w:color="44546A"/>
              <w:right w:val="nil"/>
            </w:tcBorders>
            <w:shd w:val="clear" w:color="auto" w:fill="auto"/>
            <w:hideMark/>
          </w:tcPr>
          <w:p w14:paraId="25E242CC" w14:textId="1D6332DB" w:rsidR="004F652B" w:rsidRPr="006C7B74" w:rsidRDefault="006726A3" w:rsidP="004F652B">
            <w:pPr>
              <w:jc w:val="center"/>
              <w:rPr>
                <w:rFonts w:cstheme="minorHAnsi"/>
                <w:b/>
                <w:color w:val="000000"/>
                <w:sz w:val="18"/>
                <w:szCs w:val="18"/>
                <w:lang w:eastAsia="en-AU"/>
              </w:rPr>
            </w:pPr>
            <w:r w:rsidRPr="006C7B74">
              <w:rPr>
                <w:b/>
                <w:sz w:val="18"/>
                <w:szCs w:val="18"/>
              </w:rPr>
              <w:t>19</w:t>
            </w:r>
          </w:p>
        </w:tc>
        <w:tc>
          <w:tcPr>
            <w:tcW w:w="471" w:type="pct"/>
            <w:tcBorders>
              <w:top w:val="nil"/>
              <w:left w:val="nil"/>
              <w:bottom w:val="single" w:sz="8" w:space="0" w:color="44546A"/>
              <w:right w:val="nil"/>
            </w:tcBorders>
            <w:shd w:val="clear" w:color="auto" w:fill="auto"/>
            <w:hideMark/>
          </w:tcPr>
          <w:p w14:paraId="7429444E" w14:textId="01A2BCD3" w:rsidR="004F652B" w:rsidRPr="006C7B74" w:rsidRDefault="004F652B" w:rsidP="004F652B">
            <w:pPr>
              <w:jc w:val="center"/>
              <w:rPr>
                <w:rFonts w:cstheme="minorHAnsi"/>
                <w:b/>
                <w:color w:val="000000"/>
                <w:sz w:val="18"/>
                <w:szCs w:val="18"/>
                <w:lang w:eastAsia="en-AU"/>
              </w:rPr>
            </w:pPr>
            <w:r w:rsidRPr="006C7B74">
              <w:rPr>
                <w:b/>
                <w:sz w:val="18"/>
                <w:szCs w:val="18"/>
              </w:rPr>
              <w:t>5</w:t>
            </w:r>
            <w:r w:rsidR="006726A3" w:rsidRPr="006C7B74">
              <w:rPr>
                <w:b/>
                <w:sz w:val="18"/>
                <w:szCs w:val="18"/>
              </w:rPr>
              <w:t>18,350</w:t>
            </w:r>
          </w:p>
        </w:tc>
        <w:tc>
          <w:tcPr>
            <w:tcW w:w="394" w:type="pct"/>
            <w:gridSpan w:val="2"/>
            <w:tcBorders>
              <w:top w:val="nil"/>
              <w:left w:val="nil"/>
              <w:bottom w:val="single" w:sz="8" w:space="0" w:color="44546A"/>
              <w:right w:val="nil"/>
            </w:tcBorders>
            <w:shd w:val="clear" w:color="auto" w:fill="auto"/>
            <w:hideMark/>
          </w:tcPr>
          <w:p w14:paraId="6E2E4704" w14:textId="5B32A625" w:rsidR="004F652B" w:rsidRPr="006C7B74" w:rsidRDefault="004F652B" w:rsidP="004F652B">
            <w:pPr>
              <w:jc w:val="center"/>
              <w:rPr>
                <w:rFonts w:cstheme="minorHAnsi"/>
                <w:b/>
                <w:color w:val="000000"/>
                <w:sz w:val="18"/>
                <w:szCs w:val="18"/>
                <w:lang w:eastAsia="en-AU"/>
              </w:rPr>
            </w:pPr>
            <w:r w:rsidRPr="006C7B74">
              <w:rPr>
                <w:b/>
                <w:sz w:val="18"/>
                <w:szCs w:val="18"/>
              </w:rPr>
              <w:t>5</w:t>
            </w:r>
          </w:p>
        </w:tc>
        <w:tc>
          <w:tcPr>
            <w:tcW w:w="472" w:type="pct"/>
            <w:gridSpan w:val="2"/>
            <w:tcBorders>
              <w:top w:val="nil"/>
              <w:left w:val="nil"/>
              <w:bottom w:val="single" w:sz="8" w:space="0" w:color="44546A"/>
              <w:right w:val="nil"/>
            </w:tcBorders>
            <w:shd w:val="clear" w:color="auto" w:fill="auto"/>
            <w:hideMark/>
          </w:tcPr>
          <w:p w14:paraId="006746D7" w14:textId="411CBBD3" w:rsidR="004F652B" w:rsidRPr="006C7B74" w:rsidRDefault="004F652B" w:rsidP="004F652B">
            <w:pPr>
              <w:jc w:val="center"/>
              <w:rPr>
                <w:rFonts w:cstheme="minorHAnsi"/>
                <w:b/>
                <w:color w:val="000000"/>
                <w:sz w:val="18"/>
                <w:szCs w:val="18"/>
                <w:lang w:eastAsia="en-AU"/>
              </w:rPr>
            </w:pPr>
            <w:r w:rsidRPr="006C7B74">
              <w:rPr>
                <w:b/>
                <w:sz w:val="18"/>
                <w:szCs w:val="18"/>
              </w:rPr>
              <w:t>324,400</w:t>
            </w:r>
          </w:p>
        </w:tc>
        <w:tc>
          <w:tcPr>
            <w:tcW w:w="392" w:type="pct"/>
            <w:tcBorders>
              <w:top w:val="nil"/>
              <w:left w:val="nil"/>
              <w:bottom w:val="single" w:sz="8" w:space="0" w:color="44546A"/>
              <w:right w:val="nil"/>
            </w:tcBorders>
            <w:shd w:val="clear" w:color="auto" w:fill="auto"/>
            <w:hideMark/>
          </w:tcPr>
          <w:p w14:paraId="15154641" w14:textId="065E5F8E" w:rsidR="004F652B" w:rsidRPr="006C7B74" w:rsidRDefault="004F652B" w:rsidP="004F652B">
            <w:pPr>
              <w:jc w:val="center"/>
              <w:rPr>
                <w:rFonts w:cstheme="minorHAnsi"/>
                <w:b/>
                <w:color w:val="000000"/>
                <w:sz w:val="18"/>
                <w:szCs w:val="18"/>
                <w:lang w:eastAsia="en-AU"/>
              </w:rPr>
            </w:pPr>
            <w:r w:rsidRPr="006C7B74">
              <w:rPr>
                <w:b/>
                <w:sz w:val="18"/>
                <w:szCs w:val="18"/>
              </w:rPr>
              <w:t>1</w:t>
            </w:r>
            <w:r w:rsidR="006726A3" w:rsidRPr="006C7B74">
              <w:rPr>
                <w:b/>
                <w:sz w:val="18"/>
                <w:szCs w:val="18"/>
              </w:rPr>
              <w:t>3</w:t>
            </w:r>
          </w:p>
        </w:tc>
        <w:tc>
          <w:tcPr>
            <w:tcW w:w="597" w:type="pct"/>
            <w:tcBorders>
              <w:top w:val="nil"/>
              <w:left w:val="nil"/>
              <w:bottom w:val="single" w:sz="8" w:space="0" w:color="44546A"/>
              <w:right w:val="nil"/>
            </w:tcBorders>
            <w:shd w:val="clear" w:color="auto" w:fill="auto"/>
            <w:hideMark/>
          </w:tcPr>
          <w:p w14:paraId="6C34DC2A" w14:textId="0C35FC66" w:rsidR="004F652B" w:rsidRPr="006C7B74" w:rsidRDefault="004F652B" w:rsidP="004F652B">
            <w:pPr>
              <w:jc w:val="center"/>
              <w:rPr>
                <w:rFonts w:cstheme="minorHAnsi"/>
                <w:b/>
                <w:color w:val="000000"/>
                <w:sz w:val="18"/>
                <w:szCs w:val="18"/>
                <w:lang w:eastAsia="en-AU"/>
              </w:rPr>
            </w:pPr>
            <w:r w:rsidRPr="006C7B74">
              <w:rPr>
                <w:b/>
                <w:sz w:val="18"/>
                <w:szCs w:val="18"/>
              </w:rPr>
              <w:t>8,</w:t>
            </w:r>
            <w:r w:rsidR="005E05CB" w:rsidRPr="006C7B74">
              <w:rPr>
                <w:b/>
                <w:sz w:val="18"/>
                <w:szCs w:val="18"/>
              </w:rPr>
              <w:t>112,750</w:t>
            </w:r>
          </w:p>
        </w:tc>
      </w:tr>
    </w:tbl>
    <w:p w14:paraId="270354BF" w14:textId="66A38433" w:rsidR="00371E40" w:rsidRPr="006C7B74" w:rsidRDefault="00080551" w:rsidP="00080551">
      <w:pPr>
        <w:pStyle w:val="Quote"/>
      </w:pPr>
      <w:r w:rsidRPr="006C7B74">
        <w:t>Source: Department of Environment, Land, Water and Planning, unpublished data (</w:t>
      </w:r>
      <w:r w:rsidR="00775F58">
        <w:t>2020</w:t>
      </w:r>
      <w:r w:rsidRPr="006C7B74">
        <w:t>)</w:t>
      </w:r>
    </w:p>
    <w:p w14:paraId="270CCA74" w14:textId="77777777" w:rsidR="00C157AC" w:rsidRPr="006C7B74" w:rsidRDefault="00C157AC" w:rsidP="00C157AC"/>
    <w:p w14:paraId="2E76294C" w14:textId="257A8470" w:rsidR="0097714A" w:rsidRPr="006C7B74" w:rsidRDefault="0097714A" w:rsidP="00934C4D">
      <w:pPr>
        <w:spacing w:after="120"/>
        <w:rPr>
          <w:rFonts w:cstheme="minorHAnsi"/>
          <w:sz w:val="20"/>
          <w:szCs w:val="20"/>
        </w:rPr>
      </w:pPr>
      <w:r w:rsidRPr="006C7B74">
        <w:rPr>
          <w:rFonts w:cstheme="minorHAnsi"/>
          <w:sz w:val="20"/>
          <w:szCs w:val="20"/>
        </w:rPr>
        <w:t xml:space="preserve">Based on projected growth, it is anticipated that an additional </w:t>
      </w:r>
      <w:r w:rsidR="00CA407F" w:rsidRPr="006C7B74">
        <w:rPr>
          <w:rFonts w:cstheme="minorHAnsi"/>
          <w:sz w:val="20"/>
          <w:szCs w:val="20"/>
        </w:rPr>
        <w:t>4</w:t>
      </w:r>
      <w:r w:rsidR="00547999" w:rsidRPr="006C7B74">
        <w:rPr>
          <w:rFonts w:cstheme="minorHAnsi"/>
          <w:sz w:val="20"/>
          <w:szCs w:val="20"/>
        </w:rPr>
        <w:t xml:space="preserve"> </w:t>
      </w:r>
      <w:r w:rsidRPr="006C7B74">
        <w:rPr>
          <w:rFonts w:cstheme="minorHAnsi"/>
          <w:sz w:val="20"/>
          <w:szCs w:val="20"/>
        </w:rPr>
        <w:t>million square metres of commercial floorspace will be required across the Inner Metro Region</w:t>
      </w:r>
      <w:r w:rsidR="008F2B65" w:rsidRPr="006C7B74">
        <w:rPr>
          <w:rFonts w:cstheme="minorHAnsi"/>
          <w:sz w:val="20"/>
          <w:szCs w:val="20"/>
        </w:rPr>
        <w:t xml:space="preserve"> by 2031</w:t>
      </w:r>
      <w:r w:rsidRPr="006C7B74">
        <w:rPr>
          <w:rFonts w:cstheme="minorHAnsi"/>
          <w:sz w:val="20"/>
          <w:szCs w:val="20"/>
        </w:rPr>
        <w:t xml:space="preserve">. Approximately </w:t>
      </w:r>
      <w:r w:rsidR="008678B4" w:rsidRPr="006C7B74">
        <w:rPr>
          <w:rFonts w:cstheme="minorHAnsi"/>
          <w:sz w:val="20"/>
          <w:szCs w:val="20"/>
        </w:rPr>
        <w:t>3.</w:t>
      </w:r>
      <w:r w:rsidR="002E49ED" w:rsidRPr="006C7B74">
        <w:rPr>
          <w:rFonts w:cstheme="minorHAnsi"/>
          <w:sz w:val="20"/>
          <w:szCs w:val="20"/>
        </w:rPr>
        <w:t xml:space="preserve">3 </w:t>
      </w:r>
      <w:r w:rsidRPr="006C7B74">
        <w:rPr>
          <w:rFonts w:cstheme="minorHAnsi"/>
          <w:sz w:val="20"/>
          <w:szCs w:val="20"/>
        </w:rPr>
        <w:t xml:space="preserve">million square metres will be required for office uses and the remaining </w:t>
      </w:r>
      <w:r w:rsidR="005705A3" w:rsidRPr="006C7B74">
        <w:rPr>
          <w:rFonts w:cstheme="minorHAnsi"/>
          <w:sz w:val="20"/>
          <w:szCs w:val="20"/>
        </w:rPr>
        <w:t>700,000</w:t>
      </w:r>
      <w:r w:rsidR="00B04F82" w:rsidRPr="006C7B74">
        <w:rPr>
          <w:rFonts w:cstheme="minorHAnsi"/>
          <w:sz w:val="20"/>
          <w:szCs w:val="20"/>
        </w:rPr>
        <w:t xml:space="preserve"> </w:t>
      </w:r>
      <w:r w:rsidRPr="006C7B74">
        <w:rPr>
          <w:rFonts w:cstheme="minorHAnsi"/>
          <w:sz w:val="20"/>
          <w:szCs w:val="20"/>
        </w:rPr>
        <w:t xml:space="preserve">square metres will be required for retail. Almost </w:t>
      </w:r>
      <w:r w:rsidR="001A48E4" w:rsidRPr="006C7B74">
        <w:rPr>
          <w:rFonts w:cstheme="minorHAnsi"/>
          <w:sz w:val="20"/>
          <w:szCs w:val="20"/>
        </w:rPr>
        <w:t>71</w:t>
      </w:r>
      <w:r w:rsidRPr="006C7B74">
        <w:rPr>
          <w:rFonts w:cstheme="minorHAnsi"/>
          <w:sz w:val="20"/>
          <w:szCs w:val="20"/>
        </w:rPr>
        <w:t xml:space="preserve"> per cent of this additional floorspace </w:t>
      </w:r>
      <w:r w:rsidR="001A48E4" w:rsidRPr="006C7B74">
        <w:rPr>
          <w:rFonts w:cstheme="minorHAnsi"/>
          <w:sz w:val="20"/>
          <w:szCs w:val="20"/>
        </w:rPr>
        <w:t xml:space="preserve">is anticipated to be </w:t>
      </w:r>
      <w:r w:rsidR="00AE0809" w:rsidRPr="006C7B74">
        <w:rPr>
          <w:rFonts w:cstheme="minorHAnsi"/>
          <w:sz w:val="20"/>
          <w:szCs w:val="20"/>
        </w:rPr>
        <w:t xml:space="preserve">located within </w:t>
      </w:r>
      <w:r w:rsidRPr="006C7B74">
        <w:rPr>
          <w:rFonts w:cstheme="minorHAnsi"/>
          <w:sz w:val="20"/>
          <w:szCs w:val="20"/>
        </w:rPr>
        <w:t xml:space="preserve">the </w:t>
      </w:r>
      <w:r w:rsidR="00AC693B" w:rsidRPr="006C7B74">
        <w:rPr>
          <w:rFonts w:cstheme="minorHAnsi"/>
          <w:sz w:val="20"/>
          <w:szCs w:val="20"/>
        </w:rPr>
        <w:t>City</w:t>
      </w:r>
      <w:r w:rsidRPr="006C7B74">
        <w:rPr>
          <w:rFonts w:cstheme="minorHAnsi"/>
          <w:sz w:val="20"/>
          <w:szCs w:val="20"/>
        </w:rPr>
        <w:t xml:space="preserve"> of Melbourne.</w:t>
      </w:r>
    </w:p>
    <w:p w14:paraId="5622D432" w14:textId="7718A7B0" w:rsidR="0097714A" w:rsidRPr="006C7B74" w:rsidRDefault="00A3448B" w:rsidP="00934C4D">
      <w:pPr>
        <w:spacing w:after="120"/>
        <w:rPr>
          <w:rFonts w:cstheme="minorHAnsi"/>
          <w:sz w:val="20"/>
          <w:szCs w:val="20"/>
        </w:rPr>
      </w:pPr>
      <w:r w:rsidRPr="006C7B74">
        <w:rPr>
          <w:rFonts w:cstheme="minorHAnsi"/>
          <w:sz w:val="20"/>
          <w:szCs w:val="20"/>
        </w:rPr>
        <w:t>O</w:t>
      </w:r>
      <w:r w:rsidR="00C94FC0" w:rsidRPr="006C7B74">
        <w:rPr>
          <w:rFonts w:cstheme="minorHAnsi"/>
          <w:sz w:val="20"/>
          <w:szCs w:val="20"/>
        </w:rPr>
        <w:t>ptions</w:t>
      </w:r>
      <w:r w:rsidR="0097714A" w:rsidRPr="006C7B74">
        <w:rPr>
          <w:rFonts w:cstheme="minorHAnsi"/>
          <w:sz w:val="20"/>
          <w:szCs w:val="20"/>
        </w:rPr>
        <w:t xml:space="preserve"> to accommodate projected demand for commercial floorspace </w:t>
      </w:r>
      <w:r w:rsidRPr="006C7B74">
        <w:rPr>
          <w:rFonts w:cstheme="minorHAnsi"/>
          <w:sz w:val="20"/>
          <w:szCs w:val="20"/>
        </w:rPr>
        <w:t xml:space="preserve">in the region need to be identified </w:t>
      </w:r>
      <w:r w:rsidR="0097714A" w:rsidRPr="006C7B74">
        <w:rPr>
          <w:rFonts w:cstheme="minorHAnsi"/>
          <w:sz w:val="20"/>
          <w:szCs w:val="20"/>
        </w:rPr>
        <w:t>within existing commercial areas, as well as considering areas that could accommodate future floorspace requirements</w:t>
      </w:r>
      <w:r w:rsidRPr="006C7B74">
        <w:rPr>
          <w:rFonts w:cstheme="minorHAnsi"/>
          <w:sz w:val="20"/>
          <w:szCs w:val="20"/>
        </w:rPr>
        <w:t xml:space="preserve"> through rezoning</w:t>
      </w:r>
      <w:r w:rsidR="0097714A" w:rsidRPr="006C7B74">
        <w:rPr>
          <w:rFonts w:cstheme="minorHAnsi"/>
          <w:sz w:val="20"/>
          <w:szCs w:val="20"/>
        </w:rPr>
        <w:t>.</w:t>
      </w:r>
    </w:p>
    <w:p w14:paraId="11336200" w14:textId="77777777" w:rsidR="0097714A" w:rsidRPr="006C7B74" w:rsidRDefault="0097714A" w:rsidP="00934C4D">
      <w:pPr>
        <w:spacing w:after="120"/>
        <w:rPr>
          <w:rFonts w:cstheme="minorHAnsi"/>
          <w:sz w:val="20"/>
          <w:szCs w:val="20"/>
        </w:rPr>
      </w:pPr>
    </w:p>
    <w:p w14:paraId="7B4359B0" w14:textId="2788DE99" w:rsidR="0097714A" w:rsidRPr="006C7B74" w:rsidRDefault="0097714A" w:rsidP="00934C4D">
      <w:pPr>
        <w:spacing w:after="120"/>
        <w:rPr>
          <w:rFonts w:cstheme="minorHAnsi"/>
          <w:b/>
          <w:sz w:val="20"/>
          <w:szCs w:val="20"/>
        </w:rPr>
      </w:pPr>
      <w:r w:rsidRPr="006C7B74">
        <w:rPr>
          <w:rFonts w:cstheme="minorHAnsi"/>
          <w:b/>
          <w:sz w:val="20"/>
          <w:szCs w:val="20"/>
        </w:rPr>
        <w:t xml:space="preserve">Table </w:t>
      </w:r>
      <w:r w:rsidR="00741E89" w:rsidRPr="006C7B74">
        <w:rPr>
          <w:rFonts w:cstheme="minorHAnsi"/>
          <w:b/>
          <w:sz w:val="20"/>
          <w:szCs w:val="20"/>
        </w:rPr>
        <w:t>12</w:t>
      </w:r>
      <w:r w:rsidRPr="006C7B74">
        <w:rPr>
          <w:rFonts w:cstheme="minorHAnsi"/>
          <w:b/>
          <w:sz w:val="20"/>
          <w:szCs w:val="20"/>
        </w:rPr>
        <w:t xml:space="preserve">: Commercial floorspace supply and </w:t>
      </w:r>
      <w:r w:rsidR="00416EF5">
        <w:rPr>
          <w:rFonts w:cstheme="minorHAnsi"/>
          <w:b/>
          <w:sz w:val="20"/>
          <w:szCs w:val="20"/>
        </w:rPr>
        <w:t>estimate</w:t>
      </w:r>
      <w:r w:rsidR="00337934" w:rsidRPr="006C7B74">
        <w:rPr>
          <w:rFonts w:cstheme="minorHAnsi"/>
          <w:b/>
          <w:sz w:val="20"/>
          <w:szCs w:val="20"/>
        </w:rPr>
        <w:t>, Inner Metro Region</w:t>
      </w:r>
    </w:p>
    <w:tbl>
      <w:tblPr>
        <w:tblW w:w="5000" w:type="pct"/>
        <w:tblLayout w:type="fixed"/>
        <w:tblCellMar>
          <w:left w:w="0" w:type="dxa"/>
          <w:right w:w="0" w:type="dxa"/>
        </w:tblCellMar>
        <w:tblLook w:val="04A0" w:firstRow="1" w:lastRow="0" w:firstColumn="1" w:lastColumn="0" w:noHBand="0" w:noVBand="1"/>
      </w:tblPr>
      <w:tblGrid>
        <w:gridCol w:w="2574"/>
        <w:gridCol w:w="3316"/>
        <w:gridCol w:w="3130"/>
      </w:tblGrid>
      <w:tr w:rsidR="006D7A85" w:rsidRPr="006C7B74" w14:paraId="41D7FB45" w14:textId="77777777" w:rsidTr="00320A29">
        <w:trPr>
          <w:trHeight w:val="477"/>
        </w:trPr>
        <w:tc>
          <w:tcPr>
            <w:tcW w:w="1427" w:type="pct"/>
            <w:tcBorders>
              <w:top w:val="nil"/>
              <w:left w:val="nil"/>
              <w:bottom w:val="nil"/>
              <w:right w:val="nil"/>
            </w:tcBorders>
            <w:shd w:val="clear" w:color="000000" w:fill="4D446C"/>
            <w:noWrap/>
            <w:tcMar>
              <w:top w:w="15" w:type="dxa"/>
              <w:left w:w="15" w:type="dxa"/>
              <w:bottom w:w="0" w:type="dxa"/>
              <w:right w:w="15" w:type="dxa"/>
            </w:tcMar>
            <w:vAlign w:val="center"/>
            <w:hideMark/>
          </w:tcPr>
          <w:p w14:paraId="1E7C4308" w14:textId="0FC6E143" w:rsidR="006D7A85" w:rsidRPr="00683949" w:rsidRDefault="00C138C3" w:rsidP="00683949">
            <w:pPr>
              <w:pStyle w:val="TableHeaderRow"/>
            </w:pPr>
            <w:r w:rsidRPr="00683949">
              <w:t>Council</w:t>
            </w:r>
          </w:p>
        </w:tc>
        <w:tc>
          <w:tcPr>
            <w:tcW w:w="1838" w:type="pct"/>
            <w:tcBorders>
              <w:top w:val="single" w:sz="4" w:space="0" w:color="auto"/>
              <w:left w:val="nil"/>
              <w:bottom w:val="nil"/>
              <w:right w:val="nil"/>
            </w:tcBorders>
            <w:shd w:val="clear" w:color="000000" w:fill="4D446C"/>
            <w:noWrap/>
            <w:tcMar>
              <w:top w:w="15" w:type="dxa"/>
              <w:left w:w="15" w:type="dxa"/>
              <w:bottom w:w="0" w:type="dxa"/>
              <w:right w:w="15" w:type="dxa"/>
            </w:tcMar>
            <w:vAlign w:val="center"/>
            <w:hideMark/>
          </w:tcPr>
          <w:p w14:paraId="20243C2F" w14:textId="449AF38E" w:rsidR="006D7A85" w:rsidRPr="00683949" w:rsidRDefault="006D7A85" w:rsidP="00683949">
            <w:pPr>
              <w:pStyle w:val="TableHeaderRow"/>
              <w:jc w:val="center"/>
            </w:pPr>
            <w:r w:rsidRPr="00683949">
              <w:t xml:space="preserve">Existing </w:t>
            </w:r>
            <w:r w:rsidR="00DA22DE" w:rsidRPr="00683949">
              <w:t>c</w:t>
            </w:r>
            <w:r w:rsidRPr="00683949">
              <w:t>ommercial</w:t>
            </w:r>
            <w:r w:rsidR="00DA22DE" w:rsidRPr="00683949">
              <w:br/>
              <w:t>f</w:t>
            </w:r>
            <w:r w:rsidRPr="00683949">
              <w:t xml:space="preserve">loorspace </w:t>
            </w:r>
            <w:r w:rsidR="001D3EE3" w:rsidRPr="00683949">
              <w:t xml:space="preserve">2018 </w:t>
            </w:r>
            <w:r w:rsidRPr="00683949">
              <w:t>(</w:t>
            </w:r>
            <w:r w:rsidR="00DA22DE" w:rsidRPr="00683949">
              <w:t>m2</w:t>
            </w:r>
            <w:r w:rsidRPr="00683949">
              <w:t>)</w:t>
            </w:r>
          </w:p>
        </w:tc>
        <w:tc>
          <w:tcPr>
            <w:tcW w:w="1735" w:type="pct"/>
            <w:tcBorders>
              <w:top w:val="nil"/>
              <w:left w:val="nil"/>
              <w:bottom w:val="nil"/>
              <w:right w:val="nil"/>
            </w:tcBorders>
            <w:shd w:val="clear" w:color="000000" w:fill="4D446C"/>
            <w:noWrap/>
            <w:tcMar>
              <w:top w:w="15" w:type="dxa"/>
              <w:left w:w="15" w:type="dxa"/>
              <w:bottom w:w="0" w:type="dxa"/>
              <w:right w:w="15" w:type="dxa"/>
            </w:tcMar>
            <w:vAlign w:val="center"/>
            <w:hideMark/>
          </w:tcPr>
          <w:p w14:paraId="4C51B3F4" w14:textId="485F0314" w:rsidR="00DD7A29" w:rsidRPr="00683949" w:rsidRDefault="00966E1A" w:rsidP="00683949">
            <w:pPr>
              <w:pStyle w:val="TableHeaderRow"/>
              <w:jc w:val="center"/>
            </w:pPr>
            <w:r w:rsidRPr="00683949">
              <w:t>Estimated a</w:t>
            </w:r>
            <w:r w:rsidR="00DD7A29" w:rsidRPr="00683949">
              <w:t>dditional commercial floorspace</w:t>
            </w:r>
          </w:p>
          <w:p w14:paraId="2925AC58" w14:textId="2228958D" w:rsidR="006D7A85" w:rsidRPr="00683949" w:rsidRDefault="00DD7A29" w:rsidP="00683949">
            <w:pPr>
              <w:pStyle w:val="TableHeaderRow"/>
              <w:jc w:val="center"/>
            </w:pPr>
            <w:r w:rsidRPr="00683949">
              <w:t>2016 to 2031 (m2)</w:t>
            </w:r>
          </w:p>
        </w:tc>
      </w:tr>
      <w:tr w:rsidR="00C27D4F" w:rsidRPr="006C7B74" w14:paraId="67E3B24A" w14:textId="77777777" w:rsidTr="006C7B74">
        <w:trPr>
          <w:trHeight w:val="246"/>
        </w:trPr>
        <w:tc>
          <w:tcPr>
            <w:tcW w:w="1427"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15CF63CE" w14:textId="77777777" w:rsidR="00C27D4F" w:rsidRPr="006C7B74" w:rsidRDefault="00C27D4F" w:rsidP="00C27D4F">
            <w:pPr>
              <w:rPr>
                <w:rFonts w:ascii="Calibri" w:hAnsi="Calibri" w:cs="Calibri"/>
                <w:color w:val="000000"/>
                <w:sz w:val="18"/>
                <w:szCs w:val="16"/>
              </w:rPr>
            </w:pPr>
            <w:r w:rsidRPr="006C7B74">
              <w:rPr>
                <w:rFonts w:ascii="Calibri" w:hAnsi="Calibri" w:cs="Calibri"/>
                <w:color w:val="000000"/>
                <w:sz w:val="18"/>
                <w:szCs w:val="16"/>
              </w:rPr>
              <w:t>Melbourne</w:t>
            </w:r>
          </w:p>
        </w:tc>
        <w:tc>
          <w:tcPr>
            <w:tcW w:w="1838" w:type="pct"/>
            <w:tcBorders>
              <w:top w:val="nil"/>
              <w:left w:val="nil"/>
              <w:bottom w:val="single" w:sz="8" w:space="0" w:color="44546A"/>
              <w:right w:val="nil"/>
            </w:tcBorders>
            <w:shd w:val="clear" w:color="auto" w:fill="auto"/>
            <w:tcMar>
              <w:top w:w="15" w:type="dxa"/>
              <w:left w:w="15" w:type="dxa"/>
              <w:bottom w:w="0" w:type="dxa"/>
              <w:right w:w="15" w:type="dxa"/>
            </w:tcMar>
            <w:hideMark/>
          </w:tcPr>
          <w:p w14:paraId="5034923A" w14:textId="09FE0CDB" w:rsidR="00C27D4F" w:rsidRPr="006C7B74" w:rsidRDefault="00C27D4F" w:rsidP="00C27D4F">
            <w:pPr>
              <w:jc w:val="center"/>
              <w:rPr>
                <w:rFonts w:ascii="Calibri" w:hAnsi="Calibri" w:cs="Calibri"/>
                <w:color w:val="000000"/>
                <w:sz w:val="18"/>
                <w:szCs w:val="18"/>
              </w:rPr>
            </w:pPr>
            <w:r w:rsidRPr="006C7B74">
              <w:rPr>
                <w:sz w:val="18"/>
                <w:szCs w:val="18"/>
              </w:rPr>
              <w:t>7,212,500</w:t>
            </w:r>
          </w:p>
        </w:tc>
        <w:tc>
          <w:tcPr>
            <w:tcW w:w="1735"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0BDAA459" w14:textId="723FDDBC" w:rsidR="00C27D4F" w:rsidRPr="006C7B74" w:rsidRDefault="00C27D4F" w:rsidP="00C27D4F">
            <w:pPr>
              <w:jc w:val="center"/>
              <w:rPr>
                <w:rFonts w:ascii="Calibri" w:hAnsi="Calibri" w:cs="Calibri"/>
                <w:color w:val="000000"/>
                <w:sz w:val="18"/>
                <w:szCs w:val="18"/>
              </w:rPr>
            </w:pPr>
            <w:r w:rsidRPr="006C7B74">
              <w:rPr>
                <w:rFonts w:ascii="Calibri" w:hAnsi="Calibri" w:cs="Calibri"/>
                <w:color w:val="000000"/>
                <w:sz w:val="18"/>
                <w:szCs w:val="18"/>
              </w:rPr>
              <w:t>2,841,000</w:t>
            </w:r>
          </w:p>
        </w:tc>
      </w:tr>
      <w:tr w:rsidR="00C27D4F" w:rsidRPr="006C7B74" w14:paraId="72EF71C0" w14:textId="77777777" w:rsidTr="006C7B74">
        <w:trPr>
          <w:trHeight w:val="246"/>
        </w:trPr>
        <w:tc>
          <w:tcPr>
            <w:tcW w:w="1427"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253BB5EC" w14:textId="77777777" w:rsidR="00C27D4F" w:rsidRPr="006C7B74" w:rsidRDefault="00C27D4F" w:rsidP="00C27D4F">
            <w:pPr>
              <w:rPr>
                <w:rFonts w:ascii="Calibri" w:hAnsi="Calibri" w:cs="Calibri"/>
                <w:color w:val="000000"/>
                <w:sz w:val="18"/>
                <w:szCs w:val="16"/>
              </w:rPr>
            </w:pPr>
            <w:r w:rsidRPr="006C7B74">
              <w:rPr>
                <w:rFonts w:ascii="Calibri" w:hAnsi="Calibri" w:cs="Calibri"/>
                <w:color w:val="000000"/>
                <w:sz w:val="18"/>
                <w:szCs w:val="16"/>
              </w:rPr>
              <w:t>Port Phillip</w:t>
            </w:r>
          </w:p>
        </w:tc>
        <w:tc>
          <w:tcPr>
            <w:tcW w:w="1838" w:type="pct"/>
            <w:tcBorders>
              <w:top w:val="nil"/>
              <w:left w:val="nil"/>
              <w:bottom w:val="single" w:sz="8" w:space="0" w:color="44546A"/>
              <w:right w:val="nil"/>
            </w:tcBorders>
            <w:shd w:val="clear" w:color="auto" w:fill="auto"/>
            <w:tcMar>
              <w:top w:w="15" w:type="dxa"/>
              <w:left w:w="15" w:type="dxa"/>
              <w:bottom w:w="0" w:type="dxa"/>
              <w:right w:w="15" w:type="dxa"/>
            </w:tcMar>
            <w:hideMark/>
          </w:tcPr>
          <w:p w14:paraId="7EBEEDEE" w14:textId="172A6DA2" w:rsidR="00C27D4F" w:rsidRPr="006C7B74" w:rsidRDefault="005E05CB" w:rsidP="00C27D4F">
            <w:pPr>
              <w:jc w:val="center"/>
              <w:rPr>
                <w:rFonts w:ascii="Calibri" w:hAnsi="Calibri" w:cs="Calibri"/>
                <w:color w:val="000000"/>
                <w:sz w:val="18"/>
                <w:szCs w:val="18"/>
              </w:rPr>
            </w:pPr>
            <w:r w:rsidRPr="006C7B74">
              <w:rPr>
                <w:rFonts w:ascii="Calibri" w:hAnsi="Calibri"/>
                <w:sz w:val="18"/>
                <w:szCs w:val="18"/>
              </w:rPr>
              <w:t>921,450</w:t>
            </w:r>
          </w:p>
        </w:tc>
        <w:tc>
          <w:tcPr>
            <w:tcW w:w="1735"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7DBAC36F" w14:textId="51BCAEE6" w:rsidR="00C27D4F" w:rsidRPr="006C7B74" w:rsidRDefault="00C27D4F" w:rsidP="00C27D4F">
            <w:pPr>
              <w:jc w:val="center"/>
              <w:rPr>
                <w:rFonts w:ascii="Calibri" w:hAnsi="Calibri" w:cs="Calibri"/>
                <w:color w:val="000000"/>
                <w:sz w:val="18"/>
                <w:szCs w:val="18"/>
              </w:rPr>
            </w:pPr>
            <w:r w:rsidRPr="006C7B74">
              <w:rPr>
                <w:rFonts w:ascii="Calibri" w:hAnsi="Calibri" w:cs="Calibri"/>
                <w:color w:val="000000"/>
                <w:sz w:val="18"/>
                <w:szCs w:val="18"/>
              </w:rPr>
              <w:t>618,000</w:t>
            </w:r>
          </w:p>
        </w:tc>
      </w:tr>
      <w:tr w:rsidR="00C27D4F" w:rsidRPr="006C7B74" w14:paraId="3EC8EB75" w14:textId="77777777" w:rsidTr="006C7B74">
        <w:trPr>
          <w:trHeight w:val="246"/>
        </w:trPr>
        <w:tc>
          <w:tcPr>
            <w:tcW w:w="1427"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66EBCD2F" w14:textId="77777777" w:rsidR="00C27D4F" w:rsidRPr="006C7B74" w:rsidRDefault="00C27D4F" w:rsidP="00C27D4F">
            <w:pPr>
              <w:rPr>
                <w:rFonts w:ascii="Calibri" w:hAnsi="Calibri" w:cs="Calibri"/>
                <w:color w:val="000000"/>
                <w:sz w:val="18"/>
                <w:szCs w:val="16"/>
              </w:rPr>
            </w:pPr>
            <w:r w:rsidRPr="006C7B74">
              <w:rPr>
                <w:rFonts w:ascii="Calibri" w:hAnsi="Calibri" w:cs="Calibri"/>
                <w:color w:val="000000"/>
                <w:sz w:val="18"/>
                <w:szCs w:val="16"/>
              </w:rPr>
              <w:t>Yarra</w:t>
            </w:r>
          </w:p>
        </w:tc>
        <w:tc>
          <w:tcPr>
            <w:tcW w:w="1838" w:type="pct"/>
            <w:tcBorders>
              <w:top w:val="nil"/>
              <w:left w:val="nil"/>
              <w:bottom w:val="single" w:sz="8" w:space="0" w:color="44546A"/>
              <w:right w:val="nil"/>
            </w:tcBorders>
            <w:shd w:val="clear" w:color="auto" w:fill="auto"/>
            <w:tcMar>
              <w:top w:w="15" w:type="dxa"/>
              <w:left w:w="15" w:type="dxa"/>
              <w:bottom w:w="0" w:type="dxa"/>
              <w:right w:w="15" w:type="dxa"/>
            </w:tcMar>
            <w:hideMark/>
          </w:tcPr>
          <w:p w14:paraId="7F2B61CE" w14:textId="4E8E9F98" w:rsidR="00C27D4F" w:rsidRPr="006C7B74" w:rsidRDefault="00C27D4F" w:rsidP="00C27D4F">
            <w:pPr>
              <w:jc w:val="center"/>
              <w:rPr>
                <w:rFonts w:ascii="Calibri" w:hAnsi="Calibri" w:cs="Calibri"/>
                <w:color w:val="000000"/>
                <w:sz w:val="18"/>
                <w:szCs w:val="18"/>
              </w:rPr>
            </w:pPr>
            <w:r w:rsidRPr="006C7B74">
              <w:rPr>
                <w:sz w:val="18"/>
                <w:szCs w:val="18"/>
              </w:rPr>
              <w:t>933,400</w:t>
            </w:r>
          </w:p>
        </w:tc>
        <w:tc>
          <w:tcPr>
            <w:tcW w:w="1735"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3E5424F5" w14:textId="508D7597" w:rsidR="00C27D4F" w:rsidRPr="006C7B74" w:rsidRDefault="00C27D4F" w:rsidP="00C27D4F">
            <w:pPr>
              <w:jc w:val="center"/>
              <w:rPr>
                <w:rFonts w:ascii="Calibri" w:hAnsi="Calibri" w:cs="Calibri"/>
                <w:color w:val="000000"/>
                <w:sz w:val="18"/>
                <w:szCs w:val="18"/>
              </w:rPr>
            </w:pPr>
            <w:r w:rsidRPr="006C7B74">
              <w:rPr>
                <w:rFonts w:ascii="Calibri" w:hAnsi="Calibri" w:cs="Calibri"/>
                <w:color w:val="000000"/>
                <w:sz w:val="18"/>
                <w:szCs w:val="18"/>
              </w:rPr>
              <w:t xml:space="preserve">548,000 </w:t>
            </w:r>
          </w:p>
        </w:tc>
      </w:tr>
      <w:tr w:rsidR="00C27D4F" w:rsidRPr="006C7B74" w14:paraId="64F35241" w14:textId="77777777" w:rsidTr="006C7B74">
        <w:trPr>
          <w:trHeight w:val="246"/>
        </w:trPr>
        <w:tc>
          <w:tcPr>
            <w:tcW w:w="1427"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3CFDB3B5" w14:textId="77777777" w:rsidR="00C27D4F" w:rsidRPr="006C7B74" w:rsidRDefault="00C27D4F" w:rsidP="00C27D4F">
            <w:pPr>
              <w:rPr>
                <w:rFonts w:ascii="Calibri" w:hAnsi="Calibri" w:cs="Calibri"/>
                <w:b/>
                <w:bCs/>
                <w:color w:val="000000"/>
                <w:sz w:val="18"/>
                <w:szCs w:val="16"/>
              </w:rPr>
            </w:pPr>
            <w:r w:rsidRPr="006C7B74">
              <w:rPr>
                <w:rFonts w:ascii="Calibri" w:hAnsi="Calibri" w:cs="Calibri"/>
                <w:b/>
                <w:bCs/>
                <w:color w:val="000000"/>
                <w:sz w:val="18"/>
                <w:szCs w:val="16"/>
              </w:rPr>
              <w:t>Total</w:t>
            </w:r>
          </w:p>
        </w:tc>
        <w:tc>
          <w:tcPr>
            <w:tcW w:w="1838" w:type="pct"/>
            <w:tcBorders>
              <w:top w:val="nil"/>
              <w:left w:val="nil"/>
              <w:bottom w:val="single" w:sz="8" w:space="0" w:color="44546A"/>
              <w:right w:val="nil"/>
            </w:tcBorders>
            <w:shd w:val="clear" w:color="auto" w:fill="auto"/>
            <w:tcMar>
              <w:top w:w="15" w:type="dxa"/>
              <w:left w:w="15" w:type="dxa"/>
              <w:bottom w:w="0" w:type="dxa"/>
              <w:right w:w="15" w:type="dxa"/>
            </w:tcMar>
            <w:hideMark/>
          </w:tcPr>
          <w:p w14:paraId="6BE3F62D" w14:textId="5DE506DB" w:rsidR="00C27D4F" w:rsidRPr="006C7B74" w:rsidRDefault="00C27D4F" w:rsidP="00C27D4F">
            <w:pPr>
              <w:jc w:val="center"/>
              <w:rPr>
                <w:rFonts w:ascii="Calibri" w:hAnsi="Calibri" w:cs="Calibri"/>
                <w:b/>
                <w:color w:val="000000"/>
                <w:sz w:val="18"/>
                <w:szCs w:val="18"/>
              </w:rPr>
            </w:pPr>
            <w:r w:rsidRPr="006C7B74">
              <w:rPr>
                <w:b/>
                <w:sz w:val="18"/>
                <w:szCs w:val="18"/>
              </w:rPr>
              <w:t>9,0</w:t>
            </w:r>
            <w:r w:rsidR="00CE7971" w:rsidRPr="006C7B74">
              <w:rPr>
                <w:b/>
                <w:sz w:val="18"/>
                <w:szCs w:val="18"/>
              </w:rPr>
              <w:t>67,350</w:t>
            </w:r>
          </w:p>
        </w:tc>
        <w:tc>
          <w:tcPr>
            <w:tcW w:w="1735"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23680ADE" w14:textId="0F3A3758" w:rsidR="00C27D4F" w:rsidRPr="006C7B74" w:rsidRDefault="00C27D4F" w:rsidP="00C27D4F">
            <w:pPr>
              <w:jc w:val="center"/>
              <w:rPr>
                <w:rFonts w:ascii="Calibri" w:hAnsi="Calibri" w:cs="Calibri"/>
                <w:b/>
                <w:bCs/>
                <w:color w:val="000000"/>
                <w:sz w:val="18"/>
                <w:szCs w:val="18"/>
              </w:rPr>
            </w:pPr>
            <w:r w:rsidRPr="006C7B74">
              <w:rPr>
                <w:rFonts w:ascii="Calibri" w:hAnsi="Calibri" w:cs="Calibri"/>
                <w:b/>
                <w:color w:val="000000"/>
                <w:sz w:val="18"/>
                <w:szCs w:val="18"/>
              </w:rPr>
              <w:t>4,007,000</w:t>
            </w:r>
          </w:p>
        </w:tc>
      </w:tr>
    </w:tbl>
    <w:p w14:paraId="4CB65E93" w14:textId="0005E638" w:rsidR="00DC580D" w:rsidRPr="006C7B74" w:rsidRDefault="00DC580D" w:rsidP="00DC580D">
      <w:pPr>
        <w:pStyle w:val="Quote"/>
        <w:rPr>
          <w:lang w:eastAsia="en-AU"/>
        </w:rPr>
      </w:pPr>
      <w:r w:rsidRPr="006C7B74">
        <w:rPr>
          <w:lang w:eastAsia="en-AU"/>
        </w:rPr>
        <w:t>Source:</w:t>
      </w:r>
      <w:r w:rsidR="007C154C" w:rsidRPr="006C7B74">
        <w:rPr>
          <w:lang w:eastAsia="en-AU"/>
        </w:rPr>
        <w:t xml:space="preserve"> </w:t>
      </w:r>
      <w:r w:rsidRPr="006C7B74">
        <w:rPr>
          <w:lang w:eastAsia="en-AU"/>
        </w:rPr>
        <w:t>Department of Environment, Land, Water and Planning, unpublished data (</w:t>
      </w:r>
      <w:r w:rsidR="00742294" w:rsidRPr="006C7B74">
        <w:rPr>
          <w:lang w:eastAsia="en-AU"/>
        </w:rPr>
        <w:t>20</w:t>
      </w:r>
      <w:r w:rsidR="00742294">
        <w:rPr>
          <w:lang w:eastAsia="en-AU"/>
        </w:rPr>
        <w:t>20</w:t>
      </w:r>
      <w:r w:rsidRPr="006C7B74">
        <w:rPr>
          <w:lang w:eastAsia="en-AU"/>
        </w:rPr>
        <w:t>)</w:t>
      </w:r>
    </w:p>
    <w:p w14:paraId="476C98A4" w14:textId="27F13093" w:rsidR="0097714A" w:rsidRPr="006C7B74" w:rsidRDefault="00DA22DE" w:rsidP="00DC580D">
      <w:pPr>
        <w:pStyle w:val="Quote"/>
        <w:rPr>
          <w:rFonts w:cstheme="minorHAnsi"/>
          <w:color w:val="000000"/>
          <w:sz w:val="16"/>
          <w:szCs w:val="12"/>
        </w:rPr>
      </w:pPr>
      <w:r w:rsidRPr="006C7B74">
        <w:rPr>
          <w:rFonts w:cstheme="minorHAnsi"/>
          <w:color w:val="1E1444"/>
          <w:szCs w:val="20"/>
        </w:rPr>
        <w:t>*</w:t>
      </w:r>
      <w:r w:rsidR="006D27B7" w:rsidRPr="006C7B74">
        <w:rPr>
          <w:rFonts w:cstheme="minorHAnsi"/>
          <w:color w:val="1E1444"/>
          <w:szCs w:val="20"/>
        </w:rPr>
        <w:t xml:space="preserve">Existing </w:t>
      </w:r>
      <w:r w:rsidR="009A68AA" w:rsidRPr="006C7B74">
        <w:rPr>
          <w:rFonts w:cstheme="minorHAnsi"/>
          <w:color w:val="1E1444"/>
          <w:szCs w:val="20"/>
        </w:rPr>
        <w:t xml:space="preserve">commercial floorspace for the </w:t>
      </w:r>
      <w:r w:rsidRPr="006C7B74">
        <w:rPr>
          <w:rFonts w:cstheme="minorHAnsi"/>
          <w:color w:val="1E1444"/>
          <w:szCs w:val="20"/>
        </w:rPr>
        <w:t>City of Melbourne</w:t>
      </w:r>
      <w:r w:rsidR="009A68AA" w:rsidRPr="006C7B74">
        <w:rPr>
          <w:rFonts w:cstheme="minorHAnsi"/>
          <w:color w:val="1E1444"/>
          <w:szCs w:val="20"/>
        </w:rPr>
        <w:t xml:space="preserve"> has been based on their 2017 Census of Land Use and Employment</w:t>
      </w:r>
      <w:r w:rsidRPr="006C7B74" w:rsidDel="009A68AA">
        <w:rPr>
          <w:rFonts w:cstheme="minorHAnsi"/>
          <w:color w:val="1E1444"/>
          <w:szCs w:val="20"/>
        </w:rPr>
        <w:t xml:space="preserve"> </w:t>
      </w:r>
      <w:r w:rsidR="00CC494B" w:rsidRPr="006C7B74">
        <w:rPr>
          <w:rFonts w:cstheme="minorHAnsi"/>
          <w:color w:val="1E1444"/>
          <w:szCs w:val="20"/>
        </w:rPr>
        <w:t>Summary Report.</w:t>
      </w:r>
    </w:p>
    <w:p w14:paraId="048C2719" w14:textId="6C5BE517" w:rsidR="0097714A" w:rsidRPr="006C7B74" w:rsidRDefault="0097714A" w:rsidP="00934C4D">
      <w:pPr>
        <w:spacing w:after="120"/>
        <w:rPr>
          <w:rFonts w:cstheme="minorHAnsi"/>
          <w:sz w:val="20"/>
          <w:szCs w:val="20"/>
        </w:rPr>
      </w:pPr>
    </w:p>
    <w:p w14:paraId="5A18EC86" w14:textId="77777777" w:rsidR="00AB01D8" w:rsidRPr="006C7B74" w:rsidRDefault="00AB01D8">
      <w:pPr>
        <w:rPr>
          <w:rFonts w:eastAsiaTheme="majorEastAsia" w:cstheme="majorBidi"/>
          <w:b/>
          <w:color w:val="642667"/>
          <w:sz w:val="20"/>
        </w:rPr>
      </w:pPr>
      <w:r w:rsidRPr="006C7B74">
        <w:br w:type="page"/>
      </w:r>
    </w:p>
    <w:p w14:paraId="025C4577" w14:textId="70C7B739" w:rsidR="0097714A" w:rsidRPr="006C7B74" w:rsidRDefault="0097714A" w:rsidP="00214F8D">
      <w:pPr>
        <w:pStyle w:val="Heading5"/>
      </w:pPr>
      <w:r w:rsidRPr="00683949">
        <w:lastRenderedPageBreak/>
        <w:t xml:space="preserve">Figure </w:t>
      </w:r>
      <w:r w:rsidR="00741E89" w:rsidRPr="00683949">
        <w:t>1</w:t>
      </w:r>
      <w:r w:rsidR="0083160F" w:rsidRPr="00683949">
        <w:t>4</w:t>
      </w:r>
      <w:r w:rsidRPr="00683949">
        <w:t>:</w:t>
      </w:r>
      <w:r w:rsidRPr="006C7B74">
        <w:t xml:space="preserve"> </w:t>
      </w:r>
      <w:r w:rsidR="00BF3888">
        <w:t xml:space="preserve">Estimated additional </w:t>
      </w:r>
      <w:r w:rsidR="00BF3888" w:rsidRPr="006C7B74">
        <w:t>commercial floorspace</w:t>
      </w:r>
      <w:r w:rsidR="00DD7A29" w:rsidRPr="006C7B74">
        <w:t xml:space="preserve"> </w:t>
      </w:r>
      <w:r w:rsidRPr="006C7B74">
        <w:t xml:space="preserve">by type and municipality, </w:t>
      </w:r>
      <w:r w:rsidR="00337934" w:rsidRPr="006C7B74">
        <w:t xml:space="preserve">Inner Metro Region, </w:t>
      </w:r>
      <w:r w:rsidRPr="006C7B74">
        <w:t>201</w:t>
      </w:r>
      <w:r w:rsidR="00CB40C8" w:rsidRPr="006C7B74">
        <w:t>6</w:t>
      </w:r>
      <w:r w:rsidRPr="006C7B74">
        <w:t xml:space="preserve"> to 2031</w:t>
      </w:r>
      <w:r w:rsidR="006B7986" w:rsidRPr="006C7B74">
        <w:softHyphen/>
      </w:r>
    </w:p>
    <w:p w14:paraId="5CEC7D78" w14:textId="202D832A" w:rsidR="0097714A" w:rsidRPr="006C7B74" w:rsidRDefault="006F1AF0" w:rsidP="00934C4D">
      <w:pPr>
        <w:spacing w:after="120"/>
        <w:rPr>
          <w:rFonts w:cstheme="minorHAnsi"/>
          <w:b/>
          <w:sz w:val="20"/>
          <w:szCs w:val="20"/>
        </w:rPr>
      </w:pPr>
      <w:r>
        <w:rPr>
          <w:noProof/>
        </w:rPr>
        <w:drawing>
          <wp:inline distT="0" distB="0" distL="0" distR="0" wp14:anchorId="0D0D9DFB" wp14:editId="545AE399">
            <wp:extent cx="5727700" cy="3072130"/>
            <wp:effectExtent l="0" t="0" r="0" b="0"/>
            <wp:docPr id="2" name="Chart 2" descr="Bar graph - Estimated additional commercial floorspace for Inner Metro Region, 2016 to 2031. Shows estimates required for each council for office and retail floorspace.">
              <a:extLst xmlns:a="http://schemas.openxmlformats.org/drawingml/2006/main">
                <a:ext uri="{FF2B5EF4-FFF2-40B4-BE49-F238E27FC236}">
                  <a16:creationId xmlns:a16="http://schemas.microsoft.com/office/drawing/2014/main" id="{77ED3460-A6DB-47E1-BE8C-5854266230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00DC580D" w:rsidRPr="006C7B74">
        <w:rPr>
          <w:i/>
          <w:iCs/>
          <w:color w:val="404040" w:themeColor="text1" w:themeTint="BF"/>
          <w:sz w:val="18"/>
        </w:rPr>
        <w:t>Source:</w:t>
      </w:r>
      <w:r w:rsidR="007C154C" w:rsidRPr="006C7B74">
        <w:rPr>
          <w:i/>
          <w:iCs/>
          <w:color w:val="404040" w:themeColor="text1" w:themeTint="BF"/>
          <w:sz w:val="18"/>
        </w:rPr>
        <w:t xml:space="preserve"> </w:t>
      </w:r>
      <w:r w:rsidR="00DC580D" w:rsidRPr="006C7B74">
        <w:rPr>
          <w:i/>
          <w:iCs/>
          <w:color w:val="404040" w:themeColor="text1" w:themeTint="BF"/>
          <w:sz w:val="18"/>
        </w:rPr>
        <w:t xml:space="preserve">Department of </w:t>
      </w:r>
      <w:r w:rsidR="00DC580D" w:rsidRPr="00683949">
        <w:rPr>
          <w:rStyle w:val="QuoteChar"/>
        </w:rPr>
        <w:t>Environment, Land, Water</w:t>
      </w:r>
      <w:r w:rsidR="00DC580D" w:rsidRPr="006C7B74">
        <w:rPr>
          <w:i/>
          <w:iCs/>
          <w:color w:val="404040" w:themeColor="text1" w:themeTint="BF"/>
          <w:sz w:val="18"/>
        </w:rPr>
        <w:t xml:space="preserve"> and Planning, unpublished data (</w:t>
      </w:r>
      <w:r w:rsidR="00802E17">
        <w:rPr>
          <w:i/>
          <w:iCs/>
          <w:color w:val="404040" w:themeColor="text1" w:themeTint="BF"/>
          <w:sz w:val="18"/>
        </w:rPr>
        <w:t>2020</w:t>
      </w:r>
      <w:r w:rsidR="00DC580D" w:rsidRPr="006C7B74">
        <w:rPr>
          <w:i/>
          <w:iCs/>
          <w:color w:val="404040" w:themeColor="text1" w:themeTint="BF"/>
          <w:sz w:val="18"/>
        </w:rPr>
        <w:t>)</w:t>
      </w:r>
      <w:r w:rsidR="0097714A" w:rsidRPr="006C7B74">
        <w:rPr>
          <w:rFonts w:cstheme="minorHAnsi"/>
          <w:b/>
          <w:sz w:val="20"/>
          <w:szCs w:val="20"/>
        </w:rPr>
        <w:br w:type="page"/>
      </w:r>
    </w:p>
    <w:p w14:paraId="470BC263" w14:textId="76B48C9F" w:rsidR="00BA5C7A" w:rsidRPr="006C7B74" w:rsidRDefault="00BA5C7A" w:rsidP="00934C4D">
      <w:pPr>
        <w:pStyle w:val="Heading2-Contenttable"/>
        <w:spacing w:after="120"/>
      </w:pPr>
      <w:bookmarkStart w:id="37" w:name="_Toc21694816"/>
      <w:r w:rsidRPr="006C7B74">
        <w:lastRenderedPageBreak/>
        <w:t xml:space="preserve">Planning </w:t>
      </w:r>
      <w:r w:rsidR="003C5031" w:rsidRPr="006C7B74">
        <w:t xml:space="preserve">framework </w:t>
      </w:r>
      <w:r w:rsidRPr="006C7B74">
        <w:t>for industrial and commercial land across the region</w:t>
      </w:r>
      <w:bookmarkEnd w:id="37"/>
    </w:p>
    <w:p w14:paraId="074B7CB9" w14:textId="628B2844" w:rsidR="00BA5C7A" w:rsidRPr="006C7B74" w:rsidRDefault="00A308C6" w:rsidP="007567E9">
      <w:pPr>
        <w:spacing w:after="120"/>
        <w:rPr>
          <w:rFonts w:cstheme="minorHAnsi"/>
          <w:sz w:val="20"/>
          <w:szCs w:val="20"/>
        </w:rPr>
      </w:pPr>
      <w:r w:rsidRPr="006C7B74">
        <w:rPr>
          <w:rFonts w:cstheme="minorHAnsi"/>
          <w:sz w:val="20"/>
          <w:szCs w:val="20"/>
        </w:rPr>
        <w:t>T</w:t>
      </w:r>
      <w:r w:rsidR="00C012C2" w:rsidRPr="006C7B74">
        <w:rPr>
          <w:rFonts w:cstheme="minorHAnsi"/>
          <w:sz w:val="20"/>
          <w:szCs w:val="20"/>
        </w:rPr>
        <w:t>he Inner Metro</w:t>
      </w:r>
      <w:r w:rsidR="009E76C5" w:rsidRPr="006C7B74">
        <w:rPr>
          <w:rFonts w:cstheme="minorHAnsi"/>
          <w:sz w:val="20"/>
          <w:szCs w:val="20"/>
        </w:rPr>
        <w:t xml:space="preserve"> </w:t>
      </w:r>
      <w:r w:rsidR="00C012C2" w:rsidRPr="006C7B74">
        <w:rPr>
          <w:rFonts w:cstheme="minorHAnsi"/>
          <w:sz w:val="20"/>
          <w:szCs w:val="20"/>
        </w:rPr>
        <w:t>R</w:t>
      </w:r>
      <w:r w:rsidR="009E76C5" w:rsidRPr="006C7B74">
        <w:rPr>
          <w:rFonts w:cstheme="minorHAnsi"/>
          <w:sz w:val="20"/>
          <w:szCs w:val="20"/>
        </w:rPr>
        <w:t xml:space="preserve">egion </w:t>
      </w:r>
      <w:r w:rsidR="00375066" w:rsidRPr="006C7B74">
        <w:rPr>
          <w:rFonts w:cstheme="minorHAnsi"/>
          <w:sz w:val="20"/>
          <w:szCs w:val="20"/>
        </w:rPr>
        <w:t>contains</w:t>
      </w:r>
      <w:r w:rsidR="009E76C5" w:rsidRPr="006C7B74">
        <w:rPr>
          <w:rFonts w:cstheme="minorHAnsi"/>
          <w:sz w:val="20"/>
          <w:szCs w:val="20"/>
        </w:rPr>
        <w:t xml:space="preserve"> the largest supply of commercial land in the metropolitan area, </w:t>
      </w:r>
      <w:r w:rsidR="00375066" w:rsidRPr="006C7B74">
        <w:rPr>
          <w:rFonts w:cstheme="minorHAnsi"/>
          <w:sz w:val="20"/>
          <w:szCs w:val="20"/>
        </w:rPr>
        <w:t xml:space="preserve">however </w:t>
      </w:r>
      <w:r w:rsidR="009E76C5" w:rsidRPr="006C7B74">
        <w:rPr>
          <w:rFonts w:cstheme="minorHAnsi"/>
          <w:sz w:val="20"/>
          <w:szCs w:val="20"/>
        </w:rPr>
        <w:t>t</w:t>
      </w:r>
      <w:r w:rsidR="00BA5C7A" w:rsidRPr="006C7B74">
        <w:rPr>
          <w:rFonts w:cstheme="minorHAnsi"/>
          <w:sz w:val="20"/>
          <w:szCs w:val="20"/>
        </w:rPr>
        <w:t>here is a relatively small amount of industrial land</w:t>
      </w:r>
      <w:r w:rsidR="009E76C5" w:rsidRPr="006C7B74">
        <w:rPr>
          <w:rFonts w:cstheme="minorHAnsi"/>
          <w:sz w:val="20"/>
          <w:szCs w:val="20"/>
        </w:rPr>
        <w:t xml:space="preserve">. Even so, the region is home to </w:t>
      </w:r>
      <w:r w:rsidR="00375066" w:rsidRPr="006C7B74">
        <w:rPr>
          <w:rFonts w:cstheme="minorHAnsi"/>
          <w:sz w:val="20"/>
          <w:szCs w:val="20"/>
        </w:rPr>
        <w:t xml:space="preserve">industrial </w:t>
      </w:r>
      <w:r w:rsidR="009E76C5" w:rsidRPr="006C7B74">
        <w:rPr>
          <w:rFonts w:cstheme="minorHAnsi"/>
          <w:sz w:val="20"/>
          <w:szCs w:val="20"/>
        </w:rPr>
        <w:t>areas critical to the State’s economy and ongoing prosperity</w:t>
      </w:r>
      <w:r w:rsidR="005E2EBE" w:rsidRPr="006C7B74">
        <w:rPr>
          <w:rFonts w:cstheme="minorHAnsi"/>
          <w:sz w:val="20"/>
          <w:szCs w:val="20"/>
        </w:rPr>
        <w:t>. They</w:t>
      </w:r>
      <w:r w:rsidR="009E76C5" w:rsidRPr="006C7B74">
        <w:rPr>
          <w:rFonts w:cstheme="minorHAnsi"/>
          <w:sz w:val="20"/>
          <w:szCs w:val="20"/>
        </w:rPr>
        <w:t xml:space="preserve"> provid</w:t>
      </w:r>
      <w:r w:rsidR="005E2EBE" w:rsidRPr="006C7B74">
        <w:rPr>
          <w:rFonts w:cstheme="minorHAnsi"/>
          <w:sz w:val="20"/>
          <w:szCs w:val="20"/>
        </w:rPr>
        <w:t xml:space="preserve">e </w:t>
      </w:r>
      <w:r w:rsidR="00EF47FB" w:rsidRPr="006C7B74">
        <w:rPr>
          <w:rFonts w:cstheme="minorHAnsi"/>
          <w:sz w:val="20"/>
          <w:szCs w:val="20"/>
        </w:rPr>
        <w:t>employment and economic functions which are significant at</w:t>
      </w:r>
      <w:r w:rsidR="009E76C5" w:rsidRPr="006C7B74">
        <w:rPr>
          <w:rFonts w:cstheme="minorHAnsi"/>
          <w:sz w:val="20"/>
          <w:szCs w:val="20"/>
        </w:rPr>
        <w:t xml:space="preserve"> </w:t>
      </w:r>
      <w:r w:rsidR="00BA5C7A" w:rsidRPr="006C7B74">
        <w:rPr>
          <w:rFonts w:cstheme="minorHAnsi"/>
          <w:sz w:val="20"/>
          <w:szCs w:val="20"/>
        </w:rPr>
        <w:t>state, regional and local</w:t>
      </w:r>
      <w:r w:rsidR="005360E1" w:rsidRPr="006C7B74">
        <w:rPr>
          <w:rFonts w:cstheme="minorHAnsi"/>
          <w:sz w:val="20"/>
          <w:szCs w:val="20"/>
        </w:rPr>
        <w:t xml:space="preserve"> levels. </w:t>
      </w:r>
    </w:p>
    <w:p w14:paraId="46564915" w14:textId="0F94B52A" w:rsidR="00BA5C7A" w:rsidRPr="006C7B74" w:rsidRDefault="00BA5C7A" w:rsidP="007567E9">
      <w:pPr>
        <w:spacing w:after="120"/>
        <w:rPr>
          <w:rFonts w:cstheme="minorHAnsi"/>
          <w:sz w:val="20"/>
          <w:szCs w:val="20"/>
        </w:rPr>
      </w:pPr>
      <w:r w:rsidRPr="006C7B74">
        <w:rPr>
          <w:rFonts w:cstheme="minorHAnsi"/>
          <w:sz w:val="20"/>
          <w:szCs w:val="20"/>
        </w:rPr>
        <w:t xml:space="preserve">Industrial land has been decreasing </w:t>
      </w:r>
      <w:r w:rsidR="009E76C5" w:rsidRPr="006C7B74">
        <w:rPr>
          <w:rFonts w:cstheme="minorHAnsi"/>
          <w:sz w:val="20"/>
          <w:szCs w:val="20"/>
        </w:rPr>
        <w:t>across</w:t>
      </w:r>
      <w:r w:rsidRPr="006C7B74">
        <w:rPr>
          <w:rFonts w:cstheme="minorHAnsi"/>
          <w:sz w:val="20"/>
          <w:szCs w:val="20"/>
        </w:rPr>
        <w:t xml:space="preserve"> the region and commercial uses are </w:t>
      </w:r>
      <w:r w:rsidR="007F35DE" w:rsidRPr="006C7B74">
        <w:rPr>
          <w:rFonts w:cstheme="minorHAnsi"/>
          <w:sz w:val="20"/>
          <w:szCs w:val="20"/>
        </w:rPr>
        <w:t xml:space="preserve">being increasingly </w:t>
      </w:r>
      <w:r w:rsidRPr="006C7B74">
        <w:rPr>
          <w:rFonts w:cstheme="minorHAnsi"/>
          <w:sz w:val="20"/>
          <w:szCs w:val="20"/>
        </w:rPr>
        <w:t xml:space="preserve">displaced by accommodation and other uses. This </w:t>
      </w:r>
      <w:r w:rsidR="00F12D4A" w:rsidRPr="006C7B74">
        <w:rPr>
          <w:rFonts w:cstheme="minorHAnsi"/>
          <w:sz w:val="20"/>
          <w:szCs w:val="20"/>
        </w:rPr>
        <w:t>trend</w:t>
      </w:r>
      <w:r w:rsidRPr="006C7B74">
        <w:rPr>
          <w:rFonts w:cstheme="minorHAnsi"/>
          <w:sz w:val="20"/>
          <w:szCs w:val="20"/>
        </w:rPr>
        <w:t xml:space="preserve"> potentially has negative impacts for the region’s economy and employment. Improved monitoring, oversight and protection of remaining industrial and commercial land is</w:t>
      </w:r>
      <w:r w:rsidR="00851DBD" w:rsidRPr="006C7B74">
        <w:rPr>
          <w:rFonts w:cstheme="minorHAnsi"/>
          <w:sz w:val="20"/>
          <w:szCs w:val="20"/>
        </w:rPr>
        <w:t xml:space="preserve"> therefore</w:t>
      </w:r>
      <w:r w:rsidRPr="006C7B74">
        <w:rPr>
          <w:rFonts w:cstheme="minorHAnsi"/>
          <w:sz w:val="20"/>
          <w:szCs w:val="20"/>
        </w:rPr>
        <w:t xml:space="preserve"> required. </w:t>
      </w:r>
    </w:p>
    <w:p w14:paraId="49C7BCC9" w14:textId="50FFFA88" w:rsidR="007567E9" w:rsidRPr="006C7B74" w:rsidRDefault="005712EA" w:rsidP="007567E9">
      <w:pPr>
        <w:spacing w:after="120"/>
        <w:rPr>
          <w:rFonts w:cstheme="minorHAnsi"/>
          <w:sz w:val="20"/>
          <w:szCs w:val="20"/>
        </w:rPr>
      </w:pPr>
      <w:r w:rsidRPr="006C7B74">
        <w:rPr>
          <w:rFonts w:cstheme="minorHAnsi"/>
          <w:sz w:val="20"/>
          <w:szCs w:val="20"/>
        </w:rPr>
        <w:t>Significant opportunity exists at major urban renewal sites across the region to accommodate future growth of appropriate industries and businesses, however</w:t>
      </w:r>
      <w:r w:rsidR="00BB7EDA">
        <w:rPr>
          <w:rFonts w:cstheme="minorHAnsi"/>
          <w:sz w:val="20"/>
          <w:szCs w:val="20"/>
        </w:rPr>
        <w:t>,</w:t>
      </w:r>
      <w:r w:rsidRPr="006C7B74">
        <w:rPr>
          <w:rFonts w:cstheme="minorHAnsi"/>
          <w:sz w:val="20"/>
          <w:szCs w:val="20"/>
        </w:rPr>
        <w:t xml:space="preserve"> t</w:t>
      </w:r>
      <w:r w:rsidR="007567E9" w:rsidRPr="006C7B74">
        <w:rPr>
          <w:rFonts w:cstheme="minorHAnsi"/>
          <w:sz w:val="20"/>
          <w:szCs w:val="20"/>
        </w:rPr>
        <w:t xml:space="preserve">here </w:t>
      </w:r>
      <w:r w:rsidRPr="006C7B74">
        <w:rPr>
          <w:rFonts w:cstheme="minorHAnsi"/>
          <w:sz w:val="20"/>
          <w:szCs w:val="20"/>
        </w:rPr>
        <w:t>remain</w:t>
      </w:r>
      <w:r w:rsidR="007567E9" w:rsidRPr="006C7B74">
        <w:rPr>
          <w:rFonts w:cstheme="minorHAnsi"/>
          <w:sz w:val="20"/>
          <w:szCs w:val="20"/>
        </w:rPr>
        <w:t xml:space="preserve"> a number of challenges for the region in planning for industrial and commercial land</w:t>
      </w:r>
      <w:r w:rsidRPr="006C7B74">
        <w:rPr>
          <w:rFonts w:cstheme="minorHAnsi"/>
          <w:sz w:val="20"/>
          <w:szCs w:val="20"/>
        </w:rPr>
        <w:t>.</w:t>
      </w:r>
    </w:p>
    <w:p w14:paraId="06EDEA04" w14:textId="5BC1D762" w:rsidR="007567E9" w:rsidRPr="006C7B74" w:rsidRDefault="007567E9" w:rsidP="000D058C">
      <w:pPr>
        <w:spacing w:after="120"/>
      </w:pPr>
      <w:r w:rsidRPr="006C7B74">
        <w:rPr>
          <w:rFonts w:cstheme="minorHAnsi"/>
          <w:sz w:val="20"/>
          <w:szCs w:val="20"/>
        </w:rPr>
        <w:t>Maintaining a supply of affordable and appropriately located industrial land for a range of industries, including creative industries</w:t>
      </w:r>
      <w:r w:rsidR="007F35DE" w:rsidRPr="006C7B74">
        <w:rPr>
          <w:rFonts w:cstheme="minorHAnsi"/>
          <w:sz w:val="20"/>
          <w:szCs w:val="20"/>
        </w:rPr>
        <w:t xml:space="preserve"> and service industries, will be important to support </w:t>
      </w:r>
      <w:r w:rsidR="005712EA" w:rsidRPr="006C7B74">
        <w:rPr>
          <w:rFonts w:cstheme="minorHAnsi"/>
          <w:sz w:val="20"/>
          <w:szCs w:val="20"/>
        </w:rPr>
        <w:t xml:space="preserve">businesses and </w:t>
      </w:r>
      <w:r w:rsidR="007F35DE" w:rsidRPr="006C7B74">
        <w:rPr>
          <w:rFonts w:cstheme="minorHAnsi"/>
          <w:sz w:val="20"/>
          <w:szCs w:val="20"/>
        </w:rPr>
        <w:t>residents in the region</w:t>
      </w:r>
      <w:r w:rsidR="006E5D38" w:rsidRPr="006C7B74">
        <w:rPr>
          <w:rFonts w:cstheme="minorHAnsi"/>
          <w:sz w:val="20"/>
          <w:szCs w:val="20"/>
        </w:rPr>
        <w:t xml:space="preserve"> as well as the broader metropolitan area</w:t>
      </w:r>
      <w:r w:rsidR="007F35DE" w:rsidRPr="006C7B74">
        <w:rPr>
          <w:rFonts w:cstheme="minorHAnsi"/>
          <w:sz w:val="20"/>
          <w:szCs w:val="20"/>
        </w:rPr>
        <w:t>. A key challenge for such industries will be ensuring they are able to establish and operate effectively.</w:t>
      </w:r>
    </w:p>
    <w:p w14:paraId="70376029" w14:textId="705B5E8B" w:rsidR="007567E9" w:rsidRPr="006C7B74" w:rsidRDefault="007F35DE" w:rsidP="000D058C">
      <w:pPr>
        <w:spacing w:after="120"/>
      </w:pPr>
      <w:r w:rsidRPr="006C7B74">
        <w:rPr>
          <w:rFonts w:cstheme="minorHAnsi"/>
          <w:sz w:val="20"/>
          <w:szCs w:val="20"/>
        </w:rPr>
        <w:t>There is also a need to carefully b</w:t>
      </w:r>
      <w:r w:rsidR="007567E9" w:rsidRPr="006C7B74">
        <w:rPr>
          <w:rFonts w:cstheme="minorHAnsi"/>
          <w:sz w:val="20"/>
          <w:szCs w:val="20"/>
        </w:rPr>
        <w:t>alanc</w:t>
      </w:r>
      <w:r w:rsidRPr="006C7B74">
        <w:rPr>
          <w:rFonts w:cstheme="minorHAnsi"/>
          <w:sz w:val="20"/>
          <w:szCs w:val="20"/>
        </w:rPr>
        <w:t>e</w:t>
      </w:r>
      <w:r w:rsidR="007567E9" w:rsidRPr="006C7B74">
        <w:rPr>
          <w:rFonts w:cstheme="minorHAnsi"/>
          <w:sz w:val="20"/>
          <w:szCs w:val="20"/>
        </w:rPr>
        <w:t xml:space="preserve"> planning for industrial and commercial areas with pressure for ongoing residential development.</w:t>
      </w:r>
      <w:r w:rsidR="005712EA" w:rsidRPr="006C7B74">
        <w:rPr>
          <w:rFonts w:cstheme="minorHAnsi"/>
          <w:sz w:val="20"/>
          <w:szCs w:val="20"/>
        </w:rPr>
        <w:t xml:space="preserve"> New residential or mixed</w:t>
      </w:r>
      <w:r w:rsidR="00720165" w:rsidRPr="006C7B74">
        <w:rPr>
          <w:rFonts w:cstheme="minorHAnsi"/>
          <w:sz w:val="20"/>
          <w:szCs w:val="20"/>
        </w:rPr>
        <w:t>-</w:t>
      </w:r>
      <w:r w:rsidR="005712EA" w:rsidRPr="006C7B74">
        <w:rPr>
          <w:rFonts w:cstheme="minorHAnsi"/>
          <w:sz w:val="20"/>
          <w:szCs w:val="20"/>
        </w:rPr>
        <w:t>use development adjacent to industrial areas will need careful consideration</w:t>
      </w:r>
      <w:r w:rsidR="00002185" w:rsidRPr="006C7B74">
        <w:rPr>
          <w:rFonts w:cstheme="minorHAnsi"/>
          <w:sz w:val="20"/>
          <w:szCs w:val="20"/>
        </w:rPr>
        <w:t>,</w:t>
      </w:r>
      <w:r w:rsidR="005712EA" w:rsidRPr="006C7B74">
        <w:rPr>
          <w:rFonts w:cstheme="minorHAnsi"/>
          <w:sz w:val="20"/>
          <w:szCs w:val="20"/>
        </w:rPr>
        <w:t xml:space="preserve"> so as not to limit the ability of businesses to continue to operate. Consideration should be given to ways in which any potential conflicts can be mitigated or managed.</w:t>
      </w:r>
    </w:p>
    <w:p w14:paraId="7C46F4C7" w14:textId="77777777" w:rsidR="0052312F" w:rsidRPr="006C7B74" w:rsidRDefault="0052312F" w:rsidP="0052312F">
      <w:pPr>
        <w:pStyle w:val="ListParagraph"/>
        <w:spacing w:after="120"/>
        <w:ind w:left="0"/>
        <w:rPr>
          <w:rFonts w:cstheme="minorHAnsi"/>
          <w:sz w:val="20"/>
          <w:szCs w:val="20"/>
          <w:lang w:eastAsia="en-AU"/>
        </w:rPr>
      </w:pPr>
      <w:r w:rsidRPr="006C7B74">
        <w:rPr>
          <w:rFonts w:cstheme="minorHAnsi"/>
          <w:sz w:val="20"/>
          <w:szCs w:val="20"/>
          <w:lang w:eastAsia="en-AU"/>
        </w:rPr>
        <w:t>Planning for the region should:</w:t>
      </w:r>
    </w:p>
    <w:p w14:paraId="5377DD21" w14:textId="77777777" w:rsidR="0052312F" w:rsidRPr="006C7B74" w:rsidRDefault="0052312F" w:rsidP="0052312F">
      <w:pPr>
        <w:pStyle w:val="BodyText"/>
        <w:numPr>
          <w:ilvl w:val="0"/>
          <w:numId w:val="4"/>
        </w:numPr>
        <w:spacing w:before="0" w:line="240" w:lineRule="auto"/>
        <w:rPr>
          <w:lang w:eastAsia="en-AU"/>
        </w:rPr>
      </w:pPr>
      <w:r w:rsidRPr="006C7B74">
        <w:rPr>
          <w:lang w:eastAsia="en-AU"/>
        </w:rPr>
        <w:t xml:space="preserve">Retain land in the </w:t>
      </w:r>
      <w:proofErr w:type="spellStart"/>
      <w:r w:rsidRPr="006C7B74">
        <w:rPr>
          <w:lang w:eastAsia="en-AU"/>
        </w:rPr>
        <w:t>Fishermans</w:t>
      </w:r>
      <w:proofErr w:type="spellEnd"/>
      <w:r w:rsidRPr="006C7B74">
        <w:rPr>
          <w:lang w:eastAsia="en-AU"/>
        </w:rPr>
        <w:t xml:space="preserve"> Bend NEIC employment precinct, around the Port of Melbourne at Dynon and in Abbotsford predominantly for industrial uses.</w:t>
      </w:r>
    </w:p>
    <w:p w14:paraId="386B18F3" w14:textId="05C1D4EB" w:rsidR="0052312F" w:rsidRPr="006C7B74" w:rsidRDefault="0052312F" w:rsidP="0052312F">
      <w:pPr>
        <w:pStyle w:val="BodyText"/>
        <w:numPr>
          <w:ilvl w:val="0"/>
          <w:numId w:val="4"/>
        </w:numPr>
        <w:spacing w:before="0" w:line="240" w:lineRule="auto"/>
        <w:rPr>
          <w:lang w:eastAsia="en-AU"/>
        </w:rPr>
      </w:pPr>
      <w:r w:rsidRPr="006C7B74">
        <w:rPr>
          <w:lang w:eastAsia="en-AU"/>
        </w:rPr>
        <w:t xml:space="preserve">Retain </w:t>
      </w:r>
      <w:r w:rsidR="00ED23A0" w:rsidRPr="006C7B74">
        <w:rPr>
          <w:lang w:eastAsia="en-AU"/>
        </w:rPr>
        <w:t xml:space="preserve">and support </w:t>
      </w:r>
      <w:r w:rsidRPr="006C7B74">
        <w:rPr>
          <w:lang w:eastAsia="en-AU"/>
        </w:rPr>
        <w:t>areas in and around Collingwood</w:t>
      </w:r>
      <w:r w:rsidR="00E90184" w:rsidRPr="006C7B74">
        <w:rPr>
          <w:lang w:eastAsia="en-AU"/>
        </w:rPr>
        <w:t>,</w:t>
      </w:r>
      <w:r w:rsidRPr="006C7B74">
        <w:rPr>
          <w:lang w:eastAsia="en-AU"/>
        </w:rPr>
        <w:t xml:space="preserve"> Cremorne </w:t>
      </w:r>
      <w:r w:rsidR="00ED23A0" w:rsidRPr="006C7B74">
        <w:rPr>
          <w:lang w:eastAsia="en-AU"/>
        </w:rPr>
        <w:t xml:space="preserve">and </w:t>
      </w:r>
      <w:r w:rsidRPr="006C7B74">
        <w:rPr>
          <w:lang w:eastAsia="en-AU"/>
        </w:rPr>
        <w:t xml:space="preserve">South Melbourne </w:t>
      </w:r>
      <w:r w:rsidR="008B7232" w:rsidRPr="006C7B74">
        <w:rPr>
          <w:lang w:eastAsia="en-AU"/>
        </w:rPr>
        <w:t>to continue to develop</w:t>
      </w:r>
      <w:r w:rsidR="00BC7EB4" w:rsidRPr="006C7B74">
        <w:rPr>
          <w:lang w:eastAsia="en-AU"/>
        </w:rPr>
        <w:t xml:space="preserve"> </w:t>
      </w:r>
      <w:r w:rsidR="00457431" w:rsidRPr="006C7B74">
        <w:rPr>
          <w:lang w:eastAsia="en-AU"/>
        </w:rPr>
        <w:t>as key locations</w:t>
      </w:r>
      <w:r w:rsidRPr="006C7B74">
        <w:rPr>
          <w:lang w:eastAsia="en-AU"/>
        </w:rPr>
        <w:t xml:space="preserve"> creative industry uses.</w:t>
      </w:r>
    </w:p>
    <w:p w14:paraId="7FA8F392" w14:textId="77777777" w:rsidR="0052312F" w:rsidRPr="006C7B74" w:rsidRDefault="0052312F" w:rsidP="0052312F">
      <w:pPr>
        <w:pStyle w:val="BodyText"/>
        <w:numPr>
          <w:ilvl w:val="0"/>
          <w:numId w:val="4"/>
        </w:numPr>
        <w:spacing w:before="0" w:line="240" w:lineRule="auto"/>
        <w:rPr>
          <w:lang w:eastAsia="en-AU"/>
        </w:rPr>
      </w:pPr>
      <w:r w:rsidRPr="006C7B74">
        <w:rPr>
          <w:lang w:eastAsia="en-AU"/>
        </w:rPr>
        <w:t xml:space="preserve">Investigate opportunities in areas such as Arden Central and Domain to support other employment uses that are well connected to adjacent employment uses, including the Parkville NEIC and the Central City. </w:t>
      </w:r>
    </w:p>
    <w:p w14:paraId="0F952B51" w14:textId="77777777" w:rsidR="0052312F" w:rsidRPr="006C7B74" w:rsidRDefault="0052312F" w:rsidP="0052312F">
      <w:pPr>
        <w:pStyle w:val="BodyText"/>
        <w:numPr>
          <w:ilvl w:val="0"/>
          <w:numId w:val="4"/>
        </w:numPr>
        <w:spacing w:before="0" w:line="240" w:lineRule="auto"/>
        <w:rPr>
          <w:lang w:eastAsia="en-AU"/>
        </w:rPr>
      </w:pPr>
      <w:r w:rsidRPr="006C7B74">
        <w:rPr>
          <w:lang w:eastAsia="en-AU"/>
        </w:rPr>
        <w:t>Identify precincts and opportunities where commercial development should be prioritised and can be accommodated to meet future needs.</w:t>
      </w:r>
    </w:p>
    <w:p w14:paraId="64C27B13" w14:textId="5DD92468" w:rsidR="0097714A" w:rsidRPr="006C7B74" w:rsidRDefault="0097714A" w:rsidP="00934C4D">
      <w:pPr>
        <w:pStyle w:val="ListParagraph"/>
        <w:spacing w:after="120"/>
        <w:ind w:left="0"/>
        <w:rPr>
          <w:rFonts w:cstheme="minorHAnsi"/>
          <w:b/>
          <w:sz w:val="20"/>
          <w:szCs w:val="20"/>
        </w:rPr>
      </w:pPr>
      <w:r w:rsidRPr="006C7B74">
        <w:rPr>
          <w:rFonts w:cstheme="minorHAnsi"/>
          <w:b/>
          <w:sz w:val="20"/>
          <w:szCs w:val="20"/>
        </w:rPr>
        <w:br w:type="page"/>
      </w:r>
    </w:p>
    <w:p w14:paraId="49C28A09" w14:textId="45D5AA0C" w:rsidR="00F24CE4" w:rsidRPr="00683949" w:rsidRDefault="00C902CD" w:rsidP="00683949">
      <w:pPr>
        <w:pStyle w:val="Heading5"/>
      </w:pPr>
      <w:r w:rsidRPr="00683949">
        <w:lastRenderedPageBreak/>
        <w:t>Map</w:t>
      </w:r>
      <w:r w:rsidR="0097714A" w:rsidRPr="00683949">
        <w:t xml:space="preserve"> </w:t>
      </w:r>
      <w:r w:rsidR="00D90DAF" w:rsidRPr="00683949">
        <w:t>4</w:t>
      </w:r>
      <w:r w:rsidR="0097714A" w:rsidRPr="00683949">
        <w:t xml:space="preserve">: Inner </w:t>
      </w:r>
      <w:r w:rsidR="004C6DDE" w:rsidRPr="00683949">
        <w:t xml:space="preserve">Metro </w:t>
      </w:r>
      <w:r w:rsidR="0097714A" w:rsidRPr="00683949">
        <w:t>Region</w:t>
      </w:r>
      <w:r w:rsidR="0048428A" w:rsidRPr="00683949">
        <w:t xml:space="preserve"> </w:t>
      </w:r>
      <w:r w:rsidR="00FC3DFD" w:rsidRPr="00683949">
        <w:t xml:space="preserve">- </w:t>
      </w:r>
      <w:r w:rsidR="009A69A9" w:rsidRPr="00683949">
        <w:t>i</w:t>
      </w:r>
      <w:r w:rsidR="0048428A" w:rsidRPr="00683949">
        <w:t xml:space="preserve">ndustrial </w:t>
      </w:r>
      <w:r w:rsidR="009A69A9" w:rsidRPr="00683949">
        <w:t>l</w:t>
      </w:r>
      <w:r w:rsidR="0048428A" w:rsidRPr="00683949">
        <w:t>and</w:t>
      </w:r>
    </w:p>
    <w:p w14:paraId="5A564F7A" w14:textId="1B080880" w:rsidR="000E5EC2" w:rsidRPr="006C7B74" w:rsidRDefault="000E5EC2" w:rsidP="000E5EC2">
      <w:pPr>
        <w:pStyle w:val="Quote"/>
      </w:pPr>
      <w:r w:rsidRPr="006C7B74">
        <w:t xml:space="preserve">Source: Department of Environment, Land, Water and Planning </w:t>
      </w:r>
    </w:p>
    <w:p w14:paraId="1E3AE3C1" w14:textId="77777777" w:rsidR="00216CBE" w:rsidRPr="006C7B74" w:rsidRDefault="00216CBE" w:rsidP="00216CBE"/>
    <w:p w14:paraId="3552D8F8" w14:textId="059FBA95" w:rsidR="00044B2B" w:rsidRPr="00683949" w:rsidRDefault="00887D89" w:rsidP="00683949">
      <w:pPr>
        <w:pStyle w:val="Heading5"/>
      </w:pPr>
      <w:r w:rsidRPr="00683949">
        <w:t xml:space="preserve">Map </w:t>
      </w:r>
      <w:r w:rsidR="00D90DAF" w:rsidRPr="00683949">
        <w:t>5</w:t>
      </w:r>
      <w:r w:rsidRPr="00683949">
        <w:t xml:space="preserve">: Inner </w:t>
      </w:r>
      <w:r w:rsidR="003C5B9C" w:rsidRPr="00683949">
        <w:t xml:space="preserve">Metro </w:t>
      </w:r>
      <w:r w:rsidR="009A69A9" w:rsidRPr="00683949">
        <w:t>R</w:t>
      </w:r>
      <w:r w:rsidRPr="00683949">
        <w:t xml:space="preserve">egion </w:t>
      </w:r>
      <w:r w:rsidR="00DA65E4" w:rsidRPr="00683949">
        <w:t>-</w:t>
      </w:r>
      <w:r w:rsidRPr="00683949">
        <w:t xml:space="preserve"> </w:t>
      </w:r>
      <w:r w:rsidR="009A69A9" w:rsidRPr="00683949">
        <w:t>c</w:t>
      </w:r>
      <w:r w:rsidRPr="00683949">
        <w:t xml:space="preserve">ommercial </w:t>
      </w:r>
      <w:r w:rsidR="009A69A9" w:rsidRPr="00683949">
        <w:t>l</w:t>
      </w:r>
      <w:r w:rsidRPr="00683949">
        <w:t>and</w:t>
      </w:r>
      <w:r w:rsidR="00E01013" w:rsidRPr="00683949">
        <w:t xml:space="preserve"> </w:t>
      </w:r>
    </w:p>
    <w:p w14:paraId="33EA6AFA" w14:textId="2478267C" w:rsidR="00973591" w:rsidRPr="006C7B74" w:rsidRDefault="000E5EC2" w:rsidP="000E5EC2">
      <w:pPr>
        <w:pStyle w:val="Quote"/>
      </w:pPr>
      <w:r w:rsidRPr="006C7B74">
        <w:t xml:space="preserve">Source: Department of Environment, Land, Water and Planning </w:t>
      </w:r>
    </w:p>
    <w:p w14:paraId="30692309" w14:textId="77777777" w:rsidR="00973591" w:rsidRPr="006C7B74" w:rsidRDefault="00973591">
      <w:pPr>
        <w:rPr>
          <w:i/>
          <w:iCs/>
          <w:color w:val="404040" w:themeColor="text1" w:themeTint="BF"/>
          <w:sz w:val="18"/>
        </w:rPr>
      </w:pPr>
      <w:r w:rsidRPr="006C7B74">
        <w:br w:type="page"/>
      </w:r>
    </w:p>
    <w:p w14:paraId="31AF77C3" w14:textId="77777777" w:rsidR="002A5B72" w:rsidRPr="006C7B74" w:rsidRDefault="002A5B72" w:rsidP="00934C4D">
      <w:pPr>
        <w:pStyle w:val="Heading1"/>
        <w:spacing w:before="0"/>
        <w:ind w:left="357" w:hanging="357"/>
      </w:pPr>
      <w:bookmarkStart w:id="38" w:name="_Toc21694817"/>
      <w:r w:rsidRPr="006C7B74">
        <w:lastRenderedPageBreak/>
        <w:t>Western Region</w:t>
      </w:r>
      <w:bookmarkEnd w:id="38"/>
      <w:r w:rsidRPr="006C7B74">
        <w:t xml:space="preserve"> </w:t>
      </w:r>
    </w:p>
    <w:p w14:paraId="0EA3DEEC" w14:textId="7900EBD1" w:rsidR="002A5B72" w:rsidRPr="006C7B74" w:rsidRDefault="002A5B72" w:rsidP="00934C4D">
      <w:pPr>
        <w:pStyle w:val="Heading2-Contenttable"/>
        <w:spacing w:after="120"/>
      </w:pPr>
      <w:bookmarkStart w:id="39" w:name="_Toc21694818"/>
      <w:r w:rsidRPr="006C7B74">
        <w:t xml:space="preserve">Regional </w:t>
      </w:r>
      <w:r w:rsidR="00941C0F" w:rsidRPr="006C7B74">
        <w:t>snapshot</w:t>
      </w:r>
      <w:bookmarkEnd w:id="39"/>
    </w:p>
    <w:p w14:paraId="38C02E61" w14:textId="21C4F61B" w:rsidR="002A5B72" w:rsidRPr="006C7B74" w:rsidRDefault="002A5B72" w:rsidP="00934C4D">
      <w:pPr>
        <w:spacing w:after="120"/>
        <w:rPr>
          <w:rFonts w:cstheme="minorHAnsi"/>
          <w:sz w:val="20"/>
          <w:szCs w:val="20"/>
        </w:rPr>
      </w:pPr>
      <w:r w:rsidRPr="006C7B74">
        <w:rPr>
          <w:rFonts w:cstheme="minorHAnsi"/>
          <w:sz w:val="20"/>
          <w:szCs w:val="20"/>
        </w:rPr>
        <w:t xml:space="preserve">The Western Region comprises the municipalities of </w:t>
      </w:r>
      <w:proofErr w:type="spellStart"/>
      <w:r w:rsidRPr="006C7B74">
        <w:rPr>
          <w:rFonts w:cstheme="minorHAnsi"/>
          <w:sz w:val="20"/>
          <w:szCs w:val="20"/>
        </w:rPr>
        <w:t>Brimbank</w:t>
      </w:r>
      <w:proofErr w:type="spellEnd"/>
      <w:r w:rsidRPr="006C7B74">
        <w:rPr>
          <w:rFonts w:cstheme="minorHAnsi"/>
          <w:sz w:val="20"/>
          <w:szCs w:val="20"/>
        </w:rPr>
        <w:t xml:space="preserve">, Hobsons Bay, Maribyrnong, Melton, Moonee Valley and Wyndham. </w:t>
      </w:r>
      <w:r w:rsidR="006E5D38" w:rsidRPr="006C7B74">
        <w:rPr>
          <w:rFonts w:cstheme="minorHAnsi"/>
          <w:sz w:val="20"/>
          <w:szCs w:val="20"/>
        </w:rPr>
        <w:t>It</w:t>
      </w:r>
      <w:r w:rsidR="00824C3F" w:rsidRPr="006C7B74">
        <w:rPr>
          <w:rFonts w:cstheme="minorHAnsi"/>
          <w:sz w:val="20"/>
          <w:szCs w:val="20"/>
        </w:rPr>
        <w:t xml:space="preserve"> i</w:t>
      </w:r>
      <w:r w:rsidRPr="006C7B74">
        <w:rPr>
          <w:rFonts w:cstheme="minorHAnsi"/>
          <w:sz w:val="20"/>
          <w:szCs w:val="20"/>
        </w:rPr>
        <w:t xml:space="preserve">s the fastest growing region in </w:t>
      </w:r>
      <w:r w:rsidR="008C6FF8" w:rsidRPr="006C7B74">
        <w:rPr>
          <w:rFonts w:cstheme="minorHAnsi"/>
          <w:sz w:val="20"/>
          <w:szCs w:val="20"/>
        </w:rPr>
        <w:t xml:space="preserve">metropolitan </w:t>
      </w:r>
      <w:r w:rsidRPr="006C7B74">
        <w:rPr>
          <w:rFonts w:cstheme="minorHAnsi"/>
          <w:sz w:val="20"/>
          <w:szCs w:val="20"/>
        </w:rPr>
        <w:t>Melbourne, and home to the Western Growth Corridor with two major growth fronts</w:t>
      </w:r>
      <w:r w:rsidR="006A2357" w:rsidRPr="006C7B74">
        <w:rPr>
          <w:rFonts w:cstheme="minorHAnsi"/>
          <w:sz w:val="20"/>
          <w:szCs w:val="20"/>
        </w:rPr>
        <w:t>,</w:t>
      </w:r>
      <w:r w:rsidRPr="006C7B74">
        <w:rPr>
          <w:rFonts w:cstheme="minorHAnsi"/>
          <w:sz w:val="20"/>
          <w:szCs w:val="20"/>
        </w:rPr>
        <w:t xml:space="preserve"> Melton to the north and Wyndham to the south.</w:t>
      </w:r>
    </w:p>
    <w:p w14:paraId="274A99A5" w14:textId="68EECEB7" w:rsidR="00405CBB" w:rsidRPr="006C7B74" w:rsidRDefault="00405CBB" w:rsidP="00934C4D">
      <w:pPr>
        <w:spacing w:after="120"/>
        <w:rPr>
          <w:rFonts w:cstheme="minorHAnsi"/>
          <w:sz w:val="20"/>
          <w:szCs w:val="20"/>
        </w:rPr>
      </w:pPr>
      <w:r w:rsidRPr="006C7B74">
        <w:rPr>
          <w:rFonts w:cstheme="minorHAnsi"/>
          <w:sz w:val="20"/>
          <w:szCs w:val="20"/>
        </w:rPr>
        <w:t xml:space="preserve">The region has good connections to transport gateways along key roads and railways, although road capacity is creating some constraints within the </w:t>
      </w:r>
      <w:r w:rsidR="005179C6" w:rsidRPr="006C7B74">
        <w:rPr>
          <w:rFonts w:cstheme="minorHAnsi"/>
          <w:sz w:val="20"/>
          <w:szCs w:val="20"/>
        </w:rPr>
        <w:t xml:space="preserve">Western </w:t>
      </w:r>
      <w:r w:rsidR="008F094E" w:rsidRPr="006C7B74">
        <w:rPr>
          <w:rFonts w:cstheme="minorHAnsi"/>
          <w:sz w:val="20"/>
          <w:szCs w:val="20"/>
        </w:rPr>
        <w:t>state</w:t>
      </w:r>
      <w:r w:rsidR="00667140" w:rsidRPr="006C7B74">
        <w:rPr>
          <w:rFonts w:cstheme="minorHAnsi"/>
          <w:sz w:val="20"/>
          <w:szCs w:val="20"/>
        </w:rPr>
        <w:t>-</w:t>
      </w:r>
      <w:r w:rsidR="008F094E" w:rsidRPr="006C7B74">
        <w:rPr>
          <w:rFonts w:cstheme="minorHAnsi"/>
          <w:sz w:val="20"/>
          <w:szCs w:val="20"/>
        </w:rPr>
        <w:t xml:space="preserve">significant </w:t>
      </w:r>
      <w:r w:rsidR="00667140" w:rsidRPr="006C7B74">
        <w:rPr>
          <w:rFonts w:cstheme="minorHAnsi"/>
          <w:sz w:val="20"/>
          <w:szCs w:val="20"/>
        </w:rPr>
        <w:t>industrial precinct (</w:t>
      </w:r>
      <w:r w:rsidR="00CA6322" w:rsidRPr="006C7B74">
        <w:rPr>
          <w:rFonts w:cstheme="minorHAnsi"/>
          <w:sz w:val="20"/>
          <w:szCs w:val="20"/>
        </w:rPr>
        <w:t xml:space="preserve">Western </w:t>
      </w:r>
      <w:r w:rsidR="005179C6" w:rsidRPr="006C7B74">
        <w:rPr>
          <w:rFonts w:cstheme="minorHAnsi"/>
          <w:sz w:val="20"/>
          <w:szCs w:val="20"/>
        </w:rPr>
        <w:t>SSIP</w:t>
      </w:r>
      <w:r w:rsidR="00667140" w:rsidRPr="006C7B74">
        <w:rPr>
          <w:rFonts w:cstheme="minorHAnsi"/>
          <w:sz w:val="20"/>
          <w:szCs w:val="20"/>
        </w:rPr>
        <w:t>)</w:t>
      </w:r>
      <w:r w:rsidRPr="006C7B74">
        <w:rPr>
          <w:rFonts w:cstheme="minorHAnsi"/>
          <w:sz w:val="20"/>
          <w:szCs w:val="20"/>
        </w:rPr>
        <w:t xml:space="preserve">. Significant competitive advantages exist for the region </w:t>
      </w:r>
      <w:r w:rsidR="00913DA1" w:rsidRPr="006C7B74">
        <w:rPr>
          <w:rFonts w:cstheme="minorHAnsi"/>
          <w:sz w:val="20"/>
          <w:szCs w:val="20"/>
        </w:rPr>
        <w:t>having</w:t>
      </w:r>
      <w:r w:rsidRPr="006C7B74">
        <w:rPr>
          <w:rFonts w:cstheme="minorHAnsi"/>
          <w:sz w:val="20"/>
          <w:szCs w:val="20"/>
        </w:rPr>
        <w:t xml:space="preserve"> easy access to Avalon, Essendon and Melbourne Airports</w:t>
      </w:r>
      <w:r w:rsidR="00913DA1" w:rsidRPr="006C7B74">
        <w:rPr>
          <w:rFonts w:cstheme="minorHAnsi"/>
          <w:sz w:val="20"/>
          <w:szCs w:val="20"/>
        </w:rPr>
        <w:t xml:space="preserve"> as well as</w:t>
      </w:r>
      <w:r w:rsidRPr="006C7B74">
        <w:rPr>
          <w:rFonts w:cstheme="minorHAnsi"/>
          <w:sz w:val="20"/>
          <w:szCs w:val="20"/>
        </w:rPr>
        <w:t xml:space="preserve"> </w:t>
      </w:r>
      <w:r w:rsidR="00C36D91" w:rsidRPr="006C7B74">
        <w:rPr>
          <w:rFonts w:cstheme="minorHAnsi"/>
          <w:sz w:val="20"/>
          <w:szCs w:val="20"/>
        </w:rPr>
        <w:t>the Port of Melbourne</w:t>
      </w:r>
      <w:r w:rsidR="00913DA1" w:rsidRPr="006C7B74">
        <w:rPr>
          <w:rFonts w:cstheme="minorHAnsi"/>
          <w:sz w:val="20"/>
          <w:szCs w:val="20"/>
        </w:rPr>
        <w:t xml:space="preserve"> and proposed Bay West container port</w:t>
      </w:r>
      <w:r w:rsidR="00250E11" w:rsidRPr="006C7B74">
        <w:rPr>
          <w:rFonts w:cstheme="minorHAnsi"/>
          <w:sz w:val="20"/>
          <w:szCs w:val="20"/>
        </w:rPr>
        <w:t xml:space="preserve">. There are also </w:t>
      </w:r>
      <w:r w:rsidRPr="006C7B74">
        <w:rPr>
          <w:rFonts w:cstheme="minorHAnsi"/>
          <w:sz w:val="20"/>
          <w:szCs w:val="20"/>
        </w:rPr>
        <w:t xml:space="preserve">substantial synergies provided </w:t>
      </w:r>
      <w:r w:rsidR="00250E11" w:rsidRPr="006C7B74">
        <w:rPr>
          <w:rFonts w:cstheme="minorHAnsi"/>
          <w:sz w:val="20"/>
          <w:szCs w:val="20"/>
        </w:rPr>
        <w:t>by</w:t>
      </w:r>
      <w:r w:rsidRPr="006C7B74">
        <w:rPr>
          <w:rFonts w:cstheme="minorHAnsi"/>
          <w:sz w:val="20"/>
          <w:szCs w:val="20"/>
        </w:rPr>
        <w:t xml:space="preserve"> complementary industries nearby. </w:t>
      </w:r>
    </w:p>
    <w:p w14:paraId="1B8CBBF9" w14:textId="6571D1A4" w:rsidR="00405CBB" w:rsidRPr="006C7B74" w:rsidRDefault="00405CBB" w:rsidP="00934C4D">
      <w:pPr>
        <w:spacing w:after="120"/>
        <w:rPr>
          <w:rFonts w:cstheme="minorHAnsi"/>
          <w:sz w:val="20"/>
          <w:szCs w:val="20"/>
        </w:rPr>
      </w:pPr>
      <w:r w:rsidRPr="006C7B74">
        <w:rPr>
          <w:rFonts w:cstheme="minorHAnsi"/>
          <w:sz w:val="20"/>
          <w:szCs w:val="20"/>
        </w:rPr>
        <w:t xml:space="preserve">The proposed Western </w:t>
      </w:r>
      <w:r w:rsidR="006D43CB" w:rsidRPr="006C7B74">
        <w:rPr>
          <w:rFonts w:cstheme="minorHAnsi"/>
          <w:sz w:val="20"/>
          <w:szCs w:val="20"/>
        </w:rPr>
        <w:t xml:space="preserve">Interstate </w:t>
      </w:r>
      <w:r w:rsidRPr="006C7B74">
        <w:rPr>
          <w:rFonts w:cstheme="minorHAnsi"/>
          <w:sz w:val="20"/>
          <w:szCs w:val="20"/>
        </w:rPr>
        <w:t xml:space="preserve">Freight Terminal </w:t>
      </w:r>
      <w:r w:rsidR="00C36D91" w:rsidRPr="006C7B74">
        <w:rPr>
          <w:rFonts w:cstheme="minorHAnsi"/>
          <w:sz w:val="20"/>
          <w:szCs w:val="20"/>
        </w:rPr>
        <w:t xml:space="preserve">(WIFT) </w:t>
      </w:r>
      <w:r w:rsidRPr="006C7B74">
        <w:rPr>
          <w:rFonts w:cstheme="minorHAnsi"/>
          <w:sz w:val="20"/>
          <w:szCs w:val="20"/>
        </w:rPr>
        <w:t xml:space="preserve">is an important future asset for the distribution of freight from industrial and commercial production in the </w:t>
      </w:r>
      <w:r w:rsidR="006A2357" w:rsidRPr="006C7B74">
        <w:rPr>
          <w:rFonts w:cstheme="minorHAnsi"/>
          <w:sz w:val="20"/>
          <w:szCs w:val="20"/>
        </w:rPr>
        <w:t>W</w:t>
      </w:r>
      <w:r w:rsidRPr="006C7B74">
        <w:rPr>
          <w:rFonts w:cstheme="minorHAnsi"/>
          <w:sz w:val="20"/>
          <w:szCs w:val="20"/>
        </w:rPr>
        <w:t xml:space="preserve">estern </w:t>
      </w:r>
      <w:r w:rsidR="006A2357" w:rsidRPr="006C7B74">
        <w:rPr>
          <w:rFonts w:cstheme="minorHAnsi"/>
          <w:sz w:val="20"/>
          <w:szCs w:val="20"/>
        </w:rPr>
        <w:t>R</w:t>
      </w:r>
      <w:r w:rsidRPr="006C7B74">
        <w:rPr>
          <w:rFonts w:cstheme="minorHAnsi"/>
          <w:sz w:val="20"/>
          <w:szCs w:val="20"/>
        </w:rPr>
        <w:t xml:space="preserve">egion linking to freight networks in other regions and interstate. The key </w:t>
      </w:r>
      <w:r w:rsidR="00FD10E1" w:rsidRPr="006C7B74">
        <w:rPr>
          <w:rFonts w:cstheme="minorHAnsi"/>
          <w:sz w:val="20"/>
          <w:szCs w:val="20"/>
        </w:rPr>
        <w:t xml:space="preserve">transport links </w:t>
      </w:r>
      <w:r w:rsidR="00913DA1" w:rsidRPr="006C7B74">
        <w:rPr>
          <w:rFonts w:cstheme="minorHAnsi"/>
          <w:sz w:val="20"/>
          <w:szCs w:val="20"/>
        </w:rPr>
        <w:t>include</w:t>
      </w:r>
      <w:r w:rsidRPr="006C7B74">
        <w:rPr>
          <w:rFonts w:cstheme="minorHAnsi"/>
          <w:sz w:val="20"/>
          <w:szCs w:val="20"/>
        </w:rPr>
        <w:t xml:space="preserve"> the </w:t>
      </w:r>
      <w:r w:rsidR="002C4EF1" w:rsidRPr="006C7B74">
        <w:rPr>
          <w:rFonts w:cstheme="minorHAnsi"/>
          <w:sz w:val="20"/>
          <w:szCs w:val="20"/>
        </w:rPr>
        <w:t xml:space="preserve">Western Highway, </w:t>
      </w:r>
      <w:r w:rsidRPr="006C7B74">
        <w:rPr>
          <w:rFonts w:cstheme="minorHAnsi"/>
          <w:sz w:val="20"/>
          <w:szCs w:val="20"/>
        </w:rPr>
        <w:t>Princes Highway and Freeway</w:t>
      </w:r>
      <w:r w:rsidR="00D67385" w:rsidRPr="006C7B74">
        <w:rPr>
          <w:rFonts w:cstheme="minorHAnsi"/>
          <w:sz w:val="20"/>
          <w:szCs w:val="20"/>
        </w:rPr>
        <w:t xml:space="preserve"> and the</w:t>
      </w:r>
      <w:r w:rsidRPr="006C7B74">
        <w:rPr>
          <w:rFonts w:cstheme="minorHAnsi"/>
          <w:sz w:val="20"/>
          <w:szCs w:val="20"/>
        </w:rPr>
        <w:t xml:space="preserve"> </w:t>
      </w:r>
      <w:r w:rsidR="00913DA1" w:rsidRPr="006C7B74">
        <w:rPr>
          <w:rFonts w:cstheme="minorHAnsi"/>
          <w:sz w:val="20"/>
          <w:szCs w:val="20"/>
        </w:rPr>
        <w:t xml:space="preserve">Western </w:t>
      </w:r>
      <w:r w:rsidRPr="006C7B74">
        <w:rPr>
          <w:rFonts w:cstheme="minorHAnsi"/>
          <w:sz w:val="20"/>
          <w:szCs w:val="20"/>
        </w:rPr>
        <w:t>Ring Road</w:t>
      </w:r>
      <w:r w:rsidR="00167C6C" w:rsidRPr="006C7B74">
        <w:rPr>
          <w:rFonts w:cstheme="minorHAnsi"/>
          <w:sz w:val="20"/>
          <w:szCs w:val="20"/>
        </w:rPr>
        <w:t xml:space="preserve"> </w:t>
      </w:r>
      <w:r w:rsidR="002C4EF1" w:rsidRPr="006C7B74">
        <w:rPr>
          <w:rFonts w:cstheme="minorHAnsi"/>
          <w:sz w:val="20"/>
          <w:szCs w:val="20"/>
        </w:rPr>
        <w:t>connecting through to the Hume Highway</w:t>
      </w:r>
      <w:r w:rsidR="00D67385" w:rsidRPr="006C7B74">
        <w:rPr>
          <w:rFonts w:cstheme="minorHAnsi"/>
          <w:sz w:val="20"/>
          <w:szCs w:val="20"/>
        </w:rPr>
        <w:t>. The region also has t</w:t>
      </w:r>
      <w:r w:rsidR="00913DA1" w:rsidRPr="006C7B74">
        <w:rPr>
          <w:rFonts w:cstheme="minorHAnsi"/>
          <w:sz w:val="20"/>
          <w:szCs w:val="20"/>
        </w:rPr>
        <w:t>hree key r</w:t>
      </w:r>
      <w:r w:rsidRPr="006C7B74">
        <w:rPr>
          <w:rFonts w:cstheme="minorHAnsi"/>
          <w:sz w:val="20"/>
          <w:szCs w:val="20"/>
        </w:rPr>
        <w:t>ailway</w:t>
      </w:r>
      <w:r w:rsidR="00913DA1" w:rsidRPr="006C7B74">
        <w:rPr>
          <w:rFonts w:cstheme="minorHAnsi"/>
          <w:sz w:val="20"/>
          <w:szCs w:val="20"/>
        </w:rPr>
        <w:t xml:space="preserve"> links through the region and beyond to regional Victoria</w:t>
      </w:r>
      <w:r w:rsidR="006E20A5" w:rsidRPr="006C7B74">
        <w:rPr>
          <w:rFonts w:cstheme="minorHAnsi"/>
          <w:sz w:val="20"/>
          <w:szCs w:val="20"/>
        </w:rPr>
        <w:t>. These</w:t>
      </w:r>
      <w:r w:rsidRPr="006C7B74">
        <w:rPr>
          <w:rFonts w:cstheme="minorHAnsi"/>
          <w:sz w:val="20"/>
          <w:szCs w:val="20"/>
        </w:rPr>
        <w:t xml:space="preserve"> provide important connections to industrial </w:t>
      </w:r>
      <w:r w:rsidR="00913DA1" w:rsidRPr="006C7B74">
        <w:rPr>
          <w:rFonts w:cstheme="minorHAnsi"/>
          <w:sz w:val="20"/>
          <w:szCs w:val="20"/>
        </w:rPr>
        <w:t>areas across</w:t>
      </w:r>
      <w:r w:rsidRPr="006C7B74">
        <w:rPr>
          <w:rFonts w:cstheme="minorHAnsi"/>
          <w:sz w:val="20"/>
          <w:szCs w:val="20"/>
        </w:rPr>
        <w:t xml:space="preserve"> the region </w:t>
      </w:r>
      <w:r w:rsidR="00BB4AE3" w:rsidRPr="006C7B74">
        <w:rPr>
          <w:rFonts w:cstheme="minorHAnsi"/>
          <w:sz w:val="20"/>
          <w:szCs w:val="20"/>
        </w:rPr>
        <w:t xml:space="preserve">and </w:t>
      </w:r>
      <w:r w:rsidRPr="006C7B74">
        <w:rPr>
          <w:rFonts w:cstheme="minorHAnsi"/>
          <w:sz w:val="20"/>
          <w:szCs w:val="20"/>
        </w:rPr>
        <w:t xml:space="preserve">to </w:t>
      </w:r>
      <w:r w:rsidR="00913DA1" w:rsidRPr="006C7B74">
        <w:rPr>
          <w:rFonts w:cstheme="minorHAnsi"/>
          <w:sz w:val="20"/>
          <w:szCs w:val="20"/>
        </w:rPr>
        <w:t>existing and proposed transport gateways</w:t>
      </w:r>
      <w:r w:rsidRPr="006C7B74">
        <w:rPr>
          <w:rFonts w:cstheme="minorHAnsi"/>
          <w:sz w:val="20"/>
          <w:szCs w:val="20"/>
        </w:rPr>
        <w:t xml:space="preserve"> via the </w:t>
      </w:r>
      <w:r w:rsidR="00E96035" w:rsidRPr="006C7B74">
        <w:rPr>
          <w:rFonts w:cstheme="minorHAnsi"/>
          <w:sz w:val="20"/>
          <w:szCs w:val="20"/>
        </w:rPr>
        <w:t>PFN</w:t>
      </w:r>
      <w:r w:rsidRPr="006C7B74">
        <w:rPr>
          <w:rFonts w:cstheme="minorHAnsi"/>
          <w:sz w:val="20"/>
          <w:szCs w:val="20"/>
        </w:rPr>
        <w:t xml:space="preserve">. The proposed Outer Metropolitan Ring </w:t>
      </w:r>
      <w:r w:rsidR="00414CFB" w:rsidRPr="006C7B74">
        <w:rPr>
          <w:rFonts w:cstheme="minorHAnsi"/>
          <w:sz w:val="20"/>
          <w:szCs w:val="20"/>
        </w:rPr>
        <w:t xml:space="preserve">/ </w:t>
      </w:r>
      <w:r w:rsidRPr="006C7B74">
        <w:rPr>
          <w:rFonts w:cstheme="minorHAnsi"/>
          <w:sz w:val="20"/>
          <w:szCs w:val="20"/>
        </w:rPr>
        <w:t xml:space="preserve">E6 </w:t>
      </w:r>
      <w:r w:rsidR="00414CFB" w:rsidRPr="006C7B74">
        <w:rPr>
          <w:rFonts w:cstheme="minorHAnsi"/>
          <w:sz w:val="20"/>
          <w:szCs w:val="20"/>
        </w:rPr>
        <w:t>Transport Corridor (OMR</w:t>
      </w:r>
      <w:r w:rsidRPr="006C7B74">
        <w:rPr>
          <w:rFonts w:cstheme="minorHAnsi"/>
          <w:sz w:val="20"/>
          <w:szCs w:val="20"/>
        </w:rPr>
        <w:t>) further enhance</w:t>
      </w:r>
      <w:r w:rsidR="0061160E" w:rsidRPr="006C7B74">
        <w:rPr>
          <w:rFonts w:cstheme="minorHAnsi"/>
          <w:sz w:val="20"/>
          <w:szCs w:val="20"/>
        </w:rPr>
        <w:t>s</w:t>
      </w:r>
      <w:r w:rsidRPr="006C7B74">
        <w:rPr>
          <w:rFonts w:cstheme="minorHAnsi"/>
          <w:sz w:val="20"/>
          <w:szCs w:val="20"/>
        </w:rPr>
        <w:t xml:space="preserve"> </w:t>
      </w:r>
      <w:r w:rsidR="00327601" w:rsidRPr="006C7B74">
        <w:rPr>
          <w:rFonts w:cstheme="minorHAnsi"/>
          <w:sz w:val="20"/>
          <w:szCs w:val="20"/>
        </w:rPr>
        <w:t>intr</w:t>
      </w:r>
      <w:r w:rsidR="00BB4AE3" w:rsidRPr="006C7B74">
        <w:rPr>
          <w:rFonts w:cstheme="minorHAnsi"/>
          <w:sz w:val="20"/>
          <w:szCs w:val="20"/>
        </w:rPr>
        <w:t>a</w:t>
      </w:r>
      <w:r w:rsidR="00327601" w:rsidRPr="006C7B74">
        <w:rPr>
          <w:rFonts w:cstheme="minorHAnsi"/>
          <w:sz w:val="20"/>
          <w:szCs w:val="20"/>
        </w:rPr>
        <w:t xml:space="preserve"> </w:t>
      </w:r>
      <w:r w:rsidR="00E365D1" w:rsidRPr="006C7B74">
        <w:rPr>
          <w:rFonts w:cstheme="minorHAnsi"/>
          <w:sz w:val="20"/>
          <w:szCs w:val="20"/>
        </w:rPr>
        <w:t xml:space="preserve">metropolitan </w:t>
      </w:r>
      <w:r w:rsidR="00327601" w:rsidRPr="006C7B74">
        <w:rPr>
          <w:rFonts w:cstheme="minorHAnsi"/>
          <w:sz w:val="20"/>
          <w:szCs w:val="20"/>
        </w:rPr>
        <w:t xml:space="preserve">regional </w:t>
      </w:r>
      <w:r w:rsidRPr="006C7B74">
        <w:rPr>
          <w:rFonts w:cstheme="minorHAnsi"/>
          <w:sz w:val="20"/>
          <w:szCs w:val="20"/>
        </w:rPr>
        <w:t>network connection</w:t>
      </w:r>
      <w:r w:rsidR="00DC46A8" w:rsidRPr="006C7B74">
        <w:rPr>
          <w:rFonts w:cstheme="minorHAnsi"/>
          <w:sz w:val="20"/>
          <w:szCs w:val="20"/>
        </w:rPr>
        <w:t xml:space="preserve">s, </w:t>
      </w:r>
      <w:r w:rsidR="006C59A4" w:rsidRPr="006C7B74">
        <w:rPr>
          <w:rFonts w:cstheme="minorHAnsi"/>
          <w:sz w:val="20"/>
          <w:szCs w:val="20"/>
        </w:rPr>
        <w:t>together with connections</w:t>
      </w:r>
      <w:r w:rsidR="0085204D" w:rsidRPr="006C7B74">
        <w:rPr>
          <w:rFonts w:cstheme="minorHAnsi"/>
          <w:sz w:val="20"/>
          <w:szCs w:val="20"/>
        </w:rPr>
        <w:t xml:space="preserve"> to regional Victoria </w:t>
      </w:r>
      <w:r w:rsidR="0084295B" w:rsidRPr="006C7B74">
        <w:rPr>
          <w:rFonts w:cstheme="minorHAnsi"/>
          <w:sz w:val="20"/>
          <w:szCs w:val="20"/>
        </w:rPr>
        <w:t xml:space="preserve">including </w:t>
      </w:r>
      <w:r w:rsidR="00E365D1" w:rsidRPr="006C7B74">
        <w:rPr>
          <w:rFonts w:cstheme="minorHAnsi"/>
          <w:sz w:val="20"/>
          <w:szCs w:val="20"/>
        </w:rPr>
        <w:t>Geelong</w:t>
      </w:r>
      <w:r w:rsidR="0084295B" w:rsidRPr="006C7B74">
        <w:rPr>
          <w:rFonts w:cstheme="minorHAnsi"/>
          <w:sz w:val="20"/>
          <w:szCs w:val="20"/>
        </w:rPr>
        <w:t xml:space="preserve">, Ballarat and Bendigo via </w:t>
      </w:r>
      <w:r w:rsidR="00BB4AE3" w:rsidRPr="006C7B74">
        <w:rPr>
          <w:rFonts w:cstheme="minorHAnsi"/>
          <w:sz w:val="20"/>
          <w:szCs w:val="20"/>
        </w:rPr>
        <w:t>Regional Rail Link</w:t>
      </w:r>
      <w:r w:rsidR="0084295B" w:rsidRPr="006C7B74">
        <w:rPr>
          <w:rFonts w:cstheme="minorHAnsi"/>
          <w:sz w:val="20"/>
          <w:szCs w:val="20"/>
        </w:rPr>
        <w:t xml:space="preserve"> and </w:t>
      </w:r>
      <w:r w:rsidR="00672E6B" w:rsidRPr="006C7B74">
        <w:rPr>
          <w:rFonts w:cstheme="minorHAnsi"/>
          <w:sz w:val="20"/>
          <w:szCs w:val="20"/>
        </w:rPr>
        <w:t>the Calder Freeway.</w:t>
      </w:r>
    </w:p>
    <w:p w14:paraId="3EF9FD01" w14:textId="7076B49D" w:rsidR="002A5B72" w:rsidRPr="006C7B74" w:rsidRDefault="00913DA1" w:rsidP="00934C4D">
      <w:pPr>
        <w:spacing w:after="120"/>
        <w:rPr>
          <w:rFonts w:cstheme="minorHAnsi"/>
          <w:sz w:val="20"/>
          <w:szCs w:val="20"/>
        </w:rPr>
      </w:pPr>
      <w:r w:rsidRPr="006C7B74">
        <w:rPr>
          <w:sz w:val="20"/>
          <w:szCs w:val="20"/>
        </w:rPr>
        <w:t xml:space="preserve">The business service sector is the largest contributor to the economy for the region with a </w:t>
      </w:r>
      <w:r w:rsidRPr="006C7B74">
        <w:rPr>
          <w:rFonts w:cstheme="minorHAnsi"/>
          <w:sz w:val="20"/>
          <w:szCs w:val="20"/>
        </w:rPr>
        <w:t xml:space="preserve">total value-added estimate at around $13.3 billion. </w:t>
      </w:r>
      <w:r w:rsidR="00A766F0" w:rsidRPr="006C7B74">
        <w:rPr>
          <w:rFonts w:cstheme="minorHAnsi"/>
          <w:sz w:val="20"/>
          <w:szCs w:val="20"/>
        </w:rPr>
        <w:t>The m</w:t>
      </w:r>
      <w:r w:rsidRPr="006C7B74">
        <w:rPr>
          <w:rFonts w:cstheme="minorHAnsi"/>
          <w:sz w:val="20"/>
          <w:szCs w:val="20"/>
        </w:rPr>
        <w:t xml:space="preserve">anufacturing and industrial </w:t>
      </w:r>
      <w:r w:rsidR="00A766F0" w:rsidRPr="006C7B74">
        <w:rPr>
          <w:rFonts w:cstheme="minorHAnsi"/>
          <w:sz w:val="20"/>
          <w:szCs w:val="20"/>
        </w:rPr>
        <w:t xml:space="preserve">sector </w:t>
      </w:r>
      <w:r w:rsidRPr="006C7B74">
        <w:rPr>
          <w:rFonts w:cstheme="minorHAnsi"/>
          <w:sz w:val="20"/>
          <w:szCs w:val="20"/>
        </w:rPr>
        <w:t xml:space="preserve">is the next largest contributor </w:t>
      </w:r>
      <w:r w:rsidRPr="006C7B74">
        <w:rPr>
          <w:sz w:val="20"/>
          <w:szCs w:val="20"/>
        </w:rPr>
        <w:t xml:space="preserve">with a </w:t>
      </w:r>
      <w:r w:rsidRPr="006C7B74">
        <w:rPr>
          <w:rFonts w:cstheme="minorHAnsi"/>
          <w:sz w:val="20"/>
          <w:szCs w:val="20"/>
        </w:rPr>
        <w:t>total value-added estimate at around $</w:t>
      </w:r>
      <w:r w:rsidR="00F81397" w:rsidRPr="006C7B74">
        <w:rPr>
          <w:rFonts w:cstheme="minorHAnsi"/>
          <w:sz w:val="20"/>
          <w:szCs w:val="20"/>
        </w:rPr>
        <w:t>11.1</w:t>
      </w:r>
      <w:r w:rsidRPr="006C7B74">
        <w:rPr>
          <w:rFonts w:cstheme="minorHAnsi"/>
          <w:sz w:val="20"/>
          <w:szCs w:val="20"/>
        </w:rPr>
        <w:t xml:space="preserve"> billion.</w:t>
      </w:r>
      <w:r w:rsidR="00F81397" w:rsidRPr="006C7B74">
        <w:rPr>
          <w:rFonts w:cstheme="minorHAnsi"/>
          <w:sz w:val="20"/>
          <w:szCs w:val="20"/>
        </w:rPr>
        <w:t xml:space="preserve"> Combined, these sectors account for </w:t>
      </w:r>
      <w:r w:rsidR="00B24DF7" w:rsidRPr="006C7B74">
        <w:rPr>
          <w:rFonts w:cstheme="minorHAnsi"/>
          <w:sz w:val="20"/>
          <w:szCs w:val="20"/>
        </w:rPr>
        <w:t>almost 64</w:t>
      </w:r>
      <w:r w:rsidR="00F81397" w:rsidRPr="006C7B74">
        <w:rPr>
          <w:rFonts w:cstheme="minorHAnsi"/>
          <w:sz w:val="20"/>
          <w:szCs w:val="20"/>
        </w:rPr>
        <w:t xml:space="preserve"> per cent of the total value-add for the region.</w:t>
      </w:r>
    </w:p>
    <w:p w14:paraId="6FED9966" w14:textId="294B1EFC" w:rsidR="006E0A5C" w:rsidRPr="006C7B74" w:rsidRDefault="006E0A5C" w:rsidP="00683949">
      <w:pPr>
        <w:pStyle w:val="Heading5"/>
      </w:pPr>
      <w:r w:rsidRPr="006C7B74">
        <w:t xml:space="preserve">Fast </w:t>
      </w:r>
      <w:r w:rsidR="00F81397" w:rsidRPr="006C7B74">
        <w:t>f</w:t>
      </w:r>
      <w:r w:rsidRPr="006C7B74">
        <w:t>acts</w:t>
      </w:r>
    </w:p>
    <w:tbl>
      <w:tblPr>
        <w:tblStyle w:val="TableGrid"/>
        <w:tblW w:w="0" w:type="auto"/>
        <w:tblBorders>
          <w:left w:val="single" w:sz="8" w:space="0" w:color="auto"/>
          <w:right w:val="single" w:sz="8" w:space="0" w:color="auto"/>
          <w:insideH w:val="none" w:sz="0" w:space="0" w:color="auto"/>
          <w:insideV w:val="single" w:sz="8" w:space="0" w:color="auto"/>
        </w:tblBorders>
        <w:tblLook w:val="04A0" w:firstRow="1" w:lastRow="0" w:firstColumn="1" w:lastColumn="0" w:noHBand="0" w:noVBand="1"/>
      </w:tblPr>
      <w:tblGrid>
        <w:gridCol w:w="3000"/>
        <w:gridCol w:w="3001"/>
        <w:gridCol w:w="2999"/>
      </w:tblGrid>
      <w:tr w:rsidR="0085099E" w:rsidRPr="006C7B74" w14:paraId="11807311" w14:textId="77777777" w:rsidTr="001C16F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06" w:type="dxa"/>
            <w:shd w:val="clear" w:color="auto" w:fill="auto"/>
            <w:vAlign w:val="top"/>
          </w:tcPr>
          <w:p w14:paraId="2F74DB14" w14:textId="77777777" w:rsidR="0085099E" w:rsidRPr="006C7B74" w:rsidRDefault="0085099E" w:rsidP="00683949">
            <w:pPr>
              <w:pStyle w:val="BodyText"/>
            </w:pPr>
            <w:r w:rsidRPr="006C7B74">
              <w:t>PEOPLE</w:t>
            </w:r>
          </w:p>
          <w:p w14:paraId="31055D2B" w14:textId="77777777" w:rsidR="0085099E" w:rsidRPr="006C7B74" w:rsidRDefault="0085099E" w:rsidP="00683949">
            <w:pPr>
              <w:pStyle w:val="BodyText"/>
            </w:pPr>
            <w:r w:rsidRPr="006C7B74">
              <w:t>Population in 2006</w:t>
            </w:r>
          </w:p>
          <w:p w14:paraId="35D3F85D" w14:textId="77777777" w:rsidR="0085099E" w:rsidRPr="006C7B74" w:rsidRDefault="0085099E" w:rsidP="00683949">
            <w:pPr>
              <w:pStyle w:val="BodyText"/>
              <w:rPr>
                <w:sz w:val="44"/>
                <w:szCs w:val="44"/>
              </w:rPr>
            </w:pPr>
            <w:r w:rsidRPr="006C7B74">
              <w:rPr>
                <w:sz w:val="44"/>
                <w:szCs w:val="44"/>
              </w:rPr>
              <w:t>625,128</w:t>
            </w:r>
          </w:p>
          <w:p w14:paraId="1FEBD50A" w14:textId="77777777" w:rsidR="0085099E" w:rsidRPr="006C7B74" w:rsidRDefault="0085099E" w:rsidP="00683949">
            <w:pPr>
              <w:pStyle w:val="BodyText"/>
            </w:pPr>
            <w:r w:rsidRPr="006C7B74">
              <w:t>Population in 2016</w:t>
            </w:r>
          </w:p>
          <w:p w14:paraId="605C7504" w14:textId="77777777" w:rsidR="00E61956" w:rsidRPr="006C7B74" w:rsidRDefault="00E61956" w:rsidP="00683949">
            <w:pPr>
              <w:pStyle w:val="BodyText"/>
              <w:rPr>
                <w:sz w:val="44"/>
                <w:szCs w:val="44"/>
              </w:rPr>
            </w:pPr>
            <w:r w:rsidRPr="006C7B74">
              <w:rPr>
                <w:sz w:val="44"/>
                <w:szCs w:val="44"/>
              </w:rPr>
              <w:t>875,876</w:t>
            </w:r>
          </w:p>
          <w:p w14:paraId="5CC7F9EC" w14:textId="77777777" w:rsidR="00AB01D8" w:rsidRPr="006C7B74" w:rsidRDefault="0085099E" w:rsidP="00683949">
            <w:pPr>
              <w:pStyle w:val="BodyText"/>
              <w:rPr>
                <w:b w:val="0"/>
              </w:rPr>
            </w:pPr>
            <w:r w:rsidRPr="006C7B74">
              <w:t xml:space="preserve">That’s </w:t>
            </w:r>
            <w:r w:rsidRPr="006C7B74">
              <w:rPr>
                <w:sz w:val="44"/>
                <w:szCs w:val="44"/>
              </w:rPr>
              <w:t>4</w:t>
            </w:r>
            <w:r w:rsidR="00E61956" w:rsidRPr="006C7B74">
              <w:rPr>
                <w:sz w:val="44"/>
                <w:szCs w:val="44"/>
              </w:rPr>
              <w:t>0</w:t>
            </w:r>
            <w:r w:rsidRPr="006C7B74">
              <w:rPr>
                <w:sz w:val="44"/>
                <w:szCs w:val="44"/>
              </w:rPr>
              <w:t>%</w:t>
            </w:r>
            <w:r w:rsidRPr="006C7B74">
              <w:t xml:space="preserve"> more people</w:t>
            </w:r>
          </w:p>
          <w:p w14:paraId="42218C55" w14:textId="49BFC3D1" w:rsidR="0085099E" w:rsidRPr="006C7B74" w:rsidRDefault="0085099E" w:rsidP="00683949">
            <w:pPr>
              <w:pStyle w:val="BodyText"/>
            </w:pPr>
            <w:proofErr w:type="spellStart"/>
            <w:r w:rsidRPr="006C7B74">
              <w:t>Brimbank</w:t>
            </w:r>
            <w:proofErr w:type="spellEnd"/>
            <w:r w:rsidRPr="006C7B74">
              <w:t xml:space="preserve"> =</w:t>
            </w:r>
            <w:r w:rsidRPr="006C7B74">
              <w:rPr>
                <w:sz w:val="28"/>
                <w:szCs w:val="28"/>
              </w:rPr>
              <w:t xml:space="preserve"> +</w:t>
            </w:r>
            <w:r w:rsidRPr="006C7B74">
              <w:t xml:space="preserve"> </w:t>
            </w:r>
            <w:r w:rsidR="00E61956" w:rsidRPr="006C7B74">
              <w:rPr>
                <w:sz w:val="28"/>
              </w:rPr>
              <w:t>29,959</w:t>
            </w:r>
          </w:p>
          <w:p w14:paraId="1C116DDA" w14:textId="39BF24A8" w:rsidR="0085099E" w:rsidRPr="006C7B74" w:rsidRDefault="0085099E" w:rsidP="00683949">
            <w:pPr>
              <w:pStyle w:val="BodyText"/>
            </w:pPr>
            <w:r w:rsidRPr="006C7B74">
              <w:t>Hobsons Bay =</w:t>
            </w:r>
            <w:r w:rsidRPr="006C7B74">
              <w:rPr>
                <w:sz w:val="28"/>
                <w:szCs w:val="28"/>
              </w:rPr>
              <w:t xml:space="preserve"> +</w:t>
            </w:r>
            <w:r w:rsidRPr="006C7B74">
              <w:t xml:space="preserve"> </w:t>
            </w:r>
            <w:r w:rsidR="00E61956" w:rsidRPr="006C7B74">
              <w:rPr>
                <w:sz w:val="28"/>
              </w:rPr>
              <w:t>9,539</w:t>
            </w:r>
          </w:p>
          <w:p w14:paraId="63AFF6EB" w14:textId="4FC80E0D" w:rsidR="0085099E" w:rsidRPr="006C7B74" w:rsidRDefault="0085099E" w:rsidP="00683949">
            <w:pPr>
              <w:pStyle w:val="BodyText"/>
            </w:pPr>
            <w:r w:rsidRPr="006C7B74">
              <w:t>Maribyrnong =</w:t>
            </w:r>
            <w:r w:rsidRPr="006C7B74">
              <w:rPr>
                <w:sz w:val="28"/>
                <w:szCs w:val="28"/>
              </w:rPr>
              <w:t xml:space="preserve"> +</w:t>
            </w:r>
            <w:r w:rsidRPr="006C7B74">
              <w:t xml:space="preserve"> </w:t>
            </w:r>
            <w:r w:rsidR="00E61956" w:rsidRPr="006C7B74">
              <w:rPr>
                <w:sz w:val="28"/>
              </w:rPr>
              <w:t>21,424</w:t>
            </w:r>
          </w:p>
          <w:p w14:paraId="70A09472" w14:textId="279D7BB9" w:rsidR="0085099E" w:rsidRPr="006C7B74" w:rsidRDefault="0085099E" w:rsidP="00683949">
            <w:pPr>
              <w:pStyle w:val="BodyText"/>
            </w:pPr>
            <w:r w:rsidRPr="006C7B74">
              <w:t>Melton =</w:t>
            </w:r>
            <w:r w:rsidRPr="006C7B74">
              <w:rPr>
                <w:sz w:val="28"/>
                <w:szCs w:val="28"/>
              </w:rPr>
              <w:t xml:space="preserve"> +</w:t>
            </w:r>
            <w:r w:rsidRPr="006C7B74">
              <w:rPr>
                <w:sz w:val="28"/>
              </w:rPr>
              <w:t xml:space="preserve"> </w:t>
            </w:r>
            <w:r w:rsidR="00E61956" w:rsidRPr="006C7B74">
              <w:rPr>
                <w:sz w:val="28"/>
              </w:rPr>
              <w:t>60,825</w:t>
            </w:r>
          </w:p>
          <w:p w14:paraId="5B6BDC03" w14:textId="4987AF9A" w:rsidR="0085099E" w:rsidRPr="006C7B74" w:rsidRDefault="0085099E" w:rsidP="00683949">
            <w:pPr>
              <w:pStyle w:val="BodyText"/>
            </w:pPr>
            <w:r w:rsidRPr="006C7B74">
              <w:t>Moonee Valley =</w:t>
            </w:r>
            <w:r w:rsidRPr="006C7B74">
              <w:rPr>
                <w:sz w:val="28"/>
                <w:szCs w:val="28"/>
              </w:rPr>
              <w:t xml:space="preserve"> +</w:t>
            </w:r>
            <w:r w:rsidRPr="006C7B74">
              <w:t xml:space="preserve"> </w:t>
            </w:r>
            <w:r w:rsidR="00E61956" w:rsidRPr="006C7B74">
              <w:rPr>
                <w:sz w:val="28"/>
              </w:rPr>
              <w:t>17,154</w:t>
            </w:r>
          </w:p>
          <w:p w14:paraId="53E45002" w14:textId="28BF5444" w:rsidR="0085099E" w:rsidRPr="006C7B74" w:rsidRDefault="0085099E" w:rsidP="00683949">
            <w:pPr>
              <w:pStyle w:val="BodyText"/>
            </w:pPr>
            <w:r w:rsidRPr="006C7B74">
              <w:t>Wyndham =</w:t>
            </w:r>
            <w:r w:rsidRPr="006C7B74">
              <w:rPr>
                <w:sz w:val="28"/>
                <w:szCs w:val="28"/>
              </w:rPr>
              <w:t xml:space="preserve"> +</w:t>
            </w:r>
            <w:r w:rsidRPr="006C7B74">
              <w:t xml:space="preserve"> </w:t>
            </w:r>
            <w:r w:rsidR="00E61956" w:rsidRPr="006C7B74">
              <w:rPr>
                <w:sz w:val="28"/>
              </w:rPr>
              <w:t>111,847</w:t>
            </w:r>
          </w:p>
        </w:tc>
        <w:tc>
          <w:tcPr>
            <w:tcW w:w="3007" w:type="dxa"/>
            <w:shd w:val="clear" w:color="auto" w:fill="auto"/>
            <w:vAlign w:val="top"/>
          </w:tcPr>
          <w:p w14:paraId="78DE2C4C" w14:textId="77777777" w:rsidR="0085099E" w:rsidRPr="006C7B74" w:rsidRDefault="0085099E" w:rsidP="00683949">
            <w:pPr>
              <w:pStyle w:val="BodyText"/>
              <w:jc w:val="left"/>
              <w:cnfStyle w:val="100000000000" w:firstRow="1" w:lastRow="0" w:firstColumn="0" w:lastColumn="0" w:oddVBand="0" w:evenVBand="0" w:oddHBand="0" w:evenHBand="0" w:firstRowFirstColumn="0" w:firstRowLastColumn="0" w:lastRowFirstColumn="0" w:lastRowLastColumn="0"/>
            </w:pPr>
            <w:r w:rsidRPr="006C7B74">
              <w:t>JOBS</w:t>
            </w:r>
          </w:p>
          <w:p w14:paraId="7E565C10" w14:textId="77777777" w:rsidR="0085099E" w:rsidRPr="006C7B74" w:rsidRDefault="0085099E" w:rsidP="00683949">
            <w:pPr>
              <w:pStyle w:val="BodyText"/>
              <w:jc w:val="left"/>
              <w:cnfStyle w:val="100000000000" w:firstRow="1" w:lastRow="0" w:firstColumn="0" w:lastColumn="0" w:oddVBand="0" w:evenVBand="0" w:oddHBand="0" w:evenHBand="0" w:firstRowFirstColumn="0" w:firstRowLastColumn="0" w:lastRowFirstColumn="0" w:lastRowLastColumn="0"/>
            </w:pPr>
            <w:r w:rsidRPr="006C7B74">
              <w:t>Jobs in 2006</w:t>
            </w:r>
          </w:p>
          <w:p w14:paraId="5216C6C6" w14:textId="77777777" w:rsidR="0085099E" w:rsidRPr="006C7B74" w:rsidRDefault="0085099E" w:rsidP="00683949">
            <w:pPr>
              <w:pStyle w:val="BodyText"/>
              <w:jc w:val="left"/>
              <w:cnfStyle w:val="100000000000" w:firstRow="1" w:lastRow="0" w:firstColumn="0" w:lastColumn="0" w:oddVBand="0" w:evenVBand="0" w:oddHBand="0" w:evenHBand="0" w:firstRowFirstColumn="0" w:firstRowLastColumn="0" w:lastRowFirstColumn="0" w:lastRowLastColumn="0"/>
              <w:rPr>
                <w:sz w:val="44"/>
                <w:szCs w:val="44"/>
              </w:rPr>
            </w:pPr>
            <w:r w:rsidRPr="006C7B74">
              <w:rPr>
                <w:sz w:val="44"/>
                <w:szCs w:val="44"/>
              </w:rPr>
              <w:t>213,850</w:t>
            </w:r>
          </w:p>
          <w:p w14:paraId="4ED48899" w14:textId="77777777" w:rsidR="0085099E" w:rsidRPr="006C7B74" w:rsidRDefault="0085099E" w:rsidP="00683949">
            <w:pPr>
              <w:pStyle w:val="BodyText"/>
              <w:jc w:val="left"/>
              <w:cnfStyle w:val="100000000000" w:firstRow="1" w:lastRow="0" w:firstColumn="0" w:lastColumn="0" w:oddVBand="0" w:evenVBand="0" w:oddHBand="0" w:evenHBand="0" w:firstRowFirstColumn="0" w:firstRowLastColumn="0" w:lastRowFirstColumn="0" w:lastRowLastColumn="0"/>
            </w:pPr>
            <w:r w:rsidRPr="006C7B74">
              <w:t>Jobs in 2016</w:t>
            </w:r>
          </w:p>
          <w:p w14:paraId="4A893A49" w14:textId="77777777" w:rsidR="0085099E" w:rsidRPr="006C7B74" w:rsidRDefault="0085099E" w:rsidP="00683949">
            <w:pPr>
              <w:pStyle w:val="BodyText"/>
              <w:jc w:val="left"/>
              <w:cnfStyle w:val="100000000000" w:firstRow="1" w:lastRow="0" w:firstColumn="0" w:lastColumn="0" w:oddVBand="0" w:evenVBand="0" w:oddHBand="0" w:evenHBand="0" w:firstRowFirstColumn="0" w:firstRowLastColumn="0" w:lastRowFirstColumn="0" w:lastRowLastColumn="0"/>
              <w:rPr>
                <w:sz w:val="44"/>
                <w:szCs w:val="44"/>
              </w:rPr>
            </w:pPr>
            <w:r w:rsidRPr="006C7B74">
              <w:rPr>
                <w:sz w:val="44"/>
                <w:szCs w:val="44"/>
              </w:rPr>
              <w:t>294,550</w:t>
            </w:r>
          </w:p>
          <w:p w14:paraId="12B09600" w14:textId="77777777" w:rsidR="00AB01D8" w:rsidRPr="006C7B74" w:rsidRDefault="0085099E" w:rsidP="00683949">
            <w:pPr>
              <w:pStyle w:val="BodyText"/>
              <w:jc w:val="left"/>
              <w:cnfStyle w:val="100000000000" w:firstRow="1" w:lastRow="0" w:firstColumn="0" w:lastColumn="0" w:oddVBand="0" w:evenVBand="0" w:oddHBand="0" w:evenHBand="0" w:firstRowFirstColumn="0" w:firstRowLastColumn="0" w:lastRowFirstColumn="0" w:lastRowLastColumn="0"/>
              <w:rPr>
                <w:b w:val="0"/>
              </w:rPr>
            </w:pPr>
            <w:r w:rsidRPr="006C7B74">
              <w:t xml:space="preserve">That’s </w:t>
            </w:r>
            <w:r w:rsidRPr="006C7B74">
              <w:rPr>
                <w:sz w:val="44"/>
                <w:szCs w:val="44"/>
              </w:rPr>
              <w:t>38%</w:t>
            </w:r>
            <w:r w:rsidRPr="006C7B74">
              <w:t xml:space="preserve"> more jobs</w:t>
            </w:r>
          </w:p>
          <w:p w14:paraId="7C24F61B" w14:textId="05B52DF4" w:rsidR="0085099E" w:rsidRPr="006C7B74" w:rsidRDefault="0085099E" w:rsidP="00683949">
            <w:pPr>
              <w:pStyle w:val="BodyText"/>
              <w:jc w:val="left"/>
              <w:cnfStyle w:val="100000000000" w:firstRow="1" w:lastRow="0" w:firstColumn="0" w:lastColumn="0" w:oddVBand="0" w:evenVBand="0" w:oddHBand="0" w:evenHBand="0" w:firstRowFirstColumn="0" w:firstRowLastColumn="0" w:lastRowFirstColumn="0" w:lastRowLastColumn="0"/>
            </w:pPr>
            <w:proofErr w:type="spellStart"/>
            <w:r w:rsidRPr="006C7B74">
              <w:t>Brimbank</w:t>
            </w:r>
            <w:proofErr w:type="spellEnd"/>
            <w:r w:rsidRPr="006C7B74">
              <w:t xml:space="preserve"> =</w:t>
            </w:r>
            <w:r w:rsidRPr="006C7B74">
              <w:rPr>
                <w:sz w:val="28"/>
                <w:szCs w:val="28"/>
              </w:rPr>
              <w:t xml:space="preserve"> +</w:t>
            </w:r>
            <w:r w:rsidRPr="006C7B74">
              <w:t xml:space="preserve"> </w:t>
            </w:r>
            <w:r w:rsidRPr="006C7B74">
              <w:rPr>
                <w:sz w:val="28"/>
              </w:rPr>
              <w:t>20,900</w:t>
            </w:r>
          </w:p>
          <w:p w14:paraId="31027660" w14:textId="77777777" w:rsidR="0085099E" w:rsidRPr="006C7B74" w:rsidRDefault="0085099E" w:rsidP="00683949">
            <w:pPr>
              <w:pStyle w:val="BodyText"/>
              <w:jc w:val="left"/>
              <w:cnfStyle w:val="100000000000" w:firstRow="1" w:lastRow="0" w:firstColumn="0" w:lastColumn="0" w:oddVBand="0" w:evenVBand="0" w:oddHBand="0" w:evenHBand="0" w:firstRowFirstColumn="0" w:firstRowLastColumn="0" w:lastRowFirstColumn="0" w:lastRowLastColumn="0"/>
            </w:pPr>
            <w:r w:rsidRPr="006C7B74">
              <w:t>Hobsons Bay =</w:t>
            </w:r>
            <w:r w:rsidRPr="006C7B74">
              <w:rPr>
                <w:sz w:val="28"/>
                <w:szCs w:val="28"/>
              </w:rPr>
              <w:t xml:space="preserve"> +</w:t>
            </w:r>
            <w:r w:rsidRPr="006C7B74">
              <w:t xml:space="preserve"> </w:t>
            </w:r>
            <w:r w:rsidRPr="006C7B74">
              <w:rPr>
                <w:sz w:val="28"/>
              </w:rPr>
              <w:t>4,900</w:t>
            </w:r>
          </w:p>
          <w:p w14:paraId="4684116C" w14:textId="77777777" w:rsidR="0085099E" w:rsidRPr="006C7B74" w:rsidRDefault="0085099E" w:rsidP="00683949">
            <w:pPr>
              <w:pStyle w:val="BodyText"/>
              <w:jc w:val="left"/>
              <w:cnfStyle w:val="100000000000" w:firstRow="1" w:lastRow="0" w:firstColumn="0" w:lastColumn="0" w:oddVBand="0" w:evenVBand="0" w:oddHBand="0" w:evenHBand="0" w:firstRowFirstColumn="0" w:firstRowLastColumn="0" w:lastRowFirstColumn="0" w:lastRowLastColumn="0"/>
            </w:pPr>
            <w:r w:rsidRPr="006C7B74">
              <w:t>Maribyrnong =</w:t>
            </w:r>
            <w:r w:rsidRPr="006C7B74">
              <w:rPr>
                <w:sz w:val="28"/>
                <w:szCs w:val="28"/>
              </w:rPr>
              <w:t xml:space="preserve"> +</w:t>
            </w:r>
            <w:r w:rsidRPr="006C7B74">
              <w:t xml:space="preserve"> </w:t>
            </w:r>
            <w:r w:rsidRPr="006C7B74">
              <w:rPr>
                <w:sz w:val="28"/>
              </w:rPr>
              <w:t>7,850</w:t>
            </w:r>
          </w:p>
          <w:p w14:paraId="539D4030" w14:textId="77777777" w:rsidR="0085099E" w:rsidRPr="006C7B74" w:rsidRDefault="0085099E" w:rsidP="00683949">
            <w:pPr>
              <w:pStyle w:val="BodyText"/>
              <w:jc w:val="left"/>
              <w:cnfStyle w:val="100000000000" w:firstRow="1" w:lastRow="0" w:firstColumn="0" w:lastColumn="0" w:oddVBand="0" w:evenVBand="0" w:oddHBand="0" w:evenHBand="0" w:firstRowFirstColumn="0" w:firstRowLastColumn="0" w:lastRowFirstColumn="0" w:lastRowLastColumn="0"/>
            </w:pPr>
            <w:r w:rsidRPr="006C7B74">
              <w:t>Melton =</w:t>
            </w:r>
            <w:r w:rsidRPr="006C7B74">
              <w:rPr>
                <w:sz w:val="28"/>
                <w:szCs w:val="28"/>
              </w:rPr>
              <w:t xml:space="preserve"> +</w:t>
            </w:r>
            <w:r w:rsidRPr="006C7B74">
              <w:rPr>
                <w:sz w:val="28"/>
              </w:rPr>
              <w:t xml:space="preserve"> 14,550</w:t>
            </w:r>
          </w:p>
          <w:p w14:paraId="52B4571D" w14:textId="77777777" w:rsidR="0085099E" w:rsidRPr="006C7B74" w:rsidRDefault="0085099E" w:rsidP="00683949">
            <w:pPr>
              <w:pStyle w:val="BodyText"/>
              <w:jc w:val="left"/>
              <w:cnfStyle w:val="100000000000" w:firstRow="1" w:lastRow="0" w:firstColumn="0" w:lastColumn="0" w:oddVBand="0" w:evenVBand="0" w:oddHBand="0" w:evenHBand="0" w:firstRowFirstColumn="0" w:firstRowLastColumn="0" w:lastRowFirstColumn="0" w:lastRowLastColumn="0"/>
            </w:pPr>
            <w:r w:rsidRPr="006C7B74">
              <w:t>Moonee Valley =</w:t>
            </w:r>
            <w:r w:rsidRPr="006C7B74">
              <w:rPr>
                <w:sz w:val="28"/>
                <w:szCs w:val="28"/>
              </w:rPr>
              <w:t xml:space="preserve"> +</w:t>
            </w:r>
            <w:r w:rsidRPr="006C7B74">
              <w:t xml:space="preserve"> </w:t>
            </w:r>
            <w:r w:rsidRPr="006C7B74">
              <w:rPr>
                <w:sz w:val="28"/>
              </w:rPr>
              <w:t>5,650</w:t>
            </w:r>
          </w:p>
          <w:p w14:paraId="6B7EE007" w14:textId="77777777" w:rsidR="0085099E" w:rsidRPr="006C7B74" w:rsidRDefault="0085099E" w:rsidP="00683949">
            <w:pPr>
              <w:pStyle w:val="BodyText"/>
              <w:jc w:val="left"/>
              <w:cnfStyle w:val="100000000000" w:firstRow="1" w:lastRow="0" w:firstColumn="0" w:lastColumn="0" w:oddVBand="0" w:evenVBand="0" w:oddHBand="0" w:evenHBand="0" w:firstRowFirstColumn="0" w:firstRowLastColumn="0" w:lastRowFirstColumn="0" w:lastRowLastColumn="0"/>
            </w:pPr>
            <w:r w:rsidRPr="006C7B74">
              <w:t>Wyndham =</w:t>
            </w:r>
            <w:r w:rsidRPr="006C7B74">
              <w:rPr>
                <w:sz w:val="28"/>
                <w:szCs w:val="28"/>
              </w:rPr>
              <w:t xml:space="preserve"> +</w:t>
            </w:r>
            <w:r w:rsidRPr="006C7B74">
              <w:t xml:space="preserve"> </w:t>
            </w:r>
            <w:r w:rsidRPr="006C7B74">
              <w:rPr>
                <w:sz w:val="28"/>
              </w:rPr>
              <w:t>26,850</w:t>
            </w:r>
          </w:p>
        </w:tc>
        <w:tc>
          <w:tcPr>
            <w:tcW w:w="3007" w:type="dxa"/>
            <w:shd w:val="clear" w:color="auto" w:fill="auto"/>
            <w:vAlign w:val="top"/>
          </w:tcPr>
          <w:p w14:paraId="7D656D57" w14:textId="77777777" w:rsidR="0085099E" w:rsidRPr="006C7B74" w:rsidRDefault="0085099E" w:rsidP="00683949">
            <w:pPr>
              <w:pStyle w:val="BodyText"/>
              <w:jc w:val="left"/>
              <w:cnfStyle w:val="100000000000" w:firstRow="1" w:lastRow="0" w:firstColumn="0" w:lastColumn="0" w:oddVBand="0" w:evenVBand="0" w:oddHBand="0" w:evenHBand="0" w:firstRowFirstColumn="0" w:firstRowLastColumn="0" w:lastRowFirstColumn="0" w:lastRowLastColumn="0"/>
            </w:pPr>
            <w:r w:rsidRPr="006C7B74">
              <w:t>ECONOMY</w:t>
            </w:r>
          </w:p>
          <w:p w14:paraId="3720AC1A" w14:textId="77777777" w:rsidR="0085099E" w:rsidRPr="006C7B74" w:rsidRDefault="0085099E" w:rsidP="00683949">
            <w:pPr>
              <w:pStyle w:val="BodyText"/>
              <w:jc w:val="left"/>
              <w:cnfStyle w:val="100000000000" w:firstRow="1" w:lastRow="0" w:firstColumn="0" w:lastColumn="0" w:oddVBand="0" w:evenVBand="0" w:oddHBand="0" w:evenHBand="0" w:firstRowFirstColumn="0" w:firstRowLastColumn="0" w:lastRowFirstColumn="0" w:lastRowLastColumn="0"/>
            </w:pPr>
            <w:r w:rsidRPr="006C7B74">
              <w:t>GRP for the region</w:t>
            </w:r>
          </w:p>
          <w:p w14:paraId="3AF88773" w14:textId="77777777" w:rsidR="00AB01D8" w:rsidRPr="006C7B74" w:rsidRDefault="0085099E" w:rsidP="00683949">
            <w:pPr>
              <w:pStyle w:val="BodyText"/>
              <w:jc w:val="left"/>
              <w:cnfStyle w:val="100000000000" w:firstRow="1" w:lastRow="0" w:firstColumn="0" w:lastColumn="0" w:oddVBand="0" w:evenVBand="0" w:oddHBand="0" w:evenHBand="0" w:firstRowFirstColumn="0" w:firstRowLastColumn="0" w:lastRowFirstColumn="0" w:lastRowLastColumn="0"/>
              <w:rPr>
                <w:b w:val="0"/>
                <w:sz w:val="44"/>
                <w:szCs w:val="44"/>
              </w:rPr>
            </w:pPr>
            <w:r w:rsidRPr="006C7B74">
              <w:rPr>
                <w:sz w:val="44"/>
                <w:szCs w:val="44"/>
              </w:rPr>
              <w:t>$38 billion</w:t>
            </w:r>
          </w:p>
          <w:p w14:paraId="0DECCDB2" w14:textId="77777777" w:rsidR="00AB01D8" w:rsidRPr="006C7B74" w:rsidRDefault="0085099E" w:rsidP="00683949">
            <w:pPr>
              <w:pStyle w:val="BodyText"/>
              <w:jc w:val="left"/>
              <w:cnfStyle w:val="100000000000" w:firstRow="1" w:lastRow="0" w:firstColumn="0" w:lastColumn="0" w:oddVBand="0" w:evenVBand="0" w:oddHBand="0" w:evenHBand="0" w:firstRowFirstColumn="0" w:firstRowLastColumn="0" w:lastRowFirstColumn="0" w:lastRowLastColumn="0"/>
              <w:rPr>
                <w:b w:val="0"/>
              </w:rPr>
            </w:pPr>
            <w:r w:rsidRPr="006C7B74">
              <w:t>Share of metropolitan Melbourne’s total GRP</w:t>
            </w:r>
            <w:r w:rsidR="00AB01D8" w:rsidRPr="006C7B74">
              <w:t xml:space="preserve"> </w:t>
            </w:r>
          </w:p>
          <w:p w14:paraId="5A9D7193" w14:textId="77777777" w:rsidR="00AB01D8" w:rsidRPr="006C7B74" w:rsidRDefault="0085099E" w:rsidP="00683949">
            <w:pPr>
              <w:pStyle w:val="BodyText"/>
              <w:jc w:val="left"/>
              <w:cnfStyle w:val="100000000000" w:firstRow="1" w:lastRow="0" w:firstColumn="0" w:lastColumn="0" w:oddVBand="0" w:evenVBand="0" w:oddHBand="0" w:evenHBand="0" w:firstRowFirstColumn="0" w:firstRowLastColumn="0" w:lastRowFirstColumn="0" w:lastRowLastColumn="0"/>
              <w:rPr>
                <w:b w:val="0"/>
                <w:sz w:val="44"/>
                <w:szCs w:val="44"/>
              </w:rPr>
            </w:pPr>
            <w:r w:rsidRPr="006C7B74">
              <w:rPr>
                <w:sz w:val="44"/>
                <w:szCs w:val="44"/>
              </w:rPr>
              <w:t>11%</w:t>
            </w:r>
          </w:p>
          <w:p w14:paraId="08E214EE" w14:textId="68B09DAA" w:rsidR="0085099E" w:rsidRPr="006C7B74" w:rsidRDefault="0085099E" w:rsidP="00683949">
            <w:pPr>
              <w:pStyle w:val="BodyText"/>
              <w:jc w:val="left"/>
              <w:cnfStyle w:val="100000000000" w:firstRow="1" w:lastRow="0" w:firstColumn="0" w:lastColumn="0" w:oddVBand="0" w:evenVBand="0" w:oddHBand="0" w:evenHBand="0" w:firstRowFirstColumn="0" w:firstRowLastColumn="0" w:lastRowFirstColumn="0" w:lastRowLastColumn="0"/>
              <w:rPr>
                <w:sz w:val="44"/>
                <w:szCs w:val="44"/>
              </w:rPr>
            </w:pPr>
            <w:proofErr w:type="spellStart"/>
            <w:r w:rsidRPr="006C7B74">
              <w:t>Brimbank</w:t>
            </w:r>
            <w:proofErr w:type="spellEnd"/>
            <w:r w:rsidRPr="006C7B74">
              <w:t xml:space="preserve"> =</w:t>
            </w:r>
            <w:r w:rsidRPr="006C7B74">
              <w:rPr>
                <w:sz w:val="28"/>
                <w:szCs w:val="28"/>
              </w:rPr>
              <w:t xml:space="preserve"> $9.0 billon</w:t>
            </w:r>
          </w:p>
          <w:p w14:paraId="64499ABE" w14:textId="77777777" w:rsidR="0085099E" w:rsidRPr="006C7B74" w:rsidRDefault="0085099E" w:rsidP="00683949">
            <w:pPr>
              <w:pStyle w:val="BodyText"/>
              <w:jc w:val="left"/>
              <w:cnfStyle w:val="100000000000" w:firstRow="1" w:lastRow="0" w:firstColumn="0" w:lastColumn="0" w:oddVBand="0" w:evenVBand="0" w:oddHBand="0" w:evenHBand="0" w:firstRowFirstColumn="0" w:firstRowLastColumn="0" w:lastRowFirstColumn="0" w:lastRowLastColumn="0"/>
            </w:pPr>
            <w:r w:rsidRPr="006C7B74">
              <w:t>Hobsons Bay =</w:t>
            </w:r>
            <w:r w:rsidRPr="006C7B74">
              <w:rPr>
                <w:sz w:val="28"/>
                <w:szCs w:val="28"/>
              </w:rPr>
              <w:t xml:space="preserve"> $5.4 billon</w:t>
            </w:r>
          </w:p>
          <w:p w14:paraId="76C25246" w14:textId="77777777" w:rsidR="0085099E" w:rsidRPr="006C7B74" w:rsidRDefault="0085099E" w:rsidP="00683949">
            <w:pPr>
              <w:pStyle w:val="BodyText"/>
              <w:jc w:val="left"/>
              <w:cnfStyle w:val="100000000000" w:firstRow="1" w:lastRow="0" w:firstColumn="0" w:lastColumn="0" w:oddVBand="0" w:evenVBand="0" w:oddHBand="0" w:evenHBand="0" w:firstRowFirstColumn="0" w:firstRowLastColumn="0" w:lastRowFirstColumn="0" w:lastRowLastColumn="0"/>
            </w:pPr>
            <w:r w:rsidRPr="006C7B74">
              <w:t>Maribyrnong =</w:t>
            </w:r>
            <w:r w:rsidRPr="006C7B74">
              <w:rPr>
                <w:sz w:val="28"/>
                <w:szCs w:val="28"/>
              </w:rPr>
              <w:t xml:space="preserve"> $5.3 billon</w:t>
            </w:r>
          </w:p>
          <w:p w14:paraId="17DB2CCF" w14:textId="77777777" w:rsidR="0085099E" w:rsidRPr="006C7B74" w:rsidRDefault="0085099E" w:rsidP="00683949">
            <w:pPr>
              <w:pStyle w:val="BodyText"/>
              <w:jc w:val="left"/>
              <w:cnfStyle w:val="100000000000" w:firstRow="1" w:lastRow="0" w:firstColumn="0" w:lastColumn="0" w:oddVBand="0" w:evenVBand="0" w:oddHBand="0" w:evenHBand="0" w:firstRowFirstColumn="0" w:firstRowLastColumn="0" w:lastRowFirstColumn="0" w:lastRowLastColumn="0"/>
            </w:pPr>
            <w:r w:rsidRPr="006C7B74">
              <w:t>Melton =</w:t>
            </w:r>
            <w:r w:rsidRPr="006C7B74">
              <w:rPr>
                <w:sz w:val="28"/>
                <w:szCs w:val="28"/>
              </w:rPr>
              <w:t xml:space="preserve"> $3.6 billon</w:t>
            </w:r>
          </w:p>
          <w:p w14:paraId="4E52D1E5" w14:textId="77777777" w:rsidR="0085099E" w:rsidRPr="006C7B74" w:rsidRDefault="0085099E" w:rsidP="00683949">
            <w:pPr>
              <w:pStyle w:val="BodyText"/>
              <w:jc w:val="left"/>
              <w:cnfStyle w:val="100000000000" w:firstRow="1" w:lastRow="0" w:firstColumn="0" w:lastColumn="0" w:oddVBand="0" w:evenVBand="0" w:oddHBand="0" w:evenHBand="0" w:firstRowFirstColumn="0" w:firstRowLastColumn="0" w:lastRowFirstColumn="0" w:lastRowLastColumn="0"/>
            </w:pPr>
            <w:r w:rsidRPr="006C7B74">
              <w:t>Moonee Valley =</w:t>
            </w:r>
            <w:r w:rsidRPr="006C7B74">
              <w:rPr>
                <w:sz w:val="28"/>
                <w:szCs w:val="28"/>
              </w:rPr>
              <w:t xml:space="preserve"> $5.4 billon</w:t>
            </w:r>
          </w:p>
          <w:p w14:paraId="5A4B3015" w14:textId="77777777" w:rsidR="0085099E" w:rsidRPr="006C7B74" w:rsidRDefault="0085099E" w:rsidP="00683949">
            <w:pPr>
              <w:pStyle w:val="BodyText"/>
              <w:jc w:val="left"/>
              <w:cnfStyle w:val="100000000000" w:firstRow="1" w:lastRow="0" w:firstColumn="0" w:lastColumn="0" w:oddVBand="0" w:evenVBand="0" w:oddHBand="0" w:evenHBand="0" w:firstRowFirstColumn="0" w:firstRowLastColumn="0" w:lastRowFirstColumn="0" w:lastRowLastColumn="0"/>
            </w:pPr>
            <w:r w:rsidRPr="006C7B74">
              <w:t>Wyndham =</w:t>
            </w:r>
            <w:r w:rsidRPr="006C7B74">
              <w:rPr>
                <w:sz w:val="28"/>
                <w:szCs w:val="28"/>
              </w:rPr>
              <w:t xml:space="preserve"> $9.4 billon</w:t>
            </w:r>
          </w:p>
        </w:tc>
      </w:tr>
    </w:tbl>
    <w:p w14:paraId="78002EE5" w14:textId="6B9E6295" w:rsidR="006E0A5C" w:rsidRPr="006C7B74" w:rsidRDefault="006E0A5C" w:rsidP="006E0A5C">
      <w:pPr>
        <w:rPr>
          <w:rFonts w:eastAsiaTheme="majorEastAsia" w:cstheme="majorBidi"/>
          <w:b/>
          <w:sz w:val="20"/>
        </w:rPr>
      </w:pPr>
    </w:p>
    <w:p w14:paraId="1B482A26" w14:textId="6991FFAD" w:rsidR="00DC580D" w:rsidRPr="006C7B74" w:rsidRDefault="00DC580D" w:rsidP="00DC580D">
      <w:pPr>
        <w:pStyle w:val="Quote"/>
        <w:rPr>
          <w:lang w:eastAsia="en-AU"/>
        </w:rPr>
      </w:pPr>
      <w:r w:rsidRPr="006C7B74">
        <w:rPr>
          <w:lang w:eastAsia="en-AU"/>
        </w:rPr>
        <w:t>Source:</w:t>
      </w:r>
      <w:r w:rsidR="007C154C" w:rsidRPr="006C7B74">
        <w:rPr>
          <w:lang w:eastAsia="en-AU"/>
        </w:rPr>
        <w:t xml:space="preserve"> </w:t>
      </w:r>
      <w:r w:rsidRPr="006C7B74">
        <w:rPr>
          <w:lang w:eastAsia="en-AU"/>
        </w:rPr>
        <w:t>Department of Environment, Land, Water and Planning, unpublished data (2019)</w:t>
      </w:r>
    </w:p>
    <w:p w14:paraId="5856722B" w14:textId="77777777" w:rsidR="00DC580D" w:rsidRPr="006C7B74" w:rsidRDefault="00DC580D" w:rsidP="00913DA1">
      <w:pPr>
        <w:spacing w:after="120"/>
        <w:rPr>
          <w:rFonts w:cstheme="minorHAnsi"/>
          <w:sz w:val="20"/>
          <w:szCs w:val="20"/>
        </w:rPr>
      </w:pPr>
    </w:p>
    <w:p w14:paraId="0F5B9E8C" w14:textId="5A846FC5" w:rsidR="00F81397" w:rsidRPr="006C7B74" w:rsidRDefault="00F81397" w:rsidP="00913DA1">
      <w:pPr>
        <w:spacing w:after="120"/>
        <w:rPr>
          <w:rFonts w:cstheme="minorHAnsi"/>
          <w:sz w:val="20"/>
          <w:szCs w:val="20"/>
        </w:rPr>
      </w:pPr>
      <w:r w:rsidRPr="006C7B74">
        <w:rPr>
          <w:rFonts w:cstheme="minorHAnsi"/>
          <w:sz w:val="20"/>
          <w:szCs w:val="20"/>
        </w:rPr>
        <w:lastRenderedPageBreak/>
        <w:t>T</w:t>
      </w:r>
      <w:r w:rsidR="00913DA1" w:rsidRPr="006C7B74">
        <w:rPr>
          <w:rFonts w:cstheme="minorHAnsi"/>
          <w:sz w:val="20"/>
          <w:szCs w:val="20"/>
        </w:rPr>
        <w:t xml:space="preserve">he region was home to around </w:t>
      </w:r>
      <w:r w:rsidR="00E61956" w:rsidRPr="006C7B74">
        <w:rPr>
          <w:rFonts w:cstheme="minorHAnsi"/>
          <w:sz w:val="20"/>
          <w:szCs w:val="20"/>
        </w:rPr>
        <w:t xml:space="preserve">875,900 </w:t>
      </w:r>
      <w:r w:rsidR="00913DA1" w:rsidRPr="006C7B74">
        <w:rPr>
          <w:rFonts w:cstheme="minorHAnsi"/>
          <w:sz w:val="20"/>
          <w:szCs w:val="20"/>
        </w:rPr>
        <w:t>people</w:t>
      </w:r>
      <w:r w:rsidRPr="006C7B74">
        <w:rPr>
          <w:rFonts w:cstheme="minorHAnsi"/>
          <w:sz w:val="20"/>
          <w:szCs w:val="20"/>
        </w:rPr>
        <w:t xml:space="preserve"> in 2016</w:t>
      </w:r>
      <w:r w:rsidR="00913DA1" w:rsidRPr="006C7B74">
        <w:rPr>
          <w:rFonts w:cstheme="minorHAnsi"/>
          <w:sz w:val="20"/>
          <w:szCs w:val="20"/>
        </w:rPr>
        <w:t>. By 20</w:t>
      </w:r>
      <w:r w:rsidR="00D3338D" w:rsidRPr="006C7B74">
        <w:rPr>
          <w:rFonts w:cstheme="minorHAnsi"/>
          <w:sz w:val="20"/>
          <w:szCs w:val="20"/>
        </w:rPr>
        <w:t>3</w:t>
      </w:r>
      <w:r w:rsidR="00913DA1" w:rsidRPr="006C7B74">
        <w:rPr>
          <w:rFonts w:cstheme="minorHAnsi"/>
          <w:sz w:val="20"/>
          <w:szCs w:val="20"/>
        </w:rPr>
        <w:t>1 it is projected that the region will grow by</w:t>
      </w:r>
      <w:r w:rsidR="007C154C" w:rsidRPr="006C7B74">
        <w:rPr>
          <w:rFonts w:cstheme="minorHAnsi"/>
          <w:sz w:val="20"/>
          <w:szCs w:val="20"/>
        </w:rPr>
        <w:t xml:space="preserve"> </w:t>
      </w:r>
      <w:r w:rsidR="00913DA1" w:rsidRPr="006C7B74">
        <w:rPr>
          <w:rFonts w:cstheme="minorHAnsi"/>
          <w:sz w:val="20"/>
          <w:szCs w:val="20"/>
        </w:rPr>
        <w:t xml:space="preserve">another </w:t>
      </w:r>
      <w:r w:rsidR="008F67E5" w:rsidRPr="006C7B74">
        <w:rPr>
          <w:rFonts w:cstheme="minorHAnsi"/>
          <w:sz w:val="20"/>
          <w:szCs w:val="20"/>
        </w:rPr>
        <w:t>444,800</w:t>
      </w:r>
      <w:r w:rsidR="00A7775D" w:rsidRPr="006C7B74">
        <w:rPr>
          <w:rFonts w:cstheme="minorHAnsi"/>
          <w:sz w:val="20"/>
          <w:szCs w:val="20"/>
        </w:rPr>
        <w:t xml:space="preserve"> </w:t>
      </w:r>
      <w:r w:rsidR="00913DA1" w:rsidRPr="006C7B74">
        <w:rPr>
          <w:rFonts w:cstheme="minorHAnsi"/>
          <w:sz w:val="20"/>
          <w:szCs w:val="20"/>
        </w:rPr>
        <w:t>people to a total population of around 1.</w:t>
      </w:r>
      <w:r w:rsidR="00567C0C" w:rsidRPr="006C7B74">
        <w:rPr>
          <w:rFonts w:cstheme="minorHAnsi"/>
          <w:sz w:val="20"/>
          <w:szCs w:val="20"/>
        </w:rPr>
        <w:t>3</w:t>
      </w:r>
      <w:r w:rsidR="00913DA1" w:rsidRPr="006C7B74">
        <w:rPr>
          <w:rFonts w:cstheme="minorHAnsi"/>
          <w:sz w:val="20"/>
          <w:szCs w:val="20"/>
        </w:rPr>
        <w:t xml:space="preserve"> million. The growth area municipalities of Wyndham and Melton will experience the strongest population growth over this period</w:t>
      </w:r>
      <w:r w:rsidR="00356715" w:rsidRPr="006C7B74">
        <w:rPr>
          <w:rFonts w:cstheme="minorHAnsi"/>
          <w:sz w:val="20"/>
          <w:szCs w:val="20"/>
          <w:lang w:eastAsia="en-AU"/>
        </w:rPr>
        <w:t xml:space="preserve"> and by 20</w:t>
      </w:r>
      <w:r w:rsidR="00CC1324" w:rsidRPr="006C7B74">
        <w:rPr>
          <w:rFonts w:cstheme="minorHAnsi"/>
          <w:sz w:val="20"/>
          <w:szCs w:val="20"/>
          <w:lang w:eastAsia="en-AU"/>
        </w:rPr>
        <w:t>3</w:t>
      </w:r>
      <w:r w:rsidR="00356715" w:rsidRPr="006C7B74">
        <w:rPr>
          <w:rFonts w:cstheme="minorHAnsi"/>
          <w:sz w:val="20"/>
          <w:szCs w:val="20"/>
          <w:lang w:eastAsia="en-AU"/>
        </w:rPr>
        <w:t>1</w:t>
      </w:r>
      <w:r w:rsidR="00A7775D" w:rsidRPr="006C7B74">
        <w:rPr>
          <w:rFonts w:cstheme="minorHAnsi"/>
          <w:sz w:val="20"/>
          <w:szCs w:val="20"/>
          <w:lang w:eastAsia="en-AU"/>
        </w:rPr>
        <w:t xml:space="preserve"> </w:t>
      </w:r>
      <w:r w:rsidR="00356715" w:rsidRPr="006C7B74">
        <w:rPr>
          <w:rFonts w:cstheme="minorHAnsi"/>
          <w:sz w:val="20"/>
          <w:szCs w:val="20"/>
          <w:lang w:eastAsia="en-AU"/>
        </w:rPr>
        <w:t xml:space="preserve">are likely to be home to over </w:t>
      </w:r>
      <w:r w:rsidR="001829F0" w:rsidRPr="006C7B74">
        <w:rPr>
          <w:rFonts w:cstheme="minorHAnsi"/>
          <w:sz w:val="20"/>
          <w:szCs w:val="20"/>
          <w:lang w:eastAsia="en-AU"/>
        </w:rPr>
        <w:t>683,</w:t>
      </w:r>
      <w:r w:rsidR="00E1555E" w:rsidRPr="006C7B74">
        <w:rPr>
          <w:rFonts w:cstheme="minorHAnsi"/>
          <w:sz w:val="20"/>
          <w:szCs w:val="20"/>
          <w:lang w:eastAsia="en-AU"/>
        </w:rPr>
        <w:t>1</w:t>
      </w:r>
      <w:r w:rsidR="001829F0" w:rsidRPr="006C7B74">
        <w:rPr>
          <w:rFonts w:cstheme="minorHAnsi"/>
          <w:sz w:val="20"/>
          <w:szCs w:val="20"/>
          <w:lang w:eastAsia="en-AU"/>
        </w:rPr>
        <w:t>00</w:t>
      </w:r>
      <w:r w:rsidR="00356715" w:rsidRPr="006C7B74">
        <w:rPr>
          <w:rFonts w:cstheme="minorHAnsi"/>
          <w:sz w:val="20"/>
          <w:szCs w:val="20"/>
          <w:lang w:eastAsia="en-AU"/>
        </w:rPr>
        <w:t xml:space="preserve"> people. </w:t>
      </w:r>
    </w:p>
    <w:p w14:paraId="176BD74C" w14:textId="529F3B47" w:rsidR="002A5B72" w:rsidRPr="006C7B74" w:rsidRDefault="002A5B72" w:rsidP="008927CC">
      <w:pPr>
        <w:pStyle w:val="Heading5"/>
      </w:pPr>
      <w:r w:rsidRPr="006C7B74">
        <w:t xml:space="preserve">Figure </w:t>
      </w:r>
      <w:r w:rsidR="009C6CC3" w:rsidRPr="006C7B74">
        <w:t>1</w:t>
      </w:r>
      <w:r w:rsidR="0083160F" w:rsidRPr="006C7B74">
        <w:t>5</w:t>
      </w:r>
      <w:r w:rsidRPr="006C7B74">
        <w:t>: Projected population growth, Western Region, 2016</w:t>
      </w:r>
      <w:r w:rsidR="00E40260" w:rsidRPr="006C7B74">
        <w:t xml:space="preserve"> </w:t>
      </w:r>
      <w:r w:rsidR="00305798" w:rsidRPr="006C7B74">
        <w:t>to</w:t>
      </w:r>
      <w:r w:rsidR="00E40260" w:rsidRPr="006C7B74">
        <w:t xml:space="preserve"> 2031</w:t>
      </w:r>
    </w:p>
    <w:p w14:paraId="1F2F4079" w14:textId="5F4F7828" w:rsidR="002A5B72" w:rsidRPr="006C7B74" w:rsidRDefault="0087674A" w:rsidP="008927CC">
      <w:pPr>
        <w:spacing w:after="120"/>
        <w:rPr>
          <w:rFonts w:cstheme="minorHAnsi"/>
          <w:b/>
          <w:sz w:val="20"/>
          <w:szCs w:val="20"/>
        </w:rPr>
      </w:pPr>
      <w:r w:rsidRPr="006C7B74">
        <w:rPr>
          <w:noProof/>
        </w:rPr>
        <w:drawing>
          <wp:inline distT="0" distB="0" distL="0" distR="0" wp14:anchorId="06C170C0" wp14:editId="130803B4">
            <wp:extent cx="5558715" cy="2707651"/>
            <wp:effectExtent l="0" t="0" r="0" b="0"/>
            <wp:docPr id="36" name="Chart 36" descr="Bar graph showing projected population growth, Western Region, 2016 to 2031">
              <a:extLst xmlns:a="http://schemas.openxmlformats.org/drawingml/2006/main">
                <a:ext uri="{FF2B5EF4-FFF2-40B4-BE49-F238E27FC236}">
                  <a16:creationId xmlns:a16="http://schemas.microsoft.com/office/drawing/2014/main" id="{2158E45D-21C0-46D3-A6C0-CF9711115A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B168928" w14:textId="15793426" w:rsidR="002A5B72" w:rsidRPr="006C7B74" w:rsidRDefault="00677880" w:rsidP="00934C4D">
      <w:pPr>
        <w:spacing w:after="120"/>
        <w:rPr>
          <w:i/>
          <w:iCs/>
          <w:color w:val="404040" w:themeColor="text1" w:themeTint="BF"/>
          <w:sz w:val="18"/>
        </w:rPr>
      </w:pPr>
      <w:r w:rsidRPr="006C7B74">
        <w:rPr>
          <w:i/>
          <w:iCs/>
          <w:color w:val="404040" w:themeColor="text1" w:themeTint="BF"/>
          <w:sz w:val="18"/>
        </w:rPr>
        <w:t xml:space="preserve">Source: Department of Environment, Land, Water and Planning, Victoria in Future 2019 </w:t>
      </w:r>
      <w:r w:rsidR="00080043" w:rsidRPr="006C7B74">
        <w:rPr>
          <w:i/>
          <w:iCs/>
          <w:color w:val="404040" w:themeColor="text1" w:themeTint="BF"/>
          <w:sz w:val="18"/>
        </w:rPr>
        <w:t>(</w:t>
      </w:r>
      <w:r w:rsidRPr="006C7B74">
        <w:rPr>
          <w:i/>
          <w:iCs/>
          <w:color w:val="404040" w:themeColor="text1" w:themeTint="BF"/>
          <w:sz w:val="18"/>
        </w:rPr>
        <w:t>July 2019</w:t>
      </w:r>
      <w:r w:rsidR="00080043" w:rsidRPr="006C7B74">
        <w:rPr>
          <w:i/>
          <w:iCs/>
          <w:color w:val="404040" w:themeColor="text1" w:themeTint="BF"/>
          <w:sz w:val="18"/>
        </w:rPr>
        <w:t>)</w:t>
      </w:r>
      <w:r w:rsidRPr="006C7B74">
        <w:rPr>
          <w:i/>
          <w:iCs/>
          <w:color w:val="404040" w:themeColor="text1" w:themeTint="BF"/>
          <w:sz w:val="18"/>
        </w:rPr>
        <w:t>.</w:t>
      </w:r>
    </w:p>
    <w:p w14:paraId="3819BA27" w14:textId="77777777" w:rsidR="007D3403" w:rsidRDefault="007D3403" w:rsidP="00934C4D">
      <w:pPr>
        <w:spacing w:after="120"/>
        <w:rPr>
          <w:rFonts w:cstheme="minorHAnsi"/>
          <w:sz w:val="20"/>
          <w:szCs w:val="20"/>
        </w:rPr>
      </w:pPr>
    </w:p>
    <w:p w14:paraId="1A988D0A" w14:textId="1D4D4340" w:rsidR="002A5B72" w:rsidRPr="006C7B74" w:rsidRDefault="002A5B72" w:rsidP="00934C4D">
      <w:pPr>
        <w:spacing w:after="120"/>
        <w:rPr>
          <w:rFonts w:cstheme="minorHAnsi"/>
          <w:sz w:val="20"/>
          <w:szCs w:val="20"/>
        </w:rPr>
      </w:pPr>
      <w:r w:rsidRPr="006C7B74">
        <w:rPr>
          <w:rFonts w:cstheme="minorHAnsi"/>
          <w:sz w:val="20"/>
          <w:szCs w:val="20"/>
        </w:rPr>
        <w:t xml:space="preserve">In 2016 the region supported </w:t>
      </w:r>
      <w:r w:rsidR="00BF7EEB" w:rsidRPr="006C7B74">
        <w:rPr>
          <w:rFonts w:cstheme="minorHAnsi"/>
          <w:sz w:val="20"/>
          <w:szCs w:val="20"/>
        </w:rPr>
        <w:t>just over</w:t>
      </w:r>
      <w:r w:rsidRPr="006C7B74">
        <w:rPr>
          <w:rFonts w:cstheme="minorHAnsi"/>
          <w:sz w:val="20"/>
          <w:szCs w:val="20"/>
        </w:rPr>
        <w:t xml:space="preserve"> </w:t>
      </w:r>
      <w:r w:rsidR="005A3A71" w:rsidRPr="006C7B74">
        <w:rPr>
          <w:rFonts w:cstheme="minorHAnsi"/>
          <w:sz w:val="20"/>
          <w:szCs w:val="20"/>
        </w:rPr>
        <w:t>294,500</w:t>
      </w:r>
      <w:r w:rsidRPr="006C7B74">
        <w:rPr>
          <w:rFonts w:cstheme="minorHAnsi"/>
          <w:sz w:val="20"/>
          <w:szCs w:val="20"/>
        </w:rPr>
        <w:t xml:space="preserve"> jobs, accounting for 13 per cent of all employment across the metropolitan area</w:t>
      </w:r>
      <w:r w:rsidR="001F09DA" w:rsidRPr="006C7B74">
        <w:rPr>
          <w:rFonts w:cstheme="minorHAnsi"/>
          <w:sz w:val="20"/>
          <w:szCs w:val="20"/>
        </w:rPr>
        <w:t>.</w:t>
      </w:r>
      <w:r w:rsidRPr="006C7B74">
        <w:rPr>
          <w:rFonts w:cstheme="minorHAnsi"/>
          <w:i/>
          <w:iCs/>
          <w:sz w:val="15"/>
          <w:szCs w:val="15"/>
        </w:rPr>
        <w:t xml:space="preserve"> </w:t>
      </w:r>
    </w:p>
    <w:p w14:paraId="40C2134D" w14:textId="7263A50D" w:rsidR="002A5B72" w:rsidRPr="006C7B74" w:rsidRDefault="00150956" w:rsidP="00934C4D">
      <w:pPr>
        <w:spacing w:after="120"/>
        <w:rPr>
          <w:rFonts w:cstheme="minorHAnsi"/>
          <w:sz w:val="20"/>
          <w:szCs w:val="20"/>
        </w:rPr>
      </w:pPr>
      <w:r w:rsidRPr="006C7B74">
        <w:rPr>
          <w:rFonts w:cstheme="minorHAnsi"/>
          <w:sz w:val="20"/>
          <w:szCs w:val="20"/>
        </w:rPr>
        <w:t xml:space="preserve">By 2031 it is </w:t>
      </w:r>
      <w:r>
        <w:rPr>
          <w:rFonts w:cstheme="minorHAnsi"/>
          <w:sz w:val="20"/>
          <w:szCs w:val="20"/>
        </w:rPr>
        <w:t xml:space="preserve">projected </w:t>
      </w:r>
      <w:r w:rsidRPr="006C7B74">
        <w:rPr>
          <w:rFonts w:cstheme="minorHAnsi"/>
          <w:sz w:val="20"/>
          <w:szCs w:val="20"/>
        </w:rPr>
        <w:t xml:space="preserve">that approximately </w:t>
      </w:r>
      <w:r>
        <w:rPr>
          <w:rFonts w:cstheme="minorHAnsi"/>
          <w:sz w:val="20"/>
          <w:szCs w:val="20"/>
        </w:rPr>
        <w:t>151,000</w:t>
      </w:r>
      <w:r w:rsidRPr="006C7B74">
        <w:rPr>
          <w:rFonts w:cstheme="minorHAnsi"/>
          <w:sz w:val="20"/>
          <w:szCs w:val="20"/>
        </w:rPr>
        <w:t xml:space="preserve"> additional jobs will be </w:t>
      </w:r>
      <w:r>
        <w:rPr>
          <w:rFonts w:cstheme="minorHAnsi"/>
          <w:sz w:val="20"/>
          <w:szCs w:val="20"/>
        </w:rPr>
        <w:t>located</w:t>
      </w:r>
      <w:r w:rsidRPr="006C7B74">
        <w:rPr>
          <w:rFonts w:cstheme="minorHAnsi"/>
          <w:sz w:val="20"/>
          <w:szCs w:val="20"/>
        </w:rPr>
        <w:t xml:space="preserve"> across the region.</w:t>
      </w:r>
      <w:r w:rsidR="002A5B72" w:rsidRPr="006C7B74">
        <w:rPr>
          <w:rFonts w:cstheme="minorHAnsi"/>
          <w:sz w:val="20"/>
          <w:szCs w:val="20"/>
        </w:rPr>
        <w:t xml:space="preserve"> </w:t>
      </w:r>
      <w:r w:rsidR="00D72EA2" w:rsidRPr="006C7B74">
        <w:rPr>
          <w:rFonts w:cstheme="minorHAnsi"/>
          <w:sz w:val="20"/>
          <w:szCs w:val="20"/>
        </w:rPr>
        <w:t>Over</w:t>
      </w:r>
      <w:r w:rsidR="00F8703F" w:rsidRPr="006C7B74">
        <w:rPr>
          <w:rFonts w:cstheme="minorHAnsi"/>
          <w:sz w:val="20"/>
          <w:szCs w:val="20"/>
        </w:rPr>
        <w:t xml:space="preserve"> </w:t>
      </w:r>
      <w:r w:rsidR="00927816" w:rsidRPr="006C7B74">
        <w:rPr>
          <w:rFonts w:cstheme="minorHAnsi"/>
          <w:sz w:val="20"/>
          <w:szCs w:val="20"/>
        </w:rPr>
        <w:t xml:space="preserve">half of the new jobs in the region are expected to be within the growth area </w:t>
      </w:r>
      <w:r w:rsidR="002A5B72" w:rsidRPr="006C7B74">
        <w:rPr>
          <w:rFonts w:cstheme="minorHAnsi"/>
          <w:sz w:val="20"/>
          <w:szCs w:val="20"/>
        </w:rPr>
        <w:t xml:space="preserve">municipalities </w:t>
      </w:r>
      <w:r w:rsidR="00927816" w:rsidRPr="006C7B74">
        <w:rPr>
          <w:rFonts w:cstheme="minorHAnsi"/>
          <w:sz w:val="20"/>
          <w:szCs w:val="20"/>
        </w:rPr>
        <w:t xml:space="preserve">of </w:t>
      </w:r>
      <w:r w:rsidR="002A5B72" w:rsidRPr="006C7B74">
        <w:rPr>
          <w:rFonts w:cstheme="minorHAnsi"/>
          <w:sz w:val="20"/>
          <w:szCs w:val="20"/>
        </w:rPr>
        <w:t>Wyndham</w:t>
      </w:r>
      <w:r w:rsidR="00927816" w:rsidRPr="006C7B74">
        <w:rPr>
          <w:rFonts w:cstheme="minorHAnsi"/>
          <w:sz w:val="20"/>
          <w:szCs w:val="20"/>
        </w:rPr>
        <w:t xml:space="preserve"> and </w:t>
      </w:r>
      <w:r w:rsidR="002A5B72" w:rsidRPr="006C7B74">
        <w:rPr>
          <w:rFonts w:cstheme="minorHAnsi"/>
          <w:sz w:val="20"/>
          <w:szCs w:val="20"/>
        </w:rPr>
        <w:t xml:space="preserve">Melton. </w:t>
      </w:r>
    </w:p>
    <w:p w14:paraId="5CA69BD0" w14:textId="4728378C" w:rsidR="002A5B72" w:rsidRPr="006C7B74" w:rsidRDefault="002A5B72" w:rsidP="00934C4D">
      <w:pPr>
        <w:spacing w:after="120"/>
        <w:rPr>
          <w:rFonts w:cstheme="minorHAnsi"/>
          <w:sz w:val="20"/>
          <w:szCs w:val="20"/>
        </w:rPr>
      </w:pPr>
      <w:r w:rsidRPr="006C7B74">
        <w:rPr>
          <w:rFonts w:cstheme="minorHAnsi"/>
          <w:sz w:val="20"/>
          <w:szCs w:val="20"/>
        </w:rPr>
        <w:t xml:space="preserve">The industries that </w:t>
      </w:r>
      <w:r w:rsidR="00927816" w:rsidRPr="006C7B74">
        <w:rPr>
          <w:rFonts w:cstheme="minorHAnsi"/>
          <w:sz w:val="20"/>
          <w:szCs w:val="20"/>
        </w:rPr>
        <w:t xml:space="preserve">are expected to </w:t>
      </w:r>
      <w:r w:rsidRPr="006C7B74">
        <w:rPr>
          <w:rFonts w:cstheme="minorHAnsi"/>
          <w:sz w:val="20"/>
          <w:szCs w:val="20"/>
        </w:rPr>
        <w:t>experience the strongest growth are</w:t>
      </w:r>
      <w:r w:rsidR="00927816" w:rsidRPr="006C7B74">
        <w:rPr>
          <w:rFonts w:cstheme="minorHAnsi"/>
          <w:sz w:val="20"/>
          <w:szCs w:val="20"/>
        </w:rPr>
        <w:t>:</w:t>
      </w:r>
      <w:r w:rsidRPr="006C7B74">
        <w:rPr>
          <w:rFonts w:cstheme="minorHAnsi"/>
          <w:sz w:val="20"/>
          <w:szCs w:val="20"/>
        </w:rPr>
        <w:t xml:space="preserve"> </w:t>
      </w:r>
      <w:r w:rsidR="004C066C" w:rsidRPr="006C7B74">
        <w:rPr>
          <w:rFonts w:cstheme="minorHAnsi"/>
          <w:sz w:val="20"/>
          <w:szCs w:val="20"/>
        </w:rPr>
        <w:t xml:space="preserve">health care and social assistance; transport, postal and warehousing; </w:t>
      </w:r>
      <w:r w:rsidR="00C260E3" w:rsidRPr="006C7B74">
        <w:rPr>
          <w:rFonts w:cstheme="minorHAnsi"/>
          <w:sz w:val="20"/>
          <w:szCs w:val="20"/>
        </w:rPr>
        <w:t xml:space="preserve">retail trade; </w:t>
      </w:r>
      <w:r w:rsidR="004C066C" w:rsidRPr="006C7B74">
        <w:rPr>
          <w:rFonts w:cstheme="minorHAnsi"/>
          <w:sz w:val="20"/>
          <w:szCs w:val="20"/>
        </w:rPr>
        <w:t>education and training; manufacturing.</w:t>
      </w:r>
    </w:p>
    <w:p w14:paraId="0A728FDB" w14:textId="6CE7BEB0" w:rsidR="002A5B72" w:rsidRPr="006C7B74" w:rsidRDefault="002A5B72" w:rsidP="008927CC">
      <w:pPr>
        <w:pStyle w:val="Heading5"/>
      </w:pPr>
      <w:r w:rsidRPr="006C7B74">
        <w:lastRenderedPageBreak/>
        <w:t xml:space="preserve">Figure </w:t>
      </w:r>
      <w:r w:rsidR="009C6CC3" w:rsidRPr="006C7B74">
        <w:t>1</w:t>
      </w:r>
      <w:r w:rsidR="0083160F" w:rsidRPr="006C7B74">
        <w:t>6</w:t>
      </w:r>
      <w:r w:rsidRPr="006C7B74">
        <w:t>: Projected employment growth, Western Region, 2016 to 2031</w:t>
      </w:r>
    </w:p>
    <w:p w14:paraId="36E02BAA" w14:textId="48207E10" w:rsidR="002A5B72" w:rsidRPr="00683949" w:rsidRDefault="00C97A3C" w:rsidP="00683949">
      <w:pPr>
        <w:pStyle w:val="Quote"/>
      </w:pPr>
      <w:r w:rsidRPr="006C7B74">
        <w:rPr>
          <w:noProof/>
        </w:rPr>
        <w:drawing>
          <wp:inline distT="0" distB="0" distL="0" distR="0" wp14:anchorId="116D5369" wp14:editId="11226E15">
            <wp:extent cx="5727700" cy="3952413"/>
            <wp:effectExtent l="0" t="0" r="0" b="0"/>
            <wp:docPr id="8" name="Picture 8" descr="Graphic showing:&#10;Brimbank +18K jobs, 1.4%pa growth&#10;Melton +31K jobs, 5.5%pa gowth&#10;Wyndham +52K jobs, 4.0%pa  growth&#10;Moonee Valley +21K jobs, 2.8%pa growth&#10;Maribyrnong +20K jobs, 2.8%pa gowth&#10;Hobsons Bay +9K jobs, 1.4%pa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ojected employment growth map_2020 update-02.png"/>
                    <pic:cNvPicPr/>
                  </pic:nvPicPr>
                  <pic:blipFill rotWithShape="1">
                    <a:blip r:embed="rId42"/>
                    <a:srcRect t="2395"/>
                    <a:stretch/>
                  </pic:blipFill>
                  <pic:spPr bwMode="auto">
                    <a:xfrm>
                      <a:off x="0" y="0"/>
                      <a:ext cx="5727700" cy="3952413"/>
                    </a:xfrm>
                    <a:prstGeom prst="rect">
                      <a:avLst/>
                    </a:prstGeom>
                    <a:ln>
                      <a:noFill/>
                    </a:ln>
                    <a:extLst>
                      <a:ext uri="{53640926-AAD7-44D8-BBD7-CCE9431645EC}">
                        <a14:shadowObscured xmlns:a14="http://schemas.microsoft.com/office/drawing/2010/main"/>
                      </a:ext>
                    </a:extLst>
                  </pic:spPr>
                </pic:pic>
              </a:graphicData>
            </a:graphic>
          </wp:inline>
        </w:drawing>
      </w:r>
      <w:r w:rsidR="00DC580D" w:rsidRPr="006C7B74">
        <w:t xml:space="preserve"> </w:t>
      </w:r>
      <w:r w:rsidR="00DC580D" w:rsidRPr="00683949">
        <w:t>Source: Department of Jobs, Precincts and Regions, internal analysis (201</w:t>
      </w:r>
      <w:r w:rsidRPr="00683949">
        <w:t>9</w:t>
      </w:r>
      <w:r w:rsidR="00DC580D" w:rsidRPr="00683949">
        <w:t>)</w:t>
      </w:r>
    </w:p>
    <w:p w14:paraId="12D34C59" w14:textId="77777777" w:rsidR="00944BE6" w:rsidRPr="00683949" w:rsidRDefault="00944BE6" w:rsidP="00683949">
      <w:pPr>
        <w:pStyle w:val="BodyText"/>
      </w:pPr>
      <w:r w:rsidRPr="00683949">
        <w:t>NOTE: Job figures have been rounded to the nearest thousand.</w:t>
      </w:r>
    </w:p>
    <w:p w14:paraId="4E8E4385" w14:textId="77777777" w:rsidR="00E326DD" w:rsidRPr="006C7B74" w:rsidRDefault="00E326DD" w:rsidP="00934C4D">
      <w:pPr>
        <w:spacing w:after="120"/>
        <w:rPr>
          <w:rFonts w:cstheme="minorHAnsi"/>
          <w:sz w:val="20"/>
          <w:szCs w:val="20"/>
        </w:rPr>
      </w:pPr>
    </w:p>
    <w:p w14:paraId="78435871" w14:textId="5A3A7DEE" w:rsidR="00824C3F" w:rsidRPr="006C7B74" w:rsidRDefault="00824C3F" w:rsidP="00934C4D">
      <w:pPr>
        <w:pStyle w:val="Heading2-Contenttable"/>
        <w:spacing w:after="120"/>
      </w:pPr>
      <w:bookmarkStart w:id="40" w:name="_Toc21694819"/>
      <w:r w:rsidRPr="006C7B74">
        <w:t>Key industrial and commercial areas</w:t>
      </w:r>
      <w:bookmarkEnd w:id="40"/>
    </w:p>
    <w:p w14:paraId="572DCA32" w14:textId="2191135E" w:rsidR="00824C3F" w:rsidRPr="006C7B74" w:rsidRDefault="00824C3F" w:rsidP="00934C4D">
      <w:pPr>
        <w:spacing w:after="120"/>
        <w:rPr>
          <w:rFonts w:cstheme="minorHAnsi"/>
          <w:sz w:val="20"/>
          <w:szCs w:val="20"/>
        </w:rPr>
      </w:pPr>
      <w:r w:rsidRPr="006C7B74">
        <w:rPr>
          <w:rFonts w:cstheme="minorHAnsi"/>
          <w:sz w:val="20"/>
          <w:szCs w:val="20"/>
        </w:rPr>
        <w:t xml:space="preserve">The </w:t>
      </w:r>
      <w:r w:rsidRPr="006C7B74">
        <w:rPr>
          <w:rFonts w:cstheme="minorHAnsi"/>
          <w:b/>
          <w:sz w:val="20"/>
          <w:szCs w:val="20"/>
        </w:rPr>
        <w:t xml:space="preserve">Western </w:t>
      </w:r>
      <w:r w:rsidR="00BF7EEB" w:rsidRPr="006C7B74">
        <w:rPr>
          <w:rFonts w:cstheme="minorHAnsi"/>
          <w:b/>
          <w:sz w:val="20"/>
          <w:szCs w:val="20"/>
        </w:rPr>
        <w:t>s</w:t>
      </w:r>
      <w:r w:rsidRPr="006C7B74">
        <w:rPr>
          <w:rFonts w:cstheme="minorHAnsi"/>
          <w:b/>
          <w:sz w:val="20"/>
          <w:szCs w:val="20"/>
        </w:rPr>
        <w:t>tate</w:t>
      </w:r>
      <w:r w:rsidR="00907A33" w:rsidRPr="006C7B74">
        <w:rPr>
          <w:rFonts w:cstheme="minorHAnsi"/>
          <w:b/>
          <w:sz w:val="20"/>
          <w:szCs w:val="20"/>
        </w:rPr>
        <w:t>-s</w:t>
      </w:r>
      <w:r w:rsidRPr="006C7B74">
        <w:rPr>
          <w:rFonts w:cstheme="minorHAnsi"/>
          <w:b/>
          <w:sz w:val="20"/>
          <w:szCs w:val="20"/>
        </w:rPr>
        <w:t xml:space="preserve">ignificant </w:t>
      </w:r>
      <w:r w:rsidR="00907A33" w:rsidRPr="006C7B74">
        <w:rPr>
          <w:rFonts w:cstheme="minorHAnsi"/>
          <w:b/>
          <w:sz w:val="20"/>
          <w:szCs w:val="20"/>
        </w:rPr>
        <w:t>i</w:t>
      </w:r>
      <w:r w:rsidRPr="006C7B74">
        <w:rPr>
          <w:rFonts w:cstheme="minorHAnsi"/>
          <w:b/>
          <w:sz w:val="20"/>
          <w:szCs w:val="20"/>
        </w:rPr>
        <w:t xml:space="preserve">ndustrial </w:t>
      </w:r>
      <w:r w:rsidR="00907A33" w:rsidRPr="006C7B74">
        <w:rPr>
          <w:rFonts w:cstheme="minorHAnsi"/>
          <w:b/>
          <w:sz w:val="20"/>
          <w:szCs w:val="20"/>
        </w:rPr>
        <w:t>p</w:t>
      </w:r>
      <w:r w:rsidRPr="006C7B74">
        <w:rPr>
          <w:rFonts w:cstheme="minorHAnsi"/>
          <w:b/>
          <w:sz w:val="20"/>
          <w:szCs w:val="20"/>
        </w:rPr>
        <w:t>recinct</w:t>
      </w:r>
      <w:r w:rsidRPr="006C7B74">
        <w:rPr>
          <w:rFonts w:cstheme="minorHAnsi"/>
          <w:sz w:val="20"/>
          <w:szCs w:val="20"/>
        </w:rPr>
        <w:t xml:space="preserve"> (Western SSIP) is Melbourne’s largest SSIP</w:t>
      </w:r>
      <w:r w:rsidR="00F81397" w:rsidRPr="006C7B74">
        <w:rPr>
          <w:rFonts w:cstheme="minorHAnsi"/>
          <w:sz w:val="20"/>
          <w:szCs w:val="20"/>
        </w:rPr>
        <w:t>. It</w:t>
      </w:r>
      <w:r w:rsidRPr="006C7B74">
        <w:rPr>
          <w:rFonts w:cstheme="minorHAnsi"/>
          <w:sz w:val="20"/>
          <w:szCs w:val="20"/>
        </w:rPr>
        <w:t xml:space="preserve"> compris</w:t>
      </w:r>
      <w:r w:rsidR="00F81397" w:rsidRPr="006C7B74">
        <w:rPr>
          <w:rFonts w:cstheme="minorHAnsi"/>
          <w:sz w:val="20"/>
          <w:szCs w:val="20"/>
        </w:rPr>
        <w:t>es</w:t>
      </w:r>
      <w:r w:rsidRPr="006C7B74">
        <w:rPr>
          <w:rFonts w:cstheme="minorHAnsi"/>
          <w:sz w:val="20"/>
          <w:szCs w:val="20"/>
        </w:rPr>
        <w:t xml:space="preserve"> </w:t>
      </w:r>
      <w:r w:rsidR="003A32D4" w:rsidRPr="006C7B74">
        <w:rPr>
          <w:rFonts w:cstheme="minorHAnsi"/>
          <w:sz w:val="20"/>
          <w:szCs w:val="20"/>
        </w:rPr>
        <w:t>7,200</w:t>
      </w:r>
      <w:r w:rsidR="00373B17" w:rsidRPr="006C7B74">
        <w:rPr>
          <w:rFonts w:cstheme="minorHAnsi"/>
          <w:sz w:val="20"/>
          <w:szCs w:val="20"/>
        </w:rPr>
        <w:t xml:space="preserve"> </w:t>
      </w:r>
      <w:r w:rsidRPr="006C7B74">
        <w:rPr>
          <w:rFonts w:cstheme="minorHAnsi"/>
          <w:sz w:val="20"/>
          <w:szCs w:val="20"/>
        </w:rPr>
        <w:t xml:space="preserve">hectares of </w:t>
      </w:r>
      <w:r w:rsidR="00F81397" w:rsidRPr="006C7B74">
        <w:rPr>
          <w:rFonts w:cstheme="minorHAnsi"/>
          <w:sz w:val="20"/>
          <w:szCs w:val="20"/>
        </w:rPr>
        <w:t xml:space="preserve">existing and future </w:t>
      </w:r>
      <w:r w:rsidRPr="006C7B74">
        <w:rPr>
          <w:rFonts w:cstheme="minorHAnsi"/>
          <w:sz w:val="20"/>
          <w:szCs w:val="20"/>
        </w:rPr>
        <w:t xml:space="preserve">zoned </w:t>
      </w:r>
      <w:r w:rsidR="00247786" w:rsidRPr="006C7B74">
        <w:rPr>
          <w:rFonts w:cstheme="minorHAnsi"/>
          <w:sz w:val="20"/>
          <w:szCs w:val="20"/>
        </w:rPr>
        <w:t xml:space="preserve">and unzoned land identified for </w:t>
      </w:r>
      <w:r w:rsidRPr="006C7B74">
        <w:rPr>
          <w:rFonts w:cstheme="minorHAnsi"/>
          <w:sz w:val="20"/>
          <w:szCs w:val="20"/>
        </w:rPr>
        <w:t xml:space="preserve">industrial </w:t>
      </w:r>
      <w:r w:rsidR="00247786" w:rsidRPr="006C7B74">
        <w:rPr>
          <w:rFonts w:cstheme="minorHAnsi"/>
          <w:sz w:val="20"/>
          <w:szCs w:val="20"/>
        </w:rPr>
        <w:t>purposes</w:t>
      </w:r>
      <w:r w:rsidRPr="006C7B74">
        <w:rPr>
          <w:rFonts w:cstheme="minorHAnsi"/>
          <w:sz w:val="20"/>
          <w:szCs w:val="20"/>
        </w:rPr>
        <w:t xml:space="preserve"> across the municipalities of </w:t>
      </w:r>
      <w:proofErr w:type="spellStart"/>
      <w:r w:rsidRPr="006C7B74">
        <w:rPr>
          <w:rFonts w:cstheme="minorHAnsi"/>
          <w:sz w:val="20"/>
          <w:szCs w:val="20"/>
        </w:rPr>
        <w:t>Brimbank</w:t>
      </w:r>
      <w:proofErr w:type="spellEnd"/>
      <w:r w:rsidRPr="006C7B74">
        <w:rPr>
          <w:rFonts w:cstheme="minorHAnsi"/>
          <w:sz w:val="20"/>
          <w:szCs w:val="20"/>
        </w:rPr>
        <w:t>, Hobsons Bay, Maribyrnong, Melton and Wyndham. The SSIP has access to significant transport infrastructure such as the Western Ring Road, Princes and Western Highways</w:t>
      </w:r>
      <w:r w:rsidR="00F06DD7" w:rsidRPr="006C7B74">
        <w:rPr>
          <w:rFonts w:cstheme="minorHAnsi"/>
          <w:sz w:val="20"/>
          <w:szCs w:val="20"/>
        </w:rPr>
        <w:t>, and has a number of distinct precincts as follows:</w:t>
      </w:r>
      <w:r w:rsidRPr="006C7B74">
        <w:rPr>
          <w:rFonts w:cstheme="minorHAnsi"/>
          <w:sz w:val="20"/>
          <w:szCs w:val="20"/>
        </w:rPr>
        <w:t xml:space="preserve"> </w:t>
      </w:r>
    </w:p>
    <w:p w14:paraId="46937951" w14:textId="24AB7480" w:rsidR="00F06DD7" w:rsidRPr="006C7B74" w:rsidRDefault="00824C3F" w:rsidP="00934C4D">
      <w:pPr>
        <w:pStyle w:val="BodyText"/>
        <w:numPr>
          <w:ilvl w:val="0"/>
          <w:numId w:val="4"/>
        </w:numPr>
        <w:spacing w:before="0" w:line="240" w:lineRule="auto"/>
        <w:rPr>
          <w:lang w:eastAsia="en-AU"/>
        </w:rPr>
      </w:pPr>
      <w:r w:rsidRPr="006C7B74">
        <w:rPr>
          <w:b/>
          <w:lang w:eastAsia="en-AU"/>
        </w:rPr>
        <w:t>Derrimut</w:t>
      </w:r>
      <w:r w:rsidRPr="006C7B74">
        <w:rPr>
          <w:lang w:eastAsia="en-AU"/>
        </w:rPr>
        <w:t xml:space="preserve"> is one of the two locations in metropolitan Melbourne of Industrial 2 Zoned land. This land is designed for uses that require large threshold distances as well as uses that may have an impact on the amenity of local communities. </w:t>
      </w:r>
      <w:r w:rsidR="00F06DD7" w:rsidRPr="006C7B74">
        <w:rPr>
          <w:lang w:eastAsia="en-AU"/>
        </w:rPr>
        <w:t>This area contains both long established hazardous uses as well as newer manufacturing and logistics uses that take advantage of the area’s access to the Western Ring Road.</w:t>
      </w:r>
      <w:r w:rsidR="007C154C" w:rsidRPr="006C7B74">
        <w:rPr>
          <w:lang w:eastAsia="en-AU"/>
        </w:rPr>
        <w:t xml:space="preserve"> </w:t>
      </w:r>
    </w:p>
    <w:p w14:paraId="0BFC32B6" w14:textId="026626C4" w:rsidR="00824C3F" w:rsidRPr="006C7B74" w:rsidRDefault="00824C3F" w:rsidP="00716CAD">
      <w:pPr>
        <w:pStyle w:val="BodyText"/>
        <w:numPr>
          <w:ilvl w:val="0"/>
          <w:numId w:val="4"/>
        </w:numPr>
        <w:spacing w:before="0" w:line="240" w:lineRule="auto"/>
      </w:pPr>
      <w:r w:rsidRPr="006C7B74">
        <w:rPr>
          <w:b/>
          <w:lang w:eastAsia="en-AU"/>
        </w:rPr>
        <w:t>Brooklyn</w:t>
      </w:r>
      <w:r w:rsidRPr="006C7B74">
        <w:rPr>
          <w:lang w:eastAsia="en-AU"/>
        </w:rPr>
        <w:t xml:space="preserve"> currently </w:t>
      </w:r>
      <w:r w:rsidR="007A3FE5" w:rsidRPr="006C7B74">
        <w:rPr>
          <w:lang w:eastAsia="en-AU"/>
        </w:rPr>
        <w:t>supports</w:t>
      </w:r>
      <w:r w:rsidR="00716CAD" w:rsidRPr="006C7B74">
        <w:rPr>
          <w:lang w:eastAsia="en-AU"/>
        </w:rPr>
        <w:t xml:space="preserve"> a range of uses including</w:t>
      </w:r>
      <w:r w:rsidRPr="006C7B74">
        <w:rPr>
          <w:lang w:eastAsia="en-AU"/>
        </w:rPr>
        <w:t xml:space="preserve"> quarries, landfills</w:t>
      </w:r>
      <w:r w:rsidR="00716CAD" w:rsidRPr="006C7B74">
        <w:rPr>
          <w:lang w:eastAsia="en-AU"/>
        </w:rPr>
        <w:t xml:space="preserve"> and other heavy industry, and increasingly freight and</w:t>
      </w:r>
      <w:r w:rsidRPr="006C7B74">
        <w:rPr>
          <w:lang w:eastAsia="en-AU"/>
        </w:rPr>
        <w:t xml:space="preserve"> logistics</w:t>
      </w:r>
      <w:r w:rsidR="00716CAD" w:rsidRPr="006C7B74">
        <w:rPr>
          <w:lang w:eastAsia="en-AU"/>
        </w:rPr>
        <w:t xml:space="preserve"> operations. The nearby areas of</w:t>
      </w:r>
      <w:r w:rsidR="00716CAD" w:rsidRPr="006C7B74">
        <w:rPr>
          <w:b/>
          <w:lang w:eastAsia="en-AU"/>
        </w:rPr>
        <w:t xml:space="preserve"> </w:t>
      </w:r>
      <w:r w:rsidRPr="006C7B74">
        <w:rPr>
          <w:b/>
          <w:lang w:eastAsia="en-AU"/>
        </w:rPr>
        <w:t>Tottenham</w:t>
      </w:r>
      <w:r w:rsidR="00716CAD" w:rsidRPr="006C7B74">
        <w:t xml:space="preserve"> and</w:t>
      </w:r>
      <w:r w:rsidRPr="006C7B74">
        <w:t xml:space="preserve"> </w:t>
      </w:r>
      <w:r w:rsidRPr="006C7B74">
        <w:rPr>
          <w:b/>
        </w:rPr>
        <w:t>West Footscray</w:t>
      </w:r>
      <w:r w:rsidRPr="006C7B74">
        <w:t xml:space="preserve"> are contiguous with Brooklyn</w:t>
      </w:r>
      <w:r w:rsidR="007A3FE5" w:rsidRPr="006C7B74">
        <w:t>,</w:t>
      </w:r>
      <w:r w:rsidRPr="006C7B74">
        <w:t xml:space="preserve"> creating a large industrial area that draws employees from across the region. These industrial areas provide for logistics, container storage, food processing and production, manufacturing, chemical production and warehousing functions and feature older industrial stock. </w:t>
      </w:r>
      <w:r w:rsidR="00840590" w:rsidRPr="006C7B74">
        <w:t>When complete, t</w:t>
      </w:r>
      <w:r w:rsidR="00E8598F" w:rsidRPr="006C7B74">
        <w:t xml:space="preserve">he </w:t>
      </w:r>
      <w:r w:rsidR="00DD74B8" w:rsidRPr="006C7B74">
        <w:t xml:space="preserve">West Gate Tunnel </w:t>
      </w:r>
      <w:r w:rsidR="00BC4F52" w:rsidRPr="006C7B74">
        <w:t>will provide a</w:t>
      </w:r>
      <w:r w:rsidR="00FC7E15" w:rsidRPr="006C7B74">
        <w:t>lternative access to the area</w:t>
      </w:r>
      <w:r w:rsidR="008C3F28" w:rsidRPr="006C7B74">
        <w:t xml:space="preserve"> and </w:t>
      </w:r>
      <w:r w:rsidR="00B2064D" w:rsidRPr="006C7B74">
        <w:t>new</w:t>
      </w:r>
      <w:r w:rsidR="009114B0" w:rsidRPr="006C7B74">
        <w:t xml:space="preserve"> </w:t>
      </w:r>
      <w:r w:rsidR="00E912DD" w:rsidRPr="006C7B74">
        <w:t>truck bans</w:t>
      </w:r>
      <w:r w:rsidR="00FF506D" w:rsidRPr="006C7B74">
        <w:t xml:space="preserve"> on </w:t>
      </w:r>
      <w:r w:rsidR="002E0703" w:rsidRPr="006C7B74">
        <w:t>east west roads</w:t>
      </w:r>
      <w:r w:rsidR="008F7C48" w:rsidRPr="006C7B74">
        <w:t xml:space="preserve"> in the inner west</w:t>
      </w:r>
      <w:r w:rsidR="009114B0" w:rsidRPr="006C7B74">
        <w:t xml:space="preserve"> will </w:t>
      </w:r>
      <w:r w:rsidR="00EB6132" w:rsidRPr="006C7B74">
        <w:t>reduce heavy vehicle</w:t>
      </w:r>
      <w:r w:rsidR="008C3F28" w:rsidRPr="006C7B74">
        <w:t xml:space="preserve"> access</w:t>
      </w:r>
      <w:r w:rsidR="00E64A78" w:rsidRPr="006C7B74">
        <w:t xml:space="preserve"> to some areas.</w:t>
      </w:r>
    </w:p>
    <w:p w14:paraId="520D530D" w14:textId="7AF4BDCD" w:rsidR="00824C3F" w:rsidRPr="006C7B74" w:rsidRDefault="00824C3F" w:rsidP="00934C4D">
      <w:pPr>
        <w:pStyle w:val="BodyText"/>
        <w:numPr>
          <w:ilvl w:val="0"/>
          <w:numId w:val="4"/>
        </w:numPr>
        <w:spacing w:before="0" w:line="240" w:lineRule="auto"/>
      </w:pPr>
      <w:r w:rsidRPr="006C7B74">
        <w:rPr>
          <w:b/>
        </w:rPr>
        <w:t>Altona</w:t>
      </w:r>
      <w:r w:rsidR="00716CAD" w:rsidRPr="006C7B74">
        <w:rPr>
          <w:b/>
        </w:rPr>
        <w:t xml:space="preserve"> </w:t>
      </w:r>
      <w:r w:rsidR="00716CAD" w:rsidRPr="006C7B74">
        <w:t>and</w:t>
      </w:r>
      <w:r w:rsidRPr="006C7B74">
        <w:t xml:space="preserve"> </w:t>
      </w:r>
      <w:r w:rsidRPr="006C7B74">
        <w:rPr>
          <w:b/>
        </w:rPr>
        <w:t>Altona North</w:t>
      </w:r>
      <w:r w:rsidRPr="006C7B74">
        <w:t xml:space="preserve"> provide regional employment and accommodate major petroleum complexes, intermodal freight terminals and food manufacturing</w:t>
      </w:r>
      <w:r w:rsidR="006850B8" w:rsidRPr="006C7B74">
        <w:t xml:space="preserve"> w</w:t>
      </w:r>
      <w:r w:rsidRPr="006C7B74">
        <w:t xml:space="preserve">ith direct access to </w:t>
      </w:r>
      <w:proofErr w:type="spellStart"/>
      <w:r w:rsidRPr="006C7B74">
        <w:t>Kororoit</w:t>
      </w:r>
      <w:proofErr w:type="spellEnd"/>
      <w:r w:rsidRPr="006C7B74">
        <w:t xml:space="preserve"> Creek Road and the Princes Freeway</w:t>
      </w:r>
      <w:r w:rsidR="006850B8" w:rsidRPr="006C7B74">
        <w:t>. T</w:t>
      </w:r>
      <w:r w:rsidRPr="006C7B74">
        <w:t xml:space="preserve">he Mobil Altona Refinery operates year-round as a key supplier in the fuel supply chain, processing crude oil into a range of petroleum products and providing around half of Victoria’s refined fuel needs. Significant buffers are required to this facility. Surrounding areas provide </w:t>
      </w:r>
      <w:r w:rsidR="00B30876" w:rsidRPr="006C7B74">
        <w:t xml:space="preserve">space </w:t>
      </w:r>
      <w:r w:rsidRPr="006C7B74">
        <w:t>for transport, warehouse and distribution businesses</w:t>
      </w:r>
      <w:r w:rsidR="00716CAD" w:rsidRPr="006C7B74">
        <w:t xml:space="preserve"> and </w:t>
      </w:r>
      <w:r w:rsidRPr="006C7B74">
        <w:t xml:space="preserve">general manufacturing. </w:t>
      </w:r>
    </w:p>
    <w:p w14:paraId="51B88AC9" w14:textId="2CC9DD63" w:rsidR="00824C3F" w:rsidRPr="006C7B74" w:rsidRDefault="00824C3F" w:rsidP="00934C4D">
      <w:pPr>
        <w:pStyle w:val="BodyText"/>
        <w:numPr>
          <w:ilvl w:val="0"/>
          <w:numId w:val="4"/>
        </w:numPr>
        <w:spacing w:before="0" w:line="240" w:lineRule="auto"/>
      </w:pPr>
      <w:r w:rsidRPr="006C7B74">
        <w:rPr>
          <w:b/>
        </w:rPr>
        <w:lastRenderedPageBreak/>
        <w:t>Truganina</w:t>
      </w:r>
      <w:r w:rsidRPr="006C7B74">
        <w:t xml:space="preserve">, </w:t>
      </w:r>
      <w:r w:rsidRPr="006C7B74">
        <w:rPr>
          <w:b/>
        </w:rPr>
        <w:t>Truganina North</w:t>
      </w:r>
      <w:r w:rsidRPr="006C7B74">
        <w:t xml:space="preserve"> and </w:t>
      </w:r>
      <w:r w:rsidRPr="006C7B74">
        <w:rPr>
          <w:b/>
        </w:rPr>
        <w:t>Tarneit</w:t>
      </w:r>
      <w:r w:rsidRPr="006C7B74">
        <w:t xml:space="preserve"> are planned for transport, storage industry, construction and the property and business services sectors with industry, manufacturing and storage uses encouraged towards the core of the SSIP. </w:t>
      </w:r>
      <w:r w:rsidR="007003C1" w:rsidRPr="006C7B74">
        <w:t>T</w:t>
      </w:r>
      <w:r w:rsidR="00A5522B" w:rsidRPr="006C7B74">
        <w:t xml:space="preserve">he </w:t>
      </w:r>
      <w:r w:rsidR="00674761" w:rsidRPr="006C7B74">
        <w:t>R</w:t>
      </w:r>
      <w:r w:rsidR="00A5522B" w:rsidRPr="006C7B74">
        <w:t xml:space="preserve">avenhall landfill and Boral Quarry are located to the north </w:t>
      </w:r>
      <w:r w:rsidR="00674761" w:rsidRPr="006C7B74">
        <w:t>with</w:t>
      </w:r>
      <w:r w:rsidR="00A34701">
        <w:t xml:space="preserve"> </w:t>
      </w:r>
      <w:r w:rsidR="008F26B0" w:rsidRPr="006C7B74">
        <w:t>an interface to three correctional facilities. Further south a</w:t>
      </w:r>
      <w:r w:rsidR="00DB23C7" w:rsidRPr="006C7B74">
        <w:t>n</w:t>
      </w:r>
      <w:r w:rsidRPr="006C7B74">
        <w:t xml:space="preserve"> interface industrial area is located adjacent to the Port Phillip </w:t>
      </w:r>
      <w:r w:rsidR="00F06DD7" w:rsidRPr="006C7B74">
        <w:t>P</w:t>
      </w:r>
      <w:r w:rsidRPr="006C7B74">
        <w:t>rison and light industry, research and development and other business uses are encouraged along Palmer</w:t>
      </w:r>
      <w:r w:rsidR="009D3114" w:rsidRPr="006C7B74">
        <w:t>s</w:t>
      </w:r>
      <w:r w:rsidRPr="006C7B74">
        <w:t xml:space="preserve"> and </w:t>
      </w:r>
      <w:proofErr w:type="spellStart"/>
      <w:r w:rsidRPr="006C7B74">
        <w:t>Leakes</w:t>
      </w:r>
      <w:proofErr w:type="spellEnd"/>
      <w:r w:rsidRPr="006C7B74">
        <w:t xml:space="preserve"> Roads. </w:t>
      </w:r>
      <w:r w:rsidR="006850B8" w:rsidRPr="006C7B74">
        <w:t>The WIFT is proposed for this area.</w:t>
      </w:r>
    </w:p>
    <w:p w14:paraId="615F93EF" w14:textId="1A224BE0" w:rsidR="00824C3F" w:rsidRPr="006C7B74" w:rsidRDefault="00824C3F" w:rsidP="00934C4D">
      <w:pPr>
        <w:spacing w:after="120"/>
        <w:rPr>
          <w:rFonts w:cstheme="minorHAnsi"/>
          <w:sz w:val="20"/>
          <w:szCs w:val="20"/>
        </w:rPr>
      </w:pPr>
      <w:r w:rsidRPr="006C7B74">
        <w:rPr>
          <w:rFonts w:cstheme="minorHAnsi"/>
          <w:b/>
          <w:sz w:val="20"/>
          <w:szCs w:val="20"/>
        </w:rPr>
        <w:t xml:space="preserve">Tullamarine, Keilor Park </w:t>
      </w:r>
      <w:r w:rsidRPr="006C7B74">
        <w:rPr>
          <w:rFonts w:cstheme="minorHAnsi"/>
          <w:sz w:val="20"/>
          <w:szCs w:val="20"/>
        </w:rPr>
        <w:t>and</w:t>
      </w:r>
      <w:r w:rsidRPr="006C7B74">
        <w:rPr>
          <w:rFonts w:cstheme="minorHAnsi"/>
          <w:b/>
          <w:sz w:val="20"/>
          <w:szCs w:val="20"/>
        </w:rPr>
        <w:t xml:space="preserve"> Keilor East Industrial Precincts</w:t>
      </w:r>
      <w:r w:rsidRPr="006C7B74">
        <w:rPr>
          <w:rFonts w:cstheme="minorHAnsi"/>
          <w:sz w:val="20"/>
          <w:szCs w:val="20"/>
        </w:rPr>
        <w:t xml:space="preserve"> </w:t>
      </w:r>
      <w:r w:rsidR="006850B8" w:rsidRPr="006C7B74">
        <w:rPr>
          <w:rFonts w:cstheme="minorHAnsi"/>
          <w:sz w:val="20"/>
          <w:szCs w:val="20"/>
        </w:rPr>
        <w:t xml:space="preserve">are </w:t>
      </w:r>
      <w:r w:rsidRPr="006C7B74">
        <w:rPr>
          <w:rFonts w:cstheme="minorHAnsi"/>
          <w:sz w:val="20"/>
          <w:szCs w:val="20"/>
        </w:rPr>
        <w:t xml:space="preserve">adjacent to Melbourne Airport, Calder Freeway and Western Ring Road </w:t>
      </w:r>
      <w:r w:rsidR="006850B8" w:rsidRPr="006C7B74">
        <w:rPr>
          <w:rFonts w:cstheme="minorHAnsi"/>
          <w:sz w:val="20"/>
          <w:szCs w:val="20"/>
        </w:rPr>
        <w:t xml:space="preserve">and </w:t>
      </w:r>
      <w:r w:rsidRPr="006C7B74">
        <w:rPr>
          <w:rFonts w:cstheme="minorHAnsi"/>
          <w:sz w:val="20"/>
          <w:szCs w:val="20"/>
        </w:rPr>
        <w:t xml:space="preserve">are established with very little vacant industrial land supply. The Keilor Park industrial precinct forms part of a larger office park </w:t>
      </w:r>
      <w:r w:rsidR="00E840D4" w:rsidRPr="006C7B74">
        <w:rPr>
          <w:rFonts w:cstheme="minorHAnsi"/>
          <w:sz w:val="20"/>
          <w:szCs w:val="20"/>
        </w:rPr>
        <w:t>area</w:t>
      </w:r>
      <w:r w:rsidRPr="006C7B74">
        <w:rPr>
          <w:rFonts w:cstheme="minorHAnsi"/>
          <w:sz w:val="20"/>
          <w:szCs w:val="20"/>
        </w:rPr>
        <w:t xml:space="preserve"> that extends and connects to the Melbourne Airport Business Park. These precincts are generally affected by the Melbourne Airport Environs Overlay,</w:t>
      </w:r>
      <w:r w:rsidR="00E840D4" w:rsidRPr="006C7B74">
        <w:rPr>
          <w:rFonts w:cstheme="minorHAnsi"/>
          <w:sz w:val="20"/>
          <w:szCs w:val="20"/>
        </w:rPr>
        <w:t xml:space="preserve"> which </w:t>
      </w:r>
      <w:r w:rsidR="00E731A8" w:rsidRPr="006C7B74">
        <w:rPr>
          <w:rFonts w:cstheme="minorHAnsi"/>
          <w:sz w:val="20"/>
          <w:szCs w:val="20"/>
        </w:rPr>
        <w:t xml:space="preserve">places </w:t>
      </w:r>
      <w:r w:rsidR="00E840D4" w:rsidRPr="006C7B74">
        <w:rPr>
          <w:rFonts w:cstheme="minorHAnsi"/>
          <w:sz w:val="20"/>
          <w:szCs w:val="20"/>
        </w:rPr>
        <w:t>limits</w:t>
      </w:r>
      <w:r w:rsidRPr="006C7B74">
        <w:rPr>
          <w:rFonts w:cstheme="minorHAnsi"/>
          <w:sz w:val="20"/>
          <w:szCs w:val="20"/>
        </w:rPr>
        <w:t xml:space="preserve"> </w:t>
      </w:r>
      <w:r w:rsidR="00E731A8" w:rsidRPr="006C7B74">
        <w:rPr>
          <w:rFonts w:cstheme="minorHAnsi"/>
          <w:sz w:val="20"/>
          <w:szCs w:val="20"/>
        </w:rPr>
        <w:t xml:space="preserve">on particular </w:t>
      </w:r>
      <w:r w:rsidR="00BF5ED0" w:rsidRPr="006C7B74">
        <w:rPr>
          <w:rFonts w:cstheme="minorHAnsi"/>
          <w:sz w:val="20"/>
          <w:szCs w:val="20"/>
        </w:rPr>
        <w:t>uses.</w:t>
      </w:r>
      <w:r w:rsidRPr="006C7B74">
        <w:rPr>
          <w:rFonts w:cstheme="minorHAnsi"/>
          <w:sz w:val="20"/>
          <w:szCs w:val="20"/>
        </w:rPr>
        <w:t xml:space="preserve"> The</w:t>
      </w:r>
      <w:r w:rsidR="006850B8" w:rsidRPr="006C7B74">
        <w:rPr>
          <w:rFonts w:cstheme="minorHAnsi"/>
          <w:sz w:val="20"/>
          <w:szCs w:val="20"/>
        </w:rPr>
        <w:t>y</w:t>
      </w:r>
      <w:r w:rsidRPr="006C7B74">
        <w:rPr>
          <w:rFonts w:cstheme="minorHAnsi"/>
          <w:sz w:val="20"/>
          <w:szCs w:val="20"/>
        </w:rPr>
        <w:t xml:space="preserve"> offer excellent access to major road networks and are strategically located relative to Melbourne Airport. </w:t>
      </w:r>
    </w:p>
    <w:p w14:paraId="46BCADEF" w14:textId="77777777" w:rsidR="00B70F43" w:rsidRPr="006C7B74" w:rsidRDefault="00B70F43" w:rsidP="00B70F43">
      <w:pPr>
        <w:pStyle w:val="BodyText"/>
        <w:spacing w:before="0" w:line="240" w:lineRule="auto"/>
        <w:rPr>
          <w:lang w:eastAsia="en-AU"/>
        </w:rPr>
      </w:pPr>
      <w:r w:rsidRPr="006C7B74">
        <w:rPr>
          <w:b/>
          <w:lang w:eastAsia="en-AU"/>
        </w:rPr>
        <w:t>Essendon Airport</w:t>
      </w:r>
      <w:r w:rsidRPr="006C7B74">
        <w:rPr>
          <w:lang w:eastAsia="en-AU"/>
        </w:rPr>
        <w:t xml:space="preserve"> is a key employment area with aviation and retail uses. Currently zoned as Commonwealth land, there are plans to further develop Essendon Airport as a centre for aviation, technology and retail with up to 25,000 jobs. </w:t>
      </w:r>
    </w:p>
    <w:p w14:paraId="4F6992B9" w14:textId="77777777" w:rsidR="00B70F43" w:rsidRPr="006C7B74" w:rsidRDefault="00B70F43" w:rsidP="00B70F43">
      <w:pPr>
        <w:pStyle w:val="BodyText"/>
        <w:spacing w:before="0" w:line="240" w:lineRule="auto"/>
        <w:rPr>
          <w:lang w:eastAsia="en-AU"/>
        </w:rPr>
      </w:pPr>
      <w:r w:rsidRPr="006C7B74">
        <w:rPr>
          <w:b/>
          <w:lang w:eastAsia="en-AU"/>
        </w:rPr>
        <w:t>Airport West</w:t>
      </w:r>
      <w:r w:rsidRPr="006C7B74">
        <w:rPr>
          <w:lang w:eastAsia="en-AU"/>
        </w:rPr>
        <w:t xml:space="preserve"> is the largest area of industrial land in the municipality of Moonee Valley and is located on the western side of the Tullamarine Freeway, adjacent to Essendon Airport. The area is fully established and identified by Council as a technology and enterprise precinct. The area has excellent access to Tullamarine Freeway, Western Ring Road and Calder Freeway as well as Essendon and Melbourne Airports. </w:t>
      </w:r>
    </w:p>
    <w:p w14:paraId="65F7B48C" w14:textId="52BDA205" w:rsidR="00824C3F" w:rsidRPr="006C7B74" w:rsidRDefault="00824C3F" w:rsidP="00934C4D">
      <w:pPr>
        <w:spacing w:after="120"/>
        <w:rPr>
          <w:rFonts w:cstheme="minorHAnsi"/>
          <w:sz w:val="20"/>
          <w:szCs w:val="20"/>
        </w:rPr>
      </w:pPr>
      <w:r w:rsidRPr="006C7B74">
        <w:rPr>
          <w:rFonts w:cstheme="minorHAnsi"/>
          <w:b/>
          <w:sz w:val="20"/>
          <w:szCs w:val="20"/>
        </w:rPr>
        <w:t xml:space="preserve">Station Road Precinct </w:t>
      </w:r>
      <w:r w:rsidRPr="006C7B74">
        <w:rPr>
          <w:rFonts w:cstheme="minorHAnsi"/>
          <w:sz w:val="20"/>
          <w:szCs w:val="20"/>
        </w:rPr>
        <w:t>and</w:t>
      </w:r>
      <w:r w:rsidRPr="006C7B74">
        <w:rPr>
          <w:rFonts w:cstheme="minorHAnsi"/>
          <w:b/>
          <w:sz w:val="20"/>
          <w:szCs w:val="20"/>
        </w:rPr>
        <w:t xml:space="preserve"> Orica Precinct </w:t>
      </w:r>
      <w:r w:rsidRPr="006C7B74">
        <w:rPr>
          <w:rFonts w:cstheme="minorHAnsi"/>
          <w:sz w:val="20"/>
          <w:szCs w:val="20"/>
        </w:rPr>
        <w:t xml:space="preserve">along the Western Highway provide a range of industrial and employment uses. </w:t>
      </w:r>
      <w:r w:rsidR="00793196" w:rsidRPr="006C7B74">
        <w:rPr>
          <w:rFonts w:cstheme="minorHAnsi"/>
          <w:sz w:val="20"/>
          <w:szCs w:val="20"/>
        </w:rPr>
        <w:t xml:space="preserve">The western half of </w:t>
      </w:r>
      <w:r w:rsidR="006A0D89" w:rsidRPr="006C7B74">
        <w:rPr>
          <w:rFonts w:cstheme="minorHAnsi"/>
          <w:sz w:val="20"/>
          <w:szCs w:val="20"/>
        </w:rPr>
        <w:t xml:space="preserve">the </w:t>
      </w:r>
      <w:r w:rsidR="00793196" w:rsidRPr="006C7B74">
        <w:rPr>
          <w:rFonts w:cstheme="minorHAnsi"/>
          <w:sz w:val="20"/>
          <w:szCs w:val="20"/>
        </w:rPr>
        <w:t>Orica Precinct is within the Western SSIP</w:t>
      </w:r>
      <w:r w:rsidR="006A0D89" w:rsidRPr="006C7B74">
        <w:rPr>
          <w:rFonts w:cstheme="minorHAnsi"/>
          <w:sz w:val="20"/>
          <w:szCs w:val="20"/>
        </w:rPr>
        <w:t>,</w:t>
      </w:r>
      <w:r w:rsidR="00793196" w:rsidRPr="006C7B74">
        <w:rPr>
          <w:rFonts w:cstheme="minorHAnsi"/>
          <w:sz w:val="20"/>
          <w:szCs w:val="20"/>
        </w:rPr>
        <w:t xml:space="preserve"> linking to the broader SSIP </w:t>
      </w:r>
      <w:r w:rsidR="006A0D89" w:rsidRPr="006C7B74">
        <w:rPr>
          <w:rFonts w:cstheme="minorHAnsi"/>
          <w:sz w:val="20"/>
          <w:szCs w:val="20"/>
        </w:rPr>
        <w:t xml:space="preserve">located </w:t>
      </w:r>
      <w:r w:rsidR="00793196" w:rsidRPr="006C7B74">
        <w:rPr>
          <w:rFonts w:cstheme="minorHAnsi"/>
          <w:sz w:val="20"/>
          <w:szCs w:val="20"/>
        </w:rPr>
        <w:t xml:space="preserve">to the south. An existing facility on site requires significant buffers to sensitive uses. The eastern half of the Orica Precinct is vacant and not part of the SSIP. </w:t>
      </w:r>
      <w:r w:rsidRPr="006C7B74">
        <w:rPr>
          <w:rFonts w:cstheme="minorHAnsi"/>
          <w:sz w:val="20"/>
          <w:szCs w:val="20"/>
        </w:rPr>
        <w:t>Th</w:t>
      </w:r>
      <w:r w:rsidR="00793196" w:rsidRPr="006C7B74">
        <w:rPr>
          <w:rFonts w:cstheme="minorHAnsi"/>
          <w:sz w:val="20"/>
          <w:szCs w:val="20"/>
        </w:rPr>
        <w:t>is site, along with other areas along Station Street and north of Ballarat Road</w:t>
      </w:r>
      <w:r w:rsidR="006A0D89" w:rsidRPr="006C7B74">
        <w:rPr>
          <w:rFonts w:cstheme="minorHAnsi"/>
          <w:sz w:val="20"/>
          <w:szCs w:val="20"/>
        </w:rPr>
        <w:t>,</w:t>
      </w:r>
      <w:r w:rsidR="00793196" w:rsidRPr="006C7B74">
        <w:rPr>
          <w:rFonts w:cstheme="minorHAnsi"/>
          <w:sz w:val="20"/>
          <w:szCs w:val="20"/>
        </w:rPr>
        <w:t xml:space="preserve"> are</w:t>
      </w:r>
      <w:r w:rsidRPr="006C7B74">
        <w:rPr>
          <w:rFonts w:cstheme="minorHAnsi"/>
          <w:sz w:val="20"/>
          <w:szCs w:val="20"/>
        </w:rPr>
        <w:t xml:space="preserve"> important buffers between sensitive uses and the </w:t>
      </w:r>
      <w:r w:rsidR="00793196" w:rsidRPr="006C7B74">
        <w:rPr>
          <w:rFonts w:cstheme="minorHAnsi"/>
          <w:sz w:val="20"/>
          <w:szCs w:val="20"/>
        </w:rPr>
        <w:t xml:space="preserve">western portion of the </w:t>
      </w:r>
      <w:r w:rsidRPr="006C7B74">
        <w:rPr>
          <w:rFonts w:cstheme="minorHAnsi"/>
          <w:sz w:val="20"/>
          <w:szCs w:val="20"/>
        </w:rPr>
        <w:t>Orica site</w:t>
      </w:r>
      <w:r w:rsidR="00793196" w:rsidRPr="006C7B74">
        <w:rPr>
          <w:rFonts w:cstheme="minorHAnsi"/>
          <w:sz w:val="20"/>
          <w:szCs w:val="20"/>
        </w:rPr>
        <w:t xml:space="preserve"> within the SSIP</w:t>
      </w:r>
      <w:r w:rsidRPr="006C7B74">
        <w:rPr>
          <w:rFonts w:cstheme="minorHAnsi"/>
          <w:sz w:val="20"/>
          <w:szCs w:val="20"/>
        </w:rPr>
        <w:t xml:space="preserve">. </w:t>
      </w:r>
    </w:p>
    <w:p w14:paraId="08425DB6" w14:textId="30C58128" w:rsidR="00824C3F" w:rsidRPr="006C7B74" w:rsidRDefault="00824C3F" w:rsidP="00934C4D">
      <w:pPr>
        <w:pStyle w:val="BodyText"/>
        <w:spacing w:before="0" w:line="240" w:lineRule="auto"/>
        <w:rPr>
          <w:lang w:eastAsia="en-AU"/>
        </w:rPr>
      </w:pPr>
      <w:r w:rsidRPr="006C7B74">
        <w:rPr>
          <w:b/>
          <w:lang w:eastAsia="en-AU"/>
        </w:rPr>
        <w:t xml:space="preserve">Yarraville Port </w:t>
      </w:r>
      <w:r w:rsidR="00251CF3" w:rsidRPr="006C7B74">
        <w:rPr>
          <w:b/>
          <w:lang w:eastAsia="en-AU"/>
        </w:rPr>
        <w:t xml:space="preserve">and Mobil Terminal </w:t>
      </w:r>
      <w:r w:rsidR="006E24E1" w:rsidRPr="006C7B74">
        <w:rPr>
          <w:b/>
          <w:lang w:eastAsia="en-AU"/>
        </w:rPr>
        <w:t>P</w:t>
      </w:r>
      <w:r w:rsidRPr="006C7B74">
        <w:rPr>
          <w:b/>
          <w:lang w:eastAsia="en-AU"/>
        </w:rPr>
        <w:t>recinct</w:t>
      </w:r>
      <w:r w:rsidR="00251CF3" w:rsidRPr="006C7B74">
        <w:rPr>
          <w:b/>
          <w:lang w:eastAsia="en-AU"/>
        </w:rPr>
        <w:t>s</w:t>
      </w:r>
      <w:r w:rsidRPr="006C7B74">
        <w:rPr>
          <w:lang w:eastAsia="en-AU"/>
        </w:rPr>
        <w:t xml:space="preserve"> in Maribyrnong and </w:t>
      </w:r>
      <w:r w:rsidRPr="006C7B74">
        <w:rPr>
          <w:b/>
          <w:lang w:eastAsia="en-AU"/>
        </w:rPr>
        <w:t>Spotswood Precinct</w:t>
      </w:r>
      <w:r w:rsidRPr="006C7B74">
        <w:rPr>
          <w:lang w:eastAsia="en-AU"/>
        </w:rPr>
        <w:t xml:space="preserve"> in Hobsons Bay offer significant industrial land holdings </w:t>
      </w:r>
      <w:r w:rsidR="00251CF3" w:rsidRPr="006C7B74">
        <w:rPr>
          <w:lang w:eastAsia="en-AU"/>
        </w:rPr>
        <w:t xml:space="preserve">strategically located </w:t>
      </w:r>
      <w:r w:rsidRPr="006C7B74">
        <w:rPr>
          <w:lang w:eastAsia="en-AU"/>
        </w:rPr>
        <w:t xml:space="preserve">adjacent to the Port of Melbourne. These areas house a mix of industrial uses with a focus on port related uses such as transport and logistics. The </w:t>
      </w:r>
      <w:r w:rsidR="00251CF3" w:rsidRPr="006C7B74">
        <w:rPr>
          <w:lang w:eastAsia="en-AU"/>
        </w:rPr>
        <w:t xml:space="preserve">storage and </w:t>
      </w:r>
      <w:r w:rsidRPr="006C7B74">
        <w:rPr>
          <w:lang w:eastAsia="en-AU"/>
        </w:rPr>
        <w:t xml:space="preserve">operation of petrochemical industries within </w:t>
      </w:r>
      <w:r w:rsidR="00251CF3" w:rsidRPr="006C7B74">
        <w:rPr>
          <w:lang w:eastAsia="en-AU"/>
        </w:rPr>
        <w:t xml:space="preserve">and adjacent to </w:t>
      </w:r>
      <w:r w:rsidRPr="006C7B74">
        <w:rPr>
          <w:lang w:eastAsia="en-AU"/>
        </w:rPr>
        <w:t>the precinct</w:t>
      </w:r>
      <w:r w:rsidR="006E24E1" w:rsidRPr="006C7B74">
        <w:rPr>
          <w:lang w:eastAsia="en-AU"/>
        </w:rPr>
        <w:t>s</w:t>
      </w:r>
      <w:r w:rsidRPr="006C7B74">
        <w:rPr>
          <w:lang w:eastAsia="en-AU"/>
        </w:rPr>
        <w:t xml:space="preserve"> require significant buffers</w:t>
      </w:r>
      <w:r w:rsidR="003B4F1D" w:rsidRPr="006C7B74">
        <w:rPr>
          <w:lang w:eastAsia="en-AU"/>
        </w:rPr>
        <w:t xml:space="preserve"> </w:t>
      </w:r>
      <w:r w:rsidR="000315A3" w:rsidRPr="006C7B74">
        <w:rPr>
          <w:lang w:eastAsia="en-AU"/>
        </w:rPr>
        <w:t>which</w:t>
      </w:r>
      <w:r w:rsidR="003B4F1D" w:rsidRPr="006C7B74">
        <w:rPr>
          <w:lang w:eastAsia="en-AU"/>
        </w:rPr>
        <w:t xml:space="preserve"> need to be protected</w:t>
      </w:r>
      <w:r w:rsidRPr="006C7B74">
        <w:rPr>
          <w:lang w:eastAsia="en-AU"/>
        </w:rPr>
        <w:t xml:space="preserve">. </w:t>
      </w:r>
      <w:r w:rsidR="008B0BD9" w:rsidRPr="006C7B74">
        <w:rPr>
          <w:lang w:eastAsia="en-AU"/>
        </w:rPr>
        <w:t xml:space="preserve">The Yarraville Port Precinct is increasingly becoming a </w:t>
      </w:r>
      <w:r w:rsidR="000315A3" w:rsidRPr="006C7B74">
        <w:rPr>
          <w:lang w:eastAsia="en-AU"/>
        </w:rPr>
        <w:t xml:space="preserve">preferred </w:t>
      </w:r>
      <w:r w:rsidR="008B0BD9" w:rsidRPr="006C7B74">
        <w:rPr>
          <w:lang w:eastAsia="en-AU"/>
        </w:rPr>
        <w:t xml:space="preserve">location for </w:t>
      </w:r>
      <w:r w:rsidR="00B15478" w:rsidRPr="006C7B74">
        <w:rPr>
          <w:lang w:eastAsia="en-AU"/>
        </w:rPr>
        <w:t xml:space="preserve">a range of </w:t>
      </w:r>
      <w:r w:rsidR="008B0BD9" w:rsidRPr="006C7B74">
        <w:rPr>
          <w:lang w:eastAsia="en-AU"/>
        </w:rPr>
        <w:t>small and medium creative industries to establish.</w:t>
      </w:r>
    </w:p>
    <w:p w14:paraId="7511BE52" w14:textId="23F89886" w:rsidR="00824C3F" w:rsidRPr="006C7B74" w:rsidRDefault="00824C3F" w:rsidP="00934C4D">
      <w:pPr>
        <w:pStyle w:val="BodyText"/>
        <w:spacing w:before="0" w:line="240" w:lineRule="auto"/>
        <w:rPr>
          <w:lang w:eastAsia="en-AU"/>
        </w:rPr>
      </w:pPr>
      <w:r w:rsidRPr="006C7B74">
        <w:rPr>
          <w:b/>
          <w:lang w:eastAsia="en-AU"/>
        </w:rPr>
        <w:t xml:space="preserve">Williamstown </w:t>
      </w:r>
      <w:r w:rsidR="008058AD" w:rsidRPr="006C7B74">
        <w:rPr>
          <w:b/>
          <w:lang w:eastAsia="en-AU"/>
        </w:rPr>
        <w:t>M</w:t>
      </w:r>
      <w:r w:rsidRPr="006C7B74">
        <w:rPr>
          <w:b/>
          <w:lang w:eastAsia="en-AU"/>
        </w:rPr>
        <w:t>arine</w:t>
      </w:r>
      <w:r w:rsidR="008058AD" w:rsidRPr="006C7B74">
        <w:rPr>
          <w:b/>
          <w:lang w:eastAsia="en-AU"/>
        </w:rPr>
        <w:t xml:space="preserve"> Precinct</w:t>
      </w:r>
      <w:r w:rsidR="008058AD" w:rsidRPr="006C7B74">
        <w:rPr>
          <w:lang w:eastAsia="en-AU"/>
        </w:rPr>
        <w:t xml:space="preserve"> is a</w:t>
      </w:r>
      <w:r w:rsidR="00B15478" w:rsidRPr="006C7B74">
        <w:rPr>
          <w:lang w:eastAsia="en-AU"/>
        </w:rPr>
        <w:t>n important precinct</w:t>
      </w:r>
      <w:r w:rsidR="008058AD" w:rsidRPr="006C7B74">
        <w:rPr>
          <w:lang w:eastAsia="en-AU"/>
        </w:rPr>
        <w:t xml:space="preserve"> associated with </w:t>
      </w:r>
      <w:r w:rsidR="000315A3" w:rsidRPr="006C7B74">
        <w:rPr>
          <w:lang w:eastAsia="en-AU"/>
        </w:rPr>
        <w:t xml:space="preserve">the </w:t>
      </w:r>
      <w:r w:rsidR="008058AD" w:rsidRPr="006C7B74">
        <w:rPr>
          <w:lang w:eastAsia="en-AU"/>
        </w:rPr>
        <w:t>operation of the Port of Melbourne and ship building</w:t>
      </w:r>
      <w:r w:rsidRPr="006C7B74">
        <w:rPr>
          <w:lang w:eastAsia="en-AU"/>
        </w:rPr>
        <w:t xml:space="preserve">, marine engineering and marine related industries. </w:t>
      </w:r>
    </w:p>
    <w:p w14:paraId="648196F7" w14:textId="3458C23E" w:rsidR="00824C3F" w:rsidRPr="006C7B74" w:rsidRDefault="00824C3F" w:rsidP="00934C4D">
      <w:pPr>
        <w:spacing w:after="120"/>
        <w:rPr>
          <w:rFonts w:cstheme="minorHAnsi"/>
          <w:sz w:val="20"/>
          <w:szCs w:val="20"/>
        </w:rPr>
      </w:pPr>
      <w:r w:rsidRPr="006C7B74">
        <w:rPr>
          <w:rFonts w:cstheme="minorHAnsi"/>
          <w:sz w:val="20"/>
          <w:szCs w:val="20"/>
        </w:rPr>
        <w:t xml:space="preserve">The </w:t>
      </w:r>
      <w:r w:rsidRPr="006C7B74">
        <w:rPr>
          <w:rFonts w:cstheme="minorHAnsi"/>
          <w:b/>
          <w:sz w:val="20"/>
          <w:szCs w:val="20"/>
        </w:rPr>
        <w:t xml:space="preserve">Sunshine NEIC </w:t>
      </w:r>
      <w:r w:rsidRPr="006C7B74">
        <w:rPr>
          <w:rFonts w:cstheme="minorHAnsi"/>
          <w:sz w:val="20"/>
          <w:szCs w:val="20"/>
        </w:rPr>
        <w:t xml:space="preserve">is centrally located between the Melbourne CBD and </w:t>
      </w:r>
      <w:r w:rsidR="00350464" w:rsidRPr="006C7B74">
        <w:rPr>
          <w:rFonts w:cstheme="minorHAnsi"/>
          <w:sz w:val="20"/>
          <w:szCs w:val="20"/>
        </w:rPr>
        <w:t xml:space="preserve">the </w:t>
      </w:r>
      <w:r w:rsidRPr="006C7B74">
        <w:rPr>
          <w:rFonts w:cstheme="minorHAnsi"/>
          <w:sz w:val="20"/>
          <w:szCs w:val="20"/>
        </w:rPr>
        <w:t>two western growth areas</w:t>
      </w:r>
      <w:r w:rsidR="00350464" w:rsidRPr="006C7B74">
        <w:rPr>
          <w:rFonts w:cstheme="minorHAnsi"/>
          <w:sz w:val="20"/>
          <w:szCs w:val="20"/>
        </w:rPr>
        <w:t xml:space="preserve">. Anchored by the </w:t>
      </w:r>
      <w:r w:rsidR="00350464" w:rsidRPr="006C7B74">
        <w:rPr>
          <w:rFonts w:cstheme="minorHAnsi"/>
          <w:b/>
          <w:sz w:val="20"/>
          <w:szCs w:val="20"/>
        </w:rPr>
        <w:t>Sunshine Metropolitan Activity Centre</w:t>
      </w:r>
      <w:r w:rsidR="00350464" w:rsidRPr="006C7B74">
        <w:rPr>
          <w:rFonts w:cstheme="minorHAnsi"/>
          <w:sz w:val="20"/>
          <w:szCs w:val="20"/>
        </w:rPr>
        <w:t xml:space="preserve">, </w:t>
      </w:r>
      <w:r w:rsidR="00350464" w:rsidRPr="006C7B74">
        <w:rPr>
          <w:rFonts w:cstheme="minorHAnsi"/>
          <w:b/>
          <w:sz w:val="20"/>
          <w:szCs w:val="20"/>
        </w:rPr>
        <w:t>Sunshine Hospital</w:t>
      </w:r>
      <w:r w:rsidR="00350464" w:rsidRPr="006C7B74">
        <w:rPr>
          <w:rFonts w:cstheme="minorHAnsi"/>
          <w:sz w:val="20"/>
          <w:szCs w:val="20"/>
        </w:rPr>
        <w:t xml:space="preserve"> and </w:t>
      </w:r>
      <w:r w:rsidR="00350464" w:rsidRPr="006C7B74">
        <w:rPr>
          <w:rFonts w:cstheme="minorHAnsi"/>
          <w:b/>
          <w:sz w:val="20"/>
          <w:szCs w:val="20"/>
        </w:rPr>
        <w:t>Victoria University</w:t>
      </w:r>
      <w:r w:rsidR="00350464" w:rsidRPr="006C7B74">
        <w:rPr>
          <w:rFonts w:cstheme="minorHAnsi"/>
          <w:sz w:val="20"/>
          <w:szCs w:val="20"/>
        </w:rPr>
        <w:t>, it has excellent</w:t>
      </w:r>
      <w:r w:rsidRPr="006C7B74">
        <w:rPr>
          <w:rFonts w:cstheme="minorHAnsi"/>
          <w:sz w:val="20"/>
          <w:szCs w:val="20"/>
        </w:rPr>
        <w:t xml:space="preserve"> access to major road and metropolitan and regional rail networks </w:t>
      </w:r>
      <w:r w:rsidR="00350464" w:rsidRPr="006C7B74">
        <w:rPr>
          <w:rFonts w:cstheme="minorHAnsi"/>
          <w:sz w:val="20"/>
          <w:szCs w:val="20"/>
        </w:rPr>
        <w:t>and</w:t>
      </w:r>
      <w:r w:rsidRPr="006C7B74">
        <w:rPr>
          <w:rFonts w:cstheme="minorHAnsi"/>
          <w:sz w:val="20"/>
          <w:szCs w:val="20"/>
        </w:rPr>
        <w:t xml:space="preserve"> supports approximately 14,600 existing jobs</w:t>
      </w:r>
      <w:r w:rsidR="00C97C13" w:rsidRPr="006C7B74">
        <w:rPr>
          <w:rFonts w:cstheme="minorHAnsi"/>
          <w:sz w:val="20"/>
          <w:szCs w:val="20"/>
        </w:rPr>
        <w:t>,</w:t>
      </w:r>
      <w:r w:rsidRPr="006C7B74">
        <w:rPr>
          <w:rFonts w:cstheme="minorHAnsi"/>
          <w:sz w:val="20"/>
          <w:szCs w:val="20"/>
        </w:rPr>
        <w:t xml:space="preserve"> with potential growth in tertiary education, health-related training, research, health care, retail and professional services sectors. </w:t>
      </w:r>
      <w:r w:rsidR="00350464" w:rsidRPr="006C7B74">
        <w:rPr>
          <w:rFonts w:cstheme="minorHAnsi"/>
          <w:sz w:val="20"/>
          <w:szCs w:val="20"/>
        </w:rPr>
        <w:t>Improvements and expansions to the rail network, including the proposed Airport Rail Link and Suburban Rail Loop, will further enhance opportunities in this location</w:t>
      </w:r>
      <w:r w:rsidRPr="006C7B74">
        <w:rPr>
          <w:rFonts w:cstheme="minorHAnsi"/>
          <w:sz w:val="20"/>
          <w:szCs w:val="20"/>
        </w:rPr>
        <w:t>.</w:t>
      </w:r>
      <w:r w:rsidR="00C1712D" w:rsidRPr="006C7B74">
        <w:rPr>
          <w:rFonts w:cstheme="minorHAnsi"/>
          <w:sz w:val="20"/>
          <w:szCs w:val="20"/>
        </w:rPr>
        <w:t xml:space="preserve"> The Sunshine Metropolitan Activity Centre comprises approximately</w:t>
      </w:r>
      <w:r w:rsidR="00B348F1" w:rsidRPr="006C7B74">
        <w:rPr>
          <w:rFonts w:cstheme="minorHAnsi"/>
          <w:sz w:val="20"/>
          <w:szCs w:val="20"/>
        </w:rPr>
        <w:t xml:space="preserve"> 271,</w:t>
      </w:r>
      <w:r w:rsidR="00535011">
        <w:rPr>
          <w:rFonts w:cstheme="minorHAnsi"/>
          <w:sz w:val="20"/>
          <w:szCs w:val="20"/>
        </w:rPr>
        <w:t>100</w:t>
      </w:r>
      <w:r w:rsidR="00C1712D" w:rsidRPr="006C7B74">
        <w:rPr>
          <w:rFonts w:cstheme="minorHAnsi"/>
          <w:sz w:val="20"/>
          <w:szCs w:val="20"/>
        </w:rPr>
        <w:t xml:space="preserve"> square metres of commercial floorspace with substantial retail and office and a growing food and drink offer.</w:t>
      </w:r>
    </w:p>
    <w:p w14:paraId="67FA031D" w14:textId="1B82854E" w:rsidR="00824C3F" w:rsidRPr="006C7B74" w:rsidRDefault="00824C3F" w:rsidP="00934C4D">
      <w:pPr>
        <w:spacing w:after="120"/>
        <w:rPr>
          <w:rFonts w:cstheme="minorHAnsi"/>
          <w:sz w:val="20"/>
          <w:szCs w:val="20"/>
        </w:rPr>
      </w:pPr>
      <w:r w:rsidRPr="006C7B74">
        <w:rPr>
          <w:rFonts w:cstheme="minorHAnsi"/>
          <w:sz w:val="20"/>
          <w:szCs w:val="20"/>
        </w:rPr>
        <w:t xml:space="preserve">The </w:t>
      </w:r>
      <w:r w:rsidRPr="006C7B74">
        <w:rPr>
          <w:rFonts w:cstheme="minorHAnsi"/>
          <w:b/>
          <w:sz w:val="20"/>
          <w:szCs w:val="20"/>
        </w:rPr>
        <w:t>Werribee NEIC</w:t>
      </w:r>
      <w:r w:rsidRPr="006C7B74">
        <w:rPr>
          <w:rFonts w:cstheme="minorHAnsi"/>
          <w:sz w:val="20"/>
          <w:szCs w:val="20"/>
        </w:rPr>
        <w:t xml:space="preserve"> is located on</w:t>
      </w:r>
      <w:r w:rsidR="00251CF3" w:rsidRPr="006C7B74">
        <w:rPr>
          <w:rFonts w:cstheme="minorHAnsi"/>
          <w:sz w:val="20"/>
          <w:szCs w:val="20"/>
        </w:rPr>
        <w:t xml:space="preserve"> a large</w:t>
      </w:r>
      <w:r w:rsidRPr="006C7B74">
        <w:rPr>
          <w:rFonts w:cstheme="minorHAnsi"/>
          <w:sz w:val="20"/>
          <w:szCs w:val="20"/>
        </w:rPr>
        <w:t xml:space="preserve"> 775 h</w:t>
      </w:r>
      <w:r w:rsidR="00355F0E" w:rsidRPr="006C7B74">
        <w:rPr>
          <w:rFonts w:cstheme="minorHAnsi"/>
          <w:sz w:val="20"/>
          <w:szCs w:val="20"/>
        </w:rPr>
        <w:t>ect</w:t>
      </w:r>
      <w:r w:rsidR="00CE22BB" w:rsidRPr="006C7B74">
        <w:rPr>
          <w:rFonts w:cstheme="minorHAnsi"/>
          <w:sz w:val="20"/>
          <w:szCs w:val="20"/>
        </w:rPr>
        <w:t>ares</w:t>
      </w:r>
      <w:r w:rsidRPr="006C7B74">
        <w:rPr>
          <w:rFonts w:cstheme="minorHAnsi"/>
          <w:sz w:val="20"/>
          <w:szCs w:val="20"/>
        </w:rPr>
        <w:t xml:space="preserve"> </w:t>
      </w:r>
      <w:r w:rsidR="00251CF3" w:rsidRPr="006C7B74">
        <w:rPr>
          <w:rFonts w:cstheme="minorHAnsi"/>
          <w:sz w:val="20"/>
          <w:szCs w:val="20"/>
        </w:rPr>
        <w:t>site</w:t>
      </w:r>
      <w:r w:rsidRPr="006C7B74">
        <w:rPr>
          <w:rFonts w:cstheme="minorHAnsi"/>
          <w:sz w:val="20"/>
          <w:szCs w:val="20"/>
        </w:rPr>
        <w:t xml:space="preserve"> with around 8,400 jobs and potential for more than 50,000 jobs in health, education and high-technology research. The cluster includes the University of Melbourne Veterinary Hospital, the University of Notre Dame, St Vincent’s Private Hospital, Victoria University, the Werribee Mercy Hospital, the Wyndham Private Medical Centre, the CSIRO, the Suzanne Cory High School and a range of high-technology research companies in the food and agricultural industries.</w:t>
      </w:r>
      <w:r w:rsidR="00247786" w:rsidRPr="006C7B74">
        <w:rPr>
          <w:rFonts w:cstheme="minorHAnsi"/>
          <w:sz w:val="20"/>
          <w:szCs w:val="20"/>
        </w:rPr>
        <w:t xml:space="preserve"> Significant provision is made for future commercial and industrial land within the NEIC.</w:t>
      </w:r>
    </w:p>
    <w:p w14:paraId="7F9D167E" w14:textId="5D1A29B5" w:rsidR="008C7583" w:rsidRPr="006C7B74" w:rsidRDefault="008C7583" w:rsidP="008C7583">
      <w:pPr>
        <w:pStyle w:val="BodyText"/>
        <w:spacing w:before="0" w:line="240" w:lineRule="auto"/>
        <w:rPr>
          <w:lang w:eastAsia="en-AU"/>
        </w:rPr>
      </w:pPr>
      <w:r w:rsidRPr="006C7B74">
        <w:rPr>
          <w:b/>
          <w:lang w:eastAsia="en-AU"/>
        </w:rPr>
        <w:t>Hoppers Crossing Industrial Precinct</w:t>
      </w:r>
      <w:r w:rsidRPr="006C7B74">
        <w:rPr>
          <w:lang w:eastAsia="en-AU"/>
        </w:rPr>
        <w:t xml:space="preserve"> is located north-east of the Werribee NEIC and is strategically located between the Hoppers Crossing and Williams Landing railway stations. The precinct is established with little vacant industrial land and has direct access to the PFN (road and rail).</w:t>
      </w:r>
      <w:r w:rsidR="00616BD3" w:rsidRPr="006C7B74">
        <w:rPr>
          <w:lang w:eastAsia="en-AU"/>
        </w:rPr>
        <w:t xml:space="preserve"> It </w:t>
      </w:r>
      <w:r w:rsidR="007D1677" w:rsidRPr="006C7B74">
        <w:rPr>
          <w:lang w:eastAsia="en-AU"/>
        </w:rPr>
        <w:t xml:space="preserve">is well linked </w:t>
      </w:r>
      <w:r w:rsidR="00714581" w:rsidRPr="006C7B74">
        <w:rPr>
          <w:lang w:eastAsia="en-AU"/>
        </w:rPr>
        <w:t>to Werribee NEIC and beyond to W</w:t>
      </w:r>
      <w:r w:rsidR="00466510" w:rsidRPr="006C7B74">
        <w:rPr>
          <w:lang w:eastAsia="en-AU"/>
        </w:rPr>
        <w:t>e</w:t>
      </w:r>
      <w:r w:rsidR="00714581" w:rsidRPr="006C7B74">
        <w:rPr>
          <w:lang w:eastAsia="en-AU"/>
        </w:rPr>
        <w:t xml:space="preserve">rribee Major </w:t>
      </w:r>
      <w:r w:rsidR="00466510" w:rsidRPr="006C7B74">
        <w:rPr>
          <w:lang w:eastAsia="en-AU"/>
        </w:rPr>
        <w:t>Activity</w:t>
      </w:r>
      <w:r w:rsidR="00714581" w:rsidRPr="006C7B74">
        <w:rPr>
          <w:lang w:eastAsia="en-AU"/>
        </w:rPr>
        <w:t xml:space="preserve"> Centre</w:t>
      </w:r>
      <w:r w:rsidR="00F43F07" w:rsidRPr="006C7B74">
        <w:rPr>
          <w:lang w:eastAsia="en-AU"/>
        </w:rPr>
        <w:t>.</w:t>
      </w:r>
    </w:p>
    <w:p w14:paraId="3BBBC422" w14:textId="1F509E32" w:rsidR="00824C3F" w:rsidRPr="006C7B74" w:rsidRDefault="00824C3F" w:rsidP="00934C4D">
      <w:pPr>
        <w:spacing w:after="120"/>
        <w:rPr>
          <w:rFonts w:cstheme="minorHAnsi"/>
          <w:sz w:val="20"/>
          <w:szCs w:val="20"/>
        </w:rPr>
      </w:pPr>
      <w:r w:rsidRPr="006C7B74">
        <w:rPr>
          <w:rFonts w:cstheme="minorHAnsi"/>
          <w:sz w:val="20"/>
          <w:szCs w:val="20"/>
        </w:rPr>
        <w:lastRenderedPageBreak/>
        <w:t xml:space="preserve">The </w:t>
      </w:r>
      <w:r w:rsidRPr="006C7B74">
        <w:rPr>
          <w:rFonts w:cstheme="minorHAnsi"/>
          <w:b/>
          <w:sz w:val="20"/>
          <w:szCs w:val="20"/>
        </w:rPr>
        <w:t>Footscray Metropolitan Activity Centre</w:t>
      </w:r>
      <w:r w:rsidRPr="006C7B74">
        <w:rPr>
          <w:rFonts w:cstheme="minorHAnsi"/>
          <w:sz w:val="20"/>
          <w:szCs w:val="20"/>
        </w:rPr>
        <w:t xml:space="preserve"> is an important regional</w:t>
      </w:r>
      <w:r w:rsidR="00BC1617" w:rsidRPr="006C7B74">
        <w:rPr>
          <w:rFonts w:cstheme="minorHAnsi"/>
          <w:sz w:val="20"/>
          <w:szCs w:val="20"/>
        </w:rPr>
        <w:t>,</w:t>
      </w:r>
      <w:r w:rsidRPr="006C7B74">
        <w:rPr>
          <w:rFonts w:cstheme="minorHAnsi"/>
          <w:sz w:val="20"/>
          <w:szCs w:val="20"/>
        </w:rPr>
        <w:t xml:space="preserve"> </w:t>
      </w:r>
      <w:r w:rsidR="00A06647" w:rsidRPr="006C7B74">
        <w:rPr>
          <w:rFonts w:cstheme="minorHAnsi"/>
          <w:sz w:val="20"/>
          <w:szCs w:val="20"/>
        </w:rPr>
        <w:t>mixed</w:t>
      </w:r>
      <w:r w:rsidR="008C358A" w:rsidRPr="006C7B74">
        <w:rPr>
          <w:rFonts w:cstheme="minorHAnsi"/>
          <w:sz w:val="20"/>
          <w:szCs w:val="20"/>
        </w:rPr>
        <w:t>-</w:t>
      </w:r>
      <w:r w:rsidR="00A06647" w:rsidRPr="006C7B74">
        <w:rPr>
          <w:rFonts w:cstheme="minorHAnsi"/>
          <w:sz w:val="20"/>
          <w:szCs w:val="20"/>
        </w:rPr>
        <w:t>use</w:t>
      </w:r>
      <w:r w:rsidRPr="006C7B74">
        <w:rPr>
          <w:rFonts w:cstheme="minorHAnsi"/>
          <w:sz w:val="20"/>
          <w:szCs w:val="20"/>
        </w:rPr>
        <w:t xml:space="preserve"> centre with high accessibility to the Melbourne CBD. It comprises </w:t>
      </w:r>
      <w:r w:rsidR="00D15195">
        <w:rPr>
          <w:rFonts w:cstheme="minorHAnsi"/>
          <w:sz w:val="20"/>
          <w:szCs w:val="20"/>
        </w:rPr>
        <w:t xml:space="preserve">of a range of uses </w:t>
      </w:r>
      <w:r w:rsidR="001A4C02">
        <w:rPr>
          <w:rFonts w:cstheme="minorHAnsi"/>
          <w:sz w:val="20"/>
          <w:szCs w:val="20"/>
        </w:rPr>
        <w:t>including</w:t>
      </w:r>
      <w:r w:rsidRPr="006C7B74">
        <w:rPr>
          <w:rFonts w:cstheme="minorHAnsi"/>
          <w:sz w:val="20"/>
          <w:szCs w:val="20"/>
        </w:rPr>
        <w:t xml:space="preserve"> commercial floorspace with civic, health and education facilities, including two Victoria University campuses. It provides a range of retailing, office and food and drink premises with a growing residential population. </w:t>
      </w:r>
    </w:p>
    <w:p w14:paraId="79307441" w14:textId="39F392B4" w:rsidR="00824C3F" w:rsidRPr="006C7B74" w:rsidRDefault="00824C3F" w:rsidP="00934C4D">
      <w:pPr>
        <w:spacing w:after="120"/>
        <w:rPr>
          <w:rFonts w:cstheme="minorHAnsi"/>
          <w:sz w:val="20"/>
          <w:szCs w:val="20"/>
        </w:rPr>
      </w:pPr>
      <w:r w:rsidRPr="006C7B74">
        <w:rPr>
          <w:rFonts w:cstheme="minorHAnsi"/>
          <w:sz w:val="20"/>
          <w:szCs w:val="20"/>
        </w:rPr>
        <w:t>The</w:t>
      </w:r>
      <w:r w:rsidR="00C1712D" w:rsidRPr="006C7B74">
        <w:rPr>
          <w:rFonts w:cstheme="minorHAnsi"/>
          <w:sz w:val="20"/>
          <w:szCs w:val="20"/>
        </w:rPr>
        <w:t xml:space="preserve"> broader </w:t>
      </w:r>
      <w:r w:rsidR="00C1712D" w:rsidRPr="006C7B74">
        <w:rPr>
          <w:rFonts w:cstheme="minorHAnsi"/>
          <w:b/>
          <w:sz w:val="20"/>
          <w:szCs w:val="20"/>
        </w:rPr>
        <w:t>activity centre network</w:t>
      </w:r>
      <w:r w:rsidR="00C1712D" w:rsidRPr="006C7B74">
        <w:rPr>
          <w:rFonts w:cstheme="minorHAnsi"/>
          <w:sz w:val="20"/>
          <w:szCs w:val="20"/>
        </w:rPr>
        <w:t xml:space="preserve"> </w:t>
      </w:r>
      <w:r w:rsidR="000E0D27" w:rsidRPr="006C7B74">
        <w:rPr>
          <w:rFonts w:cstheme="minorHAnsi"/>
          <w:sz w:val="20"/>
          <w:szCs w:val="20"/>
        </w:rPr>
        <w:t xml:space="preserve">across the region </w:t>
      </w:r>
      <w:r w:rsidR="00C1712D" w:rsidRPr="006C7B74">
        <w:rPr>
          <w:rFonts w:cstheme="minorHAnsi"/>
          <w:sz w:val="20"/>
          <w:szCs w:val="20"/>
        </w:rPr>
        <w:t>co</w:t>
      </w:r>
      <w:r w:rsidR="00BC1617" w:rsidRPr="006C7B74">
        <w:rPr>
          <w:rFonts w:cstheme="minorHAnsi"/>
          <w:sz w:val="20"/>
          <w:szCs w:val="20"/>
        </w:rPr>
        <w:t>mprises</w:t>
      </w:r>
      <w:r w:rsidR="00C1712D" w:rsidRPr="006C7B74">
        <w:rPr>
          <w:rFonts w:cstheme="minorHAnsi"/>
          <w:sz w:val="20"/>
          <w:szCs w:val="20"/>
        </w:rPr>
        <w:t xml:space="preserve"> </w:t>
      </w:r>
      <w:r w:rsidRPr="006C7B74">
        <w:rPr>
          <w:rFonts w:cstheme="minorHAnsi"/>
          <w:sz w:val="20"/>
          <w:szCs w:val="20"/>
        </w:rPr>
        <w:t xml:space="preserve">24 existing </w:t>
      </w:r>
      <w:r w:rsidR="00B04E33" w:rsidRPr="006C7B74">
        <w:rPr>
          <w:rFonts w:cstheme="minorHAnsi"/>
          <w:sz w:val="20"/>
          <w:szCs w:val="20"/>
        </w:rPr>
        <w:t>m</w:t>
      </w:r>
      <w:r w:rsidRPr="006C7B74">
        <w:rPr>
          <w:rFonts w:cstheme="minorHAnsi"/>
          <w:sz w:val="20"/>
          <w:szCs w:val="20"/>
        </w:rPr>
        <w:t xml:space="preserve">ajor </w:t>
      </w:r>
      <w:r w:rsidR="00B04E33" w:rsidRPr="006C7B74">
        <w:rPr>
          <w:rFonts w:cstheme="minorHAnsi"/>
          <w:sz w:val="20"/>
          <w:szCs w:val="20"/>
        </w:rPr>
        <w:t>a</w:t>
      </w:r>
      <w:r w:rsidRPr="006C7B74">
        <w:rPr>
          <w:rFonts w:cstheme="minorHAnsi"/>
          <w:sz w:val="20"/>
          <w:szCs w:val="20"/>
        </w:rPr>
        <w:t xml:space="preserve">ctivity </w:t>
      </w:r>
      <w:r w:rsidR="00B04E33" w:rsidRPr="006C7B74">
        <w:rPr>
          <w:rFonts w:cstheme="minorHAnsi"/>
          <w:sz w:val="20"/>
          <w:szCs w:val="20"/>
        </w:rPr>
        <w:t>c</w:t>
      </w:r>
      <w:r w:rsidRPr="006C7B74">
        <w:rPr>
          <w:rFonts w:cstheme="minorHAnsi"/>
          <w:sz w:val="20"/>
          <w:szCs w:val="20"/>
        </w:rPr>
        <w:t xml:space="preserve">entres </w:t>
      </w:r>
      <w:r w:rsidR="00BC1617" w:rsidRPr="006C7B74">
        <w:rPr>
          <w:rFonts w:cstheme="minorHAnsi"/>
          <w:sz w:val="20"/>
          <w:szCs w:val="20"/>
        </w:rPr>
        <w:t>which</w:t>
      </w:r>
      <w:r w:rsidRPr="006C7B74">
        <w:rPr>
          <w:rFonts w:cstheme="minorHAnsi"/>
          <w:sz w:val="20"/>
          <w:szCs w:val="20"/>
        </w:rPr>
        <w:t xml:space="preserve"> vary in size, role and function and offer different potential for growth. Some are limited in size with minimal prospects for growth, while others provide substantial opportunities.</w:t>
      </w:r>
      <w:r w:rsidR="00CA5656" w:rsidRPr="006C7B74">
        <w:rPr>
          <w:rFonts w:cstheme="minorHAnsi"/>
          <w:sz w:val="20"/>
          <w:szCs w:val="20"/>
        </w:rPr>
        <w:t xml:space="preserve"> </w:t>
      </w:r>
      <w:r w:rsidRPr="006C7B74">
        <w:rPr>
          <w:rFonts w:cstheme="minorHAnsi"/>
          <w:sz w:val="20"/>
          <w:szCs w:val="20"/>
        </w:rPr>
        <w:t>Larger free-standing shopping centres such as Airport West, Highpoint, Watergardens (Sydenham)</w:t>
      </w:r>
      <w:r w:rsidR="00D21B68" w:rsidRPr="006C7B74">
        <w:rPr>
          <w:rFonts w:cstheme="minorHAnsi"/>
          <w:sz w:val="20"/>
          <w:szCs w:val="20"/>
        </w:rPr>
        <w:t>,</w:t>
      </w:r>
      <w:r w:rsidRPr="006C7B74">
        <w:rPr>
          <w:rFonts w:cstheme="minorHAnsi"/>
          <w:sz w:val="20"/>
          <w:szCs w:val="20"/>
        </w:rPr>
        <w:t xml:space="preserve"> Werribee Plaza</w:t>
      </w:r>
      <w:r w:rsidR="00F77440" w:rsidRPr="006C7B74">
        <w:rPr>
          <w:rFonts w:cstheme="minorHAnsi"/>
          <w:sz w:val="20"/>
          <w:szCs w:val="20"/>
        </w:rPr>
        <w:t xml:space="preserve"> and </w:t>
      </w:r>
      <w:proofErr w:type="spellStart"/>
      <w:r w:rsidR="00830DA2" w:rsidRPr="006C7B74">
        <w:rPr>
          <w:rFonts w:cstheme="minorHAnsi"/>
          <w:sz w:val="20"/>
          <w:szCs w:val="20"/>
        </w:rPr>
        <w:t>Woodgrove</w:t>
      </w:r>
      <w:proofErr w:type="spellEnd"/>
      <w:r w:rsidRPr="006C7B74">
        <w:rPr>
          <w:rFonts w:cstheme="minorHAnsi"/>
          <w:sz w:val="20"/>
          <w:szCs w:val="20"/>
        </w:rPr>
        <w:t xml:space="preserve"> offer significant retailing</w:t>
      </w:r>
      <w:r w:rsidR="00BC1617" w:rsidRPr="006C7B74">
        <w:rPr>
          <w:rFonts w:cstheme="minorHAnsi"/>
          <w:sz w:val="20"/>
          <w:szCs w:val="20"/>
        </w:rPr>
        <w:t>,</w:t>
      </w:r>
      <w:r w:rsidRPr="006C7B74">
        <w:rPr>
          <w:rFonts w:cstheme="minorHAnsi"/>
          <w:sz w:val="20"/>
          <w:szCs w:val="20"/>
        </w:rPr>
        <w:t xml:space="preserve"> serving larger sub-regional catchments. In other parts of the region, strip-based centres such as Altona, Ascot Vale-Union Road, Moonee Ponds, St Albans, Werribee and Williamstown offer a range of retailing, office and community uses. These centres are supported by a range of large and small </w:t>
      </w:r>
      <w:r w:rsidR="001A5674" w:rsidRPr="006C7B74">
        <w:rPr>
          <w:rFonts w:cstheme="minorHAnsi"/>
          <w:sz w:val="20"/>
          <w:szCs w:val="20"/>
        </w:rPr>
        <w:t>n</w:t>
      </w:r>
      <w:r w:rsidRPr="006C7B74">
        <w:rPr>
          <w:rFonts w:cstheme="minorHAnsi"/>
          <w:sz w:val="20"/>
          <w:szCs w:val="20"/>
        </w:rPr>
        <w:t xml:space="preserve">eighbourhood </w:t>
      </w:r>
      <w:r w:rsidR="001A5674" w:rsidRPr="006C7B74">
        <w:rPr>
          <w:rFonts w:cstheme="minorHAnsi"/>
          <w:sz w:val="20"/>
          <w:szCs w:val="20"/>
        </w:rPr>
        <w:t>a</w:t>
      </w:r>
      <w:r w:rsidRPr="006C7B74">
        <w:rPr>
          <w:rFonts w:cstheme="minorHAnsi"/>
          <w:sz w:val="20"/>
          <w:szCs w:val="20"/>
        </w:rPr>
        <w:t xml:space="preserve">ctivity </w:t>
      </w:r>
      <w:r w:rsidR="001A5674" w:rsidRPr="006C7B74">
        <w:rPr>
          <w:rFonts w:cstheme="minorHAnsi"/>
          <w:sz w:val="20"/>
          <w:szCs w:val="20"/>
        </w:rPr>
        <w:t>c</w:t>
      </w:r>
      <w:r w:rsidRPr="006C7B74">
        <w:rPr>
          <w:rFonts w:cstheme="minorHAnsi"/>
          <w:sz w:val="20"/>
          <w:szCs w:val="20"/>
        </w:rPr>
        <w:t xml:space="preserve">entres. </w:t>
      </w:r>
    </w:p>
    <w:p w14:paraId="58A4E64F" w14:textId="4EAAAF02" w:rsidR="00C1712D" w:rsidRPr="006C7B74" w:rsidRDefault="00824C3F" w:rsidP="00934C4D">
      <w:pPr>
        <w:spacing w:after="120"/>
        <w:rPr>
          <w:rFonts w:cstheme="minorHAnsi"/>
          <w:sz w:val="20"/>
          <w:szCs w:val="20"/>
        </w:rPr>
      </w:pPr>
      <w:r w:rsidRPr="006C7B74">
        <w:rPr>
          <w:rFonts w:cstheme="minorHAnsi"/>
          <w:sz w:val="20"/>
          <w:szCs w:val="20"/>
        </w:rPr>
        <w:t xml:space="preserve">It is envisaged that the </w:t>
      </w:r>
      <w:r w:rsidR="002B5B24" w:rsidRPr="006C7B74">
        <w:rPr>
          <w:rFonts w:cstheme="minorHAnsi"/>
          <w:sz w:val="20"/>
          <w:szCs w:val="20"/>
        </w:rPr>
        <w:t xml:space="preserve">growth </w:t>
      </w:r>
      <w:r w:rsidRPr="006C7B74">
        <w:rPr>
          <w:rFonts w:cstheme="minorHAnsi"/>
          <w:sz w:val="20"/>
          <w:szCs w:val="20"/>
        </w:rPr>
        <w:t>corridor</w:t>
      </w:r>
      <w:r w:rsidR="002B5B24" w:rsidRPr="006C7B74">
        <w:rPr>
          <w:rFonts w:cstheme="minorHAnsi"/>
          <w:sz w:val="20"/>
          <w:szCs w:val="20"/>
        </w:rPr>
        <w:t>s</w:t>
      </w:r>
      <w:r w:rsidRPr="006C7B74">
        <w:rPr>
          <w:rFonts w:cstheme="minorHAnsi"/>
          <w:sz w:val="20"/>
          <w:szCs w:val="20"/>
        </w:rPr>
        <w:t xml:space="preserve"> will play a significant role in the diversification of the broader region over time. The </w:t>
      </w:r>
      <w:r w:rsidRPr="006C7B74">
        <w:rPr>
          <w:rFonts w:cstheme="minorHAnsi"/>
          <w:b/>
          <w:sz w:val="20"/>
          <w:szCs w:val="20"/>
        </w:rPr>
        <w:t>Hopkins Road Business Precinct</w:t>
      </w:r>
      <w:r w:rsidRPr="006C7B74">
        <w:rPr>
          <w:rFonts w:cstheme="minorHAnsi"/>
          <w:sz w:val="20"/>
          <w:szCs w:val="20"/>
        </w:rPr>
        <w:t xml:space="preserve">, together with existing and planned activity centres, will provide significant new opportunities for jobs, investment and services within the region. </w:t>
      </w:r>
    </w:p>
    <w:p w14:paraId="6412CCBC" w14:textId="6A7A1A78" w:rsidR="00824C3F" w:rsidRPr="006C7B74" w:rsidRDefault="00446910" w:rsidP="00934C4D">
      <w:pPr>
        <w:spacing w:after="120"/>
        <w:rPr>
          <w:rFonts w:cstheme="minorHAnsi"/>
          <w:sz w:val="20"/>
          <w:szCs w:val="20"/>
        </w:rPr>
      </w:pPr>
      <w:r w:rsidRPr="006C7B74">
        <w:rPr>
          <w:rFonts w:cstheme="minorHAnsi"/>
          <w:sz w:val="20"/>
          <w:szCs w:val="20"/>
        </w:rPr>
        <w:t>T</w:t>
      </w:r>
      <w:r w:rsidR="00824C3F" w:rsidRPr="006C7B74">
        <w:rPr>
          <w:rFonts w:cstheme="minorHAnsi"/>
          <w:sz w:val="20"/>
          <w:szCs w:val="20"/>
        </w:rPr>
        <w:t xml:space="preserve">he region will also continue to play a vital role in meeting Victoria’s industrial, freight and logistics needs over the long term, whilst diversifying the employment offer </w:t>
      </w:r>
      <w:r w:rsidR="00CE603B" w:rsidRPr="006C7B74">
        <w:rPr>
          <w:rFonts w:cstheme="minorHAnsi"/>
          <w:sz w:val="20"/>
          <w:szCs w:val="20"/>
        </w:rPr>
        <w:t>in</w:t>
      </w:r>
      <w:r w:rsidR="00824C3F" w:rsidRPr="006C7B74">
        <w:rPr>
          <w:rFonts w:cstheme="minorHAnsi"/>
          <w:sz w:val="20"/>
          <w:szCs w:val="20"/>
        </w:rPr>
        <w:t xml:space="preserve"> the region. </w:t>
      </w:r>
      <w:r w:rsidR="006D546E" w:rsidRPr="006C7B74">
        <w:rPr>
          <w:rFonts w:cstheme="minorHAnsi"/>
          <w:sz w:val="20"/>
          <w:szCs w:val="20"/>
        </w:rPr>
        <w:t>The</w:t>
      </w:r>
      <w:r w:rsidR="00C80FEB" w:rsidRPr="006C7B74">
        <w:rPr>
          <w:rFonts w:cstheme="minorHAnsi"/>
          <w:sz w:val="20"/>
          <w:szCs w:val="20"/>
        </w:rPr>
        <w:t xml:space="preserve"> G</w:t>
      </w:r>
      <w:r w:rsidR="006D546E" w:rsidRPr="006C7B74">
        <w:rPr>
          <w:rFonts w:cstheme="minorHAnsi"/>
          <w:sz w:val="20"/>
          <w:szCs w:val="20"/>
        </w:rPr>
        <w:t xml:space="preserve">rowth </w:t>
      </w:r>
      <w:r w:rsidR="00C80FEB" w:rsidRPr="006C7B74">
        <w:rPr>
          <w:rFonts w:cstheme="minorHAnsi"/>
          <w:sz w:val="20"/>
          <w:szCs w:val="20"/>
        </w:rPr>
        <w:t>C</w:t>
      </w:r>
      <w:r w:rsidR="006D546E" w:rsidRPr="006C7B74">
        <w:rPr>
          <w:rFonts w:cstheme="minorHAnsi"/>
          <w:sz w:val="20"/>
          <w:szCs w:val="20"/>
        </w:rPr>
        <w:t xml:space="preserve">orridor </w:t>
      </w:r>
      <w:r w:rsidR="00C80FEB" w:rsidRPr="006C7B74">
        <w:rPr>
          <w:rFonts w:cstheme="minorHAnsi"/>
          <w:sz w:val="20"/>
          <w:szCs w:val="20"/>
        </w:rPr>
        <w:t>P</w:t>
      </w:r>
      <w:r w:rsidR="006D546E" w:rsidRPr="006C7B74">
        <w:rPr>
          <w:rFonts w:cstheme="minorHAnsi"/>
          <w:sz w:val="20"/>
          <w:szCs w:val="20"/>
        </w:rPr>
        <w:t>lan for the Western Region identifies a number of areas for future industrial purposes that are of regional importance</w:t>
      </w:r>
      <w:r w:rsidR="00CD7ACF" w:rsidRPr="006C7B74">
        <w:rPr>
          <w:rFonts w:cstheme="minorHAnsi"/>
          <w:sz w:val="20"/>
          <w:szCs w:val="20"/>
        </w:rPr>
        <w:t xml:space="preserve"> and combined with</w:t>
      </w:r>
      <w:r w:rsidR="006D546E" w:rsidRPr="006C7B74">
        <w:rPr>
          <w:rFonts w:cstheme="minorHAnsi"/>
          <w:sz w:val="20"/>
          <w:szCs w:val="20"/>
        </w:rPr>
        <w:t xml:space="preserve"> </w:t>
      </w:r>
      <w:r w:rsidR="00CD7ACF" w:rsidRPr="006C7B74">
        <w:rPr>
          <w:rFonts w:cstheme="minorHAnsi"/>
          <w:sz w:val="20"/>
          <w:szCs w:val="20"/>
        </w:rPr>
        <w:t>p</w:t>
      </w:r>
      <w:r w:rsidR="00824C3F" w:rsidRPr="006C7B74">
        <w:rPr>
          <w:rFonts w:cstheme="minorHAnsi"/>
          <w:sz w:val="20"/>
          <w:szCs w:val="20"/>
        </w:rPr>
        <w:t>lanned upgrades to freeways and freight facilities</w:t>
      </w:r>
      <w:r w:rsidR="00CD7ACF" w:rsidRPr="006C7B74">
        <w:rPr>
          <w:rFonts w:cstheme="minorHAnsi"/>
          <w:sz w:val="20"/>
          <w:szCs w:val="20"/>
        </w:rPr>
        <w:t xml:space="preserve">, </w:t>
      </w:r>
      <w:r w:rsidR="00824C3F" w:rsidRPr="006C7B74">
        <w:rPr>
          <w:rFonts w:cstheme="minorHAnsi"/>
          <w:sz w:val="20"/>
          <w:szCs w:val="20"/>
        </w:rPr>
        <w:t xml:space="preserve">will reinforce </w:t>
      </w:r>
      <w:r w:rsidR="00CD7ACF" w:rsidRPr="006C7B74">
        <w:rPr>
          <w:rFonts w:cstheme="minorHAnsi"/>
          <w:sz w:val="20"/>
          <w:szCs w:val="20"/>
        </w:rPr>
        <w:t>the region</w:t>
      </w:r>
      <w:r w:rsidR="00FD0FB5" w:rsidRPr="006C7B74">
        <w:rPr>
          <w:rFonts w:cstheme="minorHAnsi"/>
          <w:sz w:val="20"/>
          <w:szCs w:val="20"/>
        </w:rPr>
        <w:t>’s</w:t>
      </w:r>
      <w:r w:rsidR="00824C3F" w:rsidRPr="006C7B74">
        <w:rPr>
          <w:rFonts w:cstheme="minorHAnsi"/>
          <w:sz w:val="20"/>
          <w:szCs w:val="20"/>
        </w:rPr>
        <w:t xml:space="preserve"> importance to the industrial sectors in the future.</w:t>
      </w:r>
    </w:p>
    <w:p w14:paraId="7AB6D5BF" w14:textId="02C0EEFC" w:rsidR="00405CBB" w:rsidRPr="006C7B74" w:rsidRDefault="00247786" w:rsidP="00934C4D">
      <w:pPr>
        <w:pStyle w:val="BodyText"/>
        <w:spacing w:before="0" w:line="240" w:lineRule="auto"/>
        <w:rPr>
          <w:lang w:eastAsia="en-AU"/>
        </w:rPr>
      </w:pPr>
      <w:r w:rsidRPr="006C7B74">
        <w:rPr>
          <w:bCs/>
          <w:lang w:eastAsia="en-AU"/>
        </w:rPr>
        <w:t>The</w:t>
      </w:r>
      <w:r w:rsidRPr="006C7B74">
        <w:rPr>
          <w:b/>
          <w:bCs/>
          <w:lang w:eastAsia="en-AU"/>
        </w:rPr>
        <w:t xml:space="preserve"> </w:t>
      </w:r>
      <w:r w:rsidR="00405CBB" w:rsidRPr="006C7B74">
        <w:rPr>
          <w:b/>
          <w:bCs/>
          <w:lang w:eastAsia="en-AU"/>
        </w:rPr>
        <w:t xml:space="preserve">Melton Highway Industrial Precinct </w:t>
      </w:r>
      <w:r w:rsidR="00405CBB" w:rsidRPr="006C7B74">
        <w:rPr>
          <w:lang w:eastAsia="en-AU"/>
        </w:rPr>
        <w:t>a</w:t>
      </w:r>
      <w:r w:rsidR="000E0D27" w:rsidRPr="006C7B74">
        <w:rPr>
          <w:lang w:eastAsia="en-AU"/>
        </w:rPr>
        <w:t>t Plumpton</w:t>
      </w:r>
      <w:r w:rsidR="00405CBB" w:rsidRPr="006C7B74">
        <w:rPr>
          <w:lang w:eastAsia="en-AU"/>
        </w:rPr>
        <w:t xml:space="preserve"> </w:t>
      </w:r>
      <w:r w:rsidR="000E0D27" w:rsidRPr="006C7B74">
        <w:rPr>
          <w:lang w:eastAsia="en-AU"/>
        </w:rPr>
        <w:t>sets aside</w:t>
      </w:r>
      <w:r w:rsidR="006140BF" w:rsidRPr="006C7B74">
        <w:rPr>
          <w:lang w:eastAsia="en-AU"/>
        </w:rPr>
        <w:t xml:space="preserve"> approximately</w:t>
      </w:r>
      <w:r w:rsidRPr="006C7B74">
        <w:rPr>
          <w:lang w:eastAsia="en-AU"/>
        </w:rPr>
        <w:t xml:space="preserve"> </w:t>
      </w:r>
      <w:r w:rsidR="00FE27DC" w:rsidRPr="006C7B74">
        <w:rPr>
          <w:lang w:eastAsia="en-AU"/>
        </w:rPr>
        <w:t>33</w:t>
      </w:r>
      <w:r w:rsidR="006140BF" w:rsidRPr="006C7B74">
        <w:rPr>
          <w:lang w:eastAsia="en-AU"/>
        </w:rPr>
        <w:t>0</w:t>
      </w:r>
      <w:r w:rsidR="00FE27DC" w:rsidRPr="006C7B74">
        <w:rPr>
          <w:lang w:eastAsia="en-AU"/>
        </w:rPr>
        <w:t xml:space="preserve"> </w:t>
      </w:r>
      <w:r w:rsidRPr="006C7B74">
        <w:rPr>
          <w:lang w:eastAsia="en-AU"/>
        </w:rPr>
        <w:t xml:space="preserve">hectares of </w:t>
      </w:r>
      <w:r w:rsidR="000E0D27" w:rsidRPr="006C7B74">
        <w:rPr>
          <w:lang w:eastAsia="en-AU"/>
        </w:rPr>
        <w:t>land for</w:t>
      </w:r>
      <w:r w:rsidR="00761343" w:rsidRPr="006C7B74">
        <w:rPr>
          <w:lang w:eastAsia="en-AU"/>
        </w:rPr>
        <w:t xml:space="preserve"> future</w:t>
      </w:r>
      <w:r w:rsidR="000E0D27" w:rsidRPr="006C7B74">
        <w:rPr>
          <w:lang w:eastAsia="en-AU"/>
        </w:rPr>
        <w:t xml:space="preserve"> </w:t>
      </w:r>
      <w:r w:rsidRPr="006C7B74">
        <w:rPr>
          <w:lang w:eastAsia="en-AU"/>
        </w:rPr>
        <w:t>industrial</w:t>
      </w:r>
      <w:r w:rsidR="000E0D27" w:rsidRPr="006C7B74">
        <w:rPr>
          <w:lang w:eastAsia="en-AU"/>
        </w:rPr>
        <w:t xml:space="preserve"> purposes</w:t>
      </w:r>
      <w:r w:rsidR="00405CBB" w:rsidRPr="006C7B74">
        <w:rPr>
          <w:lang w:eastAsia="en-AU"/>
        </w:rPr>
        <w:t xml:space="preserve">. The </w:t>
      </w:r>
      <w:r w:rsidRPr="006C7B74">
        <w:rPr>
          <w:lang w:eastAsia="en-AU"/>
        </w:rPr>
        <w:t>p</w:t>
      </w:r>
      <w:r w:rsidR="00405CBB" w:rsidRPr="006C7B74">
        <w:rPr>
          <w:lang w:eastAsia="en-AU"/>
        </w:rPr>
        <w:t xml:space="preserve">recinct will have direct access to Melton </w:t>
      </w:r>
      <w:r w:rsidRPr="006C7B74">
        <w:rPr>
          <w:lang w:eastAsia="en-AU"/>
        </w:rPr>
        <w:t xml:space="preserve">Highway </w:t>
      </w:r>
      <w:r w:rsidR="00405CBB" w:rsidRPr="006C7B74">
        <w:rPr>
          <w:lang w:eastAsia="en-AU"/>
        </w:rPr>
        <w:t xml:space="preserve">and the proposed </w:t>
      </w:r>
      <w:r w:rsidR="00C97C13" w:rsidRPr="006C7B74">
        <w:rPr>
          <w:lang w:eastAsia="en-AU"/>
        </w:rPr>
        <w:t>OMR</w:t>
      </w:r>
      <w:r w:rsidR="000E0D27" w:rsidRPr="006C7B74">
        <w:rPr>
          <w:lang w:eastAsia="en-AU"/>
        </w:rPr>
        <w:t>. As such, it will easily link to</w:t>
      </w:r>
      <w:r w:rsidRPr="006C7B74">
        <w:rPr>
          <w:lang w:eastAsia="en-AU"/>
        </w:rPr>
        <w:t xml:space="preserve"> Melbourne’s north and </w:t>
      </w:r>
      <w:r w:rsidR="00DF5090" w:rsidRPr="006C7B74">
        <w:rPr>
          <w:lang w:eastAsia="en-AU"/>
        </w:rPr>
        <w:t xml:space="preserve">the </w:t>
      </w:r>
      <w:r w:rsidR="00405CBB" w:rsidRPr="006C7B74">
        <w:rPr>
          <w:lang w:eastAsia="en-AU"/>
        </w:rPr>
        <w:t xml:space="preserve">proposed </w:t>
      </w:r>
      <w:r w:rsidR="00C31EAB" w:rsidRPr="006C7B74">
        <w:t>WIFT</w:t>
      </w:r>
      <w:r w:rsidR="009C09AA" w:rsidRPr="006C7B74">
        <w:t>.</w:t>
      </w:r>
      <w:r w:rsidR="00405CBB" w:rsidRPr="006C7B74">
        <w:t xml:space="preserve"> </w:t>
      </w:r>
    </w:p>
    <w:p w14:paraId="5332F80C" w14:textId="085D98F1" w:rsidR="00405CBB" w:rsidRPr="006C7B74" w:rsidRDefault="00DF5090" w:rsidP="00934C4D">
      <w:pPr>
        <w:pStyle w:val="BodyText"/>
        <w:spacing w:before="0" w:line="240" w:lineRule="auto"/>
        <w:rPr>
          <w:lang w:eastAsia="en-AU"/>
        </w:rPr>
      </w:pPr>
      <w:r w:rsidRPr="006C7B74">
        <w:rPr>
          <w:lang w:eastAsia="en-AU"/>
        </w:rPr>
        <w:t>T</w:t>
      </w:r>
      <w:r w:rsidR="00405CBB" w:rsidRPr="006C7B74">
        <w:rPr>
          <w:lang w:eastAsia="en-AU"/>
        </w:rPr>
        <w:t>he</w:t>
      </w:r>
      <w:r w:rsidR="00405CBB" w:rsidRPr="006C7B74">
        <w:rPr>
          <w:b/>
          <w:lang w:eastAsia="en-AU"/>
        </w:rPr>
        <w:t xml:space="preserve"> </w:t>
      </w:r>
      <w:proofErr w:type="spellStart"/>
      <w:r w:rsidR="00405CBB" w:rsidRPr="006C7B74">
        <w:rPr>
          <w:b/>
          <w:lang w:eastAsia="en-AU"/>
        </w:rPr>
        <w:t>Toolern</w:t>
      </w:r>
      <w:proofErr w:type="spellEnd"/>
      <w:r w:rsidR="00405CBB" w:rsidRPr="006C7B74">
        <w:rPr>
          <w:b/>
          <w:lang w:eastAsia="en-AU"/>
        </w:rPr>
        <w:t xml:space="preserve"> Employment Precinct </w:t>
      </w:r>
      <w:r w:rsidR="00411EC5" w:rsidRPr="006C7B74">
        <w:rPr>
          <w:lang w:eastAsia="en-AU"/>
        </w:rPr>
        <w:t>sets aside</w:t>
      </w:r>
      <w:r w:rsidRPr="006C7B74">
        <w:rPr>
          <w:lang w:eastAsia="en-AU"/>
        </w:rPr>
        <w:t xml:space="preserve"> </w:t>
      </w:r>
      <w:r w:rsidRPr="006C7B74">
        <w:t>a</w:t>
      </w:r>
      <w:r w:rsidRPr="006C7B74">
        <w:rPr>
          <w:lang w:eastAsia="en-AU"/>
        </w:rPr>
        <w:t xml:space="preserve">round </w:t>
      </w:r>
      <w:r w:rsidR="00501E4C" w:rsidRPr="006C7B74">
        <w:rPr>
          <w:lang w:eastAsia="en-AU"/>
        </w:rPr>
        <w:t>35</w:t>
      </w:r>
      <w:r w:rsidR="002136AD" w:rsidRPr="006C7B74">
        <w:rPr>
          <w:lang w:eastAsia="en-AU"/>
        </w:rPr>
        <w:t>0</w:t>
      </w:r>
      <w:r w:rsidR="00501E4C" w:rsidRPr="006C7B74">
        <w:rPr>
          <w:lang w:eastAsia="en-AU"/>
        </w:rPr>
        <w:t xml:space="preserve"> </w:t>
      </w:r>
      <w:r w:rsidRPr="006C7B74">
        <w:rPr>
          <w:lang w:eastAsia="en-AU"/>
        </w:rPr>
        <w:t xml:space="preserve">hectares of </w:t>
      </w:r>
      <w:r w:rsidR="00411EC5" w:rsidRPr="006C7B74">
        <w:rPr>
          <w:lang w:eastAsia="en-AU"/>
        </w:rPr>
        <w:t xml:space="preserve">land for </w:t>
      </w:r>
      <w:r w:rsidRPr="006C7B74">
        <w:rPr>
          <w:lang w:eastAsia="en-AU"/>
        </w:rPr>
        <w:t>industrial</w:t>
      </w:r>
      <w:r w:rsidR="00411EC5" w:rsidRPr="006C7B74">
        <w:rPr>
          <w:lang w:eastAsia="en-AU"/>
        </w:rPr>
        <w:t xml:space="preserve"> purposes</w:t>
      </w:r>
      <w:r w:rsidRPr="006C7B74">
        <w:rPr>
          <w:lang w:eastAsia="en-AU"/>
        </w:rPr>
        <w:t xml:space="preserve"> adjacent to the </w:t>
      </w:r>
      <w:r w:rsidR="00405CBB" w:rsidRPr="006C7B74">
        <w:rPr>
          <w:lang w:eastAsia="en-AU"/>
        </w:rPr>
        <w:t xml:space="preserve">Melton Industrial Park </w:t>
      </w:r>
      <w:r w:rsidRPr="006C7B74">
        <w:rPr>
          <w:lang w:eastAsia="en-AU"/>
        </w:rPr>
        <w:t xml:space="preserve">to the </w:t>
      </w:r>
      <w:r w:rsidR="00405CBB" w:rsidRPr="006C7B74">
        <w:rPr>
          <w:lang w:eastAsia="en-AU"/>
        </w:rPr>
        <w:t>north. The precinct has direct access to</w:t>
      </w:r>
      <w:r w:rsidR="00C97C13" w:rsidRPr="006C7B74">
        <w:rPr>
          <w:lang w:eastAsia="en-AU"/>
        </w:rPr>
        <w:t xml:space="preserve"> the </w:t>
      </w:r>
      <w:r w:rsidR="009E1FB8" w:rsidRPr="006C7B74">
        <w:rPr>
          <w:lang w:eastAsia="en-AU"/>
        </w:rPr>
        <w:t>PFN</w:t>
      </w:r>
      <w:r w:rsidRPr="006C7B74">
        <w:rPr>
          <w:lang w:eastAsia="en-AU"/>
        </w:rPr>
        <w:t xml:space="preserve"> (r</w:t>
      </w:r>
      <w:r w:rsidR="00405CBB" w:rsidRPr="006C7B74">
        <w:rPr>
          <w:lang w:eastAsia="en-AU"/>
        </w:rPr>
        <w:t xml:space="preserve">oad and </w:t>
      </w:r>
      <w:r w:rsidRPr="006C7B74">
        <w:rPr>
          <w:lang w:eastAsia="en-AU"/>
        </w:rPr>
        <w:t>r</w:t>
      </w:r>
      <w:r w:rsidR="00405CBB" w:rsidRPr="006C7B74">
        <w:rPr>
          <w:lang w:eastAsia="en-AU"/>
        </w:rPr>
        <w:t>ail</w:t>
      </w:r>
      <w:r w:rsidRPr="006C7B74">
        <w:rPr>
          <w:lang w:eastAsia="en-AU"/>
        </w:rPr>
        <w:t>)</w:t>
      </w:r>
      <w:r w:rsidR="00405CBB" w:rsidRPr="006C7B74">
        <w:rPr>
          <w:lang w:eastAsia="en-AU"/>
        </w:rPr>
        <w:t xml:space="preserve"> and will be serviced by the f</w:t>
      </w:r>
      <w:r w:rsidR="00405CBB" w:rsidRPr="006C7B74">
        <w:t xml:space="preserve">uture </w:t>
      </w:r>
      <w:proofErr w:type="spellStart"/>
      <w:r w:rsidR="00405CBB" w:rsidRPr="006C7B74">
        <w:t>Toolern</w:t>
      </w:r>
      <w:proofErr w:type="spellEnd"/>
      <w:r w:rsidR="00405CBB" w:rsidRPr="006C7B74">
        <w:t xml:space="preserve"> Metropolitan </w:t>
      </w:r>
      <w:r w:rsidRPr="006C7B74">
        <w:t>A</w:t>
      </w:r>
      <w:r w:rsidR="00405CBB" w:rsidRPr="006C7B74">
        <w:t xml:space="preserve">ctivity </w:t>
      </w:r>
      <w:r w:rsidRPr="006C7B74">
        <w:t>C</w:t>
      </w:r>
      <w:r w:rsidR="00405CBB" w:rsidRPr="006C7B74">
        <w:t xml:space="preserve">entre to the south. </w:t>
      </w:r>
    </w:p>
    <w:p w14:paraId="6562C158" w14:textId="31AC6DAF" w:rsidR="00405CBB" w:rsidRPr="006C7B74" w:rsidRDefault="00405CBB" w:rsidP="00934C4D">
      <w:pPr>
        <w:spacing w:after="120"/>
        <w:rPr>
          <w:rFonts w:cstheme="minorHAnsi"/>
          <w:sz w:val="20"/>
          <w:szCs w:val="20"/>
          <w:lang w:eastAsia="en-AU"/>
        </w:rPr>
      </w:pPr>
      <w:r w:rsidRPr="006C7B74">
        <w:rPr>
          <w:rFonts w:cstheme="minorHAnsi"/>
          <w:sz w:val="20"/>
          <w:szCs w:val="20"/>
          <w:lang w:eastAsia="en-AU"/>
        </w:rPr>
        <w:t xml:space="preserve">The </w:t>
      </w:r>
      <w:r w:rsidRPr="006C7B74">
        <w:rPr>
          <w:rFonts w:cstheme="minorHAnsi"/>
          <w:b/>
          <w:bCs/>
          <w:sz w:val="20"/>
          <w:szCs w:val="20"/>
          <w:lang w:eastAsia="en-AU"/>
        </w:rPr>
        <w:t>South West Quarries Industrial Node</w:t>
      </w:r>
      <w:r w:rsidRPr="006C7B74">
        <w:rPr>
          <w:rFonts w:cstheme="minorHAnsi"/>
          <w:sz w:val="20"/>
          <w:szCs w:val="20"/>
          <w:lang w:eastAsia="en-AU"/>
        </w:rPr>
        <w:t xml:space="preserve"> </w:t>
      </w:r>
      <w:r w:rsidR="00DF5090" w:rsidRPr="006C7B74">
        <w:rPr>
          <w:rFonts w:cstheme="minorHAnsi"/>
          <w:sz w:val="20"/>
          <w:szCs w:val="20"/>
          <w:lang w:eastAsia="en-AU"/>
        </w:rPr>
        <w:t xml:space="preserve">adjacent to the </w:t>
      </w:r>
      <w:r w:rsidRPr="006C7B74">
        <w:rPr>
          <w:rFonts w:cstheme="minorHAnsi"/>
          <w:sz w:val="20"/>
          <w:szCs w:val="20"/>
          <w:lang w:eastAsia="en-AU"/>
        </w:rPr>
        <w:t>Princes Freeway</w:t>
      </w:r>
      <w:r w:rsidR="00744DFE" w:rsidRPr="006C7B74">
        <w:rPr>
          <w:rFonts w:cstheme="minorHAnsi"/>
          <w:sz w:val="20"/>
          <w:szCs w:val="20"/>
          <w:lang w:eastAsia="en-AU"/>
        </w:rPr>
        <w:t>,</w:t>
      </w:r>
      <w:r w:rsidRPr="006C7B74">
        <w:rPr>
          <w:rFonts w:cstheme="minorHAnsi"/>
          <w:sz w:val="20"/>
          <w:szCs w:val="20"/>
          <w:lang w:eastAsia="en-AU"/>
        </w:rPr>
        <w:t xml:space="preserve"> </w:t>
      </w:r>
      <w:r w:rsidR="00DF5090" w:rsidRPr="006C7B74">
        <w:rPr>
          <w:rFonts w:cstheme="minorHAnsi"/>
          <w:sz w:val="20"/>
          <w:szCs w:val="20"/>
          <w:lang w:eastAsia="en-AU"/>
        </w:rPr>
        <w:t xml:space="preserve">sets aside approximately </w:t>
      </w:r>
      <w:r w:rsidR="004D42AE" w:rsidRPr="006C7B74">
        <w:rPr>
          <w:rFonts w:cstheme="minorHAnsi"/>
          <w:sz w:val="20"/>
          <w:szCs w:val="20"/>
          <w:lang w:eastAsia="en-AU"/>
        </w:rPr>
        <w:t>1</w:t>
      </w:r>
      <w:r w:rsidR="00703F3C" w:rsidRPr="006C7B74">
        <w:rPr>
          <w:rFonts w:cstheme="minorHAnsi"/>
          <w:sz w:val="20"/>
          <w:szCs w:val="20"/>
          <w:lang w:eastAsia="en-AU"/>
        </w:rPr>
        <w:t>,</w:t>
      </w:r>
      <w:r w:rsidR="004D42AE" w:rsidRPr="006C7B74">
        <w:rPr>
          <w:rFonts w:cstheme="minorHAnsi"/>
          <w:sz w:val="20"/>
          <w:szCs w:val="20"/>
          <w:lang w:eastAsia="en-AU"/>
        </w:rPr>
        <w:t>400</w:t>
      </w:r>
      <w:r w:rsidR="004A1901" w:rsidRPr="006C7B74">
        <w:rPr>
          <w:rFonts w:cstheme="minorHAnsi"/>
          <w:sz w:val="20"/>
          <w:szCs w:val="20"/>
          <w:lang w:eastAsia="en-AU"/>
        </w:rPr>
        <w:t xml:space="preserve"> </w:t>
      </w:r>
      <w:r w:rsidR="00DF5090" w:rsidRPr="006C7B74">
        <w:rPr>
          <w:rFonts w:cstheme="minorHAnsi"/>
          <w:sz w:val="20"/>
          <w:szCs w:val="20"/>
          <w:lang w:eastAsia="en-AU"/>
        </w:rPr>
        <w:t>hectares of land for industrial purposes</w:t>
      </w:r>
      <w:r w:rsidR="00C70246" w:rsidRPr="006C7B74">
        <w:rPr>
          <w:rFonts w:cstheme="minorHAnsi"/>
          <w:sz w:val="20"/>
          <w:szCs w:val="20"/>
          <w:lang w:eastAsia="en-AU"/>
        </w:rPr>
        <w:t xml:space="preserve">. </w:t>
      </w:r>
      <w:r w:rsidR="00411EC5" w:rsidRPr="006C7B74">
        <w:rPr>
          <w:rFonts w:cstheme="minorHAnsi"/>
          <w:sz w:val="20"/>
          <w:szCs w:val="20"/>
          <w:lang w:eastAsia="en-AU"/>
        </w:rPr>
        <w:t xml:space="preserve">The precinct will have direct access to the Princes Freeway and the proposed </w:t>
      </w:r>
      <w:r w:rsidR="00C31EAB" w:rsidRPr="006C7B74">
        <w:rPr>
          <w:rFonts w:cstheme="minorHAnsi"/>
          <w:sz w:val="20"/>
          <w:szCs w:val="20"/>
          <w:lang w:eastAsia="en-AU"/>
        </w:rPr>
        <w:t>WIFT</w:t>
      </w:r>
      <w:r w:rsidR="00411EC5" w:rsidRPr="006C7B74">
        <w:rPr>
          <w:rFonts w:cstheme="minorHAnsi"/>
          <w:sz w:val="20"/>
          <w:szCs w:val="20"/>
          <w:lang w:eastAsia="en-AU"/>
        </w:rPr>
        <w:t xml:space="preserve"> via the proposed OMR. </w:t>
      </w:r>
      <w:r w:rsidR="00C70246" w:rsidRPr="006C7B74">
        <w:rPr>
          <w:rFonts w:cstheme="minorHAnsi"/>
          <w:sz w:val="20"/>
          <w:szCs w:val="20"/>
          <w:lang w:eastAsia="en-AU"/>
        </w:rPr>
        <w:t>This area</w:t>
      </w:r>
      <w:r w:rsidR="00411EC5" w:rsidRPr="006C7B74">
        <w:rPr>
          <w:rFonts w:cstheme="minorHAnsi"/>
          <w:sz w:val="20"/>
          <w:szCs w:val="20"/>
          <w:lang w:eastAsia="en-AU"/>
        </w:rPr>
        <w:t xml:space="preserve"> has been set aside to support the operation of adjacent quarry sites and</w:t>
      </w:r>
      <w:r w:rsidRPr="006C7B74">
        <w:rPr>
          <w:rFonts w:cstheme="minorHAnsi"/>
          <w:sz w:val="20"/>
          <w:szCs w:val="20"/>
          <w:lang w:eastAsia="en-AU"/>
        </w:rPr>
        <w:t xml:space="preserve"> need</w:t>
      </w:r>
      <w:r w:rsidR="00C70246" w:rsidRPr="006C7B74">
        <w:rPr>
          <w:rFonts w:cstheme="minorHAnsi"/>
          <w:sz w:val="20"/>
          <w:szCs w:val="20"/>
          <w:lang w:eastAsia="en-AU"/>
        </w:rPr>
        <w:t>s</w:t>
      </w:r>
      <w:r w:rsidRPr="006C7B74">
        <w:rPr>
          <w:rFonts w:cstheme="minorHAnsi"/>
          <w:sz w:val="20"/>
          <w:szCs w:val="20"/>
          <w:lang w:eastAsia="en-AU"/>
        </w:rPr>
        <w:t xml:space="preserve"> to be </w:t>
      </w:r>
      <w:r w:rsidR="00411EC5" w:rsidRPr="006C7B74">
        <w:rPr>
          <w:rFonts w:cstheme="minorHAnsi"/>
          <w:sz w:val="20"/>
          <w:szCs w:val="20"/>
          <w:lang w:eastAsia="en-AU"/>
        </w:rPr>
        <w:t xml:space="preserve">carefully </w:t>
      </w:r>
      <w:r w:rsidRPr="006C7B74">
        <w:rPr>
          <w:rFonts w:cstheme="minorHAnsi"/>
          <w:sz w:val="20"/>
          <w:szCs w:val="20"/>
          <w:lang w:eastAsia="en-AU"/>
        </w:rPr>
        <w:t xml:space="preserve">planned </w:t>
      </w:r>
      <w:r w:rsidR="00411EC5" w:rsidRPr="006C7B74">
        <w:rPr>
          <w:rFonts w:cstheme="minorHAnsi"/>
          <w:sz w:val="20"/>
          <w:szCs w:val="20"/>
          <w:lang w:eastAsia="en-AU"/>
        </w:rPr>
        <w:t xml:space="preserve">to </w:t>
      </w:r>
      <w:r w:rsidRPr="006C7B74">
        <w:rPr>
          <w:rFonts w:cstheme="minorHAnsi"/>
          <w:sz w:val="20"/>
          <w:szCs w:val="20"/>
          <w:lang w:eastAsia="en-AU"/>
        </w:rPr>
        <w:t>ensure</w:t>
      </w:r>
      <w:r w:rsidR="00A91E92" w:rsidRPr="006C7B74">
        <w:rPr>
          <w:rFonts w:cstheme="minorHAnsi"/>
          <w:sz w:val="20"/>
          <w:szCs w:val="20"/>
          <w:lang w:eastAsia="en-AU"/>
        </w:rPr>
        <w:t xml:space="preserve"> that </w:t>
      </w:r>
      <w:r w:rsidR="00411EC5" w:rsidRPr="006C7B74">
        <w:rPr>
          <w:rFonts w:cstheme="minorHAnsi"/>
          <w:sz w:val="20"/>
          <w:szCs w:val="20"/>
          <w:lang w:eastAsia="en-AU"/>
        </w:rPr>
        <w:t xml:space="preserve">sensitive </w:t>
      </w:r>
      <w:r w:rsidR="00A91E92" w:rsidRPr="006C7B74">
        <w:rPr>
          <w:rFonts w:cstheme="minorHAnsi"/>
          <w:sz w:val="20"/>
          <w:szCs w:val="20"/>
          <w:lang w:eastAsia="en-AU"/>
        </w:rPr>
        <w:t>land</w:t>
      </w:r>
      <w:r w:rsidRPr="006C7B74">
        <w:rPr>
          <w:rFonts w:cstheme="minorHAnsi"/>
          <w:sz w:val="20"/>
          <w:szCs w:val="20"/>
          <w:lang w:eastAsia="en-AU"/>
        </w:rPr>
        <w:t xml:space="preserve"> uses </w:t>
      </w:r>
      <w:r w:rsidR="00806E43" w:rsidRPr="006C7B74">
        <w:rPr>
          <w:rFonts w:cstheme="minorHAnsi"/>
          <w:sz w:val="20"/>
          <w:szCs w:val="20"/>
          <w:lang w:eastAsia="en-AU"/>
        </w:rPr>
        <w:t xml:space="preserve">do not </w:t>
      </w:r>
      <w:r w:rsidR="00411EC5" w:rsidRPr="006C7B74">
        <w:rPr>
          <w:rFonts w:cstheme="minorHAnsi"/>
          <w:sz w:val="20"/>
          <w:szCs w:val="20"/>
          <w:lang w:eastAsia="en-AU"/>
        </w:rPr>
        <w:t xml:space="preserve">adversely impact their ability to </w:t>
      </w:r>
      <w:r w:rsidRPr="006C7B74">
        <w:rPr>
          <w:rFonts w:cstheme="minorHAnsi"/>
          <w:sz w:val="20"/>
          <w:szCs w:val="20"/>
          <w:lang w:eastAsia="en-AU"/>
        </w:rPr>
        <w:t>operat</w:t>
      </w:r>
      <w:r w:rsidR="00411EC5" w:rsidRPr="006C7B74">
        <w:rPr>
          <w:rFonts w:cstheme="minorHAnsi"/>
          <w:sz w:val="20"/>
          <w:szCs w:val="20"/>
          <w:lang w:eastAsia="en-AU"/>
        </w:rPr>
        <w:t>e now or into the future</w:t>
      </w:r>
      <w:r w:rsidRPr="006C7B74">
        <w:rPr>
          <w:rFonts w:cstheme="minorHAnsi"/>
          <w:sz w:val="20"/>
          <w:szCs w:val="20"/>
          <w:lang w:eastAsia="en-AU"/>
        </w:rPr>
        <w:t xml:space="preserve">. </w:t>
      </w:r>
    </w:p>
    <w:p w14:paraId="2D870440" w14:textId="6A40DB9A" w:rsidR="00C1712D" w:rsidRPr="006C7B74" w:rsidRDefault="00C1712D" w:rsidP="00934C4D">
      <w:pPr>
        <w:spacing w:after="120"/>
        <w:rPr>
          <w:rFonts w:cstheme="minorHAnsi"/>
          <w:sz w:val="20"/>
          <w:szCs w:val="20"/>
        </w:rPr>
      </w:pPr>
      <w:r w:rsidRPr="006C7B74">
        <w:rPr>
          <w:rFonts w:cstheme="minorHAnsi"/>
          <w:sz w:val="20"/>
          <w:szCs w:val="20"/>
        </w:rPr>
        <w:t xml:space="preserve">The </w:t>
      </w:r>
      <w:r w:rsidRPr="006C7B74">
        <w:rPr>
          <w:rFonts w:cstheme="minorHAnsi"/>
          <w:b/>
          <w:sz w:val="20"/>
          <w:szCs w:val="20"/>
        </w:rPr>
        <w:t>future</w:t>
      </w:r>
      <w:r w:rsidRPr="006C7B74">
        <w:rPr>
          <w:rFonts w:cstheme="minorHAnsi"/>
          <w:sz w:val="20"/>
          <w:szCs w:val="20"/>
        </w:rPr>
        <w:t xml:space="preserve"> </w:t>
      </w:r>
      <w:proofErr w:type="spellStart"/>
      <w:r w:rsidRPr="006C7B74">
        <w:rPr>
          <w:rFonts w:cstheme="minorHAnsi"/>
          <w:b/>
          <w:sz w:val="20"/>
          <w:szCs w:val="20"/>
        </w:rPr>
        <w:t>Toolern</w:t>
      </w:r>
      <w:proofErr w:type="spellEnd"/>
      <w:r w:rsidRPr="006C7B74">
        <w:rPr>
          <w:rFonts w:cstheme="minorHAnsi"/>
          <w:b/>
          <w:sz w:val="20"/>
          <w:szCs w:val="20"/>
        </w:rPr>
        <w:t xml:space="preserve"> Metropolitan Activity Centre</w:t>
      </w:r>
      <w:r w:rsidRPr="006C7B74">
        <w:rPr>
          <w:rFonts w:cstheme="minorHAnsi"/>
          <w:sz w:val="20"/>
          <w:szCs w:val="20"/>
        </w:rPr>
        <w:t xml:space="preserve"> will have an important regional role with approximately 100 hectares of land having been identified for future development of the town centre. </w:t>
      </w:r>
    </w:p>
    <w:p w14:paraId="694E9915" w14:textId="61DB54A6" w:rsidR="00C44994" w:rsidRPr="006C7B74" w:rsidRDefault="00411EC5" w:rsidP="00934C4D">
      <w:pPr>
        <w:pStyle w:val="BodyText"/>
        <w:spacing w:before="0" w:line="240" w:lineRule="auto"/>
        <w:rPr>
          <w:lang w:eastAsia="en-AU"/>
        </w:rPr>
      </w:pPr>
      <w:r w:rsidRPr="006C7B74">
        <w:rPr>
          <w:lang w:eastAsia="en-AU"/>
        </w:rPr>
        <w:t>To further support the activity centre network in the region, f</w:t>
      </w:r>
      <w:r w:rsidR="00B32B7A" w:rsidRPr="006C7B74">
        <w:rPr>
          <w:lang w:eastAsia="en-AU"/>
        </w:rPr>
        <w:t xml:space="preserve">ive </w:t>
      </w:r>
      <w:r w:rsidR="00CA5656" w:rsidRPr="006C7B74">
        <w:rPr>
          <w:b/>
          <w:lang w:eastAsia="en-AU"/>
        </w:rPr>
        <w:t xml:space="preserve">future </w:t>
      </w:r>
      <w:r w:rsidR="00B04E33" w:rsidRPr="006C7B74">
        <w:rPr>
          <w:b/>
          <w:lang w:eastAsia="en-AU"/>
        </w:rPr>
        <w:t>m</w:t>
      </w:r>
      <w:r w:rsidR="00CA5656" w:rsidRPr="006C7B74">
        <w:rPr>
          <w:b/>
          <w:lang w:eastAsia="en-AU"/>
        </w:rPr>
        <w:t xml:space="preserve">ajor </w:t>
      </w:r>
      <w:r w:rsidR="00B04E33" w:rsidRPr="006C7B74">
        <w:rPr>
          <w:b/>
          <w:lang w:eastAsia="en-AU"/>
        </w:rPr>
        <w:t>a</w:t>
      </w:r>
      <w:r w:rsidR="00CA5656" w:rsidRPr="006C7B74">
        <w:rPr>
          <w:b/>
          <w:lang w:eastAsia="en-AU"/>
        </w:rPr>
        <w:t xml:space="preserve">ctivity </w:t>
      </w:r>
      <w:r w:rsidR="00B04E33" w:rsidRPr="006C7B74">
        <w:rPr>
          <w:b/>
          <w:lang w:eastAsia="en-AU"/>
        </w:rPr>
        <w:t>c</w:t>
      </w:r>
      <w:r w:rsidR="00CA5656" w:rsidRPr="006C7B74">
        <w:rPr>
          <w:b/>
          <w:lang w:eastAsia="en-AU"/>
        </w:rPr>
        <w:t>entres</w:t>
      </w:r>
      <w:r w:rsidR="00CA5656" w:rsidRPr="006C7B74">
        <w:rPr>
          <w:lang w:eastAsia="en-AU"/>
        </w:rPr>
        <w:t xml:space="preserve"> have been identified through the Growth Corridor Plan. To complement this network, further town centres and convenience centres </w:t>
      </w:r>
      <w:r w:rsidR="00C44994" w:rsidRPr="006C7B74">
        <w:rPr>
          <w:lang w:eastAsia="en-AU"/>
        </w:rPr>
        <w:t xml:space="preserve">have also been </w:t>
      </w:r>
      <w:r w:rsidR="00CA5656" w:rsidRPr="006C7B74">
        <w:rPr>
          <w:lang w:eastAsia="en-AU"/>
        </w:rPr>
        <w:t xml:space="preserve">identified through </w:t>
      </w:r>
      <w:r w:rsidR="00B32B7A" w:rsidRPr="006C7B74">
        <w:rPr>
          <w:lang w:eastAsia="en-AU"/>
        </w:rPr>
        <w:t xml:space="preserve">the </w:t>
      </w:r>
      <w:r w:rsidR="00BE0B93" w:rsidRPr="006C7B74">
        <w:rPr>
          <w:lang w:eastAsia="en-AU"/>
        </w:rPr>
        <w:t>PSP</w:t>
      </w:r>
      <w:r w:rsidR="00B32B7A" w:rsidRPr="006C7B74">
        <w:rPr>
          <w:lang w:eastAsia="en-AU"/>
        </w:rPr>
        <w:t xml:space="preserve"> process</w:t>
      </w:r>
      <w:r w:rsidR="00CA5656" w:rsidRPr="006C7B74">
        <w:rPr>
          <w:lang w:eastAsia="en-AU"/>
        </w:rPr>
        <w:t>.</w:t>
      </w:r>
      <w:r w:rsidR="00C44994" w:rsidRPr="006C7B74">
        <w:rPr>
          <w:lang w:eastAsia="en-AU"/>
        </w:rPr>
        <w:t xml:space="preserve"> </w:t>
      </w:r>
    </w:p>
    <w:p w14:paraId="414C773C" w14:textId="023E9076" w:rsidR="00C1712D" w:rsidRPr="006C7B74" w:rsidRDefault="00C44994" w:rsidP="00934C4D">
      <w:pPr>
        <w:pStyle w:val="BodyText"/>
        <w:spacing w:before="0" w:line="240" w:lineRule="auto"/>
        <w:rPr>
          <w:lang w:eastAsia="en-AU"/>
        </w:rPr>
      </w:pPr>
      <w:r w:rsidRPr="006C7B74">
        <w:rPr>
          <w:lang w:eastAsia="en-AU"/>
        </w:rPr>
        <w:t>All of these future centres will be important locations for future commercial development.</w:t>
      </w:r>
    </w:p>
    <w:p w14:paraId="404537B7" w14:textId="77777777" w:rsidR="00824C3F" w:rsidRPr="006C7B74" w:rsidRDefault="00824C3F" w:rsidP="00934C4D">
      <w:pPr>
        <w:pStyle w:val="BodyText"/>
        <w:spacing w:before="0" w:line="240" w:lineRule="auto"/>
        <w:rPr>
          <w:lang w:eastAsia="en-AU"/>
        </w:rPr>
      </w:pPr>
    </w:p>
    <w:p w14:paraId="7597BC7E" w14:textId="2EA40439" w:rsidR="002A5B72" w:rsidRPr="006C7B74" w:rsidRDefault="00824C3F" w:rsidP="005D3990">
      <w:pPr>
        <w:spacing w:after="120"/>
        <w:rPr>
          <w:rFonts w:cstheme="minorHAnsi"/>
          <w:b/>
          <w:sz w:val="20"/>
          <w:szCs w:val="20"/>
        </w:rPr>
      </w:pPr>
      <w:r w:rsidRPr="006C7B74">
        <w:rPr>
          <w:rFonts w:cstheme="minorHAnsi"/>
          <w:b/>
          <w:sz w:val="20"/>
          <w:szCs w:val="20"/>
        </w:rPr>
        <w:br w:type="page"/>
      </w:r>
    </w:p>
    <w:p w14:paraId="29066C6F" w14:textId="77777777" w:rsidR="002A5B72" w:rsidRPr="006C7B74" w:rsidRDefault="002A5B72" w:rsidP="00934C4D">
      <w:pPr>
        <w:pStyle w:val="Heading2-Contenttable"/>
        <w:spacing w:after="120"/>
      </w:pPr>
      <w:bookmarkStart w:id="41" w:name="_Toc21694820"/>
      <w:r w:rsidRPr="006C7B74">
        <w:lastRenderedPageBreak/>
        <w:t>Supply and demand for industrial and commercial land across the region</w:t>
      </w:r>
      <w:bookmarkEnd w:id="41"/>
    </w:p>
    <w:p w14:paraId="5A6B7249" w14:textId="77777777" w:rsidR="002A5B72" w:rsidRPr="006C7B74" w:rsidRDefault="002A5B72" w:rsidP="00934C4D">
      <w:pPr>
        <w:pStyle w:val="Heading3"/>
        <w:spacing w:before="0" w:after="120"/>
      </w:pPr>
      <w:r w:rsidRPr="006C7B74">
        <w:t>Industrial land</w:t>
      </w:r>
    </w:p>
    <w:p w14:paraId="670C42BE" w14:textId="6F512DA0" w:rsidR="002A5B72" w:rsidRPr="006C7B74" w:rsidRDefault="002A5B72" w:rsidP="00934C4D">
      <w:pPr>
        <w:spacing w:after="120"/>
        <w:rPr>
          <w:color w:val="auto"/>
          <w:sz w:val="20"/>
        </w:rPr>
      </w:pPr>
      <w:r w:rsidRPr="006C7B74">
        <w:rPr>
          <w:color w:val="auto"/>
          <w:sz w:val="20"/>
        </w:rPr>
        <w:t xml:space="preserve">The Western Region contains metropolitan Melbourne’s second largest holdings of industrial land. The region has a total of </w:t>
      </w:r>
      <w:r w:rsidR="006B0354" w:rsidRPr="006C7B74">
        <w:rPr>
          <w:color w:val="auto"/>
          <w:sz w:val="20"/>
        </w:rPr>
        <w:t xml:space="preserve">around </w:t>
      </w:r>
      <w:r w:rsidR="00A1162A" w:rsidRPr="006C7B74">
        <w:rPr>
          <w:color w:val="auto"/>
          <w:sz w:val="20"/>
        </w:rPr>
        <w:t>8,640</w:t>
      </w:r>
      <w:r w:rsidR="006B0354" w:rsidRPr="006C7B74">
        <w:rPr>
          <w:color w:val="auto"/>
          <w:sz w:val="20"/>
        </w:rPr>
        <w:t xml:space="preserve"> </w:t>
      </w:r>
      <w:r w:rsidRPr="006C7B74">
        <w:rPr>
          <w:color w:val="auto"/>
          <w:sz w:val="20"/>
        </w:rPr>
        <w:t xml:space="preserve">hectares </w:t>
      </w:r>
      <w:r w:rsidR="00595828" w:rsidRPr="006C7B74">
        <w:rPr>
          <w:color w:val="auto"/>
          <w:sz w:val="20"/>
        </w:rPr>
        <w:t xml:space="preserve">of zoned land </w:t>
      </w:r>
      <w:r w:rsidRPr="006C7B74">
        <w:rPr>
          <w:color w:val="auto"/>
          <w:sz w:val="20"/>
        </w:rPr>
        <w:t xml:space="preserve">set aside for industrial uses. Of this, </w:t>
      </w:r>
      <w:r w:rsidR="00523EB6" w:rsidRPr="006C7B74">
        <w:rPr>
          <w:color w:val="auto"/>
          <w:sz w:val="20"/>
        </w:rPr>
        <w:t>almost</w:t>
      </w:r>
      <w:r w:rsidRPr="006C7B74">
        <w:rPr>
          <w:color w:val="auto"/>
          <w:sz w:val="20"/>
        </w:rPr>
        <w:t xml:space="preserve"> 5,</w:t>
      </w:r>
      <w:r w:rsidR="002A6F5B" w:rsidRPr="006C7B74">
        <w:rPr>
          <w:rFonts w:cstheme="minorHAnsi"/>
          <w:color w:val="auto"/>
          <w:sz w:val="20"/>
          <w:szCs w:val="20"/>
        </w:rPr>
        <w:t>8</w:t>
      </w:r>
      <w:r w:rsidR="00A71080" w:rsidRPr="006C7B74">
        <w:rPr>
          <w:rFonts w:cstheme="minorHAnsi"/>
          <w:color w:val="auto"/>
          <w:sz w:val="20"/>
          <w:szCs w:val="20"/>
        </w:rPr>
        <w:t>2</w:t>
      </w:r>
      <w:r w:rsidRPr="006C7B74">
        <w:rPr>
          <w:rFonts w:cstheme="minorHAnsi"/>
          <w:color w:val="auto"/>
          <w:sz w:val="20"/>
          <w:szCs w:val="20"/>
        </w:rPr>
        <w:t>0</w:t>
      </w:r>
      <w:r w:rsidRPr="006C7B74">
        <w:rPr>
          <w:color w:val="auto"/>
          <w:sz w:val="20"/>
        </w:rPr>
        <w:t xml:space="preserve"> hectares is currently </w:t>
      </w:r>
      <w:r w:rsidR="009F1397" w:rsidRPr="006C7B74">
        <w:rPr>
          <w:color w:val="auto"/>
          <w:sz w:val="20"/>
        </w:rPr>
        <w:t>occupied,</w:t>
      </w:r>
      <w:r w:rsidRPr="006C7B74">
        <w:rPr>
          <w:color w:val="auto"/>
          <w:sz w:val="20"/>
        </w:rPr>
        <w:t xml:space="preserve"> and </w:t>
      </w:r>
      <w:r w:rsidR="00954378" w:rsidRPr="006C7B74">
        <w:rPr>
          <w:color w:val="auto"/>
          <w:sz w:val="20"/>
        </w:rPr>
        <w:t xml:space="preserve">around </w:t>
      </w:r>
      <w:r w:rsidR="00523EB6" w:rsidRPr="006C7B74">
        <w:rPr>
          <w:color w:val="auto"/>
          <w:sz w:val="20"/>
        </w:rPr>
        <w:t>2,820</w:t>
      </w:r>
      <w:r w:rsidR="00FD6DB0" w:rsidRPr="006C7B74">
        <w:rPr>
          <w:color w:val="auto"/>
          <w:sz w:val="20"/>
        </w:rPr>
        <w:t xml:space="preserve"> hectares</w:t>
      </w:r>
      <w:r w:rsidR="00820A54" w:rsidRPr="006C7B74">
        <w:rPr>
          <w:color w:val="auto"/>
          <w:sz w:val="20"/>
        </w:rPr>
        <w:t xml:space="preserve"> </w:t>
      </w:r>
      <w:r w:rsidRPr="006C7B74">
        <w:rPr>
          <w:color w:val="auto"/>
          <w:sz w:val="20"/>
        </w:rPr>
        <w:t xml:space="preserve">is currently zoned for industrial purposes and vacant. </w:t>
      </w:r>
      <w:r w:rsidR="00595828" w:rsidRPr="006C7B74">
        <w:rPr>
          <w:color w:val="auto"/>
          <w:sz w:val="20"/>
        </w:rPr>
        <w:t xml:space="preserve">An additional </w:t>
      </w:r>
      <w:r w:rsidR="001F2E35" w:rsidRPr="006C7B74">
        <w:rPr>
          <w:color w:val="auto"/>
          <w:sz w:val="20"/>
        </w:rPr>
        <w:t>2,</w:t>
      </w:r>
      <w:r w:rsidR="002E1B63" w:rsidRPr="006C7B74">
        <w:rPr>
          <w:color w:val="auto"/>
          <w:sz w:val="20"/>
        </w:rPr>
        <w:t>88</w:t>
      </w:r>
      <w:r w:rsidR="002E1B63">
        <w:rPr>
          <w:color w:val="auto"/>
          <w:sz w:val="20"/>
        </w:rPr>
        <w:t>0</w:t>
      </w:r>
      <w:r w:rsidR="002E1B63" w:rsidRPr="006C7B74">
        <w:rPr>
          <w:color w:val="auto"/>
          <w:sz w:val="20"/>
        </w:rPr>
        <w:t xml:space="preserve"> </w:t>
      </w:r>
      <w:r w:rsidRPr="006C7B74">
        <w:rPr>
          <w:color w:val="auto"/>
          <w:sz w:val="20"/>
        </w:rPr>
        <w:t xml:space="preserve">hectares </w:t>
      </w:r>
      <w:r w:rsidR="00595828" w:rsidRPr="006C7B74">
        <w:rPr>
          <w:color w:val="auto"/>
          <w:sz w:val="20"/>
        </w:rPr>
        <w:t xml:space="preserve">of land has been </w:t>
      </w:r>
      <w:r w:rsidRPr="006C7B74">
        <w:rPr>
          <w:color w:val="auto"/>
          <w:sz w:val="20"/>
        </w:rPr>
        <w:t>identified for future industrial purposes that is yet to be zoned.</w:t>
      </w:r>
    </w:p>
    <w:p w14:paraId="5C696643" w14:textId="77777777" w:rsidR="002A5B72" w:rsidRPr="006C7B74" w:rsidRDefault="002A5B72" w:rsidP="00934C4D">
      <w:pPr>
        <w:spacing w:after="120"/>
        <w:rPr>
          <w:rFonts w:cstheme="minorHAnsi"/>
          <w:sz w:val="20"/>
          <w:szCs w:val="20"/>
        </w:rPr>
      </w:pPr>
    </w:p>
    <w:p w14:paraId="373B3BD6" w14:textId="6EFCF060" w:rsidR="002A5B72" w:rsidRPr="006C7B74" w:rsidRDefault="002A5B72" w:rsidP="001C38F9">
      <w:pPr>
        <w:pStyle w:val="Heading5"/>
      </w:pPr>
      <w:r w:rsidRPr="006C7B74">
        <w:t xml:space="preserve">Table </w:t>
      </w:r>
      <w:r w:rsidR="00AA4EEE" w:rsidRPr="006C7B74">
        <w:t>13</w:t>
      </w:r>
      <w:r w:rsidRPr="006C7B74">
        <w:t>: Industrial land supply</w:t>
      </w:r>
      <w:r w:rsidR="00DA119B" w:rsidRPr="006C7B74">
        <w:t>,</w:t>
      </w:r>
      <w:r w:rsidR="00D7623C" w:rsidRPr="006C7B74">
        <w:t xml:space="preserve"> </w:t>
      </w:r>
      <w:r w:rsidRPr="006C7B74">
        <w:t>Western Region</w:t>
      </w:r>
    </w:p>
    <w:tbl>
      <w:tblPr>
        <w:tblW w:w="5000" w:type="pct"/>
        <w:tblLook w:val="04A0" w:firstRow="1" w:lastRow="0" w:firstColumn="1" w:lastColumn="0" w:noHBand="0" w:noVBand="1"/>
      </w:tblPr>
      <w:tblGrid>
        <w:gridCol w:w="2795"/>
        <w:gridCol w:w="1378"/>
        <w:gridCol w:w="1245"/>
        <w:gridCol w:w="1542"/>
        <w:gridCol w:w="2060"/>
      </w:tblGrid>
      <w:tr w:rsidR="00652302" w:rsidRPr="006C7B74" w14:paraId="47015017" w14:textId="77777777" w:rsidTr="00C508DA">
        <w:trPr>
          <w:trHeight w:val="735"/>
        </w:trPr>
        <w:tc>
          <w:tcPr>
            <w:tcW w:w="1549" w:type="pct"/>
            <w:tcBorders>
              <w:top w:val="nil"/>
              <w:left w:val="nil"/>
              <w:bottom w:val="single" w:sz="8" w:space="0" w:color="4D446C"/>
              <w:right w:val="nil"/>
            </w:tcBorders>
            <w:shd w:val="clear" w:color="000000" w:fill="4D446C"/>
            <w:noWrap/>
            <w:vAlign w:val="center"/>
            <w:hideMark/>
          </w:tcPr>
          <w:p w14:paraId="1F4ECECE" w14:textId="77777777" w:rsidR="00CE5024" w:rsidRPr="006C7B74" w:rsidRDefault="00CE5024" w:rsidP="00683949">
            <w:pPr>
              <w:pStyle w:val="TableHeaderRow"/>
            </w:pPr>
            <w:r w:rsidRPr="006C7B74">
              <w:t>Council / SSIP</w:t>
            </w:r>
          </w:p>
        </w:tc>
        <w:tc>
          <w:tcPr>
            <w:tcW w:w="764" w:type="pct"/>
            <w:tcBorders>
              <w:top w:val="nil"/>
              <w:left w:val="nil"/>
              <w:bottom w:val="single" w:sz="8" w:space="0" w:color="4D446C"/>
              <w:right w:val="nil"/>
            </w:tcBorders>
            <w:shd w:val="clear" w:color="000000" w:fill="4D446C"/>
            <w:vAlign w:val="center"/>
            <w:hideMark/>
          </w:tcPr>
          <w:p w14:paraId="2D60767A" w14:textId="77777777" w:rsidR="00CE5024" w:rsidRPr="006C7B74" w:rsidRDefault="00CE5024" w:rsidP="00683949">
            <w:pPr>
              <w:pStyle w:val="TableHeaderRow"/>
              <w:jc w:val="center"/>
            </w:pPr>
            <w:r w:rsidRPr="006C7B74">
              <w:t>Zoned occupied (ha)</w:t>
            </w:r>
          </w:p>
        </w:tc>
        <w:tc>
          <w:tcPr>
            <w:tcW w:w="690" w:type="pct"/>
            <w:tcBorders>
              <w:top w:val="nil"/>
              <w:left w:val="nil"/>
              <w:bottom w:val="single" w:sz="8" w:space="0" w:color="4D446C"/>
              <w:right w:val="nil"/>
            </w:tcBorders>
            <w:shd w:val="clear" w:color="000000" w:fill="4D446C"/>
            <w:vAlign w:val="center"/>
            <w:hideMark/>
          </w:tcPr>
          <w:p w14:paraId="68ADE9CB" w14:textId="77777777" w:rsidR="00CE5024" w:rsidRPr="006C7B74" w:rsidRDefault="00CE5024" w:rsidP="00683949">
            <w:pPr>
              <w:pStyle w:val="TableHeaderRow"/>
              <w:jc w:val="center"/>
            </w:pPr>
            <w:r w:rsidRPr="006C7B74">
              <w:t>Zoned vacant (ha)</w:t>
            </w:r>
          </w:p>
        </w:tc>
        <w:tc>
          <w:tcPr>
            <w:tcW w:w="855" w:type="pct"/>
            <w:tcBorders>
              <w:top w:val="nil"/>
              <w:left w:val="nil"/>
              <w:bottom w:val="single" w:sz="8" w:space="0" w:color="4D446C"/>
              <w:right w:val="nil"/>
            </w:tcBorders>
            <w:shd w:val="clear" w:color="000000" w:fill="4D446C"/>
            <w:vAlign w:val="center"/>
            <w:hideMark/>
          </w:tcPr>
          <w:p w14:paraId="72EEED2B" w14:textId="77777777" w:rsidR="00CE5024" w:rsidRPr="006C7B74" w:rsidRDefault="00CE5024" w:rsidP="00683949">
            <w:pPr>
              <w:pStyle w:val="TableHeaderRow"/>
              <w:jc w:val="center"/>
            </w:pPr>
            <w:r w:rsidRPr="006C7B74">
              <w:t>Future supply (ha)</w:t>
            </w:r>
          </w:p>
        </w:tc>
        <w:tc>
          <w:tcPr>
            <w:tcW w:w="1142" w:type="pct"/>
            <w:tcBorders>
              <w:top w:val="nil"/>
              <w:left w:val="nil"/>
              <w:bottom w:val="single" w:sz="8" w:space="0" w:color="4D446C"/>
              <w:right w:val="nil"/>
            </w:tcBorders>
            <w:shd w:val="clear" w:color="000000" w:fill="4D446C"/>
            <w:vAlign w:val="center"/>
            <w:hideMark/>
          </w:tcPr>
          <w:p w14:paraId="530D79AA" w14:textId="77777777" w:rsidR="00CE5024" w:rsidRPr="006C7B74" w:rsidRDefault="00CE5024" w:rsidP="00683949">
            <w:pPr>
              <w:pStyle w:val="TableHeaderRow"/>
              <w:jc w:val="center"/>
            </w:pPr>
            <w:r w:rsidRPr="006C7B74">
              <w:t>Total available supply (ha)</w:t>
            </w:r>
          </w:p>
        </w:tc>
      </w:tr>
      <w:tr w:rsidR="007F1BCD" w:rsidRPr="006C7B74" w14:paraId="5D877EC8" w14:textId="77777777" w:rsidTr="006C7B74">
        <w:trPr>
          <w:trHeight w:val="315"/>
        </w:trPr>
        <w:tc>
          <w:tcPr>
            <w:tcW w:w="1549" w:type="pct"/>
            <w:tcBorders>
              <w:top w:val="nil"/>
              <w:left w:val="nil"/>
              <w:bottom w:val="single" w:sz="8" w:space="0" w:color="4D446C"/>
              <w:right w:val="nil"/>
            </w:tcBorders>
            <w:shd w:val="clear" w:color="auto" w:fill="auto"/>
            <w:noWrap/>
            <w:vAlign w:val="center"/>
            <w:hideMark/>
          </w:tcPr>
          <w:p w14:paraId="186A5A53" w14:textId="77777777" w:rsidR="007F1BCD" w:rsidRPr="006C7B74" w:rsidRDefault="007F1BCD" w:rsidP="007F1BCD">
            <w:pPr>
              <w:rPr>
                <w:rFonts w:ascii="Calibri" w:hAnsi="Calibri" w:cs="Calibri"/>
                <w:color w:val="000000"/>
                <w:sz w:val="18"/>
                <w:szCs w:val="18"/>
                <w:lang w:eastAsia="en-AU"/>
              </w:rPr>
            </w:pPr>
            <w:proofErr w:type="spellStart"/>
            <w:r w:rsidRPr="006C7B74">
              <w:rPr>
                <w:rFonts w:ascii="Calibri" w:hAnsi="Calibri" w:cs="Calibri"/>
                <w:color w:val="000000"/>
                <w:sz w:val="18"/>
                <w:szCs w:val="18"/>
                <w:lang w:eastAsia="en-AU"/>
              </w:rPr>
              <w:t>Brimbank</w:t>
            </w:r>
            <w:proofErr w:type="spellEnd"/>
          </w:p>
        </w:tc>
        <w:tc>
          <w:tcPr>
            <w:tcW w:w="764" w:type="pct"/>
            <w:tcBorders>
              <w:top w:val="nil"/>
              <w:left w:val="nil"/>
              <w:bottom w:val="single" w:sz="8" w:space="0" w:color="4D446C"/>
              <w:right w:val="nil"/>
            </w:tcBorders>
            <w:shd w:val="clear" w:color="auto" w:fill="auto"/>
            <w:noWrap/>
            <w:hideMark/>
          </w:tcPr>
          <w:p w14:paraId="4317DF12" w14:textId="3485C44F" w:rsidR="007F1BCD" w:rsidRPr="006C7B74" w:rsidRDefault="007F1BCD" w:rsidP="007F1BCD">
            <w:pPr>
              <w:jc w:val="center"/>
              <w:rPr>
                <w:rFonts w:cstheme="minorHAnsi"/>
                <w:color w:val="363534"/>
                <w:sz w:val="18"/>
                <w:szCs w:val="18"/>
                <w:lang w:eastAsia="en-AU"/>
              </w:rPr>
            </w:pPr>
            <w:r w:rsidRPr="006C7B74">
              <w:rPr>
                <w:rFonts w:cstheme="minorHAnsi"/>
                <w:sz w:val="18"/>
                <w:szCs w:val="18"/>
              </w:rPr>
              <w:t>1,679.7</w:t>
            </w:r>
          </w:p>
        </w:tc>
        <w:tc>
          <w:tcPr>
            <w:tcW w:w="690" w:type="pct"/>
            <w:tcBorders>
              <w:top w:val="nil"/>
              <w:left w:val="nil"/>
              <w:bottom w:val="single" w:sz="8" w:space="0" w:color="4D446C"/>
              <w:right w:val="nil"/>
            </w:tcBorders>
            <w:shd w:val="clear" w:color="auto" w:fill="auto"/>
            <w:noWrap/>
            <w:hideMark/>
          </w:tcPr>
          <w:p w14:paraId="05D582DE" w14:textId="0AC8DED9" w:rsidR="007F1BCD" w:rsidRPr="006C7B74" w:rsidRDefault="007F1BCD" w:rsidP="007F1BCD">
            <w:pPr>
              <w:jc w:val="center"/>
              <w:rPr>
                <w:rFonts w:cstheme="minorHAnsi"/>
                <w:color w:val="363534"/>
                <w:sz w:val="18"/>
                <w:szCs w:val="18"/>
                <w:lang w:eastAsia="en-AU"/>
              </w:rPr>
            </w:pPr>
            <w:r w:rsidRPr="006C7B74">
              <w:rPr>
                <w:rFonts w:cstheme="minorHAnsi"/>
                <w:sz w:val="18"/>
                <w:szCs w:val="18"/>
              </w:rPr>
              <w:t>396.1</w:t>
            </w:r>
          </w:p>
        </w:tc>
        <w:tc>
          <w:tcPr>
            <w:tcW w:w="855" w:type="pct"/>
            <w:tcBorders>
              <w:top w:val="nil"/>
              <w:left w:val="nil"/>
              <w:bottom w:val="single" w:sz="8" w:space="0" w:color="4D446C"/>
              <w:right w:val="nil"/>
            </w:tcBorders>
            <w:shd w:val="clear" w:color="auto" w:fill="auto"/>
            <w:noWrap/>
            <w:hideMark/>
          </w:tcPr>
          <w:p w14:paraId="6B0A4381" w14:textId="5719DDA2" w:rsidR="007F1BCD" w:rsidRPr="006C7B74" w:rsidRDefault="007F1BCD" w:rsidP="007F1BCD">
            <w:pPr>
              <w:jc w:val="center"/>
              <w:rPr>
                <w:rFonts w:cstheme="minorHAnsi"/>
                <w:color w:val="363534"/>
                <w:sz w:val="18"/>
                <w:szCs w:val="18"/>
                <w:lang w:eastAsia="en-AU"/>
              </w:rPr>
            </w:pPr>
            <w:r w:rsidRPr="006C7B74">
              <w:rPr>
                <w:rFonts w:cstheme="minorHAnsi"/>
                <w:sz w:val="18"/>
                <w:szCs w:val="18"/>
              </w:rPr>
              <w:t>0.0</w:t>
            </w:r>
          </w:p>
        </w:tc>
        <w:tc>
          <w:tcPr>
            <w:tcW w:w="1142" w:type="pct"/>
            <w:tcBorders>
              <w:top w:val="nil"/>
              <w:left w:val="nil"/>
              <w:bottom w:val="single" w:sz="8" w:space="0" w:color="4D446C"/>
              <w:right w:val="nil"/>
            </w:tcBorders>
            <w:shd w:val="clear" w:color="auto" w:fill="auto"/>
            <w:noWrap/>
            <w:hideMark/>
          </w:tcPr>
          <w:p w14:paraId="03CCA94C" w14:textId="16586F8A" w:rsidR="007F1BCD" w:rsidRPr="006C7B74" w:rsidRDefault="007F1BCD" w:rsidP="007F1BCD">
            <w:pPr>
              <w:jc w:val="center"/>
              <w:rPr>
                <w:rFonts w:cstheme="minorHAnsi"/>
                <w:color w:val="363534"/>
                <w:sz w:val="18"/>
                <w:szCs w:val="18"/>
                <w:lang w:eastAsia="en-AU"/>
              </w:rPr>
            </w:pPr>
            <w:r w:rsidRPr="006C7B74">
              <w:rPr>
                <w:rFonts w:cstheme="minorHAnsi"/>
                <w:sz w:val="18"/>
                <w:szCs w:val="18"/>
              </w:rPr>
              <w:t>396.1</w:t>
            </w:r>
          </w:p>
        </w:tc>
      </w:tr>
      <w:tr w:rsidR="007F1BCD" w:rsidRPr="006C7B74" w14:paraId="31390BF5" w14:textId="77777777" w:rsidTr="006C7B74">
        <w:trPr>
          <w:trHeight w:val="315"/>
        </w:trPr>
        <w:tc>
          <w:tcPr>
            <w:tcW w:w="1549" w:type="pct"/>
            <w:tcBorders>
              <w:top w:val="nil"/>
              <w:left w:val="nil"/>
              <w:bottom w:val="single" w:sz="8" w:space="0" w:color="4D446C"/>
              <w:right w:val="nil"/>
            </w:tcBorders>
            <w:shd w:val="clear" w:color="auto" w:fill="auto"/>
            <w:noWrap/>
            <w:vAlign w:val="center"/>
            <w:hideMark/>
          </w:tcPr>
          <w:p w14:paraId="3217A502" w14:textId="77777777" w:rsidR="007F1BCD" w:rsidRPr="006C7B74" w:rsidRDefault="007F1BCD" w:rsidP="007F1BCD">
            <w:pPr>
              <w:rPr>
                <w:rFonts w:ascii="Calibri" w:hAnsi="Calibri" w:cs="Calibri"/>
                <w:color w:val="000000"/>
                <w:sz w:val="18"/>
                <w:szCs w:val="18"/>
                <w:lang w:eastAsia="en-AU"/>
              </w:rPr>
            </w:pPr>
            <w:r w:rsidRPr="006C7B74">
              <w:rPr>
                <w:rFonts w:ascii="Calibri" w:hAnsi="Calibri" w:cs="Calibri"/>
                <w:color w:val="000000"/>
                <w:sz w:val="18"/>
                <w:szCs w:val="18"/>
                <w:lang w:eastAsia="en-AU"/>
              </w:rPr>
              <w:t>Hobsons Bay</w:t>
            </w:r>
          </w:p>
        </w:tc>
        <w:tc>
          <w:tcPr>
            <w:tcW w:w="764" w:type="pct"/>
            <w:tcBorders>
              <w:top w:val="nil"/>
              <w:left w:val="nil"/>
              <w:bottom w:val="single" w:sz="8" w:space="0" w:color="4D446C"/>
              <w:right w:val="nil"/>
            </w:tcBorders>
            <w:shd w:val="clear" w:color="auto" w:fill="auto"/>
            <w:noWrap/>
            <w:hideMark/>
          </w:tcPr>
          <w:p w14:paraId="50221C36" w14:textId="59BBB2E2" w:rsidR="007F1BCD" w:rsidRPr="006C7B74" w:rsidRDefault="007F1BCD" w:rsidP="007F1BCD">
            <w:pPr>
              <w:jc w:val="center"/>
              <w:rPr>
                <w:rFonts w:cstheme="minorHAnsi"/>
                <w:color w:val="363534"/>
                <w:sz w:val="18"/>
                <w:szCs w:val="18"/>
                <w:lang w:eastAsia="en-AU"/>
              </w:rPr>
            </w:pPr>
            <w:r w:rsidRPr="006C7B74">
              <w:rPr>
                <w:rFonts w:cstheme="minorHAnsi"/>
                <w:sz w:val="18"/>
                <w:szCs w:val="18"/>
              </w:rPr>
              <w:t>1,261.3</w:t>
            </w:r>
          </w:p>
        </w:tc>
        <w:tc>
          <w:tcPr>
            <w:tcW w:w="690" w:type="pct"/>
            <w:tcBorders>
              <w:top w:val="nil"/>
              <w:left w:val="nil"/>
              <w:bottom w:val="single" w:sz="8" w:space="0" w:color="4D446C"/>
              <w:right w:val="nil"/>
            </w:tcBorders>
            <w:shd w:val="clear" w:color="auto" w:fill="auto"/>
            <w:noWrap/>
            <w:hideMark/>
          </w:tcPr>
          <w:p w14:paraId="47A11F54" w14:textId="10CA7952" w:rsidR="007F1BCD" w:rsidRPr="006C7B74" w:rsidRDefault="007F1BCD" w:rsidP="007F1BCD">
            <w:pPr>
              <w:jc w:val="center"/>
              <w:rPr>
                <w:rFonts w:cstheme="minorHAnsi"/>
                <w:color w:val="363534"/>
                <w:sz w:val="18"/>
                <w:szCs w:val="18"/>
                <w:lang w:eastAsia="en-AU"/>
              </w:rPr>
            </w:pPr>
            <w:r w:rsidRPr="006C7B74">
              <w:rPr>
                <w:rFonts w:cstheme="minorHAnsi"/>
                <w:sz w:val="18"/>
                <w:szCs w:val="18"/>
              </w:rPr>
              <w:t>328.3</w:t>
            </w:r>
          </w:p>
        </w:tc>
        <w:tc>
          <w:tcPr>
            <w:tcW w:w="855" w:type="pct"/>
            <w:tcBorders>
              <w:top w:val="nil"/>
              <w:left w:val="nil"/>
              <w:bottom w:val="single" w:sz="8" w:space="0" w:color="4D446C"/>
              <w:right w:val="nil"/>
            </w:tcBorders>
            <w:shd w:val="clear" w:color="auto" w:fill="auto"/>
            <w:noWrap/>
            <w:hideMark/>
          </w:tcPr>
          <w:p w14:paraId="0B3BBFF2" w14:textId="429D03E0" w:rsidR="007F1BCD" w:rsidRPr="006C7B74" w:rsidRDefault="007F1BCD" w:rsidP="007F1BCD">
            <w:pPr>
              <w:jc w:val="center"/>
              <w:rPr>
                <w:rFonts w:cstheme="minorHAnsi"/>
                <w:color w:val="363534"/>
                <w:sz w:val="18"/>
                <w:szCs w:val="18"/>
                <w:lang w:eastAsia="en-AU"/>
              </w:rPr>
            </w:pPr>
            <w:r w:rsidRPr="006C7B74">
              <w:rPr>
                <w:rFonts w:cstheme="minorHAnsi"/>
                <w:sz w:val="18"/>
                <w:szCs w:val="18"/>
              </w:rPr>
              <w:t>0.0</w:t>
            </w:r>
          </w:p>
        </w:tc>
        <w:tc>
          <w:tcPr>
            <w:tcW w:w="1142" w:type="pct"/>
            <w:tcBorders>
              <w:top w:val="nil"/>
              <w:left w:val="nil"/>
              <w:bottom w:val="single" w:sz="8" w:space="0" w:color="4D446C"/>
              <w:right w:val="nil"/>
            </w:tcBorders>
            <w:shd w:val="clear" w:color="auto" w:fill="auto"/>
            <w:noWrap/>
            <w:hideMark/>
          </w:tcPr>
          <w:p w14:paraId="0E3F6602" w14:textId="1CAA6DFC" w:rsidR="007F1BCD" w:rsidRPr="006C7B74" w:rsidRDefault="007F1BCD" w:rsidP="007F1BCD">
            <w:pPr>
              <w:jc w:val="center"/>
              <w:rPr>
                <w:rFonts w:cstheme="minorHAnsi"/>
                <w:color w:val="363534"/>
                <w:sz w:val="18"/>
                <w:szCs w:val="18"/>
                <w:lang w:eastAsia="en-AU"/>
              </w:rPr>
            </w:pPr>
            <w:r w:rsidRPr="006C7B74">
              <w:rPr>
                <w:rFonts w:cstheme="minorHAnsi"/>
                <w:sz w:val="18"/>
                <w:szCs w:val="18"/>
              </w:rPr>
              <w:t>328.3</w:t>
            </w:r>
          </w:p>
        </w:tc>
      </w:tr>
      <w:tr w:rsidR="007F1BCD" w:rsidRPr="006C7B74" w14:paraId="3DD176E5" w14:textId="77777777" w:rsidTr="006C7B74">
        <w:trPr>
          <w:trHeight w:val="315"/>
        </w:trPr>
        <w:tc>
          <w:tcPr>
            <w:tcW w:w="1549" w:type="pct"/>
            <w:tcBorders>
              <w:top w:val="nil"/>
              <w:left w:val="nil"/>
              <w:bottom w:val="single" w:sz="8" w:space="0" w:color="4D446C"/>
              <w:right w:val="nil"/>
            </w:tcBorders>
            <w:shd w:val="clear" w:color="auto" w:fill="auto"/>
            <w:noWrap/>
            <w:vAlign w:val="center"/>
            <w:hideMark/>
          </w:tcPr>
          <w:p w14:paraId="748C7670" w14:textId="77777777" w:rsidR="007F1BCD" w:rsidRPr="006C7B74" w:rsidRDefault="007F1BCD" w:rsidP="007F1BCD">
            <w:pPr>
              <w:rPr>
                <w:rFonts w:ascii="Calibri" w:hAnsi="Calibri" w:cs="Calibri"/>
                <w:color w:val="000000"/>
                <w:sz w:val="18"/>
                <w:szCs w:val="18"/>
                <w:lang w:eastAsia="en-AU"/>
              </w:rPr>
            </w:pPr>
            <w:r w:rsidRPr="006C7B74">
              <w:rPr>
                <w:rFonts w:ascii="Calibri" w:hAnsi="Calibri" w:cs="Calibri"/>
                <w:color w:val="000000"/>
                <w:sz w:val="18"/>
                <w:szCs w:val="18"/>
                <w:lang w:eastAsia="en-AU"/>
              </w:rPr>
              <w:t>Maribyrnong</w:t>
            </w:r>
          </w:p>
        </w:tc>
        <w:tc>
          <w:tcPr>
            <w:tcW w:w="764" w:type="pct"/>
            <w:tcBorders>
              <w:top w:val="nil"/>
              <w:left w:val="nil"/>
              <w:bottom w:val="single" w:sz="8" w:space="0" w:color="4D446C"/>
              <w:right w:val="nil"/>
            </w:tcBorders>
            <w:shd w:val="clear" w:color="auto" w:fill="auto"/>
            <w:noWrap/>
            <w:hideMark/>
          </w:tcPr>
          <w:p w14:paraId="4BA8AEFB" w14:textId="514A2C92" w:rsidR="007F1BCD" w:rsidRPr="006C7B74" w:rsidRDefault="007F1BCD" w:rsidP="007F1BCD">
            <w:pPr>
              <w:jc w:val="center"/>
              <w:rPr>
                <w:rFonts w:cstheme="minorHAnsi"/>
                <w:color w:val="363534"/>
                <w:sz w:val="18"/>
                <w:szCs w:val="18"/>
                <w:lang w:eastAsia="en-AU"/>
              </w:rPr>
            </w:pPr>
            <w:r w:rsidRPr="006C7B74">
              <w:rPr>
                <w:rFonts w:cstheme="minorHAnsi"/>
                <w:sz w:val="18"/>
                <w:szCs w:val="18"/>
              </w:rPr>
              <w:t>477.1</w:t>
            </w:r>
          </w:p>
        </w:tc>
        <w:tc>
          <w:tcPr>
            <w:tcW w:w="690" w:type="pct"/>
            <w:tcBorders>
              <w:top w:val="nil"/>
              <w:left w:val="nil"/>
              <w:bottom w:val="single" w:sz="8" w:space="0" w:color="4D446C"/>
              <w:right w:val="nil"/>
            </w:tcBorders>
            <w:shd w:val="clear" w:color="auto" w:fill="auto"/>
            <w:noWrap/>
            <w:hideMark/>
          </w:tcPr>
          <w:p w14:paraId="214DBC9C" w14:textId="259CB695" w:rsidR="007F1BCD" w:rsidRPr="006C7B74" w:rsidRDefault="007F1BCD" w:rsidP="007F1BCD">
            <w:pPr>
              <w:jc w:val="center"/>
              <w:rPr>
                <w:rFonts w:cstheme="minorHAnsi"/>
                <w:color w:val="363534"/>
                <w:sz w:val="18"/>
                <w:szCs w:val="18"/>
                <w:lang w:eastAsia="en-AU"/>
              </w:rPr>
            </w:pPr>
            <w:r w:rsidRPr="006C7B74">
              <w:rPr>
                <w:rFonts w:cstheme="minorHAnsi"/>
                <w:sz w:val="18"/>
                <w:szCs w:val="18"/>
              </w:rPr>
              <w:t>16.4</w:t>
            </w:r>
          </w:p>
        </w:tc>
        <w:tc>
          <w:tcPr>
            <w:tcW w:w="855" w:type="pct"/>
            <w:tcBorders>
              <w:top w:val="nil"/>
              <w:left w:val="nil"/>
              <w:bottom w:val="single" w:sz="8" w:space="0" w:color="4D446C"/>
              <w:right w:val="nil"/>
            </w:tcBorders>
            <w:shd w:val="clear" w:color="auto" w:fill="auto"/>
            <w:noWrap/>
            <w:hideMark/>
          </w:tcPr>
          <w:p w14:paraId="3E4975F4" w14:textId="081527EE" w:rsidR="007F1BCD" w:rsidRPr="006C7B74" w:rsidRDefault="007F1BCD" w:rsidP="007F1BCD">
            <w:pPr>
              <w:jc w:val="center"/>
              <w:rPr>
                <w:rFonts w:cstheme="minorHAnsi"/>
                <w:color w:val="363534"/>
                <w:sz w:val="18"/>
                <w:szCs w:val="18"/>
                <w:lang w:eastAsia="en-AU"/>
              </w:rPr>
            </w:pPr>
            <w:r w:rsidRPr="006C7B74">
              <w:rPr>
                <w:rFonts w:cstheme="minorHAnsi"/>
                <w:sz w:val="18"/>
                <w:szCs w:val="18"/>
              </w:rPr>
              <w:t>0.0</w:t>
            </w:r>
          </w:p>
        </w:tc>
        <w:tc>
          <w:tcPr>
            <w:tcW w:w="1142" w:type="pct"/>
            <w:tcBorders>
              <w:top w:val="nil"/>
              <w:left w:val="nil"/>
              <w:bottom w:val="single" w:sz="8" w:space="0" w:color="4D446C"/>
              <w:right w:val="nil"/>
            </w:tcBorders>
            <w:shd w:val="clear" w:color="auto" w:fill="auto"/>
            <w:noWrap/>
            <w:hideMark/>
          </w:tcPr>
          <w:p w14:paraId="233EDDD8" w14:textId="2EA998F9" w:rsidR="007F1BCD" w:rsidRPr="006C7B74" w:rsidRDefault="007F1BCD" w:rsidP="007F1BCD">
            <w:pPr>
              <w:jc w:val="center"/>
              <w:rPr>
                <w:rFonts w:cstheme="minorHAnsi"/>
                <w:color w:val="363534"/>
                <w:sz w:val="18"/>
                <w:szCs w:val="18"/>
                <w:lang w:eastAsia="en-AU"/>
              </w:rPr>
            </w:pPr>
            <w:r w:rsidRPr="006C7B74">
              <w:rPr>
                <w:rFonts w:cstheme="minorHAnsi"/>
                <w:sz w:val="18"/>
                <w:szCs w:val="18"/>
              </w:rPr>
              <w:t>16.4</w:t>
            </w:r>
          </w:p>
        </w:tc>
      </w:tr>
      <w:tr w:rsidR="007F1BCD" w:rsidRPr="006C7B74" w14:paraId="3C1F837E" w14:textId="77777777" w:rsidTr="006C7B74">
        <w:trPr>
          <w:trHeight w:val="315"/>
        </w:trPr>
        <w:tc>
          <w:tcPr>
            <w:tcW w:w="1549" w:type="pct"/>
            <w:tcBorders>
              <w:top w:val="nil"/>
              <w:left w:val="nil"/>
              <w:bottom w:val="single" w:sz="8" w:space="0" w:color="4D446C"/>
              <w:right w:val="nil"/>
            </w:tcBorders>
            <w:shd w:val="clear" w:color="auto" w:fill="auto"/>
            <w:noWrap/>
            <w:vAlign w:val="center"/>
            <w:hideMark/>
          </w:tcPr>
          <w:p w14:paraId="27CAF759" w14:textId="77777777" w:rsidR="007F1BCD" w:rsidRPr="006C7B74" w:rsidRDefault="007F1BCD" w:rsidP="007F1BCD">
            <w:pPr>
              <w:rPr>
                <w:rFonts w:ascii="Calibri" w:hAnsi="Calibri" w:cs="Calibri"/>
                <w:color w:val="000000"/>
                <w:sz w:val="18"/>
                <w:szCs w:val="18"/>
                <w:lang w:eastAsia="en-AU"/>
              </w:rPr>
            </w:pPr>
            <w:r w:rsidRPr="006C7B74">
              <w:rPr>
                <w:rFonts w:ascii="Calibri" w:hAnsi="Calibri" w:cs="Calibri"/>
                <w:color w:val="000000"/>
                <w:sz w:val="18"/>
                <w:szCs w:val="18"/>
                <w:lang w:eastAsia="en-AU"/>
              </w:rPr>
              <w:t>Melton</w:t>
            </w:r>
          </w:p>
        </w:tc>
        <w:tc>
          <w:tcPr>
            <w:tcW w:w="764" w:type="pct"/>
            <w:tcBorders>
              <w:top w:val="nil"/>
              <w:left w:val="nil"/>
              <w:bottom w:val="single" w:sz="8" w:space="0" w:color="4D446C"/>
              <w:right w:val="nil"/>
            </w:tcBorders>
            <w:shd w:val="clear" w:color="auto" w:fill="auto"/>
            <w:noWrap/>
            <w:hideMark/>
          </w:tcPr>
          <w:p w14:paraId="307FE81A" w14:textId="3B5E552F" w:rsidR="007F1BCD" w:rsidRPr="006C7B74" w:rsidRDefault="007F1BCD" w:rsidP="007F1BCD">
            <w:pPr>
              <w:jc w:val="center"/>
              <w:rPr>
                <w:rFonts w:cstheme="minorHAnsi"/>
                <w:color w:val="363534"/>
                <w:sz w:val="18"/>
                <w:szCs w:val="18"/>
                <w:lang w:eastAsia="en-AU"/>
              </w:rPr>
            </w:pPr>
            <w:r w:rsidRPr="006C7B74">
              <w:rPr>
                <w:rFonts w:cstheme="minorHAnsi"/>
                <w:sz w:val="18"/>
                <w:szCs w:val="18"/>
              </w:rPr>
              <w:t>519.4</w:t>
            </w:r>
          </w:p>
        </w:tc>
        <w:tc>
          <w:tcPr>
            <w:tcW w:w="690" w:type="pct"/>
            <w:tcBorders>
              <w:top w:val="nil"/>
              <w:left w:val="nil"/>
              <w:bottom w:val="single" w:sz="8" w:space="0" w:color="4D446C"/>
              <w:right w:val="nil"/>
            </w:tcBorders>
            <w:shd w:val="clear" w:color="auto" w:fill="auto"/>
            <w:noWrap/>
            <w:hideMark/>
          </w:tcPr>
          <w:p w14:paraId="35F7EDF6" w14:textId="2CF6C5EA" w:rsidR="007F1BCD" w:rsidRPr="006C7B74" w:rsidRDefault="007F1BCD" w:rsidP="007F1BCD">
            <w:pPr>
              <w:jc w:val="center"/>
              <w:rPr>
                <w:rFonts w:cstheme="minorHAnsi"/>
                <w:color w:val="363534"/>
                <w:sz w:val="18"/>
                <w:szCs w:val="18"/>
                <w:lang w:eastAsia="en-AU"/>
              </w:rPr>
            </w:pPr>
            <w:r w:rsidRPr="006C7B74">
              <w:rPr>
                <w:rFonts w:cstheme="minorHAnsi"/>
                <w:sz w:val="18"/>
                <w:szCs w:val="18"/>
              </w:rPr>
              <w:t>1,150.4</w:t>
            </w:r>
          </w:p>
        </w:tc>
        <w:tc>
          <w:tcPr>
            <w:tcW w:w="855" w:type="pct"/>
            <w:tcBorders>
              <w:top w:val="nil"/>
              <w:left w:val="nil"/>
              <w:bottom w:val="single" w:sz="8" w:space="0" w:color="4D446C"/>
              <w:right w:val="nil"/>
            </w:tcBorders>
            <w:shd w:val="clear" w:color="auto" w:fill="auto"/>
            <w:noWrap/>
            <w:hideMark/>
          </w:tcPr>
          <w:p w14:paraId="0370B8E8" w14:textId="121373AF" w:rsidR="007F1BCD" w:rsidRPr="006C7B74" w:rsidRDefault="007F1BCD" w:rsidP="007F1BCD">
            <w:pPr>
              <w:jc w:val="center"/>
              <w:rPr>
                <w:rFonts w:cstheme="minorHAnsi"/>
                <w:color w:val="363534"/>
                <w:sz w:val="18"/>
                <w:szCs w:val="18"/>
                <w:lang w:eastAsia="en-AU"/>
              </w:rPr>
            </w:pPr>
            <w:r w:rsidRPr="006C7B74">
              <w:rPr>
                <w:rFonts w:cstheme="minorHAnsi"/>
                <w:sz w:val="18"/>
                <w:szCs w:val="18"/>
              </w:rPr>
              <w:t>1,189.6</w:t>
            </w:r>
          </w:p>
        </w:tc>
        <w:tc>
          <w:tcPr>
            <w:tcW w:w="1142" w:type="pct"/>
            <w:tcBorders>
              <w:top w:val="nil"/>
              <w:left w:val="nil"/>
              <w:bottom w:val="single" w:sz="8" w:space="0" w:color="4D446C"/>
              <w:right w:val="nil"/>
            </w:tcBorders>
            <w:shd w:val="clear" w:color="auto" w:fill="auto"/>
            <w:noWrap/>
            <w:hideMark/>
          </w:tcPr>
          <w:p w14:paraId="16725B26" w14:textId="0F49B39B" w:rsidR="007F1BCD" w:rsidRPr="006C7B74" w:rsidRDefault="007F1BCD" w:rsidP="007F1BCD">
            <w:pPr>
              <w:jc w:val="center"/>
              <w:rPr>
                <w:rFonts w:cstheme="minorHAnsi"/>
                <w:color w:val="363534"/>
                <w:sz w:val="18"/>
                <w:szCs w:val="18"/>
                <w:lang w:eastAsia="en-AU"/>
              </w:rPr>
            </w:pPr>
            <w:r w:rsidRPr="006C7B74">
              <w:rPr>
                <w:rFonts w:cstheme="minorHAnsi"/>
                <w:sz w:val="18"/>
                <w:szCs w:val="18"/>
              </w:rPr>
              <w:t>2,340.0</w:t>
            </w:r>
          </w:p>
        </w:tc>
      </w:tr>
      <w:tr w:rsidR="007F1BCD" w:rsidRPr="006C7B74" w14:paraId="7C3C42A1" w14:textId="77777777" w:rsidTr="006C7B74">
        <w:trPr>
          <w:trHeight w:val="330"/>
        </w:trPr>
        <w:tc>
          <w:tcPr>
            <w:tcW w:w="1549" w:type="pct"/>
            <w:tcBorders>
              <w:top w:val="nil"/>
              <w:left w:val="nil"/>
              <w:bottom w:val="single" w:sz="8" w:space="0" w:color="4D446C"/>
              <w:right w:val="nil"/>
            </w:tcBorders>
            <w:shd w:val="clear" w:color="auto" w:fill="auto"/>
            <w:noWrap/>
            <w:vAlign w:val="center"/>
            <w:hideMark/>
          </w:tcPr>
          <w:p w14:paraId="20044594" w14:textId="77777777" w:rsidR="007F1BCD" w:rsidRPr="006C7B74" w:rsidRDefault="007F1BCD" w:rsidP="007F1BCD">
            <w:pPr>
              <w:rPr>
                <w:rFonts w:ascii="Calibri" w:hAnsi="Calibri" w:cs="Calibri"/>
                <w:color w:val="000000"/>
                <w:sz w:val="18"/>
                <w:szCs w:val="18"/>
                <w:lang w:eastAsia="en-AU"/>
              </w:rPr>
            </w:pPr>
            <w:r w:rsidRPr="006C7B74">
              <w:rPr>
                <w:rFonts w:ascii="Calibri" w:hAnsi="Calibri" w:cs="Calibri"/>
                <w:color w:val="000000"/>
                <w:sz w:val="18"/>
                <w:szCs w:val="18"/>
                <w:lang w:eastAsia="en-AU"/>
              </w:rPr>
              <w:t>Moonee Valley</w:t>
            </w:r>
          </w:p>
        </w:tc>
        <w:tc>
          <w:tcPr>
            <w:tcW w:w="764" w:type="pct"/>
            <w:tcBorders>
              <w:top w:val="nil"/>
              <w:left w:val="nil"/>
              <w:bottom w:val="single" w:sz="8" w:space="0" w:color="4D446C"/>
              <w:right w:val="nil"/>
            </w:tcBorders>
            <w:shd w:val="clear" w:color="auto" w:fill="auto"/>
            <w:noWrap/>
            <w:hideMark/>
          </w:tcPr>
          <w:p w14:paraId="5EEDF935" w14:textId="197BE92C" w:rsidR="007F1BCD" w:rsidRPr="006C7B74" w:rsidRDefault="007F1BCD" w:rsidP="007F1BCD">
            <w:pPr>
              <w:jc w:val="center"/>
              <w:rPr>
                <w:rFonts w:cstheme="minorHAnsi"/>
                <w:color w:val="363534"/>
                <w:sz w:val="18"/>
                <w:szCs w:val="18"/>
                <w:lang w:eastAsia="en-AU"/>
              </w:rPr>
            </w:pPr>
            <w:r w:rsidRPr="006C7B74">
              <w:rPr>
                <w:rFonts w:cstheme="minorHAnsi"/>
                <w:sz w:val="18"/>
                <w:szCs w:val="18"/>
              </w:rPr>
              <w:t>54.3</w:t>
            </w:r>
          </w:p>
        </w:tc>
        <w:tc>
          <w:tcPr>
            <w:tcW w:w="690" w:type="pct"/>
            <w:tcBorders>
              <w:top w:val="nil"/>
              <w:left w:val="nil"/>
              <w:bottom w:val="single" w:sz="8" w:space="0" w:color="4D446C"/>
              <w:right w:val="nil"/>
            </w:tcBorders>
            <w:shd w:val="clear" w:color="auto" w:fill="auto"/>
            <w:noWrap/>
            <w:hideMark/>
          </w:tcPr>
          <w:p w14:paraId="6A7E5A2A" w14:textId="41AD08BD" w:rsidR="007F1BCD" w:rsidRPr="006C7B74" w:rsidRDefault="007F1BCD" w:rsidP="007F1BCD">
            <w:pPr>
              <w:jc w:val="center"/>
              <w:rPr>
                <w:rFonts w:cstheme="minorHAnsi"/>
                <w:color w:val="363534"/>
                <w:sz w:val="18"/>
                <w:szCs w:val="18"/>
                <w:lang w:eastAsia="en-AU"/>
              </w:rPr>
            </w:pPr>
            <w:r w:rsidRPr="006C7B74">
              <w:rPr>
                <w:rFonts w:cstheme="minorHAnsi"/>
                <w:sz w:val="18"/>
                <w:szCs w:val="18"/>
              </w:rPr>
              <w:t>0.7</w:t>
            </w:r>
          </w:p>
        </w:tc>
        <w:tc>
          <w:tcPr>
            <w:tcW w:w="855" w:type="pct"/>
            <w:tcBorders>
              <w:top w:val="nil"/>
              <w:left w:val="nil"/>
              <w:bottom w:val="single" w:sz="8" w:space="0" w:color="4D446C"/>
              <w:right w:val="nil"/>
            </w:tcBorders>
            <w:shd w:val="clear" w:color="auto" w:fill="auto"/>
            <w:noWrap/>
            <w:hideMark/>
          </w:tcPr>
          <w:p w14:paraId="0C55FD63" w14:textId="263506A4" w:rsidR="007F1BCD" w:rsidRPr="006C7B74" w:rsidRDefault="007F1BCD" w:rsidP="007F1BCD">
            <w:pPr>
              <w:jc w:val="center"/>
              <w:rPr>
                <w:rFonts w:cstheme="minorHAnsi"/>
                <w:color w:val="363534"/>
                <w:sz w:val="18"/>
                <w:szCs w:val="18"/>
                <w:lang w:eastAsia="en-AU"/>
              </w:rPr>
            </w:pPr>
            <w:r w:rsidRPr="006C7B74">
              <w:rPr>
                <w:rFonts w:cstheme="minorHAnsi"/>
                <w:sz w:val="18"/>
                <w:szCs w:val="18"/>
              </w:rPr>
              <w:t>0.0</w:t>
            </w:r>
          </w:p>
        </w:tc>
        <w:tc>
          <w:tcPr>
            <w:tcW w:w="1142" w:type="pct"/>
            <w:tcBorders>
              <w:top w:val="nil"/>
              <w:left w:val="nil"/>
              <w:bottom w:val="single" w:sz="8" w:space="0" w:color="4D446C"/>
              <w:right w:val="nil"/>
            </w:tcBorders>
            <w:shd w:val="clear" w:color="auto" w:fill="auto"/>
            <w:noWrap/>
            <w:hideMark/>
          </w:tcPr>
          <w:p w14:paraId="59E689AB" w14:textId="5B4C7C19" w:rsidR="007F1BCD" w:rsidRPr="006C7B74" w:rsidRDefault="007F1BCD" w:rsidP="007F1BCD">
            <w:pPr>
              <w:jc w:val="center"/>
              <w:rPr>
                <w:rFonts w:cstheme="minorHAnsi"/>
                <w:color w:val="363534"/>
                <w:sz w:val="18"/>
                <w:szCs w:val="18"/>
                <w:lang w:eastAsia="en-AU"/>
              </w:rPr>
            </w:pPr>
            <w:r w:rsidRPr="006C7B74">
              <w:rPr>
                <w:rFonts w:cstheme="minorHAnsi"/>
                <w:sz w:val="18"/>
                <w:szCs w:val="18"/>
              </w:rPr>
              <w:t>0.7</w:t>
            </w:r>
          </w:p>
        </w:tc>
      </w:tr>
      <w:tr w:rsidR="007F1BCD" w:rsidRPr="006C7B74" w14:paraId="1444AD36" w14:textId="77777777" w:rsidTr="006C7B74">
        <w:trPr>
          <w:trHeight w:val="315"/>
        </w:trPr>
        <w:tc>
          <w:tcPr>
            <w:tcW w:w="1549" w:type="pct"/>
            <w:tcBorders>
              <w:top w:val="nil"/>
              <w:left w:val="nil"/>
              <w:bottom w:val="single" w:sz="8" w:space="0" w:color="4D446C"/>
              <w:right w:val="nil"/>
            </w:tcBorders>
            <w:shd w:val="clear" w:color="auto" w:fill="auto"/>
            <w:noWrap/>
            <w:vAlign w:val="center"/>
            <w:hideMark/>
          </w:tcPr>
          <w:p w14:paraId="2ED50EB4" w14:textId="77777777" w:rsidR="007F1BCD" w:rsidRPr="006C7B74" w:rsidRDefault="007F1BCD" w:rsidP="007F1BCD">
            <w:pPr>
              <w:rPr>
                <w:rFonts w:ascii="Calibri" w:hAnsi="Calibri" w:cs="Calibri"/>
                <w:color w:val="000000"/>
                <w:sz w:val="18"/>
                <w:szCs w:val="18"/>
                <w:lang w:eastAsia="en-AU"/>
              </w:rPr>
            </w:pPr>
            <w:r w:rsidRPr="006C7B74">
              <w:rPr>
                <w:rFonts w:ascii="Calibri" w:hAnsi="Calibri" w:cs="Calibri"/>
                <w:color w:val="000000"/>
                <w:sz w:val="18"/>
                <w:szCs w:val="18"/>
                <w:lang w:eastAsia="en-AU"/>
              </w:rPr>
              <w:t>Wyndham</w:t>
            </w:r>
          </w:p>
        </w:tc>
        <w:tc>
          <w:tcPr>
            <w:tcW w:w="764" w:type="pct"/>
            <w:tcBorders>
              <w:top w:val="nil"/>
              <w:left w:val="nil"/>
              <w:bottom w:val="single" w:sz="8" w:space="0" w:color="4D446C"/>
              <w:right w:val="nil"/>
            </w:tcBorders>
            <w:shd w:val="clear" w:color="auto" w:fill="auto"/>
            <w:noWrap/>
            <w:hideMark/>
          </w:tcPr>
          <w:p w14:paraId="3EA1DEBD" w14:textId="20419F9A" w:rsidR="007F1BCD" w:rsidRPr="006C7B74" w:rsidRDefault="007F1BCD" w:rsidP="007F1BCD">
            <w:pPr>
              <w:jc w:val="center"/>
              <w:rPr>
                <w:rFonts w:cstheme="minorHAnsi"/>
                <w:color w:val="363534"/>
                <w:sz w:val="18"/>
                <w:szCs w:val="18"/>
                <w:lang w:eastAsia="en-AU"/>
              </w:rPr>
            </w:pPr>
            <w:r w:rsidRPr="006C7B74">
              <w:rPr>
                <w:rFonts w:cstheme="minorHAnsi"/>
                <w:sz w:val="18"/>
                <w:szCs w:val="18"/>
              </w:rPr>
              <w:t>1,827.4</w:t>
            </w:r>
          </w:p>
        </w:tc>
        <w:tc>
          <w:tcPr>
            <w:tcW w:w="690" w:type="pct"/>
            <w:tcBorders>
              <w:top w:val="nil"/>
              <w:left w:val="nil"/>
              <w:bottom w:val="single" w:sz="8" w:space="0" w:color="4D446C"/>
              <w:right w:val="nil"/>
            </w:tcBorders>
            <w:shd w:val="clear" w:color="auto" w:fill="auto"/>
            <w:noWrap/>
            <w:hideMark/>
          </w:tcPr>
          <w:p w14:paraId="62EAE036" w14:textId="1094AC97" w:rsidR="007F1BCD" w:rsidRPr="006C7B74" w:rsidRDefault="007F1BCD" w:rsidP="007F1BCD">
            <w:pPr>
              <w:jc w:val="center"/>
              <w:rPr>
                <w:rFonts w:cstheme="minorHAnsi"/>
                <w:color w:val="363534"/>
                <w:sz w:val="18"/>
                <w:szCs w:val="18"/>
                <w:lang w:eastAsia="en-AU"/>
              </w:rPr>
            </w:pPr>
            <w:r w:rsidRPr="006C7B74">
              <w:rPr>
                <w:rFonts w:cstheme="minorHAnsi"/>
                <w:sz w:val="18"/>
                <w:szCs w:val="18"/>
              </w:rPr>
              <w:t>926.5</w:t>
            </w:r>
          </w:p>
        </w:tc>
        <w:tc>
          <w:tcPr>
            <w:tcW w:w="855" w:type="pct"/>
            <w:tcBorders>
              <w:top w:val="nil"/>
              <w:left w:val="nil"/>
              <w:bottom w:val="single" w:sz="8" w:space="0" w:color="4D446C"/>
              <w:right w:val="nil"/>
            </w:tcBorders>
            <w:shd w:val="clear" w:color="auto" w:fill="auto"/>
            <w:noWrap/>
            <w:hideMark/>
          </w:tcPr>
          <w:p w14:paraId="67A85281" w14:textId="32ADE7EF" w:rsidR="007F1BCD" w:rsidRPr="006C7B74" w:rsidRDefault="007F1BCD" w:rsidP="007F1BCD">
            <w:pPr>
              <w:jc w:val="center"/>
              <w:rPr>
                <w:rFonts w:cstheme="minorHAnsi"/>
                <w:color w:val="363534"/>
                <w:sz w:val="18"/>
                <w:szCs w:val="18"/>
                <w:lang w:eastAsia="en-AU"/>
              </w:rPr>
            </w:pPr>
            <w:r w:rsidRPr="006C7B74">
              <w:rPr>
                <w:rFonts w:cstheme="minorHAnsi"/>
                <w:sz w:val="18"/>
                <w:szCs w:val="18"/>
              </w:rPr>
              <w:t>1,691.7</w:t>
            </w:r>
          </w:p>
        </w:tc>
        <w:tc>
          <w:tcPr>
            <w:tcW w:w="1142" w:type="pct"/>
            <w:tcBorders>
              <w:top w:val="nil"/>
              <w:left w:val="nil"/>
              <w:bottom w:val="single" w:sz="8" w:space="0" w:color="4D446C"/>
              <w:right w:val="nil"/>
            </w:tcBorders>
            <w:shd w:val="clear" w:color="auto" w:fill="auto"/>
            <w:noWrap/>
            <w:hideMark/>
          </w:tcPr>
          <w:p w14:paraId="3F72055E" w14:textId="54A795D0" w:rsidR="007F1BCD" w:rsidRPr="006C7B74" w:rsidRDefault="007F1BCD" w:rsidP="007F1BCD">
            <w:pPr>
              <w:jc w:val="center"/>
              <w:rPr>
                <w:rFonts w:cstheme="minorHAnsi"/>
                <w:color w:val="363534"/>
                <w:sz w:val="18"/>
                <w:szCs w:val="18"/>
                <w:lang w:eastAsia="en-AU"/>
              </w:rPr>
            </w:pPr>
            <w:r w:rsidRPr="006C7B74">
              <w:rPr>
                <w:rFonts w:cstheme="minorHAnsi"/>
                <w:sz w:val="18"/>
                <w:szCs w:val="18"/>
              </w:rPr>
              <w:t>2,618.2</w:t>
            </w:r>
          </w:p>
        </w:tc>
      </w:tr>
      <w:tr w:rsidR="007F1BCD" w:rsidRPr="006C7B74" w14:paraId="7565280B" w14:textId="77777777" w:rsidTr="006C7B74">
        <w:trPr>
          <w:trHeight w:val="315"/>
        </w:trPr>
        <w:tc>
          <w:tcPr>
            <w:tcW w:w="1549" w:type="pct"/>
            <w:tcBorders>
              <w:top w:val="nil"/>
              <w:left w:val="nil"/>
              <w:bottom w:val="single" w:sz="8" w:space="0" w:color="4D446C"/>
              <w:right w:val="nil"/>
            </w:tcBorders>
            <w:shd w:val="clear" w:color="auto" w:fill="auto"/>
            <w:noWrap/>
            <w:vAlign w:val="center"/>
            <w:hideMark/>
          </w:tcPr>
          <w:p w14:paraId="29B59DBA" w14:textId="77777777" w:rsidR="007F1BCD" w:rsidRPr="006C7B74" w:rsidRDefault="007F1BCD" w:rsidP="007F1BCD">
            <w:pPr>
              <w:rPr>
                <w:rFonts w:ascii="Calibri" w:hAnsi="Calibri" w:cs="Calibri"/>
                <w:b/>
                <w:bCs/>
                <w:color w:val="000000"/>
                <w:sz w:val="18"/>
                <w:szCs w:val="18"/>
                <w:lang w:eastAsia="en-AU"/>
              </w:rPr>
            </w:pPr>
            <w:r w:rsidRPr="006C7B74">
              <w:rPr>
                <w:rFonts w:ascii="Calibri" w:hAnsi="Calibri" w:cs="Calibri"/>
                <w:b/>
                <w:bCs/>
                <w:color w:val="000000"/>
                <w:sz w:val="18"/>
                <w:szCs w:val="18"/>
                <w:lang w:eastAsia="en-AU"/>
              </w:rPr>
              <w:t>Western Region</w:t>
            </w:r>
          </w:p>
        </w:tc>
        <w:tc>
          <w:tcPr>
            <w:tcW w:w="764" w:type="pct"/>
            <w:tcBorders>
              <w:top w:val="nil"/>
              <w:left w:val="nil"/>
              <w:bottom w:val="single" w:sz="8" w:space="0" w:color="4D446C"/>
              <w:right w:val="nil"/>
            </w:tcBorders>
            <w:shd w:val="clear" w:color="auto" w:fill="auto"/>
            <w:noWrap/>
            <w:hideMark/>
          </w:tcPr>
          <w:p w14:paraId="3770A962" w14:textId="3C2B2C2C" w:rsidR="007F1BCD" w:rsidRPr="006C7B74" w:rsidRDefault="007F1BCD" w:rsidP="007F1BCD">
            <w:pPr>
              <w:jc w:val="center"/>
              <w:rPr>
                <w:rFonts w:cstheme="minorHAnsi"/>
                <w:b/>
                <w:color w:val="363534"/>
                <w:sz w:val="18"/>
                <w:szCs w:val="18"/>
                <w:lang w:eastAsia="en-AU"/>
              </w:rPr>
            </w:pPr>
            <w:r w:rsidRPr="006C7B74">
              <w:rPr>
                <w:rFonts w:cstheme="minorHAnsi"/>
                <w:b/>
                <w:sz w:val="18"/>
                <w:szCs w:val="18"/>
              </w:rPr>
              <w:t>5,819.2</w:t>
            </w:r>
          </w:p>
        </w:tc>
        <w:tc>
          <w:tcPr>
            <w:tcW w:w="690" w:type="pct"/>
            <w:tcBorders>
              <w:top w:val="nil"/>
              <w:left w:val="nil"/>
              <w:bottom w:val="single" w:sz="8" w:space="0" w:color="4D446C"/>
              <w:right w:val="nil"/>
            </w:tcBorders>
            <w:shd w:val="clear" w:color="auto" w:fill="auto"/>
            <w:noWrap/>
            <w:hideMark/>
          </w:tcPr>
          <w:p w14:paraId="781EF302" w14:textId="5F4A6521" w:rsidR="007F1BCD" w:rsidRPr="006C7B74" w:rsidRDefault="007F1BCD" w:rsidP="007F1BCD">
            <w:pPr>
              <w:jc w:val="center"/>
              <w:rPr>
                <w:rFonts w:cstheme="minorHAnsi"/>
                <w:b/>
                <w:color w:val="363534"/>
                <w:sz w:val="18"/>
                <w:szCs w:val="18"/>
                <w:lang w:eastAsia="en-AU"/>
              </w:rPr>
            </w:pPr>
            <w:r w:rsidRPr="006C7B74">
              <w:rPr>
                <w:rFonts w:cstheme="minorHAnsi"/>
                <w:b/>
                <w:sz w:val="18"/>
                <w:szCs w:val="18"/>
              </w:rPr>
              <w:t>2,818.4</w:t>
            </w:r>
          </w:p>
        </w:tc>
        <w:tc>
          <w:tcPr>
            <w:tcW w:w="855" w:type="pct"/>
            <w:tcBorders>
              <w:top w:val="nil"/>
              <w:left w:val="nil"/>
              <w:bottom w:val="single" w:sz="8" w:space="0" w:color="4D446C"/>
              <w:right w:val="nil"/>
            </w:tcBorders>
            <w:shd w:val="clear" w:color="auto" w:fill="auto"/>
            <w:noWrap/>
            <w:hideMark/>
          </w:tcPr>
          <w:p w14:paraId="565D8ED5" w14:textId="44169853" w:rsidR="007F1BCD" w:rsidRPr="006C7B74" w:rsidRDefault="007F1BCD" w:rsidP="007F1BCD">
            <w:pPr>
              <w:jc w:val="center"/>
              <w:rPr>
                <w:rFonts w:cstheme="minorHAnsi"/>
                <w:b/>
                <w:color w:val="363534"/>
                <w:sz w:val="18"/>
                <w:szCs w:val="18"/>
                <w:lang w:eastAsia="en-AU"/>
              </w:rPr>
            </w:pPr>
            <w:r w:rsidRPr="006C7B74">
              <w:rPr>
                <w:rFonts w:cstheme="minorHAnsi"/>
                <w:b/>
                <w:sz w:val="18"/>
                <w:szCs w:val="18"/>
              </w:rPr>
              <w:t>2,881.3</w:t>
            </w:r>
          </w:p>
        </w:tc>
        <w:tc>
          <w:tcPr>
            <w:tcW w:w="1142" w:type="pct"/>
            <w:tcBorders>
              <w:top w:val="nil"/>
              <w:left w:val="nil"/>
              <w:bottom w:val="single" w:sz="8" w:space="0" w:color="4D446C"/>
              <w:right w:val="nil"/>
            </w:tcBorders>
            <w:shd w:val="clear" w:color="auto" w:fill="auto"/>
            <w:noWrap/>
            <w:hideMark/>
          </w:tcPr>
          <w:p w14:paraId="5E3D6C00" w14:textId="42C2E133" w:rsidR="007F1BCD" w:rsidRPr="006C7B74" w:rsidRDefault="007F1BCD" w:rsidP="007F1BCD">
            <w:pPr>
              <w:jc w:val="center"/>
              <w:rPr>
                <w:rFonts w:cstheme="minorHAnsi"/>
                <w:b/>
                <w:color w:val="363534"/>
                <w:sz w:val="18"/>
                <w:szCs w:val="18"/>
                <w:lang w:eastAsia="en-AU"/>
              </w:rPr>
            </w:pPr>
            <w:r w:rsidRPr="006C7B74">
              <w:rPr>
                <w:rFonts w:cstheme="minorHAnsi"/>
                <w:b/>
                <w:sz w:val="18"/>
                <w:szCs w:val="18"/>
              </w:rPr>
              <w:t>5,699.7</w:t>
            </w:r>
          </w:p>
        </w:tc>
      </w:tr>
      <w:tr w:rsidR="007F1BCD" w:rsidRPr="006C7B74" w14:paraId="4C771725" w14:textId="77777777" w:rsidTr="006C7B74">
        <w:trPr>
          <w:trHeight w:val="315"/>
        </w:trPr>
        <w:tc>
          <w:tcPr>
            <w:tcW w:w="1549" w:type="pct"/>
            <w:tcBorders>
              <w:top w:val="nil"/>
              <w:left w:val="nil"/>
              <w:bottom w:val="single" w:sz="12" w:space="0" w:color="4D446C"/>
              <w:right w:val="nil"/>
            </w:tcBorders>
            <w:shd w:val="clear" w:color="auto" w:fill="auto"/>
            <w:noWrap/>
            <w:vAlign w:val="center"/>
            <w:hideMark/>
          </w:tcPr>
          <w:p w14:paraId="44BE2B5A" w14:textId="77777777" w:rsidR="007F1BCD" w:rsidRPr="006C7B74" w:rsidRDefault="007F1BCD" w:rsidP="007F1BCD">
            <w:pPr>
              <w:rPr>
                <w:rFonts w:ascii="Calibri" w:hAnsi="Calibri" w:cs="Calibri"/>
                <w:i/>
                <w:iCs/>
                <w:color w:val="000000"/>
                <w:sz w:val="18"/>
                <w:szCs w:val="18"/>
                <w:lang w:eastAsia="en-AU"/>
              </w:rPr>
            </w:pPr>
            <w:r w:rsidRPr="006C7B74">
              <w:rPr>
                <w:rFonts w:ascii="Calibri" w:hAnsi="Calibri" w:cs="Calibri"/>
                <w:i/>
                <w:iCs/>
                <w:color w:val="000000"/>
                <w:sz w:val="18"/>
                <w:szCs w:val="18"/>
                <w:lang w:eastAsia="en-AU"/>
              </w:rPr>
              <w:t>Western SSIP</w:t>
            </w:r>
          </w:p>
        </w:tc>
        <w:tc>
          <w:tcPr>
            <w:tcW w:w="764" w:type="pct"/>
            <w:tcBorders>
              <w:top w:val="nil"/>
              <w:left w:val="nil"/>
              <w:bottom w:val="single" w:sz="12" w:space="0" w:color="4D446C"/>
              <w:right w:val="nil"/>
            </w:tcBorders>
            <w:shd w:val="clear" w:color="auto" w:fill="auto"/>
            <w:noWrap/>
            <w:hideMark/>
          </w:tcPr>
          <w:p w14:paraId="4E91F130" w14:textId="49464628" w:rsidR="007F1BCD" w:rsidRPr="006C7B74" w:rsidRDefault="007F1BCD" w:rsidP="007F1BCD">
            <w:pPr>
              <w:jc w:val="center"/>
              <w:rPr>
                <w:rFonts w:cstheme="minorHAnsi"/>
                <w:i/>
                <w:color w:val="000000"/>
                <w:sz w:val="18"/>
                <w:szCs w:val="18"/>
                <w:lang w:eastAsia="en-AU"/>
              </w:rPr>
            </w:pPr>
            <w:r w:rsidRPr="006C7B74">
              <w:rPr>
                <w:rFonts w:cstheme="minorHAnsi"/>
                <w:i/>
                <w:sz w:val="18"/>
                <w:szCs w:val="18"/>
              </w:rPr>
              <w:t>4,356.3</w:t>
            </w:r>
          </w:p>
        </w:tc>
        <w:tc>
          <w:tcPr>
            <w:tcW w:w="690" w:type="pct"/>
            <w:tcBorders>
              <w:top w:val="nil"/>
              <w:left w:val="nil"/>
              <w:bottom w:val="single" w:sz="12" w:space="0" w:color="4D446C"/>
              <w:right w:val="nil"/>
            </w:tcBorders>
            <w:shd w:val="clear" w:color="auto" w:fill="auto"/>
            <w:noWrap/>
            <w:hideMark/>
          </w:tcPr>
          <w:p w14:paraId="4FDEA1F1" w14:textId="608B1FEF" w:rsidR="007F1BCD" w:rsidRPr="006C7B74" w:rsidRDefault="007F1BCD" w:rsidP="007F1BCD">
            <w:pPr>
              <w:jc w:val="center"/>
              <w:rPr>
                <w:rFonts w:cstheme="minorHAnsi"/>
                <w:i/>
                <w:color w:val="363534"/>
                <w:sz w:val="18"/>
                <w:szCs w:val="18"/>
              </w:rPr>
            </w:pPr>
            <w:r w:rsidRPr="006C7B74">
              <w:rPr>
                <w:rFonts w:cstheme="minorHAnsi"/>
                <w:i/>
                <w:sz w:val="18"/>
                <w:szCs w:val="18"/>
              </w:rPr>
              <w:t>1,810.5</w:t>
            </w:r>
          </w:p>
        </w:tc>
        <w:tc>
          <w:tcPr>
            <w:tcW w:w="855" w:type="pct"/>
            <w:tcBorders>
              <w:top w:val="nil"/>
              <w:left w:val="nil"/>
              <w:bottom w:val="single" w:sz="12" w:space="0" w:color="4D446C"/>
              <w:right w:val="nil"/>
            </w:tcBorders>
            <w:shd w:val="clear" w:color="auto" w:fill="auto"/>
            <w:noWrap/>
            <w:hideMark/>
          </w:tcPr>
          <w:p w14:paraId="2AF77CC9" w14:textId="5454F1A2" w:rsidR="007F1BCD" w:rsidRPr="006C7B74" w:rsidRDefault="007F1BCD" w:rsidP="007F1BCD">
            <w:pPr>
              <w:jc w:val="center"/>
              <w:rPr>
                <w:rFonts w:cstheme="minorHAnsi"/>
                <w:i/>
                <w:color w:val="363534"/>
                <w:sz w:val="18"/>
                <w:szCs w:val="18"/>
                <w:lang w:eastAsia="en-AU"/>
              </w:rPr>
            </w:pPr>
            <w:r w:rsidRPr="006C7B74">
              <w:rPr>
                <w:rFonts w:cstheme="minorHAnsi"/>
                <w:i/>
                <w:sz w:val="18"/>
                <w:szCs w:val="18"/>
              </w:rPr>
              <w:t>1,033.8</w:t>
            </w:r>
          </w:p>
        </w:tc>
        <w:tc>
          <w:tcPr>
            <w:tcW w:w="1142" w:type="pct"/>
            <w:tcBorders>
              <w:top w:val="nil"/>
              <w:left w:val="nil"/>
              <w:bottom w:val="single" w:sz="12" w:space="0" w:color="4D446C"/>
              <w:right w:val="nil"/>
            </w:tcBorders>
            <w:shd w:val="clear" w:color="auto" w:fill="auto"/>
            <w:noWrap/>
            <w:hideMark/>
          </w:tcPr>
          <w:p w14:paraId="737AE383" w14:textId="59C6BD93" w:rsidR="007F1BCD" w:rsidRPr="006C7B74" w:rsidRDefault="007F1BCD" w:rsidP="007F1BCD">
            <w:pPr>
              <w:jc w:val="center"/>
              <w:rPr>
                <w:rFonts w:cstheme="minorHAnsi"/>
                <w:i/>
                <w:color w:val="363534"/>
                <w:sz w:val="18"/>
                <w:szCs w:val="18"/>
                <w:lang w:eastAsia="en-AU"/>
              </w:rPr>
            </w:pPr>
            <w:r w:rsidRPr="006C7B74">
              <w:rPr>
                <w:rFonts w:cstheme="minorHAnsi"/>
                <w:i/>
                <w:sz w:val="18"/>
                <w:szCs w:val="18"/>
              </w:rPr>
              <w:t>2,844.3</w:t>
            </w:r>
          </w:p>
        </w:tc>
      </w:tr>
    </w:tbl>
    <w:p w14:paraId="76735EB3" w14:textId="329B547A" w:rsidR="002A5B72" w:rsidRPr="006C7B74" w:rsidRDefault="00AA17F5" w:rsidP="00AA17F5">
      <w:pPr>
        <w:pStyle w:val="Quote"/>
        <w:rPr>
          <w:rFonts w:cstheme="minorHAnsi"/>
          <w:sz w:val="20"/>
          <w:szCs w:val="20"/>
        </w:rPr>
      </w:pPr>
      <w:r w:rsidRPr="006C7B74">
        <w:t>Source: Department of Environment, Land, Water and Planning, Urban Development Program – Melbourne Metropolitan Industrial 2018</w:t>
      </w:r>
      <w:r w:rsidR="007F2AEA" w:rsidRPr="006C7B74">
        <w:t xml:space="preserve"> and internal analysis</w:t>
      </w:r>
    </w:p>
    <w:p w14:paraId="55CD49E1" w14:textId="55D6261B" w:rsidR="00204926" w:rsidRPr="006C7B74" w:rsidRDefault="00413B4F" w:rsidP="00413B4F">
      <w:pPr>
        <w:spacing w:after="120"/>
        <w:rPr>
          <w:rFonts w:cstheme="minorHAnsi"/>
          <w:sz w:val="20"/>
          <w:szCs w:val="20"/>
        </w:rPr>
      </w:pPr>
      <w:r w:rsidRPr="006C7B74">
        <w:rPr>
          <w:rFonts w:cstheme="minorHAnsi"/>
          <w:sz w:val="20"/>
          <w:szCs w:val="20"/>
        </w:rPr>
        <w:t xml:space="preserve">Across the region there are approximately </w:t>
      </w:r>
      <w:r w:rsidR="001E724A" w:rsidRPr="006C7B74">
        <w:rPr>
          <w:rFonts w:cstheme="minorHAnsi"/>
          <w:sz w:val="20"/>
          <w:szCs w:val="20"/>
        </w:rPr>
        <w:t>5,700</w:t>
      </w:r>
      <w:r w:rsidR="00D56ABC" w:rsidRPr="006C7B74">
        <w:rPr>
          <w:rFonts w:cstheme="minorHAnsi"/>
          <w:sz w:val="20"/>
          <w:szCs w:val="20"/>
        </w:rPr>
        <w:t xml:space="preserve"> </w:t>
      </w:r>
      <w:r w:rsidRPr="006C7B74">
        <w:rPr>
          <w:rFonts w:cstheme="minorHAnsi"/>
          <w:sz w:val="20"/>
          <w:szCs w:val="20"/>
        </w:rPr>
        <w:t>hectares of vacant zoned and unzoned industrial land available for development</w:t>
      </w:r>
      <w:r w:rsidR="009511CF" w:rsidRPr="006C7B74">
        <w:rPr>
          <w:rFonts w:cstheme="minorHAnsi"/>
          <w:sz w:val="20"/>
          <w:szCs w:val="20"/>
        </w:rPr>
        <w:t>.</w:t>
      </w:r>
      <w:r w:rsidRPr="006C7B74">
        <w:rPr>
          <w:rFonts w:cstheme="minorHAnsi"/>
          <w:sz w:val="20"/>
          <w:szCs w:val="20"/>
        </w:rPr>
        <w:t xml:space="preserve"> </w:t>
      </w:r>
      <w:r w:rsidR="009511CF" w:rsidRPr="006C7B74">
        <w:rPr>
          <w:rFonts w:cstheme="minorHAnsi"/>
          <w:sz w:val="20"/>
          <w:szCs w:val="20"/>
        </w:rPr>
        <w:t>O</w:t>
      </w:r>
      <w:r w:rsidRPr="006C7B74">
        <w:rPr>
          <w:rFonts w:cstheme="minorHAnsi"/>
          <w:sz w:val="20"/>
          <w:szCs w:val="20"/>
        </w:rPr>
        <w:t>f</w:t>
      </w:r>
      <w:r w:rsidR="009511CF" w:rsidRPr="006C7B74">
        <w:rPr>
          <w:rFonts w:cstheme="minorHAnsi"/>
          <w:sz w:val="20"/>
          <w:szCs w:val="20"/>
        </w:rPr>
        <w:t xml:space="preserve"> this</w:t>
      </w:r>
      <w:r w:rsidR="00C87738" w:rsidRPr="006C7B74">
        <w:rPr>
          <w:rFonts w:cstheme="minorHAnsi"/>
          <w:sz w:val="20"/>
          <w:szCs w:val="20"/>
        </w:rPr>
        <w:t>,</w:t>
      </w:r>
      <w:r w:rsidRPr="006C7B74">
        <w:rPr>
          <w:rFonts w:cstheme="minorHAnsi"/>
          <w:sz w:val="20"/>
          <w:szCs w:val="20"/>
        </w:rPr>
        <w:t xml:space="preserve"> approximately </w:t>
      </w:r>
      <w:r w:rsidR="00AB70B7" w:rsidRPr="006C7B74">
        <w:rPr>
          <w:rFonts w:cstheme="minorHAnsi"/>
          <w:sz w:val="20"/>
          <w:szCs w:val="20"/>
        </w:rPr>
        <w:t>2,845</w:t>
      </w:r>
      <w:r w:rsidR="00DD5D90" w:rsidRPr="006C7B74">
        <w:rPr>
          <w:rFonts w:cstheme="minorHAnsi"/>
          <w:sz w:val="20"/>
          <w:szCs w:val="20"/>
        </w:rPr>
        <w:t xml:space="preserve"> hectares</w:t>
      </w:r>
      <w:r w:rsidRPr="006C7B74">
        <w:rPr>
          <w:rFonts w:cstheme="minorHAnsi"/>
          <w:sz w:val="20"/>
          <w:szCs w:val="20"/>
        </w:rPr>
        <w:t xml:space="preserve"> is located within the Western SSIP. </w:t>
      </w:r>
      <w:r w:rsidR="008A1DBE" w:rsidRPr="006C7B74">
        <w:rPr>
          <w:rFonts w:cstheme="minorHAnsi"/>
          <w:sz w:val="20"/>
          <w:szCs w:val="20"/>
        </w:rPr>
        <w:t xml:space="preserve">A portion of this land will be required to accommodate the proposed WIFT and ancillary uses. </w:t>
      </w:r>
    </w:p>
    <w:p w14:paraId="0A84EC4F" w14:textId="76955FF9" w:rsidR="00413B4F" w:rsidRPr="006C7B74" w:rsidRDefault="00413B4F" w:rsidP="00413B4F">
      <w:pPr>
        <w:spacing w:after="120"/>
        <w:rPr>
          <w:rFonts w:cstheme="minorHAnsi"/>
          <w:sz w:val="20"/>
          <w:szCs w:val="20"/>
        </w:rPr>
      </w:pPr>
      <w:r w:rsidRPr="006C7B74">
        <w:rPr>
          <w:rFonts w:cstheme="minorHAnsi"/>
          <w:sz w:val="20"/>
          <w:szCs w:val="20"/>
        </w:rPr>
        <w:t xml:space="preserve">Of the remaining </w:t>
      </w:r>
      <w:r w:rsidR="00F77B61" w:rsidRPr="006C7B74">
        <w:rPr>
          <w:rFonts w:cstheme="minorHAnsi"/>
          <w:sz w:val="20"/>
          <w:szCs w:val="20"/>
        </w:rPr>
        <w:t>2,855</w:t>
      </w:r>
      <w:r w:rsidRPr="006C7B74">
        <w:rPr>
          <w:rFonts w:cstheme="minorHAnsi"/>
          <w:sz w:val="20"/>
          <w:szCs w:val="20"/>
        </w:rPr>
        <w:t xml:space="preserve"> hectares of available land, approximately </w:t>
      </w:r>
      <w:r w:rsidR="003E183A" w:rsidRPr="006C7B74">
        <w:rPr>
          <w:rFonts w:cstheme="minorHAnsi"/>
          <w:sz w:val="20"/>
          <w:szCs w:val="20"/>
        </w:rPr>
        <w:t>1,848</w:t>
      </w:r>
      <w:r w:rsidRPr="006C7B74">
        <w:rPr>
          <w:rFonts w:cstheme="minorHAnsi"/>
          <w:sz w:val="20"/>
          <w:szCs w:val="20"/>
        </w:rPr>
        <w:t xml:space="preserve"> hectares are</w:t>
      </w:r>
      <w:r w:rsidR="001E2902" w:rsidRPr="006C7B74">
        <w:rPr>
          <w:rFonts w:cstheme="minorHAnsi"/>
          <w:sz w:val="20"/>
          <w:szCs w:val="20"/>
        </w:rPr>
        <w:t xml:space="preserve"> unzoned</w:t>
      </w:r>
      <w:r w:rsidRPr="006C7B74">
        <w:rPr>
          <w:rFonts w:cstheme="minorHAnsi"/>
          <w:sz w:val="20"/>
          <w:szCs w:val="20"/>
        </w:rPr>
        <w:t xml:space="preserve"> within key future industrial </w:t>
      </w:r>
      <w:r w:rsidR="001E2902" w:rsidRPr="006C7B74">
        <w:rPr>
          <w:rFonts w:cstheme="minorHAnsi"/>
          <w:sz w:val="20"/>
          <w:szCs w:val="20"/>
        </w:rPr>
        <w:t>precincts in growth areas</w:t>
      </w:r>
      <w:r w:rsidRPr="006C7B74">
        <w:rPr>
          <w:rFonts w:cstheme="minorHAnsi"/>
          <w:sz w:val="20"/>
          <w:szCs w:val="20"/>
        </w:rPr>
        <w:t>.</w:t>
      </w:r>
    </w:p>
    <w:p w14:paraId="1F698389" w14:textId="7042CC8C" w:rsidR="002A5B72" w:rsidRPr="006C7B74" w:rsidRDefault="002A5B72" w:rsidP="00934C4D">
      <w:pPr>
        <w:spacing w:after="120"/>
        <w:rPr>
          <w:rFonts w:cstheme="minorHAnsi"/>
          <w:sz w:val="20"/>
          <w:szCs w:val="20"/>
        </w:rPr>
      </w:pPr>
      <w:r w:rsidRPr="006C7B74">
        <w:rPr>
          <w:rFonts w:cstheme="minorHAnsi"/>
          <w:sz w:val="20"/>
          <w:szCs w:val="20"/>
        </w:rPr>
        <w:t xml:space="preserve">Demand for industrial land in the </w:t>
      </w:r>
      <w:r w:rsidR="00C40AB5" w:rsidRPr="006C7B74">
        <w:rPr>
          <w:rFonts w:cstheme="minorHAnsi"/>
          <w:sz w:val="20"/>
          <w:szCs w:val="20"/>
        </w:rPr>
        <w:t>r</w:t>
      </w:r>
      <w:r w:rsidRPr="006C7B74">
        <w:rPr>
          <w:rFonts w:cstheme="minorHAnsi"/>
          <w:sz w:val="20"/>
          <w:szCs w:val="20"/>
        </w:rPr>
        <w:t>egion has been strong for the freight and logistics sector</w:t>
      </w:r>
      <w:r w:rsidR="000C0F9F" w:rsidRPr="006C7B74">
        <w:rPr>
          <w:rFonts w:cstheme="minorHAnsi"/>
          <w:sz w:val="20"/>
          <w:szCs w:val="20"/>
        </w:rPr>
        <w:t xml:space="preserve"> </w:t>
      </w:r>
      <w:r w:rsidR="00A27C44" w:rsidRPr="006C7B74">
        <w:rPr>
          <w:rFonts w:cstheme="minorHAnsi"/>
          <w:sz w:val="20"/>
          <w:szCs w:val="20"/>
        </w:rPr>
        <w:t>which</w:t>
      </w:r>
      <w:r w:rsidRPr="006C7B74">
        <w:rPr>
          <w:rFonts w:cstheme="minorHAnsi"/>
          <w:sz w:val="20"/>
          <w:szCs w:val="20"/>
        </w:rPr>
        <w:t xml:space="preserve"> require</w:t>
      </w:r>
      <w:r w:rsidR="00F12476" w:rsidRPr="006C7B74">
        <w:rPr>
          <w:rFonts w:cstheme="minorHAnsi"/>
          <w:sz w:val="20"/>
          <w:szCs w:val="20"/>
        </w:rPr>
        <w:t>s</w:t>
      </w:r>
      <w:r w:rsidRPr="006C7B74">
        <w:rPr>
          <w:rFonts w:cstheme="minorHAnsi"/>
          <w:sz w:val="20"/>
          <w:szCs w:val="20"/>
        </w:rPr>
        <w:t xml:space="preserve"> large parcels of land with ready access to rail and road networks. This sector accounted for approximately 1</w:t>
      </w:r>
      <w:r w:rsidR="00E33022" w:rsidRPr="006C7B74">
        <w:rPr>
          <w:rFonts w:cstheme="minorHAnsi"/>
          <w:sz w:val="20"/>
          <w:szCs w:val="20"/>
        </w:rPr>
        <w:t>5</w:t>
      </w:r>
      <w:r w:rsidRPr="006C7B74">
        <w:rPr>
          <w:rFonts w:cstheme="minorHAnsi"/>
          <w:sz w:val="20"/>
          <w:szCs w:val="20"/>
        </w:rPr>
        <w:t xml:space="preserve"> per cent of </w:t>
      </w:r>
      <w:proofErr w:type="gramStart"/>
      <w:r w:rsidRPr="006C7B74">
        <w:rPr>
          <w:rFonts w:cstheme="minorHAnsi"/>
          <w:sz w:val="20"/>
          <w:szCs w:val="20"/>
        </w:rPr>
        <w:t>work places</w:t>
      </w:r>
      <w:proofErr w:type="gramEnd"/>
      <w:r w:rsidRPr="006C7B74">
        <w:rPr>
          <w:rFonts w:cstheme="minorHAnsi"/>
          <w:sz w:val="20"/>
          <w:szCs w:val="20"/>
        </w:rPr>
        <w:t xml:space="preserve"> in the Western SSIP in 201</w:t>
      </w:r>
      <w:r w:rsidR="003B1986" w:rsidRPr="006C7B74">
        <w:rPr>
          <w:rFonts w:cstheme="minorHAnsi"/>
          <w:sz w:val="20"/>
          <w:szCs w:val="20"/>
        </w:rPr>
        <w:t>6</w:t>
      </w:r>
      <w:r w:rsidR="00595828" w:rsidRPr="006C7B74">
        <w:rPr>
          <w:rFonts w:cstheme="minorHAnsi"/>
          <w:sz w:val="20"/>
          <w:szCs w:val="20"/>
        </w:rPr>
        <w:t>-</w:t>
      </w:r>
      <w:r w:rsidRPr="006C7B74">
        <w:rPr>
          <w:rFonts w:cstheme="minorHAnsi"/>
          <w:sz w:val="20"/>
          <w:szCs w:val="20"/>
        </w:rPr>
        <w:t>1</w:t>
      </w:r>
      <w:r w:rsidR="003B1986" w:rsidRPr="006C7B74">
        <w:rPr>
          <w:rFonts w:cstheme="minorHAnsi"/>
          <w:sz w:val="20"/>
          <w:szCs w:val="20"/>
        </w:rPr>
        <w:t>7</w:t>
      </w:r>
      <w:r w:rsidRPr="006C7B74">
        <w:rPr>
          <w:rFonts w:cstheme="minorHAnsi"/>
          <w:sz w:val="20"/>
          <w:szCs w:val="20"/>
        </w:rPr>
        <w:t xml:space="preserve"> compared to five per cent of work places across Melbourne as a whole. These operations are likely to continue to drive demand for land within the region given easy access to major road and rail, the proposed development of the </w:t>
      </w:r>
      <w:r w:rsidR="0044247C" w:rsidRPr="006C7B74">
        <w:rPr>
          <w:rFonts w:cstheme="minorHAnsi"/>
          <w:sz w:val="20"/>
          <w:szCs w:val="20"/>
        </w:rPr>
        <w:t xml:space="preserve">WIFT </w:t>
      </w:r>
      <w:r w:rsidRPr="006C7B74">
        <w:rPr>
          <w:rFonts w:cstheme="minorHAnsi"/>
          <w:sz w:val="20"/>
          <w:szCs w:val="20"/>
        </w:rPr>
        <w:t>and easy access to a potential second container port at Bay West.</w:t>
      </w:r>
    </w:p>
    <w:p w14:paraId="2DE7E487" w14:textId="77777777" w:rsidR="002A5B72" w:rsidRPr="006C7B74" w:rsidRDefault="002A5B72" w:rsidP="00934C4D">
      <w:pPr>
        <w:spacing w:after="120"/>
        <w:rPr>
          <w:rFonts w:cstheme="minorHAnsi"/>
          <w:sz w:val="20"/>
          <w:szCs w:val="20"/>
        </w:rPr>
      </w:pPr>
    </w:p>
    <w:p w14:paraId="3436ED01" w14:textId="76F56BC4" w:rsidR="002A5B72" w:rsidRPr="006C7B74" w:rsidRDefault="00DC23D3" w:rsidP="006C7B74">
      <w:pPr>
        <w:pStyle w:val="Heading5"/>
        <w:rPr>
          <w:rFonts w:cstheme="minorHAnsi"/>
          <w:b w:val="0"/>
          <w:szCs w:val="20"/>
        </w:rPr>
      </w:pPr>
      <w:r w:rsidRPr="006C7B74">
        <w:rPr>
          <w:rFonts w:cstheme="minorHAnsi"/>
          <w:szCs w:val="20"/>
        </w:rPr>
        <w:t xml:space="preserve">Table </w:t>
      </w:r>
      <w:r w:rsidR="00AA4EEE" w:rsidRPr="006C7B74">
        <w:rPr>
          <w:rFonts w:cstheme="minorHAnsi"/>
          <w:szCs w:val="20"/>
        </w:rPr>
        <w:t>14</w:t>
      </w:r>
      <w:r w:rsidR="002A5B72" w:rsidRPr="006C7B74">
        <w:rPr>
          <w:rFonts w:cstheme="minorHAnsi"/>
          <w:szCs w:val="20"/>
        </w:rPr>
        <w:t>: Industrial land consumption</w:t>
      </w:r>
      <w:r w:rsidR="00710102" w:rsidRPr="006C7B74">
        <w:rPr>
          <w:rFonts w:cstheme="minorHAnsi"/>
          <w:szCs w:val="20"/>
        </w:rPr>
        <w:t>,</w:t>
      </w:r>
      <w:r w:rsidR="00D7623C" w:rsidRPr="006C7B74">
        <w:rPr>
          <w:rFonts w:cstheme="minorHAnsi"/>
          <w:szCs w:val="20"/>
        </w:rPr>
        <w:t xml:space="preserve"> </w:t>
      </w:r>
      <w:r w:rsidR="002A5B72" w:rsidRPr="006C7B74">
        <w:rPr>
          <w:rFonts w:cstheme="minorHAnsi"/>
          <w:szCs w:val="20"/>
        </w:rPr>
        <w:t>Western Region</w:t>
      </w:r>
      <w:r w:rsidR="0093068B" w:rsidRPr="006C7B74">
        <w:rPr>
          <w:rFonts w:cstheme="minorHAnsi"/>
          <w:szCs w:val="20"/>
        </w:rPr>
        <w:t>,</w:t>
      </w:r>
      <w:r w:rsidR="00D7623C" w:rsidRPr="006C7B74">
        <w:rPr>
          <w:rFonts w:cstheme="minorHAnsi"/>
          <w:szCs w:val="20"/>
        </w:rPr>
        <w:t xml:space="preserve"> 20</w:t>
      </w:r>
      <w:r w:rsidR="00595828" w:rsidRPr="006C7B74">
        <w:rPr>
          <w:rFonts w:cstheme="minorHAnsi"/>
          <w:szCs w:val="20"/>
        </w:rPr>
        <w:t>15-</w:t>
      </w:r>
      <w:r w:rsidR="00D7623C" w:rsidRPr="006C7B74">
        <w:rPr>
          <w:rFonts w:cstheme="minorHAnsi"/>
          <w:szCs w:val="20"/>
        </w:rPr>
        <w:t>16</w:t>
      </w:r>
      <w:r w:rsidR="0093068B" w:rsidRPr="006C7B74">
        <w:rPr>
          <w:rFonts w:cstheme="minorHAnsi"/>
          <w:szCs w:val="20"/>
        </w:rPr>
        <w:t xml:space="preserve"> to </w:t>
      </w:r>
      <w:r w:rsidR="00D7623C" w:rsidRPr="006C7B74">
        <w:rPr>
          <w:rFonts w:cstheme="minorHAnsi"/>
          <w:szCs w:val="20"/>
        </w:rPr>
        <w:t>20</w:t>
      </w:r>
      <w:r w:rsidR="00595828" w:rsidRPr="006C7B74">
        <w:rPr>
          <w:rFonts w:cstheme="minorHAnsi"/>
          <w:szCs w:val="20"/>
        </w:rPr>
        <w:t>17-</w:t>
      </w:r>
      <w:r w:rsidR="00D7623C" w:rsidRPr="006C7B74">
        <w:rPr>
          <w:rFonts w:cstheme="minorHAnsi"/>
          <w:szCs w:val="20"/>
        </w:rPr>
        <w:t>18</w:t>
      </w:r>
    </w:p>
    <w:tbl>
      <w:tblPr>
        <w:tblW w:w="5000" w:type="pct"/>
        <w:tblCellMar>
          <w:left w:w="0" w:type="dxa"/>
          <w:right w:w="0" w:type="dxa"/>
        </w:tblCellMar>
        <w:tblLook w:val="04A0" w:firstRow="1" w:lastRow="0" w:firstColumn="1" w:lastColumn="0" w:noHBand="0" w:noVBand="1"/>
      </w:tblPr>
      <w:tblGrid>
        <w:gridCol w:w="3874"/>
        <w:gridCol w:w="1716"/>
        <w:gridCol w:w="1716"/>
        <w:gridCol w:w="1714"/>
      </w:tblGrid>
      <w:tr w:rsidR="00490F9E" w:rsidRPr="006C7B74" w14:paraId="0B6381BE" w14:textId="77777777" w:rsidTr="00DC580D">
        <w:trPr>
          <w:trHeight w:val="283"/>
        </w:trPr>
        <w:tc>
          <w:tcPr>
            <w:tcW w:w="2147" w:type="pct"/>
            <w:tcBorders>
              <w:top w:val="nil"/>
              <w:left w:val="nil"/>
              <w:bottom w:val="single" w:sz="8" w:space="0" w:color="4D446C"/>
              <w:right w:val="nil"/>
            </w:tcBorders>
            <w:shd w:val="clear" w:color="000000" w:fill="4D446C"/>
            <w:noWrap/>
            <w:tcMar>
              <w:top w:w="15" w:type="dxa"/>
              <w:left w:w="15" w:type="dxa"/>
              <w:bottom w:w="0" w:type="dxa"/>
              <w:right w:w="15" w:type="dxa"/>
            </w:tcMar>
            <w:vAlign w:val="center"/>
            <w:hideMark/>
          </w:tcPr>
          <w:p w14:paraId="239951DA" w14:textId="77777777" w:rsidR="00490F9E" w:rsidRPr="006C7B74" w:rsidRDefault="00490F9E" w:rsidP="00683949">
            <w:pPr>
              <w:pStyle w:val="TableHeaderRow"/>
            </w:pPr>
            <w:r w:rsidRPr="006C7B74">
              <w:t>Council / SSIP</w:t>
            </w:r>
          </w:p>
        </w:tc>
        <w:tc>
          <w:tcPr>
            <w:tcW w:w="951" w:type="pct"/>
            <w:tcBorders>
              <w:top w:val="nil"/>
              <w:left w:val="nil"/>
              <w:bottom w:val="single" w:sz="8" w:space="0" w:color="4D446C"/>
              <w:right w:val="nil"/>
            </w:tcBorders>
            <w:shd w:val="clear" w:color="000000" w:fill="4D446C"/>
            <w:tcMar>
              <w:top w:w="15" w:type="dxa"/>
              <w:left w:w="15" w:type="dxa"/>
              <w:bottom w:w="0" w:type="dxa"/>
              <w:right w:w="15" w:type="dxa"/>
            </w:tcMar>
            <w:vAlign w:val="center"/>
            <w:hideMark/>
          </w:tcPr>
          <w:p w14:paraId="4BE5D5F0" w14:textId="1C540BB5" w:rsidR="00490F9E" w:rsidRPr="006C7B74" w:rsidRDefault="00490F9E" w:rsidP="00683949">
            <w:pPr>
              <w:pStyle w:val="TableHeaderRow"/>
              <w:jc w:val="center"/>
            </w:pPr>
            <w:r w:rsidRPr="006C7B74">
              <w:t>2015-16</w:t>
            </w:r>
            <w:r w:rsidR="006322F9" w:rsidRPr="006C7B74">
              <w:t xml:space="preserve"> (ha)</w:t>
            </w:r>
          </w:p>
        </w:tc>
        <w:tc>
          <w:tcPr>
            <w:tcW w:w="951" w:type="pct"/>
            <w:tcBorders>
              <w:top w:val="nil"/>
              <w:left w:val="nil"/>
              <w:bottom w:val="single" w:sz="8" w:space="0" w:color="4D446C"/>
              <w:right w:val="nil"/>
            </w:tcBorders>
            <w:shd w:val="clear" w:color="000000" w:fill="4D446C"/>
            <w:tcMar>
              <w:top w:w="15" w:type="dxa"/>
              <w:left w:w="15" w:type="dxa"/>
              <w:bottom w:w="0" w:type="dxa"/>
              <w:right w:w="15" w:type="dxa"/>
            </w:tcMar>
            <w:vAlign w:val="center"/>
            <w:hideMark/>
          </w:tcPr>
          <w:p w14:paraId="4B4D2570" w14:textId="6CDC229F" w:rsidR="00490F9E" w:rsidRPr="006C7B74" w:rsidRDefault="00490F9E" w:rsidP="00683949">
            <w:pPr>
              <w:pStyle w:val="TableHeaderRow"/>
              <w:jc w:val="center"/>
            </w:pPr>
            <w:r w:rsidRPr="006C7B74">
              <w:t>2016-17</w:t>
            </w:r>
            <w:r w:rsidR="006322F9" w:rsidRPr="006C7B74">
              <w:t xml:space="preserve"> (ha)</w:t>
            </w:r>
          </w:p>
        </w:tc>
        <w:tc>
          <w:tcPr>
            <w:tcW w:w="950" w:type="pct"/>
            <w:tcBorders>
              <w:top w:val="nil"/>
              <w:left w:val="nil"/>
              <w:bottom w:val="single" w:sz="8" w:space="0" w:color="4D446C"/>
              <w:right w:val="nil"/>
            </w:tcBorders>
            <w:shd w:val="clear" w:color="000000" w:fill="4D446C"/>
            <w:tcMar>
              <w:top w:w="15" w:type="dxa"/>
              <w:left w:w="15" w:type="dxa"/>
              <w:bottom w:w="0" w:type="dxa"/>
              <w:right w:w="15" w:type="dxa"/>
            </w:tcMar>
            <w:vAlign w:val="center"/>
            <w:hideMark/>
          </w:tcPr>
          <w:p w14:paraId="69A21DF0" w14:textId="48BE8688" w:rsidR="00490F9E" w:rsidRPr="006C7B74" w:rsidRDefault="00490F9E" w:rsidP="00683949">
            <w:pPr>
              <w:pStyle w:val="TableHeaderRow"/>
              <w:jc w:val="center"/>
            </w:pPr>
            <w:r w:rsidRPr="006C7B74">
              <w:t>2017-18</w:t>
            </w:r>
            <w:r w:rsidR="006322F9" w:rsidRPr="006C7B74">
              <w:t xml:space="preserve"> (ha)</w:t>
            </w:r>
          </w:p>
        </w:tc>
      </w:tr>
      <w:tr w:rsidR="006D5C17" w:rsidRPr="006C7B74" w14:paraId="39EBF5E6" w14:textId="77777777" w:rsidTr="00DC580D">
        <w:trPr>
          <w:trHeight w:val="283"/>
        </w:trPr>
        <w:tc>
          <w:tcPr>
            <w:tcW w:w="214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03750BAD" w14:textId="77777777" w:rsidR="006D5C17" w:rsidRPr="006C7B74" w:rsidRDefault="006D5C17">
            <w:pPr>
              <w:rPr>
                <w:rFonts w:ascii="Calibri" w:hAnsi="Calibri" w:cs="Calibri"/>
                <w:color w:val="000000"/>
                <w:sz w:val="18"/>
                <w:szCs w:val="18"/>
              </w:rPr>
            </w:pPr>
            <w:proofErr w:type="spellStart"/>
            <w:r w:rsidRPr="006C7B74">
              <w:rPr>
                <w:rFonts w:ascii="Calibri" w:hAnsi="Calibri" w:cs="Calibri"/>
                <w:color w:val="000000"/>
                <w:sz w:val="18"/>
                <w:szCs w:val="18"/>
              </w:rPr>
              <w:t>Brimbank</w:t>
            </w:r>
            <w:proofErr w:type="spellEnd"/>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3C4DA16C" w14:textId="77777777" w:rsidR="006D5C17" w:rsidRPr="006C7B74" w:rsidRDefault="006D5C17">
            <w:pPr>
              <w:jc w:val="center"/>
              <w:rPr>
                <w:rFonts w:ascii="Calibri" w:hAnsi="Calibri" w:cs="Calibri"/>
                <w:color w:val="363534"/>
                <w:sz w:val="18"/>
                <w:szCs w:val="18"/>
              </w:rPr>
            </w:pPr>
            <w:r w:rsidRPr="006C7B74">
              <w:rPr>
                <w:rFonts w:ascii="Calibri" w:hAnsi="Calibri" w:cs="Calibri"/>
                <w:color w:val="363534"/>
                <w:sz w:val="18"/>
                <w:szCs w:val="18"/>
              </w:rPr>
              <w:t>42.3</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09368135" w14:textId="77777777" w:rsidR="006D5C17" w:rsidRPr="006C7B74" w:rsidRDefault="006D5C17">
            <w:pPr>
              <w:jc w:val="center"/>
              <w:rPr>
                <w:rFonts w:ascii="Calibri" w:hAnsi="Calibri" w:cs="Calibri"/>
                <w:color w:val="363534"/>
                <w:sz w:val="18"/>
                <w:szCs w:val="18"/>
              </w:rPr>
            </w:pPr>
            <w:r w:rsidRPr="006C7B74">
              <w:rPr>
                <w:rFonts w:ascii="Calibri" w:hAnsi="Calibri" w:cs="Calibri"/>
                <w:color w:val="363534"/>
                <w:sz w:val="18"/>
                <w:szCs w:val="18"/>
              </w:rPr>
              <w:t>47.3</w:t>
            </w:r>
          </w:p>
        </w:tc>
        <w:tc>
          <w:tcPr>
            <w:tcW w:w="950"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0B0780FC" w14:textId="77777777" w:rsidR="006D5C17" w:rsidRPr="006C7B74" w:rsidRDefault="006D5C17">
            <w:pPr>
              <w:jc w:val="center"/>
              <w:rPr>
                <w:rFonts w:ascii="Calibri" w:hAnsi="Calibri" w:cs="Calibri"/>
                <w:color w:val="363534"/>
                <w:sz w:val="18"/>
                <w:szCs w:val="18"/>
              </w:rPr>
            </w:pPr>
            <w:r w:rsidRPr="006C7B74">
              <w:rPr>
                <w:rFonts w:ascii="Calibri" w:hAnsi="Calibri" w:cs="Calibri"/>
                <w:color w:val="363534"/>
                <w:sz w:val="18"/>
                <w:szCs w:val="18"/>
              </w:rPr>
              <w:t>19.7</w:t>
            </w:r>
          </w:p>
        </w:tc>
      </w:tr>
      <w:tr w:rsidR="006D5C17" w:rsidRPr="006C7B74" w14:paraId="745101D5" w14:textId="77777777" w:rsidTr="00DC580D">
        <w:trPr>
          <w:trHeight w:val="283"/>
        </w:trPr>
        <w:tc>
          <w:tcPr>
            <w:tcW w:w="214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2C4554CB" w14:textId="77777777" w:rsidR="006D5C17" w:rsidRPr="006C7B74" w:rsidRDefault="006D5C17">
            <w:pPr>
              <w:rPr>
                <w:rFonts w:ascii="Calibri" w:hAnsi="Calibri" w:cs="Calibri"/>
                <w:color w:val="000000"/>
                <w:sz w:val="18"/>
                <w:szCs w:val="18"/>
              </w:rPr>
            </w:pPr>
            <w:r w:rsidRPr="006C7B74">
              <w:rPr>
                <w:rFonts w:ascii="Calibri" w:hAnsi="Calibri" w:cs="Calibri"/>
                <w:color w:val="000000"/>
                <w:sz w:val="18"/>
                <w:szCs w:val="18"/>
              </w:rPr>
              <w:t>Hobsons Bay</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7AD2BA39" w14:textId="77777777" w:rsidR="006D5C17" w:rsidRPr="006C7B74" w:rsidRDefault="006D5C17">
            <w:pPr>
              <w:jc w:val="center"/>
              <w:rPr>
                <w:rFonts w:ascii="Calibri" w:hAnsi="Calibri" w:cs="Calibri"/>
                <w:color w:val="363534"/>
                <w:sz w:val="18"/>
                <w:szCs w:val="18"/>
              </w:rPr>
            </w:pPr>
            <w:r w:rsidRPr="006C7B74">
              <w:rPr>
                <w:rFonts w:ascii="Calibri" w:hAnsi="Calibri" w:cs="Calibri"/>
                <w:color w:val="363534"/>
                <w:sz w:val="18"/>
                <w:szCs w:val="18"/>
              </w:rPr>
              <w:t>15.5</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013F0BAE" w14:textId="77777777" w:rsidR="006D5C17" w:rsidRPr="006C7B74" w:rsidRDefault="006D5C17">
            <w:pPr>
              <w:jc w:val="center"/>
              <w:rPr>
                <w:rFonts w:ascii="Calibri" w:hAnsi="Calibri" w:cs="Calibri"/>
                <w:color w:val="363534"/>
                <w:sz w:val="18"/>
                <w:szCs w:val="18"/>
              </w:rPr>
            </w:pPr>
            <w:r w:rsidRPr="006C7B74">
              <w:rPr>
                <w:rFonts w:ascii="Calibri" w:hAnsi="Calibri" w:cs="Calibri"/>
                <w:color w:val="363534"/>
                <w:sz w:val="18"/>
                <w:szCs w:val="18"/>
              </w:rPr>
              <w:t>3.3</w:t>
            </w:r>
          </w:p>
        </w:tc>
        <w:tc>
          <w:tcPr>
            <w:tcW w:w="950"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6AAFC622" w14:textId="77777777" w:rsidR="006D5C17" w:rsidRPr="006C7B74" w:rsidRDefault="006D5C17">
            <w:pPr>
              <w:jc w:val="center"/>
              <w:rPr>
                <w:rFonts w:ascii="Calibri" w:hAnsi="Calibri" w:cs="Calibri"/>
                <w:color w:val="363534"/>
                <w:sz w:val="18"/>
                <w:szCs w:val="18"/>
              </w:rPr>
            </w:pPr>
            <w:r w:rsidRPr="006C7B74">
              <w:rPr>
                <w:rFonts w:ascii="Calibri" w:hAnsi="Calibri" w:cs="Calibri"/>
                <w:color w:val="363534"/>
                <w:sz w:val="18"/>
                <w:szCs w:val="18"/>
              </w:rPr>
              <w:t>6.6</w:t>
            </w:r>
          </w:p>
        </w:tc>
      </w:tr>
      <w:tr w:rsidR="006D5C17" w:rsidRPr="006C7B74" w14:paraId="34A98ED1" w14:textId="77777777" w:rsidTr="00DC580D">
        <w:trPr>
          <w:trHeight w:val="283"/>
        </w:trPr>
        <w:tc>
          <w:tcPr>
            <w:tcW w:w="214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62C03ADE" w14:textId="77777777" w:rsidR="006D5C17" w:rsidRPr="006C7B74" w:rsidRDefault="006D5C17">
            <w:pPr>
              <w:rPr>
                <w:rFonts w:ascii="Calibri" w:hAnsi="Calibri" w:cs="Calibri"/>
                <w:color w:val="000000"/>
                <w:sz w:val="18"/>
                <w:szCs w:val="18"/>
              </w:rPr>
            </w:pPr>
            <w:r w:rsidRPr="006C7B74">
              <w:rPr>
                <w:rFonts w:ascii="Calibri" w:hAnsi="Calibri" w:cs="Calibri"/>
                <w:color w:val="000000"/>
                <w:sz w:val="18"/>
                <w:szCs w:val="18"/>
              </w:rPr>
              <w:t>Maribyrnong</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039F4579" w14:textId="77777777" w:rsidR="006D5C17" w:rsidRPr="006C7B74" w:rsidRDefault="006D5C17">
            <w:pPr>
              <w:jc w:val="center"/>
              <w:rPr>
                <w:rFonts w:ascii="Calibri" w:hAnsi="Calibri" w:cs="Calibri"/>
                <w:color w:val="363534"/>
                <w:sz w:val="18"/>
                <w:szCs w:val="18"/>
              </w:rPr>
            </w:pPr>
            <w:r w:rsidRPr="006C7B74">
              <w:rPr>
                <w:rFonts w:ascii="Calibri" w:hAnsi="Calibri" w:cs="Calibri"/>
                <w:color w:val="363534"/>
                <w:sz w:val="18"/>
                <w:szCs w:val="18"/>
              </w:rPr>
              <w:t>0.7</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1038D8E0" w14:textId="77777777" w:rsidR="006D5C17" w:rsidRPr="006C7B74" w:rsidRDefault="006D5C17">
            <w:pPr>
              <w:jc w:val="center"/>
              <w:rPr>
                <w:rFonts w:ascii="Calibri" w:hAnsi="Calibri" w:cs="Calibri"/>
                <w:color w:val="363534"/>
                <w:sz w:val="18"/>
                <w:szCs w:val="18"/>
              </w:rPr>
            </w:pPr>
            <w:r w:rsidRPr="006C7B74">
              <w:rPr>
                <w:rFonts w:ascii="Calibri" w:hAnsi="Calibri" w:cs="Calibri"/>
                <w:color w:val="363534"/>
                <w:sz w:val="18"/>
                <w:szCs w:val="18"/>
              </w:rPr>
              <w:t>-4.3</w:t>
            </w:r>
          </w:p>
        </w:tc>
        <w:tc>
          <w:tcPr>
            <w:tcW w:w="950"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6FE4B967" w14:textId="77777777" w:rsidR="006D5C17" w:rsidRPr="006C7B74" w:rsidRDefault="006D5C17">
            <w:pPr>
              <w:jc w:val="center"/>
              <w:rPr>
                <w:rFonts w:ascii="Calibri" w:hAnsi="Calibri" w:cs="Calibri"/>
                <w:color w:val="363534"/>
                <w:sz w:val="18"/>
                <w:szCs w:val="18"/>
              </w:rPr>
            </w:pPr>
            <w:r w:rsidRPr="006C7B74">
              <w:rPr>
                <w:rFonts w:ascii="Calibri" w:hAnsi="Calibri" w:cs="Calibri"/>
                <w:color w:val="363534"/>
                <w:sz w:val="18"/>
                <w:szCs w:val="18"/>
              </w:rPr>
              <w:t>8.6</w:t>
            </w:r>
          </w:p>
        </w:tc>
      </w:tr>
      <w:tr w:rsidR="006D5C17" w:rsidRPr="006C7B74" w14:paraId="2A221DE5" w14:textId="77777777" w:rsidTr="00DC580D">
        <w:trPr>
          <w:trHeight w:val="283"/>
        </w:trPr>
        <w:tc>
          <w:tcPr>
            <w:tcW w:w="214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67D8BF11" w14:textId="77777777" w:rsidR="006D5C17" w:rsidRPr="006C7B74" w:rsidRDefault="006D5C17">
            <w:pPr>
              <w:rPr>
                <w:rFonts w:ascii="Calibri" w:hAnsi="Calibri" w:cs="Calibri"/>
                <w:color w:val="000000"/>
                <w:sz w:val="18"/>
                <w:szCs w:val="18"/>
              </w:rPr>
            </w:pPr>
            <w:r w:rsidRPr="006C7B74">
              <w:rPr>
                <w:rFonts w:ascii="Calibri" w:hAnsi="Calibri" w:cs="Calibri"/>
                <w:color w:val="000000"/>
                <w:sz w:val="18"/>
                <w:szCs w:val="18"/>
              </w:rPr>
              <w:t>Melton</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0126D289" w14:textId="77777777" w:rsidR="006D5C17" w:rsidRPr="006C7B74" w:rsidRDefault="006D5C17">
            <w:pPr>
              <w:jc w:val="center"/>
              <w:rPr>
                <w:rFonts w:ascii="Calibri" w:hAnsi="Calibri" w:cs="Calibri"/>
                <w:color w:val="363534"/>
                <w:sz w:val="18"/>
                <w:szCs w:val="18"/>
              </w:rPr>
            </w:pPr>
            <w:r w:rsidRPr="006C7B74">
              <w:rPr>
                <w:rFonts w:ascii="Calibri" w:hAnsi="Calibri" w:cs="Calibri"/>
                <w:color w:val="363534"/>
                <w:sz w:val="18"/>
                <w:szCs w:val="18"/>
              </w:rPr>
              <w:t>31.0</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49677FB3" w14:textId="77777777" w:rsidR="006D5C17" w:rsidRPr="006C7B74" w:rsidRDefault="006D5C17">
            <w:pPr>
              <w:jc w:val="center"/>
              <w:rPr>
                <w:rFonts w:ascii="Calibri" w:hAnsi="Calibri" w:cs="Calibri"/>
                <w:color w:val="363534"/>
                <w:sz w:val="18"/>
                <w:szCs w:val="18"/>
              </w:rPr>
            </w:pPr>
            <w:r w:rsidRPr="006C7B74">
              <w:rPr>
                <w:rFonts w:ascii="Calibri" w:hAnsi="Calibri" w:cs="Calibri"/>
                <w:color w:val="363534"/>
                <w:sz w:val="18"/>
                <w:szCs w:val="18"/>
              </w:rPr>
              <w:t>24.6</w:t>
            </w:r>
          </w:p>
        </w:tc>
        <w:tc>
          <w:tcPr>
            <w:tcW w:w="950"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229ADD22" w14:textId="77777777" w:rsidR="006D5C17" w:rsidRPr="006C7B74" w:rsidRDefault="006D5C17">
            <w:pPr>
              <w:jc w:val="center"/>
              <w:rPr>
                <w:rFonts w:ascii="Calibri" w:hAnsi="Calibri" w:cs="Calibri"/>
                <w:color w:val="363534"/>
                <w:sz w:val="18"/>
                <w:szCs w:val="18"/>
              </w:rPr>
            </w:pPr>
            <w:r w:rsidRPr="006C7B74">
              <w:rPr>
                <w:rFonts w:ascii="Calibri" w:hAnsi="Calibri" w:cs="Calibri"/>
                <w:color w:val="363534"/>
                <w:sz w:val="18"/>
                <w:szCs w:val="18"/>
              </w:rPr>
              <w:t>20.6</w:t>
            </w:r>
          </w:p>
        </w:tc>
      </w:tr>
      <w:tr w:rsidR="006D5C17" w:rsidRPr="006C7B74" w14:paraId="772F60E1" w14:textId="77777777" w:rsidTr="00DC580D">
        <w:trPr>
          <w:trHeight w:val="283"/>
        </w:trPr>
        <w:tc>
          <w:tcPr>
            <w:tcW w:w="214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79E1AB09" w14:textId="77777777" w:rsidR="006D5C17" w:rsidRPr="006C7B74" w:rsidRDefault="006D5C17">
            <w:pPr>
              <w:rPr>
                <w:rFonts w:ascii="Calibri" w:hAnsi="Calibri" w:cs="Calibri"/>
                <w:color w:val="000000"/>
                <w:sz w:val="18"/>
                <w:szCs w:val="18"/>
              </w:rPr>
            </w:pPr>
            <w:r w:rsidRPr="006C7B74">
              <w:rPr>
                <w:rFonts w:ascii="Calibri" w:hAnsi="Calibri" w:cs="Calibri"/>
                <w:color w:val="000000"/>
                <w:sz w:val="18"/>
                <w:szCs w:val="18"/>
              </w:rPr>
              <w:t>Moonee Valley</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616B7818" w14:textId="77777777" w:rsidR="006D5C17" w:rsidRPr="006C7B74" w:rsidRDefault="006D5C17">
            <w:pPr>
              <w:jc w:val="center"/>
              <w:rPr>
                <w:rFonts w:ascii="Calibri" w:hAnsi="Calibri" w:cs="Calibri"/>
                <w:color w:val="363534"/>
                <w:sz w:val="18"/>
                <w:szCs w:val="18"/>
              </w:rPr>
            </w:pPr>
            <w:r w:rsidRPr="006C7B74">
              <w:rPr>
                <w:rFonts w:ascii="Calibri" w:hAnsi="Calibri" w:cs="Calibri"/>
                <w:color w:val="363534"/>
                <w:sz w:val="18"/>
                <w:szCs w:val="18"/>
              </w:rPr>
              <w:t>-0.2</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72EB2C6C" w14:textId="77777777" w:rsidR="006D5C17" w:rsidRPr="006C7B74" w:rsidRDefault="006D5C17">
            <w:pPr>
              <w:jc w:val="center"/>
              <w:rPr>
                <w:rFonts w:ascii="Calibri" w:hAnsi="Calibri" w:cs="Calibri"/>
                <w:color w:val="363534"/>
                <w:sz w:val="18"/>
                <w:szCs w:val="18"/>
              </w:rPr>
            </w:pPr>
            <w:r w:rsidRPr="006C7B74">
              <w:rPr>
                <w:rFonts w:ascii="Calibri" w:hAnsi="Calibri" w:cs="Calibri"/>
                <w:color w:val="363534"/>
                <w:sz w:val="18"/>
                <w:szCs w:val="18"/>
              </w:rPr>
              <w:t>-0.2</w:t>
            </w:r>
          </w:p>
        </w:tc>
        <w:tc>
          <w:tcPr>
            <w:tcW w:w="950"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4314272A" w14:textId="77777777" w:rsidR="006D5C17" w:rsidRPr="006C7B74" w:rsidRDefault="006D5C17">
            <w:pPr>
              <w:jc w:val="center"/>
              <w:rPr>
                <w:rFonts w:ascii="Calibri" w:hAnsi="Calibri" w:cs="Calibri"/>
                <w:color w:val="363534"/>
                <w:sz w:val="18"/>
                <w:szCs w:val="18"/>
              </w:rPr>
            </w:pPr>
            <w:r w:rsidRPr="006C7B74">
              <w:rPr>
                <w:rFonts w:ascii="Calibri" w:hAnsi="Calibri" w:cs="Calibri"/>
                <w:color w:val="363534"/>
                <w:sz w:val="18"/>
                <w:szCs w:val="18"/>
              </w:rPr>
              <w:t>0.3</w:t>
            </w:r>
          </w:p>
        </w:tc>
      </w:tr>
      <w:tr w:rsidR="006D5C17" w:rsidRPr="006C7B74" w14:paraId="0B530D7E" w14:textId="77777777" w:rsidTr="00DC580D">
        <w:trPr>
          <w:trHeight w:val="283"/>
        </w:trPr>
        <w:tc>
          <w:tcPr>
            <w:tcW w:w="214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6FA483C8" w14:textId="77777777" w:rsidR="006D5C17" w:rsidRPr="006C7B74" w:rsidRDefault="006D5C17">
            <w:pPr>
              <w:rPr>
                <w:rFonts w:ascii="Calibri" w:hAnsi="Calibri" w:cs="Calibri"/>
                <w:color w:val="000000"/>
                <w:sz w:val="18"/>
                <w:szCs w:val="18"/>
              </w:rPr>
            </w:pPr>
            <w:r w:rsidRPr="006C7B74">
              <w:rPr>
                <w:rFonts w:ascii="Calibri" w:hAnsi="Calibri" w:cs="Calibri"/>
                <w:color w:val="000000"/>
                <w:sz w:val="18"/>
                <w:szCs w:val="18"/>
              </w:rPr>
              <w:t>Wyndham</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15608D2A" w14:textId="77777777" w:rsidR="006D5C17" w:rsidRPr="006C7B74" w:rsidRDefault="006D5C17">
            <w:pPr>
              <w:jc w:val="center"/>
              <w:rPr>
                <w:rFonts w:ascii="Calibri" w:hAnsi="Calibri" w:cs="Calibri"/>
                <w:color w:val="363534"/>
                <w:sz w:val="18"/>
                <w:szCs w:val="18"/>
              </w:rPr>
            </w:pPr>
            <w:r w:rsidRPr="006C7B74">
              <w:rPr>
                <w:rFonts w:ascii="Calibri" w:hAnsi="Calibri" w:cs="Calibri"/>
                <w:color w:val="363534"/>
                <w:sz w:val="18"/>
                <w:szCs w:val="18"/>
              </w:rPr>
              <w:t>54.7</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34144153" w14:textId="77777777" w:rsidR="006D5C17" w:rsidRPr="006C7B74" w:rsidRDefault="006D5C17">
            <w:pPr>
              <w:jc w:val="center"/>
              <w:rPr>
                <w:rFonts w:ascii="Calibri" w:hAnsi="Calibri" w:cs="Calibri"/>
                <w:color w:val="363534"/>
                <w:sz w:val="18"/>
                <w:szCs w:val="18"/>
              </w:rPr>
            </w:pPr>
            <w:r w:rsidRPr="006C7B74">
              <w:rPr>
                <w:rFonts w:ascii="Calibri" w:hAnsi="Calibri" w:cs="Calibri"/>
                <w:color w:val="363534"/>
                <w:sz w:val="18"/>
                <w:szCs w:val="18"/>
              </w:rPr>
              <w:t>83.2</w:t>
            </w:r>
          </w:p>
        </w:tc>
        <w:tc>
          <w:tcPr>
            <w:tcW w:w="950"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081AE86B" w14:textId="77777777" w:rsidR="006D5C17" w:rsidRPr="006C7B74" w:rsidRDefault="006D5C17">
            <w:pPr>
              <w:jc w:val="center"/>
              <w:rPr>
                <w:rFonts w:ascii="Calibri" w:hAnsi="Calibri" w:cs="Calibri"/>
                <w:color w:val="363534"/>
                <w:sz w:val="18"/>
                <w:szCs w:val="18"/>
              </w:rPr>
            </w:pPr>
            <w:r w:rsidRPr="006C7B74">
              <w:rPr>
                <w:rFonts w:ascii="Calibri" w:hAnsi="Calibri" w:cs="Calibri"/>
                <w:color w:val="363534"/>
                <w:sz w:val="18"/>
                <w:szCs w:val="18"/>
              </w:rPr>
              <w:t>45.1</w:t>
            </w:r>
          </w:p>
        </w:tc>
      </w:tr>
      <w:tr w:rsidR="006D5C17" w:rsidRPr="006C7B74" w14:paraId="5EA239FC" w14:textId="77777777" w:rsidTr="00DC580D">
        <w:trPr>
          <w:trHeight w:val="283"/>
        </w:trPr>
        <w:tc>
          <w:tcPr>
            <w:tcW w:w="214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0C394C3B" w14:textId="77777777" w:rsidR="006D5C17" w:rsidRPr="006C7B74" w:rsidRDefault="006D5C17">
            <w:pPr>
              <w:rPr>
                <w:rFonts w:ascii="Calibri" w:hAnsi="Calibri" w:cs="Calibri"/>
                <w:b/>
                <w:bCs/>
                <w:color w:val="000000"/>
                <w:sz w:val="18"/>
                <w:szCs w:val="18"/>
              </w:rPr>
            </w:pPr>
            <w:r w:rsidRPr="006C7B74">
              <w:rPr>
                <w:rFonts w:ascii="Calibri" w:hAnsi="Calibri" w:cs="Calibri"/>
                <w:b/>
                <w:bCs/>
                <w:color w:val="000000"/>
                <w:sz w:val="18"/>
                <w:szCs w:val="18"/>
              </w:rPr>
              <w:t>Western Region</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0D2E226B" w14:textId="77777777" w:rsidR="006D5C17" w:rsidRPr="006C7B74" w:rsidRDefault="006D5C17">
            <w:pPr>
              <w:jc w:val="center"/>
              <w:rPr>
                <w:rFonts w:ascii="Calibri" w:hAnsi="Calibri" w:cs="Calibri"/>
                <w:b/>
                <w:bCs/>
                <w:color w:val="363534"/>
                <w:sz w:val="18"/>
                <w:szCs w:val="18"/>
              </w:rPr>
            </w:pPr>
            <w:r w:rsidRPr="006C7B74">
              <w:rPr>
                <w:rFonts w:ascii="Calibri" w:hAnsi="Calibri" w:cs="Calibri"/>
                <w:b/>
                <w:bCs/>
                <w:color w:val="363534"/>
                <w:sz w:val="18"/>
                <w:szCs w:val="18"/>
              </w:rPr>
              <w:t>144.0</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3DEB1214" w14:textId="77777777" w:rsidR="006D5C17" w:rsidRPr="006C7B74" w:rsidRDefault="006D5C17">
            <w:pPr>
              <w:jc w:val="center"/>
              <w:rPr>
                <w:rFonts w:ascii="Calibri" w:hAnsi="Calibri" w:cs="Calibri"/>
                <w:b/>
                <w:bCs/>
                <w:color w:val="363534"/>
                <w:sz w:val="18"/>
                <w:szCs w:val="18"/>
              </w:rPr>
            </w:pPr>
            <w:r w:rsidRPr="006C7B74">
              <w:rPr>
                <w:rFonts w:ascii="Calibri" w:hAnsi="Calibri" w:cs="Calibri"/>
                <w:b/>
                <w:bCs/>
                <w:color w:val="363534"/>
                <w:sz w:val="18"/>
                <w:szCs w:val="18"/>
              </w:rPr>
              <w:t>153.9</w:t>
            </w:r>
          </w:p>
        </w:tc>
        <w:tc>
          <w:tcPr>
            <w:tcW w:w="950"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7E214D5F" w14:textId="77777777" w:rsidR="006D5C17" w:rsidRPr="006C7B74" w:rsidRDefault="006D5C17">
            <w:pPr>
              <w:jc w:val="center"/>
              <w:rPr>
                <w:rFonts w:ascii="Calibri" w:hAnsi="Calibri" w:cs="Calibri"/>
                <w:b/>
                <w:bCs/>
                <w:color w:val="363534"/>
                <w:sz w:val="18"/>
                <w:szCs w:val="18"/>
              </w:rPr>
            </w:pPr>
            <w:r w:rsidRPr="006C7B74">
              <w:rPr>
                <w:rFonts w:ascii="Calibri" w:hAnsi="Calibri" w:cs="Calibri"/>
                <w:b/>
                <w:bCs/>
                <w:color w:val="363534"/>
                <w:sz w:val="18"/>
                <w:szCs w:val="18"/>
              </w:rPr>
              <w:t>100.9</w:t>
            </w:r>
          </w:p>
        </w:tc>
      </w:tr>
      <w:tr w:rsidR="006D5C17" w:rsidRPr="006C7B74" w14:paraId="3120F917" w14:textId="77777777" w:rsidTr="00DC580D">
        <w:trPr>
          <w:trHeight w:val="283"/>
        </w:trPr>
        <w:tc>
          <w:tcPr>
            <w:tcW w:w="214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109757C9" w14:textId="77777777" w:rsidR="006D5C17" w:rsidRPr="006C7B74" w:rsidRDefault="006D5C17">
            <w:pPr>
              <w:rPr>
                <w:rFonts w:ascii="Calibri" w:hAnsi="Calibri" w:cs="Calibri"/>
                <w:i/>
                <w:iCs/>
                <w:color w:val="000000"/>
                <w:sz w:val="18"/>
                <w:szCs w:val="18"/>
              </w:rPr>
            </w:pPr>
            <w:r w:rsidRPr="006C7B74">
              <w:rPr>
                <w:rFonts w:ascii="Calibri" w:hAnsi="Calibri" w:cs="Calibri"/>
                <w:i/>
                <w:iCs/>
                <w:color w:val="000000"/>
                <w:sz w:val="18"/>
                <w:szCs w:val="18"/>
              </w:rPr>
              <w:t>Western SSIP</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190F6854" w14:textId="77777777" w:rsidR="006D5C17" w:rsidRPr="006C7B74" w:rsidRDefault="006D5C17">
            <w:pPr>
              <w:jc w:val="center"/>
              <w:rPr>
                <w:rFonts w:ascii="Calibri" w:hAnsi="Calibri" w:cs="Calibri"/>
                <w:i/>
                <w:iCs/>
                <w:color w:val="363534"/>
                <w:sz w:val="18"/>
                <w:szCs w:val="18"/>
              </w:rPr>
            </w:pPr>
            <w:r w:rsidRPr="006C7B74">
              <w:rPr>
                <w:rFonts w:ascii="Calibri" w:hAnsi="Calibri" w:cs="Calibri"/>
                <w:i/>
                <w:iCs/>
                <w:color w:val="363534"/>
                <w:sz w:val="18"/>
                <w:szCs w:val="18"/>
              </w:rPr>
              <w:t>133.0</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7F221BBA" w14:textId="77777777" w:rsidR="006D5C17" w:rsidRPr="006C7B74" w:rsidRDefault="006D5C17">
            <w:pPr>
              <w:jc w:val="center"/>
              <w:rPr>
                <w:rFonts w:ascii="Calibri" w:hAnsi="Calibri" w:cs="Calibri"/>
                <w:i/>
                <w:iCs/>
                <w:color w:val="363534"/>
                <w:sz w:val="18"/>
                <w:szCs w:val="18"/>
              </w:rPr>
            </w:pPr>
            <w:r w:rsidRPr="006C7B74">
              <w:rPr>
                <w:rFonts w:ascii="Calibri" w:hAnsi="Calibri" w:cs="Calibri"/>
                <w:i/>
                <w:iCs/>
                <w:color w:val="363534"/>
                <w:sz w:val="18"/>
                <w:szCs w:val="18"/>
              </w:rPr>
              <w:t>149.8</w:t>
            </w:r>
          </w:p>
        </w:tc>
        <w:tc>
          <w:tcPr>
            <w:tcW w:w="950"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5A8EBE22" w14:textId="77777777" w:rsidR="006D5C17" w:rsidRPr="006C7B74" w:rsidRDefault="006D5C17">
            <w:pPr>
              <w:jc w:val="center"/>
              <w:rPr>
                <w:rFonts w:ascii="Calibri" w:hAnsi="Calibri" w:cs="Calibri"/>
                <w:i/>
                <w:iCs/>
                <w:color w:val="363534"/>
                <w:sz w:val="18"/>
                <w:szCs w:val="18"/>
              </w:rPr>
            </w:pPr>
            <w:r w:rsidRPr="006C7B74">
              <w:rPr>
                <w:rFonts w:ascii="Calibri" w:hAnsi="Calibri" w:cs="Calibri"/>
                <w:i/>
                <w:iCs/>
                <w:color w:val="363534"/>
                <w:sz w:val="18"/>
                <w:szCs w:val="18"/>
              </w:rPr>
              <w:t>78.9</w:t>
            </w:r>
          </w:p>
        </w:tc>
      </w:tr>
    </w:tbl>
    <w:p w14:paraId="59768222" w14:textId="35BB8B6D" w:rsidR="002A5B72" w:rsidRPr="006C7B74" w:rsidRDefault="00DC580D" w:rsidP="00934C4D">
      <w:pPr>
        <w:spacing w:after="120"/>
        <w:rPr>
          <w:rFonts w:cstheme="minorHAnsi"/>
          <w:sz w:val="20"/>
          <w:szCs w:val="20"/>
        </w:rPr>
      </w:pPr>
      <w:r w:rsidRPr="006C7B74">
        <w:rPr>
          <w:rFonts w:cstheme="minorHAnsi"/>
          <w:i/>
          <w:sz w:val="18"/>
          <w:szCs w:val="20"/>
        </w:rPr>
        <w:t>Source: Department of Environment, Land, Water and Planning, Urban Development Program – Melbourne Metropolitan Industrial 2018</w:t>
      </w:r>
    </w:p>
    <w:p w14:paraId="326B2765" w14:textId="733E9B9F" w:rsidR="002A5B72" w:rsidRPr="006C7B74" w:rsidRDefault="002A5B72" w:rsidP="00934C4D">
      <w:pPr>
        <w:spacing w:after="120"/>
        <w:rPr>
          <w:rFonts w:cstheme="minorHAnsi"/>
          <w:sz w:val="20"/>
          <w:szCs w:val="20"/>
        </w:rPr>
      </w:pPr>
      <w:r w:rsidRPr="006C7B74">
        <w:rPr>
          <w:rFonts w:cstheme="minorHAnsi"/>
          <w:sz w:val="20"/>
          <w:szCs w:val="20"/>
        </w:rPr>
        <w:lastRenderedPageBreak/>
        <w:t xml:space="preserve">Over the last </w:t>
      </w:r>
      <w:r w:rsidR="00FD5F38" w:rsidRPr="006C7B74">
        <w:rPr>
          <w:rFonts w:cstheme="minorHAnsi"/>
          <w:sz w:val="20"/>
          <w:szCs w:val="20"/>
        </w:rPr>
        <w:t xml:space="preserve">three </w:t>
      </w:r>
      <w:r w:rsidRPr="006C7B74">
        <w:rPr>
          <w:rFonts w:cstheme="minorHAnsi"/>
          <w:sz w:val="20"/>
          <w:szCs w:val="20"/>
        </w:rPr>
        <w:t>years, the average annual rate of consumption of industrial land in the region has been</w:t>
      </w:r>
      <w:r w:rsidR="00E50BD0" w:rsidRPr="006C7B74">
        <w:rPr>
          <w:rFonts w:cstheme="minorHAnsi"/>
          <w:sz w:val="20"/>
          <w:szCs w:val="20"/>
        </w:rPr>
        <w:t xml:space="preserve"> </w:t>
      </w:r>
      <w:r w:rsidR="00595828" w:rsidRPr="006C7B74">
        <w:rPr>
          <w:rFonts w:cstheme="minorHAnsi"/>
          <w:sz w:val="20"/>
          <w:szCs w:val="20"/>
        </w:rPr>
        <w:t xml:space="preserve">around </w:t>
      </w:r>
      <w:r w:rsidR="00FD5F38" w:rsidRPr="006C7B74">
        <w:rPr>
          <w:rFonts w:cstheme="minorHAnsi"/>
          <w:sz w:val="20"/>
          <w:szCs w:val="20"/>
        </w:rPr>
        <w:t>13</w:t>
      </w:r>
      <w:r w:rsidR="00595828" w:rsidRPr="006C7B74">
        <w:rPr>
          <w:rFonts w:cstheme="minorHAnsi"/>
          <w:sz w:val="20"/>
          <w:szCs w:val="20"/>
        </w:rPr>
        <w:t>3</w:t>
      </w:r>
      <w:r w:rsidRPr="006C7B74">
        <w:rPr>
          <w:rFonts w:cstheme="minorHAnsi"/>
          <w:sz w:val="20"/>
          <w:szCs w:val="20"/>
        </w:rPr>
        <w:t xml:space="preserve"> hectares per annum. </w:t>
      </w:r>
      <w:r w:rsidR="0068720A" w:rsidRPr="006C7B74">
        <w:rPr>
          <w:rFonts w:cstheme="minorHAnsi"/>
          <w:sz w:val="20"/>
          <w:szCs w:val="20"/>
        </w:rPr>
        <w:t xml:space="preserve">Consumption rates decreased slightly last year to just over 100 </w:t>
      </w:r>
      <w:r w:rsidR="00E313EA" w:rsidRPr="006C7B74">
        <w:rPr>
          <w:rFonts w:cstheme="minorHAnsi"/>
          <w:sz w:val="20"/>
          <w:szCs w:val="20"/>
        </w:rPr>
        <w:t>hectares</w:t>
      </w:r>
      <w:r w:rsidR="0068720A" w:rsidRPr="006C7B74">
        <w:rPr>
          <w:rFonts w:cstheme="minorHAnsi"/>
          <w:sz w:val="20"/>
          <w:szCs w:val="20"/>
        </w:rPr>
        <w:t xml:space="preserve"> per annum, </w:t>
      </w:r>
      <w:r w:rsidR="00C1745C" w:rsidRPr="006C7B74">
        <w:rPr>
          <w:rFonts w:cstheme="minorHAnsi"/>
          <w:sz w:val="20"/>
          <w:szCs w:val="20"/>
        </w:rPr>
        <w:t xml:space="preserve">however </w:t>
      </w:r>
      <w:r w:rsidR="0068720A" w:rsidRPr="006C7B74">
        <w:rPr>
          <w:rFonts w:cstheme="minorHAnsi"/>
          <w:sz w:val="20"/>
          <w:szCs w:val="20"/>
        </w:rPr>
        <w:t xml:space="preserve">during </w:t>
      </w:r>
      <w:r w:rsidRPr="006C7B74">
        <w:rPr>
          <w:rFonts w:cstheme="minorHAnsi"/>
          <w:sz w:val="20"/>
          <w:szCs w:val="20"/>
        </w:rPr>
        <w:t>the period</w:t>
      </w:r>
      <w:r w:rsidR="0068720A" w:rsidRPr="006C7B74">
        <w:rPr>
          <w:rFonts w:cstheme="minorHAnsi"/>
          <w:sz w:val="20"/>
          <w:szCs w:val="20"/>
        </w:rPr>
        <w:t>s</w:t>
      </w:r>
      <w:r w:rsidRPr="006C7B74">
        <w:rPr>
          <w:rFonts w:cstheme="minorHAnsi"/>
          <w:sz w:val="20"/>
          <w:szCs w:val="20"/>
        </w:rPr>
        <w:t xml:space="preserve"> 2015</w:t>
      </w:r>
      <w:r w:rsidR="0068720A" w:rsidRPr="006C7B74">
        <w:rPr>
          <w:rFonts w:cstheme="minorHAnsi"/>
          <w:sz w:val="20"/>
          <w:szCs w:val="20"/>
        </w:rPr>
        <w:t>-</w:t>
      </w:r>
      <w:r w:rsidRPr="006C7B74">
        <w:rPr>
          <w:rFonts w:cstheme="minorHAnsi"/>
          <w:sz w:val="20"/>
          <w:szCs w:val="20"/>
        </w:rPr>
        <w:t xml:space="preserve">16 </w:t>
      </w:r>
      <w:r w:rsidR="0068720A" w:rsidRPr="006C7B74">
        <w:rPr>
          <w:rFonts w:cstheme="minorHAnsi"/>
          <w:sz w:val="20"/>
          <w:szCs w:val="20"/>
        </w:rPr>
        <w:t xml:space="preserve">and </w:t>
      </w:r>
      <w:r w:rsidRPr="006C7B74">
        <w:rPr>
          <w:rFonts w:cstheme="minorHAnsi"/>
          <w:sz w:val="20"/>
          <w:szCs w:val="20"/>
        </w:rPr>
        <w:t>2016</w:t>
      </w:r>
      <w:r w:rsidR="0068720A" w:rsidRPr="006C7B74">
        <w:rPr>
          <w:rFonts w:cstheme="minorHAnsi"/>
          <w:sz w:val="20"/>
          <w:szCs w:val="20"/>
        </w:rPr>
        <w:t>-</w:t>
      </w:r>
      <w:r w:rsidRPr="006C7B74">
        <w:rPr>
          <w:rFonts w:cstheme="minorHAnsi"/>
          <w:sz w:val="20"/>
          <w:szCs w:val="20"/>
        </w:rPr>
        <w:t xml:space="preserve">17 consumption was </w:t>
      </w:r>
      <w:r w:rsidR="0068720A" w:rsidRPr="006C7B74">
        <w:rPr>
          <w:rFonts w:cstheme="minorHAnsi"/>
          <w:sz w:val="20"/>
          <w:szCs w:val="20"/>
        </w:rPr>
        <w:t xml:space="preserve">much higher </w:t>
      </w:r>
      <w:r w:rsidRPr="006C7B74">
        <w:rPr>
          <w:rFonts w:cstheme="minorHAnsi"/>
          <w:sz w:val="20"/>
          <w:szCs w:val="20"/>
        </w:rPr>
        <w:t xml:space="preserve">at </w:t>
      </w:r>
      <w:r w:rsidR="0068720A" w:rsidRPr="006C7B74">
        <w:rPr>
          <w:rFonts w:cstheme="minorHAnsi"/>
          <w:sz w:val="20"/>
          <w:szCs w:val="20"/>
        </w:rPr>
        <w:t xml:space="preserve">an average of just under </w:t>
      </w:r>
      <w:r w:rsidRPr="006C7B74">
        <w:rPr>
          <w:rFonts w:cstheme="minorHAnsi"/>
          <w:sz w:val="20"/>
          <w:szCs w:val="20"/>
        </w:rPr>
        <w:t>1</w:t>
      </w:r>
      <w:r w:rsidR="00790666" w:rsidRPr="006C7B74">
        <w:rPr>
          <w:rFonts w:cstheme="minorHAnsi"/>
          <w:sz w:val="20"/>
          <w:szCs w:val="20"/>
        </w:rPr>
        <w:t>5</w:t>
      </w:r>
      <w:r w:rsidR="0068720A" w:rsidRPr="006C7B74">
        <w:rPr>
          <w:rFonts w:cstheme="minorHAnsi"/>
          <w:sz w:val="20"/>
          <w:szCs w:val="20"/>
        </w:rPr>
        <w:t>0</w:t>
      </w:r>
      <w:r w:rsidRPr="006C7B74">
        <w:rPr>
          <w:rFonts w:cstheme="minorHAnsi"/>
          <w:sz w:val="20"/>
          <w:szCs w:val="20"/>
        </w:rPr>
        <w:t xml:space="preserve"> hectares per annum</w:t>
      </w:r>
      <w:r w:rsidR="0068720A" w:rsidRPr="006C7B74">
        <w:rPr>
          <w:rFonts w:cstheme="minorHAnsi"/>
          <w:sz w:val="20"/>
          <w:szCs w:val="20"/>
        </w:rPr>
        <w:t>. T</w:t>
      </w:r>
      <w:r w:rsidRPr="006C7B74">
        <w:rPr>
          <w:rFonts w:cstheme="minorHAnsi"/>
          <w:sz w:val="20"/>
          <w:szCs w:val="20"/>
        </w:rPr>
        <w:t xml:space="preserve">he vast majority of </w:t>
      </w:r>
      <w:r w:rsidR="0068720A" w:rsidRPr="006C7B74">
        <w:rPr>
          <w:rFonts w:cstheme="minorHAnsi"/>
          <w:sz w:val="20"/>
          <w:szCs w:val="20"/>
        </w:rPr>
        <w:t xml:space="preserve">industrial land consumed within the region occurs </w:t>
      </w:r>
      <w:r w:rsidRPr="006C7B74">
        <w:rPr>
          <w:rFonts w:cstheme="minorHAnsi"/>
          <w:sz w:val="20"/>
          <w:szCs w:val="20"/>
        </w:rPr>
        <w:t xml:space="preserve">within the </w:t>
      </w:r>
      <w:r w:rsidR="00C40AB5" w:rsidRPr="006C7B74">
        <w:rPr>
          <w:rFonts w:cstheme="minorHAnsi"/>
          <w:sz w:val="20"/>
          <w:szCs w:val="20"/>
        </w:rPr>
        <w:t xml:space="preserve">Western </w:t>
      </w:r>
      <w:r w:rsidRPr="006C7B74">
        <w:rPr>
          <w:rFonts w:cstheme="minorHAnsi"/>
          <w:sz w:val="20"/>
          <w:szCs w:val="20"/>
        </w:rPr>
        <w:t xml:space="preserve">SSIP. </w:t>
      </w:r>
    </w:p>
    <w:p w14:paraId="678EF358" w14:textId="33A45B03" w:rsidR="002A5B72" w:rsidRPr="006C7B74" w:rsidRDefault="002A5B72" w:rsidP="00934C4D">
      <w:pPr>
        <w:spacing w:after="120"/>
        <w:rPr>
          <w:rFonts w:cstheme="minorHAnsi"/>
          <w:sz w:val="20"/>
          <w:szCs w:val="20"/>
        </w:rPr>
      </w:pPr>
      <w:r w:rsidRPr="006C7B74">
        <w:rPr>
          <w:rFonts w:cstheme="minorHAnsi"/>
          <w:sz w:val="20"/>
          <w:szCs w:val="20"/>
        </w:rPr>
        <w:t xml:space="preserve">If consumption rates </w:t>
      </w:r>
      <w:r w:rsidR="0068720A" w:rsidRPr="006C7B74">
        <w:rPr>
          <w:rFonts w:cstheme="minorHAnsi"/>
          <w:sz w:val="20"/>
          <w:szCs w:val="20"/>
        </w:rPr>
        <w:t>return to around 150 hectares per annum</w:t>
      </w:r>
      <w:r w:rsidRPr="006C7B74">
        <w:rPr>
          <w:rFonts w:cstheme="minorHAnsi"/>
          <w:sz w:val="20"/>
          <w:szCs w:val="20"/>
        </w:rPr>
        <w:t xml:space="preserve">, </w:t>
      </w:r>
      <w:r w:rsidR="0068720A" w:rsidRPr="006C7B74">
        <w:rPr>
          <w:rFonts w:cstheme="minorHAnsi"/>
          <w:sz w:val="20"/>
          <w:szCs w:val="20"/>
        </w:rPr>
        <w:t xml:space="preserve">then </w:t>
      </w:r>
      <w:r w:rsidRPr="006C7B74">
        <w:rPr>
          <w:rFonts w:cstheme="minorHAnsi"/>
          <w:sz w:val="20"/>
          <w:szCs w:val="20"/>
        </w:rPr>
        <w:t>the region as a whole</w:t>
      </w:r>
      <w:r w:rsidR="0068720A" w:rsidRPr="006C7B74">
        <w:rPr>
          <w:rFonts w:cstheme="minorHAnsi"/>
          <w:sz w:val="20"/>
          <w:szCs w:val="20"/>
        </w:rPr>
        <w:t xml:space="preserve"> would have</w:t>
      </w:r>
      <w:r w:rsidRPr="006C7B74">
        <w:rPr>
          <w:rFonts w:cstheme="minorHAnsi"/>
          <w:sz w:val="20"/>
          <w:szCs w:val="20"/>
        </w:rPr>
        <w:t xml:space="preserve"> approximately </w:t>
      </w:r>
      <w:r w:rsidR="00D15E19" w:rsidRPr="006C7B74">
        <w:rPr>
          <w:rFonts w:cstheme="minorHAnsi"/>
          <w:sz w:val="20"/>
          <w:szCs w:val="20"/>
        </w:rPr>
        <w:t xml:space="preserve">19 </w:t>
      </w:r>
      <w:r w:rsidRPr="006C7B74">
        <w:rPr>
          <w:rFonts w:cstheme="minorHAnsi"/>
          <w:sz w:val="20"/>
          <w:szCs w:val="20"/>
        </w:rPr>
        <w:t xml:space="preserve">years supply of zoned industrial land. Unzoned areas identified for future industrial purposes could provide another </w:t>
      </w:r>
      <w:r w:rsidR="00B92A2B" w:rsidRPr="006C7B74">
        <w:rPr>
          <w:rFonts w:cstheme="minorHAnsi"/>
          <w:sz w:val="20"/>
          <w:szCs w:val="20"/>
        </w:rPr>
        <w:t>13</w:t>
      </w:r>
      <w:r w:rsidRPr="006C7B74">
        <w:rPr>
          <w:rFonts w:cstheme="minorHAnsi"/>
          <w:sz w:val="20"/>
          <w:szCs w:val="20"/>
        </w:rPr>
        <w:t xml:space="preserve"> years of supply, </w:t>
      </w:r>
      <w:r w:rsidR="00A96957" w:rsidRPr="006C7B74">
        <w:rPr>
          <w:rFonts w:cstheme="minorHAnsi"/>
          <w:sz w:val="20"/>
          <w:szCs w:val="20"/>
        </w:rPr>
        <w:t>howe</w:t>
      </w:r>
      <w:r w:rsidR="004C0522" w:rsidRPr="006C7B74">
        <w:rPr>
          <w:rFonts w:cstheme="minorHAnsi"/>
          <w:sz w:val="20"/>
          <w:szCs w:val="20"/>
        </w:rPr>
        <w:t>ver</w:t>
      </w:r>
      <w:r w:rsidR="00A96957" w:rsidRPr="006C7B74">
        <w:rPr>
          <w:rFonts w:cstheme="minorHAnsi"/>
          <w:sz w:val="20"/>
          <w:szCs w:val="20"/>
        </w:rPr>
        <w:t xml:space="preserve"> </w:t>
      </w:r>
      <w:r w:rsidRPr="006C7B74">
        <w:rPr>
          <w:rFonts w:cstheme="minorHAnsi"/>
          <w:sz w:val="20"/>
          <w:szCs w:val="20"/>
        </w:rPr>
        <w:t xml:space="preserve">this is dependent on future planning for these areas as part of the </w:t>
      </w:r>
      <w:r w:rsidR="00BE0B93" w:rsidRPr="006C7B74">
        <w:rPr>
          <w:rFonts w:cstheme="minorHAnsi"/>
          <w:sz w:val="20"/>
          <w:szCs w:val="20"/>
        </w:rPr>
        <w:t>PSP</w:t>
      </w:r>
      <w:r w:rsidRPr="006C7B74">
        <w:rPr>
          <w:rFonts w:cstheme="minorHAnsi"/>
          <w:sz w:val="20"/>
          <w:szCs w:val="20"/>
        </w:rPr>
        <w:t xml:space="preserve"> proces</w:t>
      </w:r>
      <w:r w:rsidR="00D31739" w:rsidRPr="006C7B74">
        <w:rPr>
          <w:rFonts w:cstheme="minorHAnsi"/>
          <w:sz w:val="20"/>
          <w:szCs w:val="20"/>
        </w:rPr>
        <w:t>s</w:t>
      </w:r>
      <w:r w:rsidRPr="006C7B74">
        <w:rPr>
          <w:rFonts w:cstheme="minorHAnsi"/>
          <w:sz w:val="20"/>
          <w:szCs w:val="20"/>
        </w:rPr>
        <w:t>.</w:t>
      </w:r>
    </w:p>
    <w:p w14:paraId="274B78A2" w14:textId="7A77B7B9" w:rsidR="00930325" w:rsidRPr="006C7B74" w:rsidRDefault="002A5B72" w:rsidP="00934C4D">
      <w:pPr>
        <w:spacing w:after="120"/>
        <w:rPr>
          <w:rFonts w:cstheme="minorHAnsi"/>
          <w:sz w:val="20"/>
          <w:szCs w:val="20"/>
        </w:rPr>
      </w:pPr>
      <w:r w:rsidRPr="006C7B74">
        <w:rPr>
          <w:rFonts w:cstheme="minorHAnsi"/>
          <w:sz w:val="20"/>
          <w:szCs w:val="20"/>
        </w:rPr>
        <w:t xml:space="preserve">Of the total </w:t>
      </w:r>
      <w:r w:rsidR="001C5583" w:rsidRPr="006C7B74">
        <w:rPr>
          <w:rFonts w:cstheme="minorHAnsi"/>
          <w:sz w:val="20"/>
          <w:szCs w:val="20"/>
        </w:rPr>
        <w:t xml:space="preserve">zoned and </w:t>
      </w:r>
      <w:r w:rsidRPr="006C7B74">
        <w:rPr>
          <w:rFonts w:cstheme="minorHAnsi"/>
          <w:sz w:val="20"/>
          <w:szCs w:val="20"/>
        </w:rPr>
        <w:t>unzoned supply</w:t>
      </w:r>
      <w:r w:rsidR="001C5583" w:rsidRPr="006C7B74">
        <w:rPr>
          <w:rFonts w:cstheme="minorHAnsi"/>
          <w:sz w:val="20"/>
          <w:szCs w:val="20"/>
        </w:rPr>
        <w:t xml:space="preserve"> of vacant land</w:t>
      </w:r>
      <w:r w:rsidRPr="006C7B74">
        <w:rPr>
          <w:rFonts w:cstheme="minorHAnsi"/>
          <w:sz w:val="20"/>
          <w:szCs w:val="20"/>
        </w:rPr>
        <w:t xml:space="preserve">, around </w:t>
      </w:r>
      <w:r w:rsidR="00BE186D" w:rsidRPr="006C7B74">
        <w:rPr>
          <w:rFonts w:cstheme="minorHAnsi"/>
          <w:sz w:val="20"/>
          <w:szCs w:val="20"/>
        </w:rPr>
        <w:t xml:space="preserve">50 </w:t>
      </w:r>
      <w:r w:rsidRPr="006C7B74">
        <w:rPr>
          <w:rFonts w:cstheme="minorHAnsi"/>
          <w:sz w:val="20"/>
          <w:szCs w:val="20"/>
        </w:rPr>
        <w:t>per cent is within the Western SSIP</w:t>
      </w:r>
      <w:r w:rsidR="001C5583" w:rsidRPr="006C7B74">
        <w:rPr>
          <w:rFonts w:cstheme="minorHAnsi"/>
          <w:sz w:val="20"/>
          <w:szCs w:val="20"/>
        </w:rPr>
        <w:t xml:space="preserve">. </w:t>
      </w:r>
      <w:r w:rsidR="00930325" w:rsidRPr="006C7B74">
        <w:rPr>
          <w:rFonts w:cstheme="minorHAnsi"/>
          <w:sz w:val="20"/>
          <w:szCs w:val="20"/>
        </w:rPr>
        <w:t xml:space="preserve">Over the last three years, the consumption of industrial land in the </w:t>
      </w:r>
      <w:r w:rsidR="00C40AB5" w:rsidRPr="006C7B74">
        <w:rPr>
          <w:rFonts w:cstheme="minorHAnsi"/>
          <w:sz w:val="20"/>
          <w:szCs w:val="20"/>
        </w:rPr>
        <w:t xml:space="preserve">Western </w:t>
      </w:r>
      <w:r w:rsidR="00930325" w:rsidRPr="006C7B74">
        <w:rPr>
          <w:rFonts w:cstheme="minorHAnsi"/>
          <w:sz w:val="20"/>
          <w:szCs w:val="20"/>
        </w:rPr>
        <w:t>SSIP has averaged around 120 hectares per annum. There was a significant decline in consumption over the last year, and prior to that consumption was averaging around 140 hectares per annum.</w:t>
      </w:r>
    </w:p>
    <w:p w14:paraId="0D8C7789" w14:textId="486BFEFB" w:rsidR="008B4F2F" w:rsidRPr="006C7B74" w:rsidRDefault="001C5583" w:rsidP="00934C4D">
      <w:pPr>
        <w:spacing w:after="120"/>
        <w:rPr>
          <w:rFonts w:cstheme="minorHAnsi"/>
          <w:sz w:val="20"/>
          <w:szCs w:val="20"/>
        </w:rPr>
      </w:pPr>
      <w:r w:rsidRPr="006C7B74">
        <w:rPr>
          <w:rFonts w:cstheme="minorHAnsi"/>
          <w:sz w:val="20"/>
          <w:szCs w:val="20"/>
        </w:rPr>
        <w:t>If consumption rates in the Western SSIP remain at around 120 hectares per annum</w:t>
      </w:r>
      <w:r w:rsidR="006627DB" w:rsidRPr="006C7B74">
        <w:rPr>
          <w:rFonts w:cstheme="minorHAnsi"/>
          <w:sz w:val="20"/>
          <w:szCs w:val="20"/>
        </w:rPr>
        <w:t>,</w:t>
      </w:r>
      <w:r w:rsidRPr="006C7B74">
        <w:rPr>
          <w:rFonts w:cstheme="minorHAnsi"/>
          <w:sz w:val="20"/>
          <w:szCs w:val="20"/>
        </w:rPr>
        <w:t xml:space="preserve"> then this would prov</w:t>
      </w:r>
      <w:r w:rsidR="00930325" w:rsidRPr="006C7B74">
        <w:rPr>
          <w:rFonts w:cstheme="minorHAnsi"/>
          <w:sz w:val="20"/>
          <w:szCs w:val="20"/>
        </w:rPr>
        <w:t>i</w:t>
      </w:r>
      <w:r w:rsidRPr="006C7B74">
        <w:rPr>
          <w:rFonts w:cstheme="minorHAnsi"/>
          <w:sz w:val="20"/>
          <w:szCs w:val="20"/>
        </w:rPr>
        <w:t xml:space="preserve">de almost 15 years of zoned supply and just over </w:t>
      </w:r>
      <w:r w:rsidR="00594A34" w:rsidRPr="006C7B74">
        <w:rPr>
          <w:rFonts w:cstheme="minorHAnsi"/>
          <w:sz w:val="20"/>
          <w:szCs w:val="20"/>
        </w:rPr>
        <w:t>6</w:t>
      </w:r>
      <w:r w:rsidRPr="006C7B74">
        <w:rPr>
          <w:rFonts w:cstheme="minorHAnsi"/>
          <w:sz w:val="20"/>
          <w:szCs w:val="20"/>
        </w:rPr>
        <w:t xml:space="preserve"> years of unzoned supply. If consumption rates in the SSIP increased again to around 140 hectares per annum</w:t>
      </w:r>
      <w:r w:rsidR="006627DB" w:rsidRPr="006C7B74">
        <w:rPr>
          <w:rFonts w:cstheme="minorHAnsi"/>
          <w:sz w:val="20"/>
          <w:szCs w:val="20"/>
        </w:rPr>
        <w:t>,</w:t>
      </w:r>
      <w:r w:rsidR="002A5B72" w:rsidRPr="006C7B74">
        <w:rPr>
          <w:rFonts w:cstheme="minorHAnsi"/>
          <w:sz w:val="20"/>
          <w:szCs w:val="20"/>
        </w:rPr>
        <w:t xml:space="preserve"> </w:t>
      </w:r>
      <w:r w:rsidR="00930325" w:rsidRPr="006C7B74">
        <w:rPr>
          <w:rFonts w:cstheme="minorHAnsi"/>
          <w:sz w:val="20"/>
          <w:szCs w:val="20"/>
        </w:rPr>
        <w:t xml:space="preserve">then there would be around 13 years of zoned supply and </w:t>
      </w:r>
      <w:r w:rsidR="00B92A2B" w:rsidRPr="006C7B74">
        <w:rPr>
          <w:rFonts w:cstheme="minorHAnsi"/>
          <w:sz w:val="20"/>
          <w:szCs w:val="20"/>
        </w:rPr>
        <w:t>5</w:t>
      </w:r>
      <w:r w:rsidR="00930325" w:rsidRPr="006C7B74">
        <w:rPr>
          <w:rFonts w:cstheme="minorHAnsi"/>
          <w:sz w:val="20"/>
          <w:szCs w:val="20"/>
        </w:rPr>
        <w:t xml:space="preserve"> years of unzoned supply. The establishment of the </w:t>
      </w:r>
      <w:r w:rsidR="003A3DCD" w:rsidRPr="006C7B74">
        <w:rPr>
          <w:rFonts w:cstheme="minorHAnsi"/>
          <w:sz w:val="20"/>
          <w:szCs w:val="20"/>
        </w:rPr>
        <w:t>proposed</w:t>
      </w:r>
      <w:r w:rsidR="00930325" w:rsidRPr="006C7B74">
        <w:rPr>
          <w:rFonts w:cstheme="minorHAnsi"/>
          <w:sz w:val="20"/>
          <w:szCs w:val="20"/>
        </w:rPr>
        <w:t xml:space="preserve"> WIFT has </w:t>
      </w:r>
      <w:r w:rsidR="00FD3725" w:rsidRPr="006C7B74">
        <w:rPr>
          <w:rFonts w:cstheme="minorHAnsi"/>
          <w:sz w:val="20"/>
          <w:szCs w:val="20"/>
        </w:rPr>
        <w:t xml:space="preserve">the </w:t>
      </w:r>
      <w:r w:rsidR="00930325" w:rsidRPr="006C7B74">
        <w:rPr>
          <w:rFonts w:cstheme="minorHAnsi"/>
          <w:sz w:val="20"/>
          <w:szCs w:val="20"/>
        </w:rPr>
        <w:t xml:space="preserve">potential </w:t>
      </w:r>
      <w:r w:rsidR="00FD3725" w:rsidRPr="006C7B74">
        <w:rPr>
          <w:rFonts w:cstheme="minorHAnsi"/>
          <w:sz w:val="20"/>
          <w:szCs w:val="20"/>
        </w:rPr>
        <w:t xml:space="preserve">to </w:t>
      </w:r>
      <w:r w:rsidR="00930325" w:rsidRPr="006C7B74">
        <w:rPr>
          <w:rFonts w:cstheme="minorHAnsi"/>
          <w:sz w:val="20"/>
          <w:szCs w:val="20"/>
        </w:rPr>
        <w:t>bring forward much of this consumption.</w:t>
      </w:r>
    </w:p>
    <w:p w14:paraId="6771640B" w14:textId="5DD0256C" w:rsidR="008B4F2F" w:rsidRPr="006C7B74" w:rsidRDefault="008B4F2F" w:rsidP="00F62A34">
      <w:pPr>
        <w:pStyle w:val="Heading5"/>
        <w:rPr>
          <w:rFonts w:cstheme="minorHAnsi"/>
          <w:b w:val="0"/>
          <w:szCs w:val="20"/>
        </w:rPr>
      </w:pPr>
      <w:r w:rsidRPr="006C7B74">
        <w:t>Figure 1</w:t>
      </w:r>
      <w:r w:rsidR="00DC23D3" w:rsidRPr="006C7B74">
        <w:rPr>
          <w:rFonts w:cstheme="minorHAnsi"/>
          <w:szCs w:val="20"/>
        </w:rPr>
        <w:t>7</w:t>
      </w:r>
      <w:r w:rsidRPr="006C7B74">
        <w:rPr>
          <w:rFonts w:cstheme="minorHAnsi"/>
          <w:szCs w:val="20"/>
        </w:rPr>
        <w:t>: Change of zoned industrial land, Western Region, 2000-01 to 2017-18</w:t>
      </w:r>
    </w:p>
    <w:p w14:paraId="0417F69B" w14:textId="087755B5" w:rsidR="008B4F2F" w:rsidRPr="006C7B74" w:rsidRDefault="003D3C38" w:rsidP="008B4F2F">
      <w:pPr>
        <w:spacing w:after="120"/>
        <w:rPr>
          <w:rFonts w:cstheme="minorHAnsi"/>
          <w:sz w:val="20"/>
          <w:szCs w:val="20"/>
        </w:rPr>
      </w:pPr>
      <w:r w:rsidRPr="006C7B74">
        <w:rPr>
          <w:noProof/>
        </w:rPr>
        <w:drawing>
          <wp:inline distT="0" distB="0" distL="0" distR="0" wp14:anchorId="651FC636" wp14:editId="1F6A8BB1">
            <wp:extent cx="5727700" cy="4011295"/>
            <wp:effectExtent l="0" t="0" r="6350" b="8255"/>
            <wp:docPr id="1984355091" name="Picture 1984355091" descr="Map showing change of zoned industrial land, Western Region, 2000-01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27700" cy="4011295"/>
                    </a:xfrm>
                    <a:prstGeom prst="rect">
                      <a:avLst/>
                    </a:prstGeom>
                  </pic:spPr>
                </pic:pic>
              </a:graphicData>
            </a:graphic>
          </wp:inline>
        </w:drawing>
      </w:r>
    </w:p>
    <w:p w14:paraId="3C918592" w14:textId="3CA2B2BC" w:rsidR="002A5B72" w:rsidRPr="006C7B74" w:rsidRDefault="00DC580D" w:rsidP="00DC580D">
      <w:pPr>
        <w:pStyle w:val="Quote"/>
      </w:pPr>
      <w:r w:rsidRPr="006C7B74">
        <w:t>Source: Department of Environment, Land, Water and Planning, Urban Development Program – Melbourne Metropolitan Industrial 2018</w:t>
      </w:r>
    </w:p>
    <w:p w14:paraId="0B457665" w14:textId="14953C74" w:rsidR="00930325" w:rsidRPr="006C7B74" w:rsidRDefault="006C6A10" w:rsidP="00934C4D">
      <w:pPr>
        <w:spacing w:after="120"/>
        <w:rPr>
          <w:rFonts w:cstheme="minorHAnsi"/>
          <w:sz w:val="20"/>
          <w:szCs w:val="20"/>
        </w:rPr>
      </w:pPr>
      <w:r w:rsidRPr="006C7B74">
        <w:rPr>
          <w:rFonts w:cstheme="minorHAnsi"/>
          <w:sz w:val="20"/>
          <w:szCs w:val="20"/>
        </w:rPr>
        <w:t xml:space="preserve">Between 2000-01 and 2017-18 a total of </w:t>
      </w:r>
      <w:r w:rsidR="0048006B" w:rsidRPr="006C7B74">
        <w:rPr>
          <w:rFonts w:cstheme="minorHAnsi"/>
          <w:sz w:val="20"/>
          <w:szCs w:val="20"/>
        </w:rPr>
        <w:t>840</w:t>
      </w:r>
      <w:r w:rsidRPr="006C7B74">
        <w:rPr>
          <w:rFonts w:cstheme="minorHAnsi"/>
          <w:sz w:val="20"/>
          <w:szCs w:val="20"/>
        </w:rPr>
        <w:t xml:space="preserve"> h</w:t>
      </w:r>
      <w:r w:rsidR="00315599" w:rsidRPr="006C7B74">
        <w:rPr>
          <w:rFonts w:cstheme="minorHAnsi"/>
          <w:sz w:val="20"/>
          <w:szCs w:val="20"/>
        </w:rPr>
        <w:t>ect</w:t>
      </w:r>
      <w:r w:rsidRPr="006C7B74">
        <w:rPr>
          <w:rFonts w:cstheme="minorHAnsi"/>
          <w:sz w:val="20"/>
          <w:szCs w:val="20"/>
        </w:rPr>
        <w:t>a</w:t>
      </w:r>
      <w:r w:rsidR="00315599" w:rsidRPr="006C7B74">
        <w:rPr>
          <w:rFonts w:cstheme="minorHAnsi"/>
          <w:sz w:val="20"/>
          <w:szCs w:val="20"/>
        </w:rPr>
        <w:t>res</w:t>
      </w:r>
      <w:r w:rsidRPr="006C7B74">
        <w:rPr>
          <w:rFonts w:cstheme="minorHAnsi"/>
          <w:sz w:val="20"/>
          <w:szCs w:val="20"/>
        </w:rPr>
        <w:t xml:space="preserve"> of industrial land was rezoned across the region for other non-industrial uses.</w:t>
      </w:r>
    </w:p>
    <w:p w14:paraId="55E96EB3" w14:textId="2E02F05B" w:rsidR="006C6A10" w:rsidRPr="006C7B74" w:rsidRDefault="006C6A10" w:rsidP="00934C4D">
      <w:pPr>
        <w:spacing w:after="120"/>
        <w:rPr>
          <w:rFonts w:cstheme="minorHAnsi"/>
          <w:sz w:val="20"/>
          <w:szCs w:val="20"/>
        </w:rPr>
      </w:pPr>
      <w:r w:rsidRPr="006C7B74">
        <w:rPr>
          <w:rFonts w:cstheme="minorHAnsi"/>
          <w:sz w:val="20"/>
          <w:szCs w:val="20"/>
        </w:rPr>
        <w:t xml:space="preserve">The largest </w:t>
      </w:r>
      <w:r w:rsidR="000A7577" w:rsidRPr="006C7B74">
        <w:rPr>
          <w:rFonts w:cstheme="minorHAnsi"/>
          <w:sz w:val="20"/>
          <w:szCs w:val="20"/>
        </w:rPr>
        <w:t>single</w:t>
      </w:r>
      <w:r w:rsidR="00F96EC6" w:rsidRPr="006C7B74">
        <w:rPr>
          <w:rFonts w:cstheme="minorHAnsi"/>
          <w:sz w:val="20"/>
          <w:szCs w:val="20"/>
        </w:rPr>
        <w:t xml:space="preserve"> </w:t>
      </w:r>
      <w:r w:rsidRPr="006C7B74">
        <w:rPr>
          <w:rFonts w:cstheme="minorHAnsi"/>
          <w:sz w:val="20"/>
          <w:szCs w:val="20"/>
        </w:rPr>
        <w:t xml:space="preserve">loss of industrial land over this period was within </w:t>
      </w:r>
      <w:r w:rsidR="00930325" w:rsidRPr="006C7B74">
        <w:rPr>
          <w:rFonts w:cstheme="minorHAnsi"/>
          <w:sz w:val="20"/>
          <w:szCs w:val="20"/>
        </w:rPr>
        <w:t xml:space="preserve">Melton where </w:t>
      </w:r>
      <w:r w:rsidR="00F96EC6" w:rsidRPr="006C7B74">
        <w:rPr>
          <w:rFonts w:cstheme="minorHAnsi"/>
          <w:sz w:val="20"/>
          <w:szCs w:val="20"/>
        </w:rPr>
        <w:t xml:space="preserve">a site of </w:t>
      </w:r>
      <w:r w:rsidR="00930325" w:rsidRPr="006C7B74">
        <w:rPr>
          <w:rFonts w:cstheme="minorHAnsi"/>
          <w:sz w:val="20"/>
          <w:szCs w:val="20"/>
        </w:rPr>
        <w:t xml:space="preserve">just under 200 hectares of </w:t>
      </w:r>
      <w:r w:rsidR="008B4F2F" w:rsidRPr="006C7B74">
        <w:rPr>
          <w:rFonts w:cstheme="minorHAnsi"/>
          <w:sz w:val="20"/>
          <w:szCs w:val="20"/>
        </w:rPr>
        <w:t xml:space="preserve">industrial </w:t>
      </w:r>
      <w:r w:rsidR="00930325" w:rsidRPr="006C7B74">
        <w:rPr>
          <w:rFonts w:cstheme="minorHAnsi"/>
          <w:sz w:val="20"/>
          <w:szCs w:val="20"/>
        </w:rPr>
        <w:t xml:space="preserve">land was rezoned </w:t>
      </w:r>
      <w:r w:rsidR="008B4F2F" w:rsidRPr="006C7B74">
        <w:rPr>
          <w:rFonts w:cstheme="minorHAnsi"/>
          <w:sz w:val="20"/>
          <w:szCs w:val="20"/>
        </w:rPr>
        <w:t xml:space="preserve">to allow for residential development. </w:t>
      </w:r>
      <w:r w:rsidRPr="006C7B74">
        <w:rPr>
          <w:rFonts w:cstheme="minorHAnsi"/>
          <w:sz w:val="20"/>
          <w:szCs w:val="20"/>
        </w:rPr>
        <w:t xml:space="preserve">Of the remaining </w:t>
      </w:r>
      <w:r w:rsidR="008B4F2F" w:rsidRPr="006C7B74">
        <w:rPr>
          <w:rFonts w:cstheme="minorHAnsi"/>
          <w:sz w:val="20"/>
          <w:szCs w:val="20"/>
        </w:rPr>
        <w:t xml:space="preserve">industrial land </w:t>
      </w:r>
      <w:proofErr w:type="spellStart"/>
      <w:r w:rsidRPr="006C7B74">
        <w:rPr>
          <w:rFonts w:cstheme="minorHAnsi"/>
          <w:sz w:val="20"/>
          <w:szCs w:val="20"/>
        </w:rPr>
        <w:t>rezonings</w:t>
      </w:r>
      <w:proofErr w:type="spellEnd"/>
      <w:r w:rsidRPr="006C7B74">
        <w:rPr>
          <w:rFonts w:cstheme="minorHAnsi"/>
          <w:sz w:val="20"/>
          <w:szCs w:val="20"/>
        </w:rPr>
        <w:t xml:space="preserve"> that occurred over this period, </w:t>
      </w:r>
      <w:r w:rsidR="00BA07EB" w:rsidRPr="006C7B74">
        <w:rPr>
          <w:rFonts w:cstheme="minorHAnsi"/>
          <w:sz w:val="20"/>
          <w:szCs w:val="20"/>
        </w:rPr>
        <w:t>49</w:t>
      </w:r>
      <w:r w:rsidRPr="006C7B74">
        <w:rPr>
          <w:rFonts w:cstheme="minorHAnsi"/>
          <w:sz w:val="20"/>
          <w:szCs w:val="20"/>
        </w:rPr>
        <w:t xml:space="preserve"> per cent</w:t>
      </w:r>
      <w:r w:rsidR="00463B6F" w:rsidRPr="006C7B74">
        <w:rPr>
          <w:rFonts w:cstheme="minorHAnsi"/>
          <w:sz w:val="20"/>
          <w:szCs w:val="20"/>
        </w:rPr>
        <w:t xml:space="preserve"> </w:t>
      </w:r>
      <w:r w:rsidR="002355FC" w:rsidRPr="006C7B74">
        <w:rPr>
          <w:rFonts w:cstheme="minorHAnsi"/>
          <w:sz w:val="20"/>
          <w:szCs w:val="20"/>
        </w:rPr>
        <w:t xml:space="preserve">involved </w:t>
      </w:r>
      <w:r w:rsidRPr="006C7B74">
        <w:rPr>
          <w:rFonts w:cstheme="minorHAnsi"/>
          <w:sz w:val="20"/>
          <w:szCs w:val="20"/>
        </w:rPr>
        <w:t>sites of less than 2 h</w:t>
      </w:r>
      <w:r w:rsidR="002355FC" w:rsidRPr="006C7B74">
        <w:rPr>
          <w:rFonts w:cstheme="minorHAnsi"/>
          <w:sz w:val="20"/>
          <w:szCs w:val="20"/>
        </w:rPr>
        <w:t>ectares</w:t>
      </w:r>
      <w:r w:rsidR="008B4F2F" w:rsidRPr="006C7B74">
        <w:rPr>
          <w:rFonts w:cstheme="minorHAnsi"/>
          <w:sz w:val="20"/>
          <w:szCs w:val="20"/>
        </w:rPr>
        <w:t xml:space="preserve"> in size</w:t>
      </w:r>
      <w:r w:rsidR="002355FC" w:rsidRPr="006C7B74">
        <w:rPr>
          <w:rFonts w:cstheme="minorHAnsi"/>
          <w:sz w:val="20"/>
          <w:szCs w:val="20"/>
        </w:rPr>
        <w:t>.</w:t>
      </w:r>
    </w:p>
    <w:p w14:paraId="5C412787" w14:textId="59378D6B" w:rsidR="00930325" w:rsidRPr="006C7B74" w:rsidRDefault="008B4F2F" w:rsidP="00934C4D">
      <w:pPr>
        <w:spacing w:after="120"/>
        <w:rPr>
          <w:rFonts w:cstheme="minorHAnsi"/>
          <w:sz w:val="20"/>
          <w:szCs w:val="20"/>
        </w:rPr>
      </w:pPr>
      <w:r w:rsidRPr="006C7B74">
        <w:rPr>
          <w:rFonts w:cstheme="minorHAnsi"/>
          <w:sz w:val="20"/>
          <w:szCs w:val="20"/>
        </w:rPr>
        <w:lastRenderedPageBreak/>
        <w:t>Of all the industrial land rezoned over the period, more than half (54 per cent) was rezoned to allow for mixed</w:t>
      </w:r>
      <w:r w:rsidR="00784E6C" w:rsidRPr="006C7B74">
        <w:rPr>
          <w:rFonts w:cstheme="minorHAnsi"/>
          <w:sz w:val="20"/>
          <w:szCs w:val="20"/>
        </w:rPr>
        <w:t>-</w:t>
      </w:r>
      <w:r w:rsidRPr="006C7B74">
        <w:rPr>
          <w:rFonts w:cstheme="minorHAnsi"/>
          <w:sz w:val="20"/>
          <w:szCs w:val="20"/>
        </w:rPr>
        <w:t>use or residential development.</w:t>
      </w:r>
    </w:p>
    <w:p w14:paraId="6FF438C8" w14:textId="77777777" w:rsidR="00930325" w:rsidRPr="006C7B74" w:rsidRDefault="00930325" w:rsidP="00934C4D">
      <w:pPr>
        <w:spacing w:after="120"/>
        <w:rPr>
          <w:rFonts w:cstheme="minorHAnsi"/>
          <w:sz w:val="20"/>
          <w:szCs w:val="20"/>
        </w:rPr>
      </w:pPr>
    </w:p>
    <w:p w14:paraId="549022CB" w14:textId="77777777" w:rsidR="002A5B72" w:rsidRPr="006C7B74" w:rsidRDefault="002A5B72" w:rsidP="00934C4D">
      <w:pPr>
        <w:pStyle w:val="Heading3"/>
        <w:spacing w:before="0" w:after="120"/>
      </w:pPr>
      <w:r w:rsidRPr="006C7B74">
        <w:t>Commercial land</w:t>
      </w:r>
    </w:p>
    <w:p w14:paraId="38939BD7" w14:textId="045C022A" w:rsidR="002A5B72" w:rsidRPr="006C7B74" w:rsidRDefault="002A5B72" w:rsidP="00934C4D">
      <w:pPr>
        <w:spacing w:after="120"/>
        <w:rPr>
          <w:rFonts w:cstheme="minorHAnsi"/>
          <w:sz w:val="20"/>
          <w:szCs w:val="20"/>
        </w:rPr>
      </w:pPr>
      <w:r w:rsidRPr="006C7B74">
        <w:rPr>
          <w:rFonts w:cstheme="minorHAnsi"/>
          <w:sz w:val="20"/>
          <w:szCs w:val="20"/>
        </w:rPr>
        <w:t xml:space="preserve">Currently across the region there </w:t>
      </w:r>
      <w:r w:rsidR="00815809" w:rsidRPr="006C7B74">
        <w:rPr>
          <w:rFonts w:cstheme="minorHAnsi"/>
          <w:sz w:val="20"/>
          <w:szCs w:val="20"/>
        </w:rPr>
        <w:t xml:space="preserve">is </w:t>
      </w:r>
      <w:r w:rsidRPr="006C7B74">
        <w:rPr>
          <w:rFonts w:cstheme="minorHAnsi"/>
          <w:sz w:val="20"/>
          <w:szCs w:val="20"/>
        </w:rPr>
        <w:t xml:space="preserve">a total of </w:t>
      </w:r>
      <w:r w:rsidR="009D7FF1" w:rsidRPr="006C7B74">
        <w:rPr>
          <w:rFonts w:cstheme="minorHAnsi"/>
          <w:sz w:val="20"/>
          <w:szCs w:val="20"/>
        </w:rPr>
        <w:t>949</w:t>
      </w:r>
      <w:r w:rsidRPr="006C7B74">
        <w:rPr>
          <w:rFonts w:cstheme="minorHAnsi"/>
          <w:sz w:val="20"/>
          <w:szCs w:val="20"/>
        </w:rPr>
        <w:t xml:space="preserve"> hectares of land that has been identified as being zoned for commercial purpose</w:t>
      </w:r>
      <w:r w:rsidR="00817BDC" w:rsidRPr="006C7B74">
        <w:rPr>
          <w:rFonts w:cstheme="minorHAnsi"/>
          <w:sz w:val="20"/>
          <w:szCs w:val="20"/>
        </w:rPr>
        <w:t>s</w:t>
      </w:r>
      <w:r w:rsidRPr="006C7B74">
        <w:rPr>
          <w:rFonts w:cstheme="minorHAnsi"/>
          <w:sz w:val="20"/>
          <w:szCs w:val="20"/>
        </w:rPr>
        <w:t xml:space="preserve">. It is estimated that there is approximately </w:t>
      </w:r>
      <w:r w:rsidR="00EA30F8" w:rsidRPr="006C7B74">
        <w:rPr>
          <w:rFonts w:cstheme="minorHAnsi"/>
          <w:sz w:val="20"/>
          <w:szCs w:val="20"/>
        </w:rPr>
        <w:t>2.9</w:t>
      </w:r>
      <w:r w:rsidRPr="006C7B74">
        <w:rPr>
          <w:rFonts w:cstheme="minorHAnsi"/>
          <w:sz w:val="20"/>
          <w:szCs w:val="20"/>
        </w:rPr>
        <w:t xml:space="preserve"> million square metres of floorspace used or available for commercial purposes on this land. Approximately 47 per cent of all the existing floorspace supply is located within the municipalities of </w:t>
      </w:r>
      <w:proofErr w:type="spellStart"/>
      <w:r w:rsidRPr="006C7B74">
        <w:rPr>
          <w:rFonts w:cstheme="minorHAnsi"/>
          <w:sz w:val="20"/>
          <w:szCs w:val="20"/>
        </w:rPr>
        <w:t>Brimbank</w:t>
      </w:r>
      <w:proofErr w:type="spellEnd"/>
      <w:r w:rsidRPr="006C7B74">
        <w:rPr>
          <w:rFonts w:cstheme="minorHAnsi"/>
          <w:sz w:val="20"/>
          <w:szCs w:val="20"/>
        </w:rPr>
        <w:t xml:space="preserve"> and Moonee Valley</w:t>
      </w:r>
      <w:r w:rsidR="006E583F" w:rsidRPr="006C7B74">
        <w:rPr>
          <w:rFonts w:cstheme="minorHAnsi"/>
          <w:sz w:val="20"/>
          <w:szCs w:val="20"/>
        </w:rPr>
        <w:t>.</w:t>
      </w:r>
    </w:p>
    <w:p w14:paraId="6747FBFA" w14:textId="3D6C7747" w:rsidR="00815809" w:rsidRPr="006C7B74" w:rsidRDefault="00815809" w:rsidP="00815809">
      <w:pPr>
        <w:spacing w:after="120"/>
        <w:rPr>
          <w:rFonts w:cstheme="minorHAnsi"/>
          <w:sz w:val="20"/>
          <w:szCs w:val="20"/>
        </w:rPr>
      </w:pPr>
      <w:r w:rsidRPr="006C7B74">
        <w:rPr>
          <w:rFonts w:cstheme="minorHAnsi"/>
          <w:sz w:val="20"/>
          <w:szCs w:val="20"/>
        </w:rPr>
        <w:t>Across the region a total of 187 commercial areas or centres, have been identified. Of these, 140 have less than 10,000 square metres of floorspace.</w:t>
      </w:r>
    </w:p>
    <w:p w14:paraId="2C6AFE2A" w14:textId="3494D0DF" w:rsidR="00A86CBA" w:rsidRPr="006C7B74" w:rsidRDefault="00815809" w:rsidP="00934C4D">
      <w:pPr>
        <w:spacing w:after="120"/>
        <w:rPr>
          <w:rFonts w:cstheme="minorHAnsi"/>
          <w:sz w:val="20"/>
          <w:szCs w:val="20"/>
        </w:rPr>
      </w:pPr>
      <w:r w:rsidRPr="006C7B74">
        <w:rPr>
          <w:rFonts w:cstheme="minorHAnsi"/>
          <w:sz w:val="20"/>
          <w:szCs w:val="20"/>
        </w:rPr>
        <w:t xml:space="preserve">Eight </w:t>
      </w:r>
      <w:r w:rsidR="002A5B72" w:rsidRPr="006C7B74">
        <w:rPr>
          <w:rFonts w:cstheme="minorHAnsi"/>
          <w:sz w:val="20"/>
          <w:szCs w:val="20"/>
        </w:rPr>
        <w:t>centres have more than 100,000 square metres of floorspace</w:t>
      </w:r>
      <w:r w:rsidR="00A86CBA" w:rsidRPr="006C7B74">
        <w:rPr>
          <w:rFonts w:cstheme="minorHAnsi"/>
          <w:sz w:val="20"/>
          <w:szCs w:val="20"/>
        </w:rPr>
        <w:t>. This includes free-standing shopping centres such as Pacific Werribee and Highpoint in Maribyrnong</w:t>
      </w:r>
      <w:r w:rsidRPr="006C7B74">
        <w:rPr>
          <w:rFonts w:cstheme="minorHAnsi"/>
          <w:sz w:val="20"/>
          <w:szCs w:val="20"/>
        </w:rPr>
        <w:t xml:space="preserve">, </w:t>
      </w:r>
      <w:r w:rsidR="00A86CBA" w:rsidRPr="006C7B74">
        <w:rPr>
          <w:rFonts w:cstheme="minorHAnsi"/>
          <w:sz w:val="20"/>
          <w:szCs w:val="20"/>
        </w:rPr>
        <w:t>and strip-based centres such as Moonee Ponds</w:t>
      </w:r>
      <w:r w:rsidR="00A02C79" w:rsidRPr="006C7B74">
        <w:rPr>
          <w:rFonts w:cstheme="minorHAnsi"/>
          <w:sz w:val="20"/>
          <w:szCs w:val="20"/>
        </w:rPr>
        <w:t>.</w:t>
      </w:r>
      <w:r w:rsidR="00A86CBA" w:rsidRPr="006C7B74">
        <w:rPr>
          <w:rFonts w:cstheme="minorHAnsi"/>
          <w:sz w:val="20"/>
          <w:szCs w:val="20"/>
        </w:rPr>
        <w:t xml:space="preserve"> </w:t>
      </w:r>
      <w:r w:rsidRPr="006C7B74">
        <w:rPr>
          <w:rFonts w:cstheme="minorHAnsi"/>
          <w:sz w:val="20"/>
          <w:szCs w:val="20"/>
        </w:rPr>
        <w:t>C</w:t>
      </w:r>
      <w:r w:rsidR="002A5B72" w:rsidRPr="006C7B74">
        <w:rPr>
          <w:rFonts w:cstheme="minorHAnsi"/>
          <w:sz w:val="20"/>
          <w:szCs w:val="20"/>
        </w:rPr>
        <w:t>ombined</w:t>
      </w:r>
      <w:r w:rsidRPr="006C7B74">
        <w:rPr>
          <w:rFonts w:cstheme="minorHAnsi"/>
          <w:sz w:val="20"/>
          <w:szCs w:val="20"/>
        </w:rPr>
        <w:t xml:space="preserve"> these centres</w:t>
      </w:r>
      <w:r w:rsidR="002A5B72" w:rsidRPr="006C7B74">
        <w:rPr>
          <w:rFonts w:cstheme="minorHAnsi"/>
          <w:sz w:val="20"/>
          <w:szCs w:val="20"/>
        </w:rPr>
        <w:t xml:space="preserve"> account for half of the </w:t>
      </w:r>
      <w:r w:rsidRPr="006C7B74">
        <w:rPr>
          <w:rFonts w:cstheme="minorHAnsi"/>
          <w:sz w:val="20"/>
          <w:szCs w:val="20"/>
        </w:rPr>
        <w:t xml:space="preserve">identified commercial floorspace </w:t>
      </w:r>
      <w:r w:rsidR="00A86CBA" w:rsidRPr="006C7B74">
        <w:rPr>
          <w:rFonts w:cstheme="minorHAnsi"/>
          <w:sz w:val="20"/>
          <w:szCs w:val="20"/>
        </w:rPr>
        <w:t>across</w:t>
      </w:r>
      <w:r w:rsidRPr="006C7B74">
        <w:rPr>
          <w:rFonts w:cstheme="minorHAnsi"/>
          <w:sz w:val="20"/>
          <w:szCs w:val="20"/>
        </w:rPr>
        <w:t xml:space="preserve"> the </w:t>
      </w:r>
      <w:r w:rsidR="002A5B72" w:rsidRPr="006C7B74">
        <w:rPr>
          <w:rFonts w:cstheme="minorHAnsi"/>
          <w:sz w:val="20"/>
          <w:szCs w:val="20"/>
        </w:rPr>
        <w:t xml:space="preserve">region. </w:t>
      </w:r>
    </w:p>
    <w:p w14:paraId="33B7E91D" w14:textId="5C6511DC" w:rsidR="002A5B72" w:rsidRPr="006C7B74" w:rsidRDefault="002A5B72" w:rsidP="00934C4D">
      <w:pPr>
        <w:spacing w:after="120"/>
        <w:rPr>
          <w:rFonts w:cstheme="minorHAnsi"/>
          <w:sz w:val="20"/>
          <w:szCs w:val="20"/>
        </w:rPr>
      </w:pPr>
      <w:proofErr w:type="spellStart"/>
      <w:r w:rsidRPr="006C7B74">
        <w:rPr>
          <w:rFonts w:cstheme="minorHAnsi"/>
          <w:sz w:val="20"/>
          <w:szCs w:val="20"/>
        </w:rPr>
        <w:t>Brimbank</w:t>
      </w:r>
      <w:proofErr w:type="spellEnd"/>
      <w:r w:rsidRPr="006C7B74">
        <w:rPr>
          <w:rFonts w:cstheme="minorHAnsi"/>
          <w:sz w:val="20"/>
          <w:szCs w:val="20"/>
        </w:rPr>
        <w:t xml:space="preserve"> has the largest number of centres (6</w:t>
      </w:r>
      <w:r w:rsidR="00743E51" w:rsidRPr="006C7B74">
        <w:rPr>
          <w:rFonts w:cstheme="minorHAnsi"/>
          <w:sz w:val="20"/>
          <w:szCs w:val="20"/>
        </w:rPr>
        <w:t>2</w:t>
      </w:r>
      <w:r w:rsidRPr="006C7B74">
        <w:rPr>
          <w:rFonts w:cstheme="minorHAnsi"/>
          <w:sz w:val="20"/>
          <w:szCs w:val="20"/>
        </w:rPr>
        <w:t>) and Melton the fewest (1</w:t>
      </w:r>
      <w:r w:rsidR="00743E51" w:rsidRPr="006C7B74">
        <w:rPr>
          <w:rFonts w:cstheme="minorHAnsi"/>
          <w:sz w:val="20"/>
          <w:szCs w:val="20"/>
        </w:rPr>
        <w:t>4</w:t>
      </w:r>
      <w:r w:rsidRPr="006C7B74">
        <w:rPr>
          <w:rFonts w:cstheme="minorHAnsi"/>
          <w:sz w:val="20"/>
          <w:szCs w:val="20"/>
        </w:rPr>
        <w:t xml:space="preserve">). </w:t>
      </w:r>
    </w:p>
    <w:p w14:paraId="7ECC0D91" w14:textId="77777777" w:rsidR="00815809" w:rsidRPr="006C7B74" w:rsidRDefault="00815809" w:rsidP="00934C4D">
      <w:pPr>
        <w:spacing w:after="120"/>
        <w:rPr>
          <w:rFonts w:cstheme="minorHAnsi"/>
          <w:sz w:val="20"/>
          <w:szCs w:val="20"/>
        </w:rPr>
      </w:pPr>
    </w:p>
    <w:p w14:paraId="056AF97A" w14:textId="592EBBEA" w:rsidR="002A5B72" w:rsidRPr="006C7B74" w:rsidRDefault="00CA4ACA" w:rsidP="00780F3C">
      <w:pPr>
        <w:pStyle w:val="Heading5"/>
        <w:rPr>
          <w:rFonts w:cstheme="minorHAnsi"/>
          <w:szCs w:val="20"/>
        </w:rPr>
      </w:pPr>
      <w:r w:rsidRPr="006C7B74">
        <w:t>Table 15: Existing commercial floorspace by centre size,</w:t>
      </w:r>
      <w:r w:rsidR="006434D9" w:rsidRPr="006C7B74">
        <w:t xml:space="preserve"> </w:t>
      </w:r>
      <w:r w:rsidR="004C382E" w:rsidRPr="006C7B74">
        <w:t>Western Region</w:t>
      </w:r>
    </w:p>
    <w:tbl>
      <w:tblPr>
        <w:tblW w:w="9049" w:type="dxa"/>
        <w:tblLook w:val="04A0" w:firstRow="1" w:lastRow="0" w:firstColumn="1" w:lastColumn="0" w:noHBand="0" w:noVBand="1"/>
      </w:tblPr>
      <w:tblGrid>
        <w:gridCol w:w="1077"/>
        <w:gridCol w:w="686"/>
        <w:gridCol w:w="868"/>
        <w:gridCol w:w="642"/>
        <w:gridCol w:w="836"/>
        <w:gridCol w:w="736"/>
        <w:gridCol w:w="904"/>
        <w:gridCol w:w="736"/>
        <w:gridCol w:w="904"/>
        <w:gridCol w:w="899"/>
        <w:gridCol w:w="1053"/>
      </w:tblGrid>
      <w:tr w:rsidR="00EC1DB1" w:rsidRPr="006C7B74" w14:paraId="4935C233" w14:textId="77777777" w:rsidTr="00B217C3">
        <w:trPr>
          <w:trHeight w:val="574"/>
        </w:trPr>
        <w:tc>
          <w:tcPr>
            <w:tcW w:w="1077" w:type="dxa"/>
            <w:tcBorders>
              <w:top w:val="nil"/>
              <w:left w:val="nil"/>
              <w:bottom w:val="nil"/>
              <w:right w:val="nil"/>
            </w:tcBorders>
            <w:shd w:val="clear" w:color="000000" w:fill="4D446C"/>
            <w:noWrap/>
            <w:vAlign w:val="center"/>
            <w:hideMark/>
          </w:tcPr>
          <w:p w14:paraId="082311B1" w14:textId="77777777" w:rsidR="002825EE" w:rsidRPr="006C7B74" w:rsidRDefault="002825EE" w:rsidP="002825EE">
            <w:pPr>
              <w:rPr>
                <w:rFonts w:cstheme="minorHAnsi"/>
                <w:b/>
                <w:color w:val="FFFFFF"/>
                <w:sz w:val="16"/>
                <w:szCs w:val="16"/>
                <w:lang w:eastAsia="en-AU"/>
              </w:rPr>
            </w:pPr>
            <w:r w:rsidRPr="006C7B74">
              <w:rPr>
                <w:rFonts w:cstheme="minorHAnsi"/>
                <w:b/>
                <w:color w:val="FFFFFF"/>
                <w:sz w:val="16"/>
                <w:szCs w:val="16"/>
                <w:lang w:eastAsia="en-AU"/>
              </w:rPr>
              <w:t>Council</w:t>
            </w:r>
          </w:p>
        </w:tc>
        <w:tc>
          <w:tcPr>
            <w:tcW w:w="0" w:type="auto"/>
            <w:gridSpan w:val="2"/>
            <w:tcBorders>
              <w:top w:val="single" w:sz="4" w:space="0" w:color="auto"/>
              <w:left w:val="nil"/>
              <w:bottom w:val="nil"/>
              <w:right w:val="nil"/>
            </w:tcBorders>
            <w:shd w:val="clear" w:color="000000" w:fill="4D446C"/>
            <w:noWrap/>
            <w:vAlign w:val="center"/>
            <w:hideMark/>
          </w:tcPr>
          <w:p w14:paraId="446A6534" w14:textId="45C49366" w:rsidR="002825EE" w:rsidRPr="006C7B74" w:rsidRDefault="002825EE" w:rsidP="002825EE">
            <w:pPr>
              <w:jc w:val="center"/>
              <w:rPr>
                <w:rFonts w:cstheme="minorHAnsi"/>
                <w:b/>
                <w:color w:val="FFFFFF"/>
                <w:sz w:val="16"/>
                <w:szCs w:val="16"/>
                <w:lang w:eastAsia="en-AU"/>
              </w:rPr>
            </w:pPr>
            <w:r w:rsidRPr="006C7B74">
              <w:rPr>
                <w:rFonts w:cstheme="minorHAnsi"/>
                <w:b/>
                <w:color w:val="FFFFFF"/>
                <w:sz w:val="16"/>
                <w:szCs w:val="16"/>
                <w:lang w:eastAsia="en-AU"/>
              </w:rPr>
              <w:t>Less than 2</w:t>
            </w:r>
            <w:r w:rsidR="00670155" w:rsidRPr="006C7B74">
              <w:rPr>
                <w:rFonts w:cstheme="minorHAnsi"/>
                <w:b/>
                <w:color w:val="FFFFFF"/>
                <w:sz w:val="16"/>
                <w:szCs w:val="16"/>
                <w:lang w:eastAsia="en-AU"/>
              </w:rPr>
              <w:t>,</w:t>
            </w:r>
            <w:r w:rsidRPr="006C7B74">
              <w:rPr>
                <w:rFonts w:cstheme="minorHAnsi"/>
                <w:b/>
                <w:color w:val="FFFFFF"/>
                <w:sz w:val="16"/>
                <w:szCs w:val="16"/>
                <w:lang w:eastAsia="en-AU"/>
              </w:rPr>
              <w:t>000 (m</w:t>
            </w:r>
            <w:r w:rsidRPr="006C7B74">
              <w:rPr>
                <w:rFonts w:cstheme="minorHAnsi"/>
                <w:b/>
                <w:color w:val="FFFFFF"/>
                <w:sz w:val="16"/>
                <w:szCs w:val="16"/>
                <w:vertAlign w:val="superscript"/>
                <w:lang w:eastAsia="en-AU"/>
              </w:rPr>
              <w:t>2</w:t>
            </w:r>
            <w:r w:rsidRPr="006C7B74">
              <w:rPr>
                <w:rFonts w:cstheme="minorHAnsi"/>
                <w:b/>
                <w:color w:val="FFFFFF"/>
                <w:sz w:val="16"/>
                <w:szCs w:val="16"/>
                <w:lang w:eastAsia="en-AU"/>
              </w:rPr>
              <w:t>)</w:t>
            </w:r>
          </w:p>
        </w:tc>
        <w:tc>
          <w:tcPr>
            <w:tcW w:w="0" w:type="auto"/>
            <w:gridSpan w:val="2"/>
            <w:tcBorders>
              <w:top w:val="single" w:sz="4" w:space="0" w:color="auto"/>
              <w:left w:val="nil"/>
              <w:bottom w:val="nil"/>
              <w:right w:val="nil"/>
            </w:tcBorders>
            <w:shd w:val="clear" w:color="000000" w:fill="4D446C"/>
            <w:noWrap/>
            <w:vAlign w:val="center"/>
            <w:hideMark/>
          </w:tcPr>
          <w:p w14:paraId="40B954AE" w14:textId="77777777" w:rsidR="002825EE" w:rsidRPr="006C7B74" w:rsidRDefault="002825EE" w:rsidP="002825EE">
            <w:pPr>
              <w:jc w:val="center"/>
              <w:rPr>
                <w:rFonts w:cstheme="minorHAnsi"/>
                <w:b/>
                <w:color w:val="FFFFFF"/>
                <w:sz w:val="16"/>
                <w:szCs w:val="16"/>
                <w:lang w:eastAsia="en-AU"/>
              </w:rPr>
            </w:pPr>
            <w:r w:rsidRPr="006C7B74">
              <w:rPr>
                <w:rFonts w:cstheme="minorHAnsi"/>
                <w:b/>
                <w:color w:val="FFFFFF"/>
                <w:sz w:val="16"/>
                <w:szCs w:val="16"/>
                <w:lang w:eastAsia="en-AU"/>
              </w:rPr>
              <w:t>2,000 to 9,999 (m</w:t>
            </w:r>
            <w:r w:rsidRPr="006C7B74">
              <w:rPr>
                <w:rFonts w:cstheme="minorHAnsi"/>
                <w:b/>
                <w:color w:val="FFFFFF"/>
                <w:sz w:val="16"/>
                <w:szCs w:val="16"/>
                <w:vertAlign w:val="superscript"/>
                <w:lang w:eastAsia="en-AU"/>
              </w:rPr>
              <w:t>2</w:t>
            </w:r>
            <w:r w:rsidRPr="006C7B74">
              <w:rPr>
                <w:rFonts w:cstheme="minorHAnsi"/>
                <w:b/>
                <w:color w:val="FFFFFF"/>
                <w:sz w:val="16"/>
                <w:szCs w:val="16"/>
                <w:lang w:eastAsia="en-AU"/>
              </w:rPr>
              <w:t>)</w:t>
            </w:r>
          </w:p>
        </w:tc>
        <w:tc>
          <w:tcPr>
            <w:tcW w:w="0" w:type="auto"/>
            <w:gridSpan w:val="2"/>
            <w:tcBorders>
              <w:top w:val="single" w:sz="4" w:space="0" w:color="auto"/>
              <w:left w:val="nil"/>
              <w:bottom w:val="nil"/>
              <w:right w:val="nil"/>
            </w:tcBorders>
            <w:shd w:val="clear" w:color="000000" w:fill="4D446C"/>
            <w:noWrap/>
            <w:vAlign w:val="center"/>
            <w:hideMark/>
          </w:tcPr>
          <w:p w14:paraId="20F27A6B" w14:textId="77777777" w:rsidR="002825EE" w:rsidRPr="006C7B74" w:rsidRDefault="002825EE" w:rsidP="002825EE">
            <w:pPr>
              <w:jc w:val="center"/>
              <w:rPr>
                <w:rFonts w:cstheme="minorHAnsi"/>
                <w:b/>
                <w:color w:val="FFFFFF"/>
                <w:sz w:val="16"/>
                <w:szCs w:val="16"/>
                <w:lang w:eastAsia="en-AU"/>
              </w:rPr>
            </w:pPr>
            <w:r w:rsidRPr="006C7B74">
              <w:rPr>
                <w:rFonts w:cstheme="minorHAnsi"/>
                <w:b/>
                <w:color w:val="FFFFFF"/>
                <w:sz w:val="16"/>
                <w:szCs w:val="16"/>
                <w:lang w:eastAsia="en-AU"/>
              </w:rPr>
              <w:t>10,000 to 49,999 (m</w:t>
            </w:r>
            <w:r w:rsidRPr="006C7B74">
              <w:rPr>
                <w:rFonts w:cstheme="minorHAnsi"/>
                <w:b/>
                <w:color w:val="FFFFFF"/>
                <w:sz w:val="16"/>
                <w:szCs w:val="16"/>
                <w:vertAlign w:val="superscript"/>
                <w:lang w:eastAsia="en-AU"/>
              </w:rPr>
              <w:t>2</w:t>
            </w:r>
            <w:r w:rsidRPr="006C7B74">
              <w:rPr>
                <w:rFonts w:cstheme="minorHAnsi"/>
                <w:b/>
                <w:color w:val="FFFFFF"/>
                <w:sz w:val="16"/>
                <w:szCs w:val="16"/>
                <w:lang w:eastAsia="en-AU"/>
              </w:rPr>
              <w:t>)</w:t>
            </w:r>
          </w:p>
        </w:tc>
        <w:tc>
          <w:tcPr>
            <w:tcW w:w="0" w:type="auto"/>
            <w:gridSpan w:val="2"/>
            <w:tcBorders>
              <w:top w:val="single" w:sz="4" w:space="0" w:color="auto"/>
              <w:left w:val="nil"/>
              <w:bottom w:val="nil"/>
              <w:right w:val="nil"/>
            </w:tcBorders>
            <w:shd w:val="clear" w:color="000000" w:fill="4D446C"/>
            <w:noWrap/>
            <w:vAlign w:val="center"/>
            <w:hideMark/>
          </w:tcPr>
          <w:p w14:paraId="114F213B" w14:textId="77777777" w:rsidR="002825EE" w:rsidRPr="006C7B74" w:rsidRDefault="002825EE" w:rsidP="002825EE">
            <w:pPr>
              <w:jc w:val="center"/>
              <w:rPr>
                <w:rFonts w:cstheme="minorHAnsi"/>
                <w:b/>
                <w:color w:val="FFFFFF"/>
                <w:sz w:val="16"/>
                <w:szCs w:val="16"/>
                <w:lang w:eastAsia="en-AU"/>
              </w:rPr>
            </w:pPr>
            <w:r w:rsidRPr="006C7B74">
              <w:rPr>
                <w:rFonts w:cstheme="minorHAnsi"/>
                <w:b/>
                <w:color w:val="FFFFFF"/>
                <w:sz w:val="16"/>
                <w:szCs w:val="16"/>
                <w:lang w:eastAsia="en-AU"/>
              </w:rPr>
              <w:t>50,000 to 99,999 (m</w:t>
            </w:r>
            <w:r w:rsidRPr="006C7B74">
              <w:rPr>
                <w:rFonts w:cstheme="minorHAnsi"/>
                <w:b/>
                <w:color w:val="FFFFFF"/>
                <w:sz w:val="16"/>
                <w:szCs w:val="16"/>
                <w:vertAlign w:val="superscript"/>
                <w:lang w:eastAsia="en-AU"/>
              </w:rPr>
              <w:t>2</w:t>
            </w:r>
            <w:r w:rsidRPr="006C7B74">
              <w:rPr>
                <w:rFonts w:cstheme="minorHAnsi"/>
                <w:b/>
                <w:color w:val="FFFFFF"/>
                <w:sz w:val="16"/>
                <w:szCs w:val="16"/>
                <w:lang w:eastAsia="en-AU"/>
              </w:rPr>
              <w:t>)</w:t>
            </w:r>
          </w:p>
        </w:tc>
        <w:tc>
          <w:tcPr>
            <w:tcW w:w="0" w:type="auto"/>
            <w:gridSpan w:val="2"/>
            <w:tcBorders>
              <w:top w:val="single" w:sz="4" w:space="0" w:color="auto"/>
              <w:left w:val="nil"/>
              <w:bottom w:val="nil"/>
              <w:right w:val="nil"/>
            </w:tcBorders>
            <w:shd w:val="clear" w:color="000000" w:fill="4D446C"/>
            <w:noWrap/>
            <w:vAlign w:val="center"/>
            <w:hideMark/>
          </w:tcPr>
          <w:p w14:paraId="23BA9D6A" w14:textId="77777777" w:rsidR="002825EE" w:rsidRPr="006C7B74" w:rsidRDefault="002825EE" w:rsidP="002825EE">
            <w:pPr>
              <w:jc w:val="center"/>
              <w:rPr>
                <w:rFonts w:cstheme="minorHAnsi"/>
                <w:b/>
                <w:color w:val="FFFFFF"/>
                <w:sz w:val="16"/>
                <w:szCs w:val="16"/>
                <w:lang w:eastAsia="en-AU"/>
              </w:rPr>
            </w:pPr>
            <w:r w:rsidRPr="006C7B74">
              <w:rPr>
                <w:rFonts w:cstheme="minorHAnsi"/>
                <w:b/>
                <w:color w:val="FFFFFF"/>
                <w:sz w:val="16"/>
                <w:szCs w:val="16"/>
                <w:lang w:eastAsia="en-AU"/>
              </w:rPr>
              <w:t>Greater than 100,000 (m</w:t>
            </w:r>
            <w:r w:rsidRPr="006C7B74">
              <w:rPr>
                <w:rFonts w:cstheme="minorHAnsi"/>
                <w:b/>
                <w:color w:val="FFFFFF"/>
                <w:sz w:val="16"/>
                <w:szCs w:val="16"/>
                <w:vertAlign w:val="superscript"/>
                <w:lang w:eastAsia="en-AU"/>
              </w:rPr>
              <w:t>2</w:t>
            </w:r>
            <w:r w:rsidRPr="006C7B74">
              <w:rPr>
                <w:rFonts w:cstheme="minorHAnsi"/>
                <w:b/>
                <w:color w:val="FFFFFF"/>
                <w:sz w:val="16"/>
                <w:szCs w:val="16"/>
                <w:lang w:eastAsia="en-AU"/>
              </w:rPr>
              <w:t>)</w:t>
            </w:r>
          </w:p>
        </w:tc>
      </w:tr>
      <w:tr w:rsidR="00E03964" w:rsidRPr="006C7B74" w14:paraId="3C48108B" w14:textId="77777777" w:rsidTr="00B217C3">
        <w:trPr>
          <w:trHeight w:val="345"/>
        </w:trPr>
        <w:tc>
          <w:tcPr>
            <w:tcW w:w="1077" w:type="dxa"/>
            <w:tcBorders>
              <w:top w:val="nil"/>
              <w:left w:val="nil"/>
              <w:bottom w:val="single" w:sz="8" w:space="0" w:color="44546A"/>
              <w:right w:val="nil"/>
            </w:tcBorders>
            <w:shd w:val="clear" w:color="auto" w:fill="auto"/>
            <w:vAlign w:val="center"/>
            <w:hideMark/>
          </w:tcPr>
          <w:p w14:paraId="2E67FE70" w14:textId="4958F2F1" w:rsidR="002825EE" w:rsidRPr="006C7B74" w:rsidRDefault="002825EE" w:rsidP="002825EE">
            <w:pPr>
              <w:rPr>
                <w:rFonts w:cstheme="minorHAnsi"/>
                <w:b/>
                <w:color w:val="000000"/>
                <w:sz w:val="16"/>
                <w:szCs w:val="16"/>
                <w:lang w:eastAsia="en-AU"/>
              </w:rPr>
            </w:pPr>
          </w:p>
        </w:tc>
        <w:tc>
          <w:tcPr>
            <w:tcW w:w="0" w:type="auto"/>
            <w:tcBorders>
              <w:top w:val="nil"/>
              <w:left w:val="nil"/>
              <w:bottom w:val="single" w:sz="8" w:space="0" w:color="44546A"/>
              <w:right w:val="nil"/>
            </w:tcBorders>
            <w:shd w:val="clear" w:color="auto" w:fill="auto"/>
            <w:vAlign w:val="center"/>
            <w:hideMark/>
          </w:tcPr>
          <w:p w14:paraId="6698D558" w14:textId="77777777" w:rsidR="002825EE" w:rsidRPr="006C7B74" w:rsidRDefault="002825EE" w:rsidP="002825EE">
            <w:pPr>
              <w:jc w:val="center"/>
              <w:rPr>
                <w:rFonts w:cstheme="minorHAnsi"/>
                <w:color w:val="000000"/>
                <w:sz w:val="14"/>
                <w:szCs w:val="16"/>
                <w:lang w:eastAsia="en-AU"/>
              </w:rPr>
            </w:pPr>
            <w:r w:rsidRPr="006C7B74">
              <w:rPr>
                <w:rFonts w:cstheme="minorHAnsi"/>
                <w:color w:val="000000"/>
                <w:sz w:val="14"/>
                <w:szCs w:val="16"/>
                <w:lang w:eastAsia="en-AU"/>
              </w:rPr>
              <w:t>No. of centres</w:t>
            </w:r>
          </w:p>
        </w:tc>
        <w:tc>
          <w:tcPr>
            <w:tcW w:w="0" w:type="auto"/>
            <w:tcBorders>
              <w:top w:val="nil"/>
              <w:left w:val="nil"/>
              <w:bottom w:val="single" w:sz="8" w:space="0" w:color="44546A"/>
              <w:right w:val="nil"/>
            </w:tcBorders>
            <w:shd w:val="clear" w:color="auto" w:fill="auto"/>
            <w:vAlign w:val="center"/>
            <w:hideMark/>
          </w:tcPr>
          <w:p w14:paraId="103D75D3" w14:textId="77777777" w:rsidR="002825EE" w:rsidRPr="006C7B74" w:rsidRDefault="002825EE" w:rsidP="002825EE">
            <w:pPr>
              <w:jc w:val="center"/>
              <w:rPr>
                <w:rFonts w:cstheme="minorHAnsi"/>
                <w:color w:val="000000"/>
                <w:sz w:val="14"/>
                <w:szCs w:val="16"/>
                <w:lang w:eastAsia="en-AU"/>
              </w:rPr>
            </w:pPr>
            <w:r w:rsidRPr="006C7B74">
              <w:rPr>
                <w:rFonts w:cstheme="minorHAnsi"/>
                <w:color w:val="000000"/>
                <w:sz w:val="14"/>
                <w:szCs w:val="16"/>
                <w:lang w:eastAsia="en-AU"/>
              </w:rPr>
              <w:t>Floorspace (m</w:t>
            </w:r>
            <w:r w:rsidRPr="006C7B74">
              <w:rPr>
                <w:rFonts w:cstheme="minorHAnsi"/>
                <w:color w:val="000000"/>
                <w:sz w:val="14"/>
                <w:szCs w:val="16"/>
                <w:vertAlign w:val="superscript"/>
                <w:lang w:eastAsia="en-AU"/>
              </w:rPr>
              <w:t>2</w:t>
            </w:r>
            <w:r w:rsidRPr="006C7B74">
              <w:rPr>
                <w:rFonts w:cstheme="minorHAnsi"/>
                <w:color w:val="000000"/>
                <w:sz w:val="14"/>
                <w:szCs w:val="16"/>
                <w:lang w:eastAsia="en-AU"/>
              </w:rPr>
              <w:t>)</w:t>
            </w:r>
          </w:p>
        </w:tc>
        <w:tc>
          <w:tcPr>
            <w:tcW w:w="0" w:type="auto"/>
            <w:tcBorders>
              <w:top w:val="nil"/>
              <w:left w:val="nil"/>
              <w:bottom w:val="single" w:sz="8" w:space="0" w:color="44546A"/>
              <w:right w:val="nil"/>
            </w:tcBorders>
            <w:shd w:val="clear" w:color="auto" w:fill="auto"/>
            <w:vAlign w:val="center"/>
            <w:hideMark/>
          </w:tcPr>
          <w:p w14:paraId="20DDE5DD" w14:textId="77777777" w:rsidR="002825EE" w:rsidRPr="006C7B74" w:rsidRDefault="002825EE" w:rsidP="002825EE">
            <w:pPr>
              <w:jc w:val="center"/>
              <w:rPr>
                <w:rFonts w:cstheme="minorHAnsi"/>
                <w:color w:val="000000"/>
                <w:sz w:val="14"/>
                <w:szCs w:val="16"/>
                <w:lang w:eastAsia="en-AU"/>
              </w:rPr>
            </w:pPr>
            <w:r w:rsidRPr="006C7B74">
              <w:rPr>
                <w:rFonts w:cstheme="minorHAnsi"/>
                <w:color w:val="000000"/>
                <w:sz w:val="14"/>
                <w:szCs w:val="16"/>
                <w:lang w:eastAsia="en-AU"/>
              </w:rPr>
              <w:t>No. of centres</w:t>
            </w:r>
          </w:p>
        </w:tc>
        <w:tc>
          <w:tcPr>
            <w:tcW w:w="0" w:type="auto"/>
            <w:tcBorders>
              <w:top w:val="nil"/>
              <w:left w:val="nil"/>
              <w:bottom w:val="single" w:sz="8" w:space="0" w:color="44546A"/>
              <w:right w:val="nil"/>
            </w:tcBorders>
            <w:shd w:val="clear" w:color="auto" w:fill="auto"/>
            <w:vAlign w:val="center"/>
            <w:hideMark/>
          </w:tcPr>
          <w:p w14:paraId="7BC80A53" w14:textId="77777777" w:rsidR="002825EE" w:rsidRPr="006C7B74" w:rsidRDefault="002825EE" w:rsidP="002825EE">
            <w:pPr>
              <w:jc w:val="center"/>
              <w:rPr>
                <w:rFonts w:cstheme="minorHAnsi"/>
                <w:color w:val="000000"/>
                <w:sz w:val="14"/>
                <w:szCs w:val="16"/>
                <w:lang w:eastAsia="en-AU"/>
              </w:rPr>
            </w:pPr>
            <w:r w:rsidRPr="006C7B74">
              <w:rPr>
                <w:rFonts w:cstheme="minorHAnsi"/>
                <w:color w:val="000000"/>
                <w:sz w:val="14"/>
                <w:szCs w:val="16"/>
                <w:lang w:eastAsia="en-AU"/>
              </w:rPr>
              <w:t>Floorspace (m</w:t>
            </w:r>
            <w:r w:rsidRPr="006C7B74">
              <w:rPr>
                <w:rFonts w:cstheme="minorHAnsi"/>
                <w:color w:val="000000"/>
                <w:sz w:val="14"/>
                <w:szCs w:val="16"/>
                <w:vertAlign w:val="superscript"/>
                <w:lang w:eastAsia="en-AU"/>
              </w:rPr>
              <w:t>2</w:t>
            </w:r>
            <w:r w:rsidRPr="006C7B74">
              <w:rPr>
                <w:rFonts w:cstheme="minorHAnsi"/>
                <w:color w:val="000000"/>
                <w:sz w:val="14"/>
                <w:szCs w:val="16"/>
                <w:lang w:eastAsia="en-AU"/>
              </w:rPr>
              <w:t>)</w:t>
            </w:r>
          </w:p>
        </w:tc>
        <w:tc>
          <w:tcPr>
            <w:tcW w:w="0" w:type="auto"/>
            <w:tcBorders>
              <w:top w:val="nil"/>
              <w:left w:val="nil"/>
              <w:bottom w:val="single" w:sz="8" w:space="0" w:color="44546A"/>
              <w:right w:val="nil"/>
            </w:tcBorders>
            <w:shd w:val="clear" w:color="auto" w:fill="auto"/>
            <w:vAlign w:val="center"/>
            <w:hideMark/>
          </w:tcPr>
          <w:p w14:paraId="44411773" w14:textId="77777777" w:rsidR="002825EE" w:rsidRPr="006C7B74" w:rsidRDefault="002825EE" w:rsidP="002825EE">
            <w:pPr>
              <w:jc w:val="center"/>
              <w:rPr>
                <w:rFonts w:cstheme="minorHAnsi"/>
                <w:color w:val="000000"/>
                <w:sz w:val="14"/>
                <w:szCs w:val="16"/>
                <w:lang w:eastAsia="en-AU"/>
              </w:rPr>
            </w:pPr>
            <w:r w:rsidRPr="006C7B74">
              <w:rPr>
                <w:rFonts w:cstheme="minorHAnsi"/>
                <w:color w:val="000000"/>
                <w:sz w:val="14"/>
                <w:szCs w:val="16"/>
                <w:lang w:eastAsia="en-AU"/>
              </w:rPr>
              <w:t>No. of centres</w:t>
            </w:r>
          </w:p>
        </w:tc>
        <w:tc>
          <w:tcPr>
            <w:tcW w:w="0" w:type="auto"/>
            <w:tcBorders>
              <w:top w:val="nil"/>
              <w:left w:val="nil"/>
              <w:bottom w:val="single" w:sz="8" w:space="0" w:color="44546A"/>
              <w:right w:val="nil"/>
            </w:tcBorders>
            <w:shd w:val="clear" w:color="auto" w:fill="auto"/>
            <w:vAlign w:val="center"/>
            <w:hideMark/>
          </w:tcPr>
          <w:p w14:paraId="102D7604" w14:textId="77777777" w:rsidR="002825EE" w:rsidRPr="006C7B74" w:rsidRDefault="002825EE" w:rsidP="002825EE">
            <w:pPr>
              <w:jc w:val="center"/>
              <w:rPr>
                <w:rFonts w:cstheme="minorHAnsi"/>
                <w:color w:val="000000"/>
                <w:sz w:val="14"/>
                <w:szCs w:val="16"/>
                <w:lang w:eastAsia="en-AU"/>
              </w:rPr>
            </w:pPr>
            <w:r w:rsidRPr="006C7B74">
              <w:rPr>
                <w:rFonts w:cstheme="minorHAnsi"/>
                <w:color w:val="000000"/>
                <w:sz w:val="14"/>
                <w:szCs w:val="16"/>
                <w:lang w:eastAsia="en-AU"/>
              </w:rPr>
              <w:t>Floorspace (m</w:t>
            </w:r>
            <w:r w:rsidRPr="006C7B74">
              <w:rPr>
                <w:rFonts w:cstheme="minorHAnsi"/>
                <w:color w:val="000000"/>
                <w:sz w:val="14"/>
                <w:szCs w:val="16"/>
                <w:vertAlign w:val="superscript"/>
                <w:lang w:eastAsia="en-AU"/>
              </w:rPr>
              <w:t>2</w:t>
            </w:r>
            <w:r w:rsidRPr="006C7B74">
              <w:rPr>
                <w:rFonts w:cstheme="minorHAnsi"/>
                <w:color w:val="000000"/>
                <w:sz w:val="14"/>
                <w:szCs w:val="16"/>
                <w:lang w:eastAsia="en-AU"/>
              </w:rPr>
              <w:t>)</w:t>
            </w:r>
          </w:p>
        </w:tc>
        <w:tc>
          <w:tcPr>
            <w:tcW w:w="0" w:type="auto"/>
            <w:tcBorders>
              <w:top w:val="nil"/>
              <w:left w:val="nil"/>
              <w:bottom w:val="single" w:sz="8" w:space="0" w:color="44546A"/>
              <w:right w:val="nil"/>
            </w:tcBorders>
            <w:shd w:val="clear" w:color="auto" w:fill="auto"/>
            <w:vAlign w:val="center"/>
            <w:hideMark/>
          </w:tcPr>
          <w:p w14:paraId="3B1525C2" w14:textId="77777777" w:rsidR="002825EE" w:rsidRPr="006C7B74" w:rsidRDefault="002825EE" w:rsidP="002825EE">
            <w:pPr>
              <w:jc w:val="center"/>
              <w:rPr>
                <w:rFonts w:cstheme="minorHAnsi"/>
                <w:color w:val="000000"/>
                <w:sz w:val="14"/>
                <w:szCs w:val="16"/>
                <w:lang w:eastAsia="en-AU"/>
              </w:rPr>
            </w:pPr>
            <w:r w:rsidRPr="006C7B74">
              <w:rPr>
                <w:rFonts w:cstheme="minorHAnsi"/>
                <w:color w:val="000000"/>
                <w:sz w:val="14"/>
                <w:szCs w:val="16"/>
                <w:lang w:eastAsia="en-AU"/>
              </w:rPr>
              <w:t>No. of centres</w:t>
            </w:r>
          </w:p>
        </w:tc>
        <w:tc>
          <w:tcPr>
            <w:tcW w:w="0" w:type="auto"/>
            <w:tcBorders>
              <w:top w:val="nil"/>
              <w:left w:val="nil"/>
              <w:bottom w:val="single" w:sz="8" w:space="0" w:color="44546A"/>
              <w:right w:val="nil"/>
            </w:tcBorders>
            <w:shd w:val="clear" w:color="auto" w:fill="auto"/>
            <w:vAlign w:val="center"/>
            <w:hideMark/>
          </w:tcPr>
          <w:p w14:paraId="3556670F" w14:textId="77777777" w:rsidR="002825EE" w:rsidRPr="006C7B74" w:rsidRDefault="002825EE" w:rsidP="002825EE">
            <w:pPr>
              <w:jc w:val="center"/>
              <w:rPr>
                <w:rFonts w:cstheme="minorHAnsi"/>
                <w:color w:val="000000"/>
                <w:sz w:val="14"/>
                <w:szCs w:val="16"/>
                <w:lang w:eastAsia="en-AU"/>
              </w:rPr>
            </w:pPr>
            <w:r w:rsidRPr="006C7B74">
              <w:rPr>
                <w:rFonts w:cstheme="minorHAnsi"/>
                <w:color w:val="000000"/>
                <w:sz w:val="14"/>
                <w:szCs w:val="16"/>
                <w:lang w:eastAsia="en-AU"/>
              </w:rPr>
              <w:t>Floorspace (m</w:t>
            </w:r>
            <w:r w:rsidRPr="006C7B74">
              <w:rPr>
                <w:rFonts w:cstheme="minorHAnsi"/>
                <w:color w:val="000000"/>
                <w:sz w:val="14"/>
                <w:szCs w:val="16"/>
                <w:vertAlign w:val="superscript"/>
                <w:lang w:eastAsia="en-AU"/>
              </w:rPr>
              <w:t>2</w:t>
            </w:r>
            <w:r w:rsidRPr="006C7B74">
              <w:rPr>
                <w:rFonts w:cstheme="minorHAnsi"/>
                <w:color w:val="000000"/>
                <w:sz w:val="14"/>
                <w:szCs w:val="16"/>
                <w:lang w:eastAsia="en-AU"/>
              </w:rPr>
              <w:t>)</w:t>
            </w:r>
          </w:p>
        </w:tc>
        <w:tc>
          <w:tcPr>
            <w:tcW w:w="0" w:type="auto"/>
            <w:tcBorders>
              <w:top w:val="nil"/>
              <w:left w:val="nil"/>
              <w:bottom w:val="single" w:sz="8" w:space="0" w:color="44546A"/>
              <w:right w:val="nil"/>
            </w:tcBorders>
            <w:shd w:val="clear" w:color="auto" w:fill="auto"/>
            <w:vAlign w:val="center"/>
            <w:hideMark/>
          </w:tcPr>
          <w:p w14:paraId="4EBC6D49" w14:textId="77777777" w:rsidR="002825EE" w:rsidRPr="006C7B74" w:rsidRDefault="002825EE" w:rsidP="002825EE">
            <w:pPr>
              <w:jc w:val="center"/>
              <w:rPr>
                <w:rFonts w:cstheme="minorHAnsi"/>
                <w:color w:val="000000"/>
                <w:sz w:val="14"/>
                <w:szCs w:val="16"/>
                <w:lang w:eastAsia="en-AU"/>
              </w:rPr>
            </w:pPr>
            <w:r w:rsidRPr="006C7B74">
              <w:rPr>
                <w:rFonts w:cstheme="minorHAnsi"/>
                <w:color w:val="000000"/>
                <w:sz w:val="14"/>
                <w:szCs w:val="16"/>
                <w:lang w:eastAsia="en-AU"/>
              </w:rPr>
              <w:t>No. of centres</w:t>
            </w:r>
          </w:p>
        </w:tc>
        <w:tc>
          <w:tcPr>
            <w:tcW w:w="0" w:type="auto"/>
            <w:tcBorders>
              <w:top w:val="nil"/>
              <w:left w:val="nil"/>
              <w:bottom w:val="single" w:sz="8" w:space="0" w:color="44546A"/>
              <w:right w:val="nil"/>
            </w:tcBorders>
            <w:shd w:val="clear" w:color="auto" w:fill="auto"/>
            <w:vAlign w:val="center"/>
            <w:hideMark/>
          </w:tcPr>
          <w:p w14:paraId="2DB96442" w14:textId="77777777" w:rsidR="002825EE" w:rsidRPr="006C7B74" w:rsidRDefault="002825EE" w:rsidP="002825EE">
            <w:pPr>
              <w:jc w:val="center"/>
              <w:rPr>
                <w:rFonts w:cstheme="minorHAnsi"/>
                <w:color w:val="000000"/>
                <w:sz w:val="14"/>
                <w:szCs w:val="16"/>
                <w:lang w:eastAsia="en-AU"/>
              </w:rPr>
            </w:pPr>
            <w:r w:rsidRPr="006C7B74">
              <w:rPr>
                <w:rFonts w:cstheme="minorHAnsi"/>
                <w:color w:val="000000"/>
                <w:sz w:val="14"/>
                <w:szCs w:val="16"/>
                <w:lang w:eastAsia="en-AU"/>
              </w:rPr>
              <w:t>Floorspace (m</w:t>
            </w:r>
            <w:r w:rsidRPr="006C7B74">
              <w:rPr>
                <w:rFonts w:cstheme="minorHAnsi"/>
                <w:color w:val="000000"/>
                <w:sz w:val="14"/>
                <w:szCs w:val="16"/>
                <w:vertAlign w:val="superscript"/>
                <w:lang w:eastAsia="en-AU"/>
              </w:rPr>
              <w:t>2</w:t>
            </w:r>
            <w:r w:rsidRPr="006C7B74">
              <w:rPr>
                <w:rFonts w:cstheme="minorHAnsi"/>
                <w:color w:val="000000"/>
                <w:sz w:val="14"/>
                <w:szCs w:val="16"/>
                <w:lang w:eastAsia="en-AU"/>
              </w:rPr>
              <w:t>)</w:t>
            </w:r>
          </w:p>
        </w:tc>
      </w:tr>
      <w:tr w:rsidR="00E03964" w:rsidRPr="006C7B74" w14:paraId="2598D5A1" w14:textId="77777777" w:rsidTr="00B217C3">
        <w:trPr>
          <w:trHeight w:val="218"/>
        </w:trPr>
        <w:tc>
          <w:tcPr>
            <w:tcW w:w="1077" w:type="dxa"/>
            <w:tcBorders>
              <w:top w:val="nil"/>
              <w:left w:val="nil"/>
              <w:bottom w:val="single" w:sz="8" w:space="0" w:color="44546A"/>
              <w:right w:val="nil"/>
            </w:tcBorders>
            <w:shd w:val="clear" w:color="auto" w:fill="auto"/>
            <w:vAlign w:val="center"/>
            <w:hideMark/>
          </w:tcPr>
          <w:p w14:paraId="33AF72CC" w14:textId="77777777" w:rsidR="002825EE" w:rsidRPr="006C7B74" w:rsidRDefault="002825EE" w:rsidP="002825EE">
            <w:pPr>
              <w:rPr>
                <w:rFonts w:cstheme="minorHAnsi"/>
                <w:color w:val="000000"/>
                <w:sz w:val="16"/>
                <w:szCs w:val="16"/>
                <w:lang w:eastAsia="en-AU"/>
              </w:rPr>
            </w:pPr>
            <w:proofErr w:type="spellStart"/>
            <w:r w:rsidRPr="006C7B74">
              <w:rPr>
                <w:rFonts w:cstheme="minorHAnsi"/>
                <w:color w:val="000000"/>
                <w:sz w:val="16"/>
                <w:szCs w:val="16"/>
                <w:lang w:eastAsia="en-AU"/>
              </w:rPr>
              <w:t>Brimbank</w:t>
            </w:r>
            <w:proofErr w:type="spellEnd"/>
          </w:p>
        </w:tc>
        <w:tc>
          <w:tcPr>
            <w:tcW w:w="0" w:type="auto"/>
            <w:tcBorders>
              <w:top w:val="nil"/>
              <w:left w:val="nil"/>
              <w:bottom w:val="single" w:sz="8" w:space="0" w:color="44546A"/>
              <w:right w:val="nil"/>
            </w:tcBorders>
            <w:shd w:val="clear" w:color="auto" w:fill="auto"/>
            <w:vAlign w:val="center"/>
            <w:hideMark/>
          </w:tcPr>
          <w:p w14:paraId="6CD3CED4"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37</w:t>
            </w:r>
          </w:p>
        </w:tc>
        <w:tc>
          <w:tcPr>
            <w:tcW w:w="0" w:type="auto"/>
            <w:tcBorders>
              <w:top w:val="nil"/>
              <w:left w:val="nil"/>
              <w:bottom w:val="single" w:sz="8" w:space="0" w:color="44546A"/>
              <w:right w:val="nil"/>
            </w:tcBorders>
            <w:shd w:val="clear" w:color="auto" w:fill="auto"/>
            <w:vAlign w:val="center"/>
            <w:hideMark/>
          </w:tcPr>
          <w:p w14:paraId="14B2893D"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35,050</w:t>
            </w:r>
          </w:p>
        </w:tc>
        <w:tc>
          <w:tcPr>
            <w:tcW w:w="0" w:type="auto"/>
            <w:tcBorders>
              <w:top w:val="nil"/>
              <w:left w:val="nil"/>
              <w:bottom w:val="single" w:sz="8" w:space="0" w:color="44546A"/>
              <w:right w:val="nil"/>
            </w:tcBorders>
            <w:shd w:val="clear" w:color="auto" w:fill="auto"/>
            <w:vAlign w:val="center"/>
            <w:hideMark/>
          </w:tcPr>
          <w:p w14:paraId="2047A422"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16</w:t>
            </w:r>
          </w:p>
        </w:tc>
        <w:tc>
          <w:tcPr>
            <w:tcW w:w="0" w:type="auto"/>
            <w:tcBorders>
              <w:top w:val="nil"/>
              <w:left w:val="nil"/>
              <w:bottom w:val="single" w:sz="8" w:space="0" w:color="44546A"/>
              <w:right w:val="nil"/>
            </w:tcBorders>
            <w:shd w:val="clear" w:color="auto" w:fill="auto"/>
            <w:vAlign w:val="center"/>
            <w:hideMark/>
          </w:tcPr>
          <w:p w14:paraId="77705DF3"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63,600</w:t>
            </w:r>
          </w:p>
        </w:tc>
        <w:tc>
          <w:tcPr>
            <w:tcW w:w="0" w:type="auto"/>
            <w:tcBorders>
              <w:top w:val="nil"/>
              <w:left w:val="nil"/>
              <w:bottom w:val="single" w:sz="8" w:space="0" w:color="44546A"/>
              <w:right w:val="nil"/>
            </w:tcBorders>
            <w:shd w:val="clear" w:color="auto" w:fill="auto"/>
            <w:vAlign w:val="center"/>
            <w:hideMark/>
          </w:tcPr>
          <w:p w14:paraId="2CD13CEC"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7</w:t>
            </w:r>
          </w:p>
        </w:tc>
        <w:tc>
          <w:tcPr>
            <w:tcW w:w="0" w:type="auto"/>
            <w:tcBorders>
              <w:top w:val="nil"/>
              <w:left w:val="nil"/>
              <w:bottom w:val="single" w:sz="8" w:space="0" w:color="44546A"/>
              <w:right w:val="nil"/>
            </w:tcBorders>
            <w:shd w:val="clear" w:color="auto" w:fill="auto"/>
            <w:vAlign w:val="center"/>
            <w:hideMark/>
          </w:tcPr>
          <w:p w14:paraId="721AF722"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169,700</w:t>
            </w:r>
          </w:p>
        </w:tc>
        <w:tc>
          <w:tcPr>
            <w:tcW w:w="0" w:type="auto"/>
            <w:tcBorders>
              <w:top w:val="nil"/>
              <w:left w:val="nil"/>
              <w:bottom w:val="single" w:sz="8" w:space="0" w:color="44546A"/>
              <w:right w:val="nil"/>
            </w:tcBorders>
            <w:shd w:val="clear" w:color="auto" w:fill="auto"/>
            <w:vAlign w:val="center"/>
            <w:hideMark/>
          </w:tcPr>
          <w:p w14:paraId="0F87C58C"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0</w:t>
            </w:r>
          </w:p>
        </w:tc>
        <w:tc>
          <w:tcPr>
            <w:tcW w:w="0" w:type="auto"/>
            <w:tcBorders>
              <w:top w:val="nil"/>
              <w:left w:val="nil"/>
              <w:bottom w:val="single" w:sz="8" w:space="0" w:color="44546A"/>
              <w:right w:val="nil"/>
            </w:tcBorders>
            <w:shd w:val="clear" w:color="auto" w:fill="auto"/>
            <w:vAlign w:val="center"/>
            <w:hideMark/>
          </w:tcPr>
          <w:p w14:paraId="66B23871"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0</w:t>
            </w:r>
          </w:p>
        </w:tc>
        <w:tc>
          <w:tcPr>
            <w:tcW w:w="0" w:type="auto"/>
            <w:tcBorders>
              <w:top w:val="nil"/>
              <w:left w:val="nil"/>
              <w:bottom w:val="single" w:sz="8" w:space="0" w:color="44546A"/>
              <w:right w:val="nil"/>
            </w:tcBorders>
            <w:shd w:val="clear" w:color="auto" w:fill="auto"/>
            <w:vAlign w:val="center"/>
            <w:hideMark/>
          </w:tcPr>
          <w:p w14:paraId="5E2C23CF"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2</w:t>
            </w:r>
          </w:p>
        </w:tc>
        <w:tc>
          <w:tcPr>
            <w:tcW w:w="0" w:type="auto"/>
            <w:tcBorders>
              <w:top w:val="nil"/>
              <w:left w:val="nil"/>
              <w:bottom w:val="single" w:sz="8" w:space="0" w:color="44546A"/>
              <w:right w:val="nil"/>
            </w:tcBorders>
            <w:shd w:val="clear" w:color="auto" w:fill="auto"/>
            <w:vAlign w:val="center"/>
            <w:hideMark/>
          </w:tcPr>
          <w:p w14:paraId="5E66B774"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445,650</w:t>
            </w:r>
          </w:p>
        </w:tc>
      </w:tr>
      <w:tr w:rsidR="00E03964" w:rsidRPr="006C7B74" w14:paraId="77E6F773" w14:textId="77777777" w:rsidTr="00B217C3">
        <w:trPr>
          <w:trHeight w:val="218"/>
        </w:trPr>
        <w:tc>
          <w:tcPr>
            <w:tcW w:w="1077" w:type="dxa"/>
            <w:tcBorders>
              <w:top w:val="nil"/>
              <w:left w:val="nil"/>
              <w:bottom w:val="single" w:sz="8" w:space="0" w:color="44546A"/>
              <w:right w:val="nil"/>
            </w:tcBorders>
            <w:shd w:val="clear" w:color="auto" w:fill="auto"/>
            <w:vAlign w:val="center"/>
            <w:hideMark/>
          </w:tcPr>
          <w:p w14:paraId="734837F5" w14:textId="77777777" w:rsidR="002825EE" w:rsidRPr="006C7B74" w:rsidRDefault="002825EE" w:rsidP="002825EE">
            <w:pPr>
              <w:rPr>
                <w:rFonts w:cstheme="minorHAnsi"/>
                <w:color w:val="000000"/>
                <w:sz w:val="16"/>
                <w:szCs w:val="16"/>
                <w:lang w:eastAsia="en-AU"/>
              </w:rPr>
            </w:pPr>
            <w:r w:rsidRPr="006C7B74">
              <w:rPr>
                <w:rFonts w:cstheme="minorHAnsi"/>
                <w:color w:val="000000"/>
                <w:sz w:val="16"/>
                <w:szCs w:val="16"/>
                <w:lang w:eastAsia="en-AU"/>
              </w:rPr>
              <w:t>Hobsons Bay</w:t>
            </w:r>
          </w:p>
        </w:tc>
        <w:tc>
          <w:tcPr>
            <w:tcW w:w="0" w:type="auto"/>
            <w:tcBorders>
              <w:top w:val="nil"/>
              <w:left w:val="nil"/>
              <w:bottom w:val="single" w:sz="8" w:space="0" w:color="44546A"/>
              <w:right w:val="nil"/>
            </w:tcBorders>
            <w:shd w:val="clear" w:color="auto" w:fill="auto"/>
            <w:vAlign w:val="center"/>
            <w:hideMark/>
          </w:tcPr>
          <w:p w14:paraId="3497B43B"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16</w:t>
            </w:r>
          </w:p>
        </w:tc>
        <w:tc>
          <w:tcPr>
            <w:tcW w:w="0" w:type="auto"/>
            <w:tcBorders>
              <w:top w:val="nil"/>
              <w:left w:val="nil"/>
              <w:bottom w:val="single" w:sz="8" w:space="0" w:color="44546A"/>
              <w:right w:val="nil"/>
            </w:tcBorders>
            <w:shd w:val="clear" w:color="auto" w:fill="auto"/>
            <w:vAlign w:val="center"/>
            <w:hideMark/>
          </w:tcPr>
          <w:p w14:paraId="3AEA0996"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19,800</w:t>
            </w:r>
          </w:p>
        </w:tc>
        <w:tc>
          <w:tcPr>
            <w:tcW w:w="0" w:type="auto"/>
            <w:tcBorders>
              <w:top w:val="nil"/>
              <w:left w:val="nil"/>
              <w:bottom w:val="single" w:sz="8" w:space="0" w:color="44546A"/>
              <w:right w:val="nil"/>
            </w:tcBorders>
            <w:shd w:val="clear" w:color="auto" w:fill="auto"/>
            <w:vAlign w:val="center"/>
            <w:hideMark/>
          </w:tcPr>
          <w:p w14:paraId="3F7E8447"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13</w:t>
            </w:r>
          </w:p>
        </w:tc>
        <w:tc>
          <w:tcPr>
            <w:tcW w:w="0" w:type="auto"/>
            <w:tcBorders>
              <w:top w:val="nil"/>
              <w:left w:val="nil"/>
              <w:bottom w:val="single" w:sz="8" w:space="0" w:color="44546A"/>
              <w:right w:val="nil"/>
            </w:tcBorders>
            <w:shd w:val="clear" w:color="auto" w:fill="auto"/>
            <w:vAlign w:val="center"/>
            <w:hideMark/>
          </w:tcPr>
          <w:p w14:paraId="73A567E3"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65,350</w:t>
            </w:r>
          </w:p>
        </w:tc>
        <w:tc>
          <w:tcPr>
            <w:tcW w:w="0" w:type="auto"/>
            <w:tcBorders>
              <w:top w:val="nil"/>
              <w:left w:val="nil"/>
              <w:bottom w:val="single" w:sz="8" w:space="0" w:color="44546A"/>
              <w:right w:val="nil"/>
            </w:tcBorders>
            <w:shd w:val="clear" w:color="auto" w:fill="auto"/>
            <w:vAlign w:val="center"/>
            <w:hideMark/>
          </w:tcPr>
          <w:p w14:paraId="2B8F7656"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8</w:t>
            </w:r>
          </w:p>
        </w:tc>
        <w:tc>
          <w:tcPr>
            <w:tcW w:w="0" w:type="auto"/>
            <w:tcBorders>
              <w:top w:val="nil"/>
              <w:left w:val="nil"/>
              <w:bottom w:val="single" w:sz="8" w:space="0" w:color="44546A"/>
              <w:right w:val="nil"/>
            </w:tcBorders>
            <w:shd w:val="clear" w:color="auto" w:fill="auto"/>
            <w:vAlign w:val="center"/>
            <w:hideMark/>
          </w:tcPr>
          <w:p w14:paraId="39BB9949"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177,050</w:t>
            </w:r>
          </w:p>
        </w:tc>
        <w:tc>
          <w:tcPr>
            <w:tcW w:w="0" w:type="auto"/>
            <w:tcBorders>
              <w:top w:val="nil"/>
              <w:left w:val="nil"/>
              <w:bottom w:val="single" w:sz="8" w:space="0" w:color="44546A"/>
              <w:right w:val="nil"/>
            </w:tcBorders>
            <w:shd w:val="clear" w:color="auto" w:fill="auto"/>
            <w:vAlign w:val="center"/>
            <w:hideMark/>
          </w:tcPr>
          <w:p w14:paraId="6CF44967"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0</w:t>
            </w:r>
          </w:p>
        </w:tc>
        <w:tc>
          <w:tcPr>
            <w:tcW w:w="0" w:type="auto"/>
            <w:tcBorders>
              <w:top w:val="nil"/>
              <w:left w:val="nil"/>
              <w:bottom w:val="single" w:sz="8" w:space="0" w:color="44546A"/>
              <w:right w:val="nil"/>
            </w:tcBorders>
            <w:shd w:val="clear" w:color="auto" w:fill="auto"/>
            <w:vAlign w:val="center"/>
            <w:hideMark/>
          </w:tcPr>
          <w:p w14:paraId="72B0E3FC"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0</w:t>
            </w:r>
          </w:p>
        </w:tc>
        <w:tc>
          <w:tcPr>
            <w:tcW w:w="0" w:type="auto"/>
            <w:tcBorders>
              <w:top w:val="nil"/>
              <w:left w:val="nil"/>
              <w:bottom w:val="single" w:sz="8" w:space="0" w:color="44546A"/>
              <w:right w:val="nil"/>
            </w:tcBorders>
            <w:shd w:val="clear" w:color="auto" w:fill="auto"/>
            <w:vAlign w:val="center"/>
            <w:hideMark/>
          </w:tcPr>
          <w:p w14:paraId="07272639"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0</w:t>
            </w:r>
          </w:p>
        </w:tc>
        <w:tc>
          <w:tcPr>
            <w:tcW w:w="0" w:type="auto"/>
            <w:tcBorders>
              <w:top w:val="nil"/>
              <w:left w:val="nil"/>
              <w:bottom w:val="single" w:sz="8" w:space="0" w:color="44546A"/>
              <w:right w:val="nil"/>
            </w:tcBorders>
            <w:shd w:val="clear" w:color="auto" w:fill="auto"/>
            <w:vAlign w:val="center"/>
            <w:hideMark/>
          </w:tcPr>
          <w:p w14:paraId="03F20CF0"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0</w:t>
            </w:r>
          </w:p>
        </w:tc>
      </w:tr>
      <w:tr w:rsidR="00E03964" w:rsidRPr="006C7B74" w14:paraId="3AEF7985" w14:textId="77777777" w:rsidTr="00B217C3">
        <w:trPr>
          <w:trHeight w:val="218"/>
        </w:trPr>
        <w:tc>
          <w:tcPr>
            <w:tcW w:w="1077" w:type="dxa"/>
            <w:tcBorders>
              <w:top w:val="nil"/>
              <w:left w:val="nil"/>
              <w:bottom w:val="single" w:sz="8" w:space="0" w:color="44546A"/>
              <w:right w:val="nil"/>
            </w:tcBorders>
            <w:shd w:val="clear" w:color="auto" w:fill="auto"/>
            <w:vAlign w:val="center"/>
            <w:hideMark/>
          </w:tcPr>
          <w:p w14:paraId="72AFF3AE" w14:textId="77777777" w:rsidR="002825EE" w:rsidRPr="006C7B74" w:rsidRDefault="002825EE" w:rsidP="002825EE">
            <w:pPr>
              <w:rPr>
                <w:rFonts w:cstheme="minorHAnsi"/>
                <w:color w:val="000000"/>
                <w:sz w:val="16"/>
                <w:szCs w:val="16"/>
                <w:lang w:eastAsia="en-AU"/>
              </w:rPr>
            </w:pPr>
            <w:r w:rsidRPr="006C7B74">
              <w:rPr>
                <w:rFonts w:cstheme="minorHAnsi"/>
                <w:color w:val="000000"/>
                <w:sz w:val="16"/>
                <w:szCs w:val="16"/>
                <w:lang w:eastAsia="en-AU"/>
              </w:rPr>
              <w:t>Maribyrnong</w:t>
            </w:r>
          </w:p>
        </w:tc>
        <w:tc>
          <w:tcPr>
            <w:tcW w:w="0" w:type="auto"/>
            <w:tcBorders>
              <w:top w:val="nil"/>
              <w:left w:val="nil"/>
              <w:bottom w:val="single" w:sz="8" w:space="0" w:color="44546A"/>
              <w:right w:val="nil"/>
            </w:tcBorders>
            <w:shd w:val="clear" w:color="auto" w:fill="auto"/>
            <w:vAlign w:val="center"/>
            <w:hideMark/>
          </w:tcPr>
          <w:p w14:paraId="6324529E"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3</w:t>
            </w:r>
          </w:p>
        </w:tc>
        <w:tc>
          <w:tcPr>
            <w:tcW w:w="0" w:type="auto"/>
            <w:tcBorders>
              <w:top w:val="nil"/>
              <w:left w:val="nil"/>
              <w:bottom w:val="single" w:sz="8" w:space="0" w:color="44546A"/>
              <w:right w:val="nil"/>
            </w:tcBorders>
            <w:shd w:val="clear" w:color="auto" w:fill="auto"/>
            <w:vAlign w:val="center"/>
            <w:hideMark/>
          </w:tcPr>
          <w:p w14:paraId="038273B5"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1,650</w:t>
            </w:r>
          </w:p>
        </w:tc>
        <w:tc>
          <w:tcPr>
            <w:tcW w:w="0" w:type="auto"/>
            <w:tcBorders>
              <w:top w:val="nil"/>
              <w:left w:val="nil"/>
              <w:bottom w:val="single" w:sz="8" w:space="0" w:color="44546A"/>
              <w:right w:val="nil"/>
            </w:tcBorders>
            <w:shd w:val="clear" w:color="auto" w:fill="auto"/>
            <w:vAlign w:val="center"/>
            <w:hideMark/>
          </w:tcPr>
          <w:p w14:paraId="3E9DA758"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8</w:t>
            </w:r>
          </w:p>
        </w:tc>
        <w:tc>
          <w:tcPr>
            <w:tcW w:w="0" w:type="auto"/>
            <w:tcBorders>
              <w:top w:val="nil"/>
              <w:left w:val="nil"/>
              <w:bottom w:val="single" w:sz="8" w:space="0" w:color="44546A"/>
              <w:right w:val="nil"/>
            </w:tcBorders>
            <w:shd w:val="clear" w:color="auto" w:fill="auto"/>
            <w:vAlign w:val="center"/>
            <w:hideMark/>
          </w:tcPr>
          <w:p w14:paraId="4129A479"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33,300</w:t>
            </w:r>
          </w:p>
        </w:tc>
        <w:tc>
          <w:tcPr>
            <w:tcW w:w="0" w:type="auto"/>
            <w:tcBorders>
              <w:top w:val="nil"/>
              <w:left w:val="nil"/>
              <w:bottom w:val="single" w:sz="8" w:space="0" w:color="44546A"/>
              <w:right w:val="nil"/>
            </w:tcBorders>
            <w:shd w:val="clear" w:color="auto" w:fill="auto"/>
            <w:vAlign w:val="center"/>
            <w:hideMark/>
          </w:tcPr>
          <w:p w14:paraId="75979710"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5</w:t>
            </w:r>
          </w:p>
        </w:tc>
        <w:tc>
          <w:tcPr>
            <w:tcW w:w="0" w:type="auto"/>
            <w:tcBorders>
              <w:top w:val="nil"/>
              <w:left w:val="nil"/>
              <w:bottom w:val="single" w:sz="8" w:space="0" w:color="44546A"/>
              <w:right w:val="nil"/>
            </w:tcBorders>
            <w:shd w:val="clear" w:color="auto" w:fill="auto"/>
            <w:vAlign w:val="center"/>
            <w:hideMark/>
          </w:tcPr>
          <w:p w14:paraId="538B2A3C"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105,600</w:t>
            </w:r>
          </w:p>
        </w:tc>
        <w:tc>
          <w:tcPr>
            <w:tcW w:w="0" w:type="auto"/>
            <w:tcBorders>
              <w:top w:val="nil"/>
              <w:left w:val="nil"/>
              <w:bottom w:val="single" w:sz="8" w:space="0" w:color="44546A"/>
              <w:right w:val="nil"/>
            </w:tcBorders>
            <w:shd w:val="clear" w:color="auto" w:fill="auto"/>
            <w:vAlign w:val="center"/>
            <w:hideMark/>
          </w:tcPr>
          <w:p w14:paraId="1CE02F84"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0</w:t>
            </w:r>
          </w:p>
        </w:tc>
        <w:tc>
          <w:tcPr>
            <w:tcW w:w="0" w:type="auto"/>
            <w:tcBorders>
              <w:top w:val="nil"/>
              <w:left w:val="nil"/>
              <w:bottom w:val="single" w:sz="8" w:space="0" w:color="44546A"/>
              <w:right w:val="nil"/>
            </w:tcBorders>
            <w:shd w:val="clear" w:color="auto" w:fill="auto"/>
            <w:vAlign w:val="center"/>
            <w:hideMark/>
          </w:tcPr>
          <w:p w14:paraId="5F8BAE1F"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0</w:t>
            </w:r>
          </w:p>
        </w:tc>
        <w:tc>
          <w:tcPr>
            <w:tcW w:w="0" w:type="auto"/>
            <w:tcBorders>
              <w:top w:val="nil"/>
              <w:left w:val="nil"/>
              <w:bottom w:val="single" w:sz="8" w:space="0" w:color="44546A"/>
              <w:right w:val="nil"/>
            </w:tcBorders>
            <w:shd w:val="clear" w:color="auto" w:fill="auto"/>
            <w:vAlign w:val="center"/>
            <w:hideMark/>
          </w:tcPr>
          <w:p w14:paraId="0CA3CCEE"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2</w:t>
            </w:r>
          </w:p>
        </w:tc>
        <w:tc>
          <w:tcPr>
            <w:tcW w:w="0" w:type="auto"/>
            <w:tcBorders>
              <w:top w:val="nil"/>
              <w:left w:val="nil"/>
              <w:bottom w:val="single" w:sz="8" w:space="0" w:color="44546A"/>
              <w:right w:val="nil"/>
            </w:tcBorders>
            <w:shd w:val="clear" w:color="auto" w:fill="auto"/>
            <w:vAlign w:val="center"/>
            <w:hideMark/>
          </w:tcPr>
          <w:p w14:paraId="02F98EFF"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494,450</w:t>
            </w:r>
          </w:p>
        </w:tc>
      </w:tr>
      <w:tr w:rsidR="00E03964" w:rsidRPr="006C7B74" w14:paraId="7EF523A2" w14:textId="77777777" w:rsidTr="00B217C3">
        <w:trPr>
          <w:trHeight w:val="218"/>
        </w:trPr>
        <w:tc>
          <w:tcPr>
            <w:tcW w:w="1077" w:type="dxa"/>
            <w:tcBorders>
              <w:top w:val="nil"/>
              <w:left w:val="nil"/>
              <w:bottom w:val="single" w:sz="8" w:space="0" w:color="44546A"/>
              <w:right w:val="nil"/>
            </w:tcBorders>
            <w:shd w:val="clear" w:color="auto" w:fill="auto"/>
            <w:vAlign w:val="center"/>
            <w:hideMark/>
          </w:tcPr>
          <w:p w14:paraId="1015B598" w14:textId="77777777" w:rsidR="002825EE" w:rsidRPr="006C7B74" w:rsidRDefault="002825EE" w:rsidP="002825EE">
            <w:pPr>
              <w:rPr>
                <w:rFonts w:cstheme="minorHAnsi"/>
                <w:color w:val="000000"/>
                <w:sz w:val="16"/>
                <w:szCs w:val="16"/>
                <w:lang w:eastAsia="en-AU"/>
              </w:rPr>
            </w:pPr>
            <w:r w:rsidRPr="006C7B74">
              <w:rPr>
                <w:rFonts w:cstheme="minorHAnsi"/>
                <w:color w:val="000000"/>
                <w:sz w:val="16"/>
                <w:szCs w:val="16"/>
                <w:lang w:eastAsia="en-AU"/>
              </w:rPr>
              <w:t xml:space="preserve">Melton </w:t>
            </w:r>
          </w:p>
        </w:tc>
        <w:tc>
          <w:tcPr>
            <w:tcW w:w="0" w:type="auto"/>
            <w:tcBorders>
              <w:top w:val="nil"/>
              <w:left w:val="nil"/>
              <w:bottom w:val="single" w:sz="8" w:space="0" w:color="44546A"/>
              <w:right w:val="nil"/>
            </w:tcBorders>
            <w:shd w:val="clear" w:color="auto" w:fill="auto"/>
            <w:vAlign w:val="center"/>
            <w:hideMark/>
          </w:tcPr>
          <w:p w14:paraId="2BE43D45"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8</w:t>
            </w:r>
          </w:p>
        </w:tc>
        <w:tc>
          <w:tcPr>
            <w:tcW w:w="0" w:type="auto"/>
            <w:tcBorders>
              <w:top w:val="nil"/>
              <w:left w:val="nil"/>
              <w:bottom w:val="single" w:sz="8" w:space="0" w:color="44546A"/>
              <w:right w:val="nil"/>
            </w:tcBorders>
            <w:shd w:val="clear" w:color="auto" w:fill="auto"/>
            <w:vAlign w:val="center"/>
            <w:hideMark/>
          </w:tcPr>
          <w:p w14:paraId="6E0F4A9E"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800</w:t>
            </w:r>
          </w:p>
        </w:tc>
        <w:tc>
          <w:tcPr>
            <w:tcW w:w="0" w:type="auto"/>
            <w:tcBorders>
              <w:top w:val="nil"/>
              <w:left w:val="nil"/>
              <w:bottom w:val="single" w:sz="8" w:space="0" w:color="44546A"/>
              <w:right w:val="nil"/>
            </w:tcBorders>
            <w:shd w:val="clear" w:color="auto" w:fill="auto"/>
            <w:vAlign w:val="center"/>
            <w:hideMark/>
          </w:tcPr>
          <w:p w14:paraId="5BAE8556"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3</w:t>
            </w:r>
          </w:p>
        </w:tc>
        <w:tc>
          <w:tcPr>
            <w:tcW w:w="0" w:type="auto"/>
            <w:tcBorders>
              <w:top w:val="nil"/>
              <w:left w:val="nil"/>
              <w:bottom w:val="single" w:sz="8" w:space="0" w:color="44546A"/>
              <w:right w:val="nil"/>
            </w:tcBorders>
            <w:shd w:val="clear" w:color="auto" w:fill="auto"/>
            <w:vAlign w:val="center"/>
            <w:hideMark/>
          </w:tcPr>
          <w:p w14:paraId="513E0A7C"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17,750</w:t>
            </w:r>
          </w:p>
        </w:tc>
        <w:tc>
          <w:tcPr>
            <w:tcW w:w="0" w:type="auto"/>
            <w:tcBorders>
              <w:top w:val="nil"/>
              <w:left w:val="nil"/>
              <w:bottom w:val="single" w:sz="8" w:space="0" w:color="44546A"/>
              <w:right w:val="nil"/>
            </w:tcBorders>
            <w:shd w:val="clear" w:color="auto" w:fill="auto"/>
            <w:vAlign w:val="center"/>
            <w:hideMark/>
          </w:tcPr>
          <w:p w14:paraId="54251382"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1</w:t>
            </w:r>
          </w:p>
        </w:tc>
        <w:tc>
          <w:tcPr>
            <w:tcW w:w="0" w:type="auto"/>
            <w:tcBorders>
              <w:top w:val="nil"/>
              <w:left w:val="nil"/>
              <w:bottom w:val="single" w:sz="8" w:space="0" w:color="44546A"/>
              <w:right w:val="nil"/>
            </w:tcBorders>
            <w:shd w:val="clear" w:color="auto" w:fill="auto"/>
            <w:vAlign w:val="center"/>
            <w:hideMark/>
          </w:tcPr>
          <w:p w14:paraId="2D6A419D"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19,350</w:t>
            </w:r>
          </w:p>
        </w:tc>
        <w:tc>
          <w:tcPr>
            <w:tcW w:w="0" w:type="auto"/>
            <w:tcBorders>
              <w:top w:val="nil"/>
              <w:left w:val="nil"/>
              <w:bottom w:val="single" w:sz="8" w:space="0" w:color="44546A"/>
              <w:right w:val="nil"/>
            </w:tcBorders>
            <w:shd w:val="clear" w:color="auto" w:fill="auto"/>
            <w:vAlign w:val="center"/>
            <w:hideMark/>
          </w:tcPr>
          <w:p w14:paraId="6063E047"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2</w:t>
            </w:r>
          </w:p>
        </w:tc>
        <w:tc>
          <w:tcPr>
            <w:tcW w:w="0" w:type="auto"/>
            <w:tcBorders>
              <w:top w:val="nil"/>
              <w:left w:val="nil"/>
              <w:bottom w:val="single" w:sz="8" w:space="0" w:color="44546A"/>
              <w:right w:val="nil"/>
            </w:tcBorders>
            <w:shd w:val="clear" w:color="auto" w:fill="auto"/>
            <w:vAlign w:val="center"/>
            <w:hideMark/>
          </w:tcPr>
          <w:p w14:paraId="729FDF21"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148,650</w:t>
            </w:r>
          </w:p>
        </w:tc>
        <w:tc>
          <w:tcPr>
            <w:tcW w:w="0" w:type="auto"/>
            <w:tcBorders>
              <w:top w:val="nil"/>
              <w:left w:val="nil"/>
              <w:bottom w:val="single" w:sz="8" w:space="0" w:color="44546A"/>
              <w:right w:val="nil"/>
            </w:tcBorders>
            <w:shd w:val="clear" w:color="auto" w:fill="auto"/>
            <w:vAlign w:val="center"/>
            <w:hideMark/>
          </w:tcPr>
          <w:p w14:paraId="7A3FDEEF"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0</w:t>
            </w:r>
          </w:p>
        </w:tc>
        <w:tc>
          <w:tcPr>
            <w:tcW w:w="0" w:type="auto"/>
            <w:tcBorders>
              <w:top w:val="nil"/>
              <w:left w:val="nil"/>
              <w:bottom w:val="single" w:sz="8" w:space="0" w:color="44546A"/>
              <w:right w:val="nil"/>
            </w:tcBorders>
            <w:shd w:val="clear" w:color="auto" w:fill="auto"/>
            <w:vAlign w:val="center"/>
            <w:hideMark/>
          </w:tcPr>
          <w:p w14:paraId="7F587107"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0</w:t>
            </w:r>
          </w:p>
        </w:tc>
      </w:tr>
      <w:tr w:rsidR="00E03964" w:rsidRPr="006C7B74" w14:paraId="4720F04F" w14:textId="77777777" w:rsidTr="00B217C3">
        <w:trPr>
          <w:trHeight w:val="218"/>
        </w:trPr>
        <w:tc>
          <w:tcPr>
            <w:tcW w:w="1077" w:type="dxa"/>
            <w:tcBorders>
              <w:top w:val="nil"/>
              <w:left w:val="nil"/>
              <w:bottom w:val="single" w:sz="8" w:space="0" w:color="44546A"/>
              <w:right w:val="nil"/>
            </w:tcBorders>
            <w:shd w:val="clear" w:color="auto" w:fill="auto"/>
            <w:vAlign w:val="center"/>
            <w:hideMark/>
          </w:tcPr>
          <w:p w14:paraId="1D64F511" w14:textId="77777777" w:rsidR="002825EE" w:rsidRPr="006C7B74" w:rsidRDefault="002825EE" w:rsidP="002825EE">
            <w:pPr>
              <w:rPr>
                <w:rFonts w:cstheme="minorHAnsi"/>
                <w:color w:val="000000"/>
                <w:sz w:val="16"/>
                <w:szCs w:val="16"/>
                <w:lang w:eastAsia="en-AU"/>
              </w:rPr>
            </w:pPr>
            <w:r w:rsidRPr="006C7B74">
              <w:rPr>
                <w:rFonts w:cstheme="minorHAnsi"/>
                <w:color w:val="000000"/>
                <w:sz w:val="16"/>
                <w:szCs w:val="16"/>
                <w:lang w:eastAsia="en-AU"/>
              </w:rPr>
              <w:t>Moonee Valley</w:t>
            </w:r>
          </w:p>
        </w:tc>
        <w:tc>
          <w:tcPr>
            <w:tcW w:w="0" w:type="auto"/>
            <w:tcBorders>
              <w:top w:val="nil"/>
              <w:left w:val="nil"/>
              <w:bottom w:val="single" w:sz="8" w:space="0" w:color="44546A"/>
              <w:right w:val="nil"/>
            </w:tcBorders>
            <w:shd w:val="clear" w:color="auto" w:fill="auto"/>
            <w:vAlign w:val="center"/>
            <w:hideMark/>
          </w:tcPr>
          <w:p w14:paraId="451A405A"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6</w:t>
            </w:r>
          </w:p>
        </w:tc>
        <w:tc>
          <w:tcPr>
            <w:tcW w:w="0" w:type="auto"/>
            <w:tcBorders>
              <w:top w:val="nil"/>
              <w:left w:val="nil"/>
              <w:bottom w:val="single" w:sz="8" w:space="0" w:color="44546A"/>
              <w:right w:val="nil"/>
            </w:tcBorders>
            <w:shd w:val="clear" w:color="auto" w:fill="auto"/>
            <w:vAlign w:val="center"/>
            <w:hideMark/>
          </w:tcPr>
          <w:p w14:paraId="1B2398DC"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5,300</w:t>
            </w:r>
          </w:p>
        </w:tc>
        <w:tc>
          <w:tcPr>
            <w:tcW w:w="0" w:type="auto"/>
            <w:tcBorders>
              <w:top w:val="nil"/>
              <w:left w:val="nil"/>
              <w:bottom w:val="single" w:sz="8" w:space="0" w:color="44546A"/>
              <w:right w:val="nil"/>
            </w:tcBorders>
            <w:shd w:val="clear" w:color="auto" w:fill="auto"/>
            <w:vAlign w:val="center"/>
            <w:hideMark/>
          </w:tcPr>
          <w:p w14:paraId="3FABF36F"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11</w:t>
            </w:r>
          </w:p>
        </w:tc>
        <w:tc>
          <w:tcPr>
            <w:tcW w:w="0" w:type="auto"/>
            <w:tcBorders>
              <w:top w:val="nil"/>
              <w:left w:val="nil"/>
              <w:bottom w:val="single" w:sz="8" w:space="0" w:color="44546A"/>
              <w:right w:val="nil"/>
            </w:tcBorders>
            <w:shd w:val="clear" w:color="auto" w:fill="auto"/>
            <w:vAlign w:val="center"/>
            <w:hideMark/>
          </w:tcPr>
          <w:p w14:paraId="42A6B60D"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69,850</w:t>
            </w:r>
          </w:p>
        </w:tc>
        <w:tc>
          <w:tcPr>
            <w:tcW w:w="0" w:type="auto"/>
            <w:tcBorders>
              <w:top w:val="nil"/>
              <w:left w:val="nil"/>
              <w:bottom w:val="single" w:sz="8" w:space="0" w:color="44546A"/>
              <w:right w:val="nil"/>
            </w:tcBorders>
            <w:shd w:val="clear" w:color="auto" w:fill="auto"/>
            <w:vAlign w:val="center"/>
            <w:hideMark/>
          </w:tcPr>
          <w:p w14:paraId="10A2EA91"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8</w:t>
            </w:r>
          </w:p>
        </w:tc>
        <w:tc>
          <w:tcPr>
            <w:tcW w:w="0" w:type="auto"/>
            <w:tcBorders>
              <w:top w:val="nil"/>
              <w:left w:val="nil"/>
              <w:bottom w:val="single" w:sz="8" w:space="0" w:color="44546A"/>
              <w:right w:val="nil"/>
            </w:tcBorders>
            <w:shd w:val="clear" w:color="auto" w:fill="auto"/>
            <w:vAlign w:val="center"/>
            <w:hideMark/>
          </w:tcPr>
          <w:p w14:paraId="550D67FC"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191,500</w:t>
            </w:r>
          </w:p>
        </w:tc>
        <w:tc>
          <w:tcPr>
            <w:tcW w:w="0" w:type="auto"/>
            <w:tcBorders>
              <w:top w:val="nil"/>
              <w:left w:val="nil"/>
              <w:bottom w:val="single" w:sz="8" w:space="0" w:color="44546A"/>
              <w:right w:val="nil"/>
            </w:tcBorders>
            <w:shd w:val="clear" w:color="auto" w:fill="auto"/>
            <w:vAlign w:val="center"/>
            <w:hideMark/>
          </w:tcPr>
          <w:p w14:paraId="7E5B07EF"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2</w:t>
            </w:r>
          </w:p>
        </w:tc>
        <w:tc>
          <w:tcPr>
            <w:tcW w:w="0" w:type="auto"/>
            <w:tcBorders>
              <w:top w:val="nil"/>
              <w:left w:val="nil"/>
              <w:bottom w:val="single" w:sz="8" w:space="0" w:color="44546A"/>
              <w:right w:val="nil"/>
            </w:tcBorders>
            <w:shd w:val="clear" w:color="auto" w:fill="auto"/>
            <w:vAlign w:val="center"/>
            <w:hideMark/>
          </w:tcPr>
          <w:p w14:paraId="054C506B"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146,900</w:t>
            </w:r>
          </w:p>
        </w:tc>
        <w:tc>
          <w:tcPr>
            <w:tcW w:w="0" w:type="auto"/>
            <w:tcBorders>
              <w:top w:val="nil"/>
              <w:left w:val="nil"/>
              <w:bottom w:val="single" w:sz="8" w:space="0" w:color="44546A"/>
              <w:right w:val="nil"/>
            </w:tcBorders>
            <w:shd w:val="clear" w:color="auto" w:fill="auto"/>
            <w:vAlign w:val="center"/>
            <w:hideMark/>
          </w:tcPr>
          <w:p w14:paraId="5BB5BE42"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2</w:t>
            </w:r>
          </w:p>
        </w:tc>
        <w:tc>
          <w:tcPr>
            <w:tcW w:w="0" w:type="auto"/>
            <w:tcBorders>
              <w:top w:val="nil"/>
              <w:left w:val="nil"/>
              <w:bottom w:val="single" w:sz="8" w:space="0" w:color="44546A"/>
              <w:right w:val="nil"/>
            </w:tcBorders>
            <w:shd w:val="clear" w:color="auto" w:fill="auto"/>
            <w:vAlign w:val="center"/>
            <w:hideMark/>
          </w:tcPr>
          <w:p w14:paraId="6650DC51"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247,850</w:t>
            </w:r>
          </w:p>
        </w:tc>
      </w:tr>
      <w:tr w:rsidR="00E03964" w:rsidRPr="006C7B74" w14:paraId="5C9696B6" w14:textId="77777777" w:rsidTr="00B217C3">
        <w:trPr>
          <w:trHeight w:val="218"/>
        </w:trPr>
        <w:tc>
          <w:tcPr>
            <w:tcW w:w="1077" w:type="dxa"/>
            <w:tcBorders>
              <w:top w:val="nil"/>
              <w:left w:val="nil"/>
              <w:bottom w:val="single" w:sz="8" w:space="0" w:color="44546A"/>
              <w:right w:val="nil"/>
            </w:tcBorders>
            <w:shd w:val="clear" w:color="auto" w:fill="auto"/>
            <w:vAlign w:val="center"/>
            <w:hideMark/>
          </w:tcPr>
          <w:p w14:paraId="55AFDB38" w14:textId="77777777" w:rsidR="002825EE" w:rsidRPr="006C7B74" w:rsidRDefault="002825EE" w:rsidP="002825EE">
            <w:pPr>
              <w:rPr>
                <w:rFonts w:cstheme="minorHAnsi"/>
                <w:color w:val="000000"/>
                <w:sz w:val="16"/>
                <w:szCs w:val="16"/>
                <w:lang w:eastAsia="en-AU"/>
              </w:rPr>
            </w:pPr>
            <w:r w:rsidRPr="006C7B74">
              <w:rPr>
                <w:rFonts w:cstheme="minorHAnsi"/>
                <w:color w:val="000000"/>
                <w:sz w:val="16"/>
                <w:szCs w:val="16"/>
                <w:lang w:eastAsia="en-AU"/>
              </w:rPr>
              <w:t>Wyndham</w:t>
            </w:r>
          </w:p>
        </w:tc>
        <w:tc>
          <w:tcPr>
            <w:tcW w:w="0" w:type="auto"/>
            <w:tcBorders>
              <w:top w:val="nil"/>
              <w:left w:val="nil"/>
              <w:bottom w:val="single" w:sz="8" w:space="0" w:color="44546A"/>
              <w:right w:val="nil"/>
            </w:tcBorders>
            <w:shd w:val="clear" w:color="auto" w:fill="auto"/>
            <w:vAlign w:val="center"/>
            <w:hideMark/>
          </w:tcPr>
          <w:p w14:paraId="5679C8FC"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11</w:t>
            </w:r>
          </w:p>
        </w:tc>
        <w:tc>
          <w:tcPr>
            <w:tcW w:w="0" w:type="auto"/>
            <w:tcBorders>
              <w:top w:val="nil"/>
              <w:left w:val="nil"/>
              <w:bottom w:val="single" w:sz="8" w:space="0" w:color="44546A"/>
              <w:right w:val="nil"/>
            </w:tcBorders>
            <w:shd w:val="clear" w:color="auto" w:fill="auto"/>
            <w:vAlign w:val="center"/>
            <w:hideMark/>
          </w:tcPr>
          <w:p w14:paraId="19205CFE"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7,300</w:t>
            </w:r>
          </w:p>
        </w:tc>
        <w:tc>
          <w:tcPr>
            <w:tcW w:w="0" w:type="auto"/>
            <w:tcBorders>
              <w:top w:val="nil"/>
              <w:left w:val="nil"/>
              <w:bottom w:val="single" w:sz="8" w:space="0" w:color="44546A"/>
              <w:right w:val="nil"/>
            </w:tcBorders>
            <w:shd w:val="clear" w:color="auto" w:fill="auto"/>
            <w:vAlign w:val="center"/>
            <w:hideMark/>
          </w:tcPr>
          <w:p w14:paraId="099C2FE7"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8</w:t>
            </w:r>
          </w:p>
        </w:tc>
        <w:tc>
          <w:tcPr>
            <w:tcW w:w="0" w:type="auto"/>
            <w:tcBorders>
              <w:top w:val="nil"/>
              <w:left w:val="nil"/>
              <w:bottom w:val="single" w:sz="8" w:space="0" w:color="44546A"/>
              <w:right w:val="nil"/>
            </w:tcBorders>
            <w:shd w:val="clear" w:color="auto" w:fill="auto"/>
            <w:vAlign w:val="center"/>
            <w:hideMark/>
          </w:tcPr>
          <w:p w14:paraId="47E66A2A"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42,350</w:t>
            </w:r>
          </w:p>
        </w:tc>
        <w:tc>
          <w:tcPr>
            <w:tcW w:w="0" w:type="auto"/>
            <w:tcBorders>
              <w:top w:val="nil"/>
              <w:left w:val="nil"/>
              <w:bottom w:val="single" w:sz="8" w:space="0" w:color="44546A"/>
              <w:right w:val="nil"/>
            </w:tcBorders>
            <w:shd w:val="clear" w:color="auto" w:fill="auto"/>
            <w:vAlign w:val="center"/>
            <w:hideMark/>
          </w:tcPr>
          <w:p w14:paraId="6D839E67"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6</w:t>
            </w:r>
          </w:p>
        </w:tc>
        <w:tc>
          <w:tcPr>
            <w:tcW w:w="0" w:type="auto"/>
            <w:tcBorders>
              <w:top w:val="nil"/>
              <w:left w:val="nil"/>
              <w:bottom w:val="single" w:sz="8" w:space="0" w:color="44546A"/>
              <w:right w:val="nil"/>
            </w:tcBorders>
            <w:shd w:val="clear" w:color="auto" w:fill="auto"/>
            <w:vAlign w:val="center"/>
            <w:hideMark/>
          </w:tcPr>
          <w:p w14:paraId="6D60CAC1"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143,550</w:t>
            </w:r>
          </w:p>
        </w:tc>
        <w:tc>
          <w:tcPr>
            <w:tcW w:w="0" w:type="auto"/>
            <w:tcBorders>
              <w:top w:val="nil"/>
              <w:left w:val="nil"/>
              <w:bottom w:val="single" w:sz="8" w:space="0" w:color="44546A"/>
              <w:right w:val="nil"/>
            </w:tcBorders>
            <w:shd w:val="clear" w:color="auto" w:fill="auto"/>
            <w:vAlign w:val="center"/>
            <w:hideMark/>
          </w:tcPr>
          <w:p w14:paraId="354F3956"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0</w:t>
            </w:r>
          </w:p>
        </w:tc>
        <w:tc>
          <w:tcPr>
            <w:tcW w:w="0" w:type="auto"/>
            <w:tcBorders>
              <w:top w:val="nil"/>
              <w:left w:val="nil"/>
              <w:bottom w:val="single" w:sz="8" w:space="0" w:color="44546A"/>
              <w:right w:val="nil"/>
            </w:tcBorders>
            <w:shd w:val="clear" w:color="auto" w:fill="auto"/>
            <w:vAlign w:val="center"/>
            <w:hideMark/>
          </w:tcPr>
          <w:p w14:paraId="3B576F62"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0</w:t>
            </w:r>
          </w:p>
        </w:tc>
        <w:tc>
          <w:tcPr>
            <w:tcW w:w="0" w:type="auto"/>
            <w:tcBorders>
              <w:top w:val="nil"/>
              <w:left w:val="nil"/>
              <w:bottom w:val="single" w:sz="8" w:space="0" w:color="44546A"/>
              <w:right w:val="nil"/>
            </w:tcBorders>
            <w:shd w:val="clear" w:color="auto" w:fill="auto"/>
            <w:vAlign w:val="center"/>
            <w:hideMark/>
          </w:tcPr>
          <w:p w14:paraId="2458E5F5"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2</w:t>
            </w:r>
          </w:p>
        </w:tc>
        <w:tc>
          <w:tcPr>
            <w:tcW w:w="0" w:type="auto"/>
            <w:tcBorders>
              <w:top w:val="nil"/>
              <w:left w:val="nil"/>
              <w:bottom w:val="single" w:sz="8" w:space="0" w:color="44546A"/>
              <w:right w:val="nil"/>
            </w:tcBorders>
            <w:shd w:val="clear" w:color="auto" w:fill="auto"/>
            <w:vAlign w:val="center"/>
            <w:hideMark/>
          </w:tcPr>
          <w:p w14:paraId="017ABC4D" w14:textId="77777777" w:rsidR="002825EE" w:rsidRPr="006C7B74" w:rsidRDefault="002825EE" w:rsidP="002825EE">
            <w:pPr>
              <w:jc w:val="center"/>
              <w:rPr>
                <w:rFonts w:cstheme="minorHAnsi"/>
                <w:color w:val="000000"/>
                <w:sz w:val="16"/>
                <w:szCs w:val="16"/>
                <w:lang w:eastAsia="en-AU"/>
              </w:rPr>
            </w:pPr>
            <w:r w:rsidRPr="006C7B74">
              <w:rPr>
                <w:rFonts w:cstheme="minorHAnsi"/>
                <w:color w:val="000000"/>
                <w:sz w:val="16"/>
                <w:szCs w:val="16"/>
                <w:lang w:eastAsia="en-AU"/>
              </w:rPr>
              <w:t>257,350</w:t>
            </w:r>
          </w:p>
        </w:tc>
      </w:tr>
      <w:tr w:rsidR="00E03964" w:rsidRPr="006C7B74" w14:paraId="22638E8D" w14:textId="77777777" w:rsidTr="00B217C3">
        <w:trPr>
          <w:trHeight w:val="218"/>
        </w:trPr>
        <w:tc>
          <w:tcPr>
            <w:tcW w:w="1077" w:type="dxa"/>
            <w:tcBorders>
              <w:top w:val="nil"/>
              <w:left w:val="nil"/>
              <w:bottom w:val="single" w:sz="8" w:space="0" w:color="44546A"/>
              <w:right w:val="nil"/>
            </w:tcBorders>
            <w:shd w:val="clear" w:color="auto" w:fill="auto"/>
            <w:vAlign w:val="center"/>
            <w:hideMark/>
          </w:tcPr>
          <w:p w14:paraId="18209B90" w14:textId="77777777" w:rsidR="002825EE" w:rsidRPr="006C7B74" w:rsidRDefault="002825EE" w:rsidP="002825EE">
            <w:pPr>
              <w:rPr>
                <w:rFonts w:cstheme="minorHAnsi"/>
                <w:b/>
                <w:color w:val="000000"/>
                <w:sz w:val="16"/>
                <w:szCs w:val="16"/>
                <w:lang w:eastAsia="en-AU"/>
              </w:rPr>
            </w:pPr>
            <w:r w:rsidRPr="006C7B74">
              <w:rPr>
                <w:rFonts w:cstheme="minorHAnsi"/>
                <w:b/>
                <w:color w:val="000000"/>
                <w:sz w:val="16"/>
                <w:szCs w:val="16"/>
                <w:lang w:eastAsia="en-AU"/>
              </w:rPr>
              <w:t>Total</w:t>
            </w:r>
          </w:p>
        </w:tc>
        <w:tc>
          <w:tcPr>
            <w:tcW w:w="0" w:type="auto"/>
            <w:tcBorders>
              <w:top w:val="nil"/>
              <w:left w:val="nil"/>
              <w:bottom w:val="single" w:sz="8" w:space="0" w:color="44546A"/>
              <w:right w:val="nil"/>
            </w:tcBorders>
            <w:shd w:val="clear" w:color="auto" w:fill="auto"/>
            <w:vAlign w:val="center"/>
            <w:hideMark/>
          </w:tcPr>
          <w:p w14:paraId="35FCA147" w14:textId="77777777" w:rsidR="002825EE" w:rsidRPr="006C7B74" w:rsidRDefault="002825EE" w:rsidP="002825EE">
            <w:pPr>
              <w:jc w:val="center"/>
              <w:rPr>
                <w:rFonts w:cstheme="minorHAnsi"/>
                <w:b/>
                <w:color w:val="000000"/>
                <w:sz w:val="16"/>
                <w:szCs w:val="16"/>
                <w:lang w:eastAsia="en-AU"/>
              </w:rPr>
            </w:pPr>
            <w:r w:rsidRPr="006C7B74">
              <w:rPr>
                <w:rFonts w:cstheme="minorHAnsi"/>
                <w:b/>
                <w:color w:val="000000"/>
                <w:sz w:val="16"/>
                <w:szCs w:val="16"/>
                <w:lang w:eastAsia="en-AU"/>
              </w:rPr>
              <w:t>81</w:t>
            </w:r>
          </w:p>
        </w:tc>
        <w:tc>
          <w:tcPr>
            <w:tcW w:w="0" w:type="auto"/>
            <w:tcBorders>
              <w:top w:val="nil"/>
              <w:left w:val="nil"/>
              <w:bottom w:val="single" w:sz="8" w:space="0" w:color="44546A"/>
              <w:right w:val="nil"/>
            </w:tcBorders>
            <w:shd w:val="clear" w:color="auto" w:fill="auto"/>
            <w:vAlign w:val="center"/>
            <w:hideMark/>
          </w:tcPr>
          <w:p w14:paraId="37C402F3" w14:textId="77777777" w:rsidR="002825EE" w:rsidRPr="006C7B74" w:rsidRDefault="002825EE" w:rsidP="002825EE">
            <w:pPr>
              <w:jc w:val="center"/>
              <w:rPr>
                <w:rFonts w:cstheme="minorHAnsi"/>
                <w:b/>
                <w:color w:val="000000"/>
                <w:sz w:val="16"/>
                <w:szCs w:val="16"/>
                <w:lang w:eastAsia="en-AU"/>
              </w:rPr>
            </w:pPr>
            <w:r w:rsidRPr="006C7B74">
              <w:rPr>
                <w:rFonts w:cstheme="minorHAnsi"/>
                <w:b/>
                <w:color w:val="000000"/>
                <w:sz w:val="16"/>
                <w:szCs w:val="16"/>
                <w:lang w:eastAsia="en-AU"/>
              </w:rPr>
              <w:t>69,900</w:t>
            </w:r>
          </w:p>
        </w:tc>
        <w:tc>
          <w:tcPr>
            <w:tcW w:w="0" w:type="auto"/>
            <w:tcBorders>
              <w:top w:val="nil"/>
              <w:left w:val="nil"/>
              <w:bottom w:val="single" w:sz="8" w:space="0" w:color="44546A"/>
              <w:right w:val="nil"/>
            </w:tcBorders>
            <w:shd w:val="clear" w:color="auto" w:fill="auto"/>
            <w:vAlign w:val="center"/>
            <w:hideMark/>
          </w:tcPr>
          <w:p w14:paraId="75B1FC2A" w14:textId="77777777" w:rsidR="002825EE" w:rsidRPr="006C7B74" w:rsidRDefault="002825EE" w:rsidP="002825EE">
            <w:pPr>
              <w:jc w:val="center"/>
              <w:rPr>
                <w:rFonts w:cstheme="minorHAnsi"/>
                <w:b/>
                <w:color w:val="000000"/>
                <w:sz w:val="16"/>
                <w:szCs w:val="16"/>
                <w:lang w:eastAsia="en-AU"/>
              </w:rPr>
            </w:pPr>
            <w:r w:rsidRPr="006C7B74">
              <w:rPr>
                <w:rFonts w:cstheme="minorHAnsi"/>
                <w:b/>
                <w:color w:val="000000"/>
                <w:sz w:val="16"/>
                <w:szCs w:val="16"/>
                <w:lang w:eastAsia="en-AU"/>
              </w:rPr>
              <w:t>59</w:t>
            </w:r>
          </w:p>
        </w:tc>
        <w:tc>
          <w:tcPr>
            <w:tcW w:w="0" w:type="auto"/>
            <w:tcBorders>
              <w:top w:val="nil"/>
              <w:left w:val="nil"/>
              <w:bottom w:val="single" w:sz="8" w:space="0" w:color="44546A"/>
              <w:right w:val="nil"/>
            </w:tcBorders>
            <w:shd w:val="clear" w:color="auto" w:fill="auto"/>
            <w:vAlign w:val="center"/>
            <w:hideMark/>
          </w:tcPr>
          <w:p w14:paraId="4823D9EF" w14:textId="77777777" w:rsidR="002825EE" w:rsidRPr="006C7B74" w:rsidRDefault="002825EE" w:rsidP="002825EE">
            <w:pPr>
              <w:jc w:val="center"/>
              <w:rPr>
                <w:rFonts w:cstheme="minorHAnsi"/>
                <w:b/>
                <w:color w:val="000000"/>
                <w:sz w:val="16"/>
                <w:szCs w:val="16"/>
                <w:lang w:eastAsia="en-AU"/>
              </w:rPr>
            </w:pPr>
            <w:r w:rsidRPr="006C7B74">
              <w:rPr>
                <w:rFonts w:cstheme="minorHAnsi"/>
                <w:b/>
                <w:color w:val="000000"/>
                <w:sz w:val="16"/>
                <w:szCs w:val="16"/>
                <w:lang w:eastAsia="en-AU"/>
              </w:rPr>
              <w:t>292,200</w:t>
            </w:r>
          </w:p>
        </w:tc>
        <w:tc>
          <w:tcPr>
            <w:tcW w:w="0" w:type="auto"/>
            <w:tcBorders>
              <w:top w:val="nil"/>
              <w:left w:val="nil"/>
              <w:bottom w:val="single" w:sz="8" w:space="0" w:color="44546A"/>
              <w:right w:val="nil"/>
            </w:tcBorders>
            <w:shd w:val="clear" w:color="auto" w:fill="auto"/>
            <w:vAlign w:val="center"/>
            <w:hideMark/>
          </w:tcPr>
          <w:p w14:paraId="226C7746" w14:textId="77777777" w:rsidR="002825EE" w:rsidRPr="006C7B74" w:rsidRDefault="002825EE" w:rsidP="002825EE">
            <w:pPr>
              <w:jc w:val="center"/>
              <w:rPr>
                <w:rFonts w:cstheme="minorHAnsi"/>
                <w:b/>
                <w:color w:val="000000"/>
                <w:sz w:val="16"/>
                <w:szCs w:val="16"/>
                <w:lang w:eastAsia="en-AU"/>
              </w:rPr>
            </w:pPr>
            <w:r w:rsidRPr="006C7B74">
              <w:rPr>
                <w:rFonts w:cstheme="minorHAnsi"/>
                <w:b/>
                <w:color w:val="000000"/>
                <w:sz w:val="16"/>
                <w:szCs w:val="16"/>
                <w:lang w:eastAsia="en-AU"/>
              </w:rPr>
              <w:t>35</w:t>
            </w:r>
          </w:p>
        </w:tc>
        <w:tc>
          <w:tcPr>
            <w:tcW w:w="0" w:type="auto"/>
            <w:tcBorders>
              <w:top w:val="nil"/>
              <w:left w:val="nil"/>
              <w:bottom w:val="single" w:sz="8" w:space="0" w:color="44546A"/>
              <w:right w:val="nil"/>
            </w:tcBorders>
            <w:shd w:val="clear" w:color="auto" w:fill="auto"/>
            <w:vAlign w:val="center"/>
            <w:hideMark/>
          </w:tcPr>
          <w:p w14:paraId="36287CEA" w14:textId="77777777" w:rsidR="002825EE" w:rsidRPr="006C7B74" w:rsidRDefault="002825EE" w:rsidP="002825EE">
            <w:pPr>
              <w:jc w:val="center"/>
              <w:rPr>
                <w:rFonts w:cstheme="minorHAnsi"/>
                <w:b/>
                <w:color w:val="000000"/>
                <w:sz w:val="16"/>
                <w:szCs w:val="16"/>
                <w:lang w:eastAsia="en-AU"/>
              </w:rPr>
            </w:pPr>
            <w:r w:rsidRPr="006C7B74">
              <w:rPr>
                <w:rFonts w:cstheme="minorHAnsi"/>
                <w:b/>
                <w:color w:val="000000"/>
                <w:sz w:val="16"/>
                <w:szCs w:val="16"/>
                <w:lang w:eastAsia="en-AU"/>
              </w:rPr>
              <w:t>806,750</w:t>
            </w:r>
          </w:p>
        </w:tc>
        <w:tc>
          <w:tcPr>
            <w:tcW w:w="0" w:type="auto"/>
            <w:tcBorders>
              <w:top w:val="nil"/>
              <w:left w:val="nil"/>
              <w:bottom w:val="single" w:sz="8" w:space="0" w:color="44546A"/>
              <w:right w:val="nil"/>
            </w:tcBorders>
            <w:shd w:val="clear" w:color="auto" w:fill="auto"/>
            <w:vAlign w:val="center"/>
            <w:hideMark/>
          </w:tcPr>
          <w:p w14:paraId="4A4CF799" w14:textId="77777777" w:rsidR="002825EE" w:rsidRPr="006C7B74" w:rsidRDefault="002825EE" w:rsidP="002825EE">
            <w:pPr>
              <w:jc w:val="center"/>
              <w:rPr>
                <w:rFonts w:cstheme="minorHAnsi"/>
                <w:b/>
                <w:color w:val="000000"/>
                <w:sz w:val="16"/>
                <w:szCs w:val="16"/>
                <w:lang w:eastAsia="en-AU"/>
              </w:rPr>
            </w:pPr>
            <w:r w:rsidRPr="006C7B74">
              <w:rPr>
                <w:rFonts w:cstheme="minorHAnsi"/>
                <w:b/>
                <w:color w:val="000000"/>
                <w:sz w:val="16"/>
                <w:szCs w:val="16"/>
                <w:lang w:eastAsia="en-AU"/>
              </w:rPr>
              <w:t>4</w:t>
            </w:r>
          </w:p>
        </w:tc>
        <w:tc>
          <w:tcPr>
            <w:tcW w:w="0" w:type="auto"/>
            <w:tcBorders>
              <w:top w:val="nil"/>
              <w:left w:val="nil"/>
              <w:bottom w:val="single" w:sz="8" w:space="0" w:color="44546A"/>
              <w:right w:val="nil"/>
            </w:tcBorders>
            <w:shd w:val="clear" w:color="auto" w:fill="auto"/>
            <w:vAlign w:val="center"/>
            <w:hideMark/>
          </w:tcPr>
          <w:p w14:paraId="05C37337" w14:textId="77777777" w:rsidR="002825EE" w:rsidRPr="006C7B74" w:rsidRDefault="002825EE" w:rsidP="002825EE">
            <w:pPr>
              <w:jc w:val="center"/>
              <w:rPr>
                <w:rFonts w:cstheme="minorHAnsi"/>
                <w:b/>
                <w:color w:val="000000"/>
                <w:sz w:val="16"/>
                <w:szCs w:val="16"/>
                <w:lang w:eastAsia="en-AU"/>
              </w:rPr>
            </w:pPr>
            <w:r w:rsidRPr="006C7B74">
              <w:rPr>
                <w:rFonts w:cstheme="minorHAnsi"/>
                <w:b/>
                <w:color w:val="000000"/>
                <w:sz w:val="16"/>
                <w:szCs w:val="16"/>
                <w:lang w:eastAsia="en-AU"/>
              </w:rPr>
              <w:t>295,550</w:t>
            </w:r>
          </w:p>
        </w:tc>
        <w:tc>
          <w:tcPr>
            <w:tcW w:w="0" w:type="auto"/>
            <w:tcBorders>
              <w:top w:val="nil"/>
              <w:left w:val="nil"/>
              <w:bottom w:val="single" w:sz="8" w:space="0" w:color="44546A"/>
              <w:right w:val="nil"/>
            </w:tcBorders>
            <w:shd w:val="clear" w:color="auto" w:fill="auto"/>
            <w:vAlign w:val="center"/>
            <w:hideMark/>
          </w:tcPr>
          <w:p w14:paraId="3627B529" w14:textId="77777777" w:rsidR="002825EE" w:rsidRPr="006C7B74" w:rsidRDefault="002825EE" w:rsidP="002825EE">
            <w:pPr>
              <w:jc w:val="center"/>
              <w:rPr>
                <w:rFonts w:cstheme="minorHAnsi"/>
                <w:b/>
                <w:color w:val="000000"/>
                <w:sz w:val="16"/>
                <w:szCs w:val="16"/>
                <w:lang w:eastAsia="en-AU"/>
              </w:rPr>
            </w:pPr>
            <w:r w:rsidRPr="006C7B74">
              <w:rPr>
                <w:rFonts w:cstheme="minorHAnsi"/>
                <w:b/>
                <w:color w:val="000000"/>
                <w:sz w:val="16"/>
                <w:szCs w:val="16"/>
                <w:lang w:eastAsia="en-AU"/>
              </w:rPr>
              <w:t>8</w:t>
            </w:r>
          </w:p>
        </w:tc>
        <w:tc>
          <w:tcPr>
            <w:tcW w:w="0" w:type="auto"/>
            <w:tcBorders>
              <w:top w:val="nil"/>
              <w:left w:val="nil"/>
              <w:bottom w:val="single" w:sz="8" w:space="0" w:color="44546A"/>
              <w:right w:val="nil"/>
            </w:tcBorders>
            <w:shd w:val="clear" w:color="auto" w:fill="auto"/>
            <w:vAlign w:val="center"/>
            <w:hideMark/>
          </w:tcPr>
          <w:p w14:paraId="2C5DB7DE" w14:textId="77777777" w:rsidR="002825EE" w:rsidRPr="006C7B74" w:rsidRDefault="002825EE" w:rsidP="002825EE">
            <w:pPr>
              <w:jc w:val="center"/>
              <w:rPr>
                <w:rFonts w:cstheme="minorHAnsi"/>
                <w:b/>
                <w:color w:val="000000"/>
                <w:sz w:val="16"/>
                <w:szCs w:val="16"/>
                <w:lang w:eastAsia="en-AU"/>
              </w:rPr>
            </w:pPr>
            <w:r w:rsidRPr="006C7B74">
              <w:rPr>
                <w:rFonts w:cstheme="minorHAnsi"/>
                <w:b/>
                <w:color w:val="000000"/>
                <w:sz w:val="16"/>
                <w:szCs w:val="16"/>
                <w:lang w:eastAsia="en-AU"/>
              </w:rPr>
              <w:t>1,445,300</w:t>
            </w:r>
          </w:p>
        </w:tc>
      </w:tr>
    </w:tbl>
    <w:p w14:paraId="73F1725E" w14:textId="70EBD280" w:rsidR="002A5B72" w:rsidRPr="006C7B74" w:rsidRDefault="00780F3C" w:rsidP="00780F3C">
      <w:pPr>
        <w:pStyle w:val="Quote"/>
      </w:pPr>
      <w:r w:rsidRPr="006C7B74">
        <w:t>Source: Department of Environment, Land, Water and Planning, unpublished data (</w:t>
      </w:r>
      <w:r w:rsidR="00BE4C55" w:rsidRPr="006C7B74">
        <w:t>20</w:t>
      </w:r>
      <w:r w:rsidR="00BE4C55">
        <w:t>20</w:t>
      </w:r>
      <w:r w:rsidRPr="006C7B74">
        <w:t>)</w:t>
      </w:r>
    </w:p>
    <w:p w14:paraId="32D85DEE" w14:textId="77777777" w:rsidR="00780F3C" w:rsidRPr="006C7B74" w:rsidRDefault="00780F3C" w:rsidP="00780F3C"/>
    <w:p w14:paraId="4985DC6C" w14:textId="5580E059" w:rsidR="00A86CBA" w:rsidRPr="006C7B74" w:rsidRDefault="002A5B72" w:rsidP="00A86CBA">
      <w:pPr>
        <w:spacing w:after="120"/>
        <w:rPr>
          <w:rFonts w:cstheme="minorHAnsi"/>
          <w:sz w:val="20"/>
          <w:szCs w:val="20"/>
        </w:rPr>
      </w:pPr>
      <w:r w:rsidRPr="006C7B74">
        <w:rPr>
          <w:rFonts w:cstheme="minorHAnsi"/>
          <w:sz w:val="20"/>
          <w:szCs w:val="20"/>
        </w:rPr>
        <w:t xml:space="preserve">In addition to the existing zoned commercial land, approximately </w:t>
      </w:r>
      <w:r w:rsidR="0011793E" w:rsidRPr="006C7B74">
        <w:rPr>
          <w:rFonts w:cstheme="minorHAnsi"/>
          <w:sz w:val="20"/>
          <w:szCs w:val="20"/>
        </w:rPr>
        <w:t>55</w:t>
      </w:r>
      <w:r w:rsidR="00802AB1" w:rsidRPr="006C7B74">
        <w:rPr>
          <w:rFonts w:cstheme="minorHAnsi"/>
          <w:sz w:val="20"/>
          <w:szCs w:val="20"/>
        </w:rPr>
        <w:t>9</w:t>
      </w:r>
      <w:r w:rsidRPr="006C7B74">
        <w:rPr>
          <w:rFonts w:cstheme="minorHAnsi"/>
          <w:sz w:val="20"/>
          <w:szCs w:val="20"/>
        </w:rPr>
        <w:t xml:space="preserve"> hectares of land ha</w:t>
      </w:r>
      <w:r w:rsidR="00A86CBA" w:rsidRPr="006C7B74">
        <w:rPr>
          <w:rFonts w:cstheme="minorHAnsi"/>
          <w:sz w:val="20"/>
          <w:szCs w:val="20"/>
        </w:rPr>
        <w:t>s</w:t>
      </w:r>
      <w:r w:rsidRPr="006C7B74">
        <w:rPr>
          <w:rFonts w:cstheme="minorHAnsi"/>
          <w:sz w:val="20"/>
          <w:szCs w:val="20"/>
        </w:rPr>
        <w:t xml:space="preserve"> been identified through other strategic plans such as Growth Corridor Plans and </w:t>
      </w:r>
      <w:r w:rsidR="00BE0B93" w:rsidRPr="006C7B74">
        <w:t>PSPs</w:t>
      </w:r>
      <w:r w:rsidRPr="006C7B74">
        <w:rPr>
          <w:rFonts w:cstheme="minorHAnsi"/>
          <w:sz w:val="20"/>
          <w:szCs w:val="20"/>
        </w:rPr>
        <w:t xml:space="preserve"> for future commercial purposes. These areas are confined to Melton and Wyndham</w:t>
      </w:r>
      <w:r w:rsidR="00670155" w:rsidRPr="006C7B74">
        <w:rPr>
          <w:rFonts w:cstheme="minorHAnsi"/>
          <w:sz w:val="20"/>
          <w:szCs w:val="20"/>
        </w:rPr>
        <w:t>.</w:t>
      </w:r>
    </w:p>
    <w:p w14:paraId="05CB8DE3" w14:textId="2DC0D4C9" w:rsidR="002A5B72" w:rsidRPr="006C7B74" w:rsidRDefault="00A86CBA" w:rsidP="00A86CBA">
      <w:pPr>
        <w:spacing w:after="120"/>
        <w:rPr>
          <w:rFonts w:cstheme="minorHAnsi"/>
          <w:sz w:val="20"/>
          <w:szCs w:val="20"/>
        </w:rPr>
      </w:pPr>
      <w:r w:rsidRPr="006C7B74">
        <w:rPr>
          <w:rFonts w:cstheme="minorHAnsi"/>
          <w:sz w:val="20"/>
          <w:szCs w:val="20"/>
        </w:rPr>
        <w:t>A</w:t>
      </w:r>
      <w:r w:rsidR="002A5B72" w:rsidRPr="006C7B74">
        <w:rPr>
          <w:rFonts w:cstheme="minorHAnsi"/>
          <w:sz w:val="20"/>
          <w:szCs w:val="20"/>
        </w:rPr>
        <w:t xml:space="preserve"> significant proportion of the land </w:t>
      </w:r>
      <w:r w:rsidR="00170A7C" w:rsidRPr="006C7B74">
        <w:rPr>
          <w:rFonts w:cstheme="minorHAnsi"/>
          <w:sz w:val="20"/>
          <w:szCs w:val="20"/>
        </w:rPr>
        <w:t>identified for future commercial purposes is within the Werribee NEIC</w:t>
      </w:r>
      <w:r w:rsidR="00170A7C" w:rsidRPr="006C7B74" w:rsidDel="00170A7C">
        <w:rPr>
          <w:rFonts w:cstheme="minorHAnsi"/>
          <w:sz w:val="20"/>
          <w:szCs w:val="20"/>
        </w:rPr>
        <w:t xml:space="preserve"> </w:t>
      </w:r>
      <w:r w:rsidR="002A5B72" w:rsidRPr="006C7B74">
        <w:rPr>
          <w:rFonts w:cstheme="minorHAnsi"/>
          <w:sz w:val="20"/>
          <w:szCs w:val="20"/>
        </w:rPr>
        <w:t>(</w:t>
      </w:r>
      <w:r w:rsidR="00FB53A6" w:rsidRPr="006C7B74">
        <w:rPr>
          <w:rFonts w:cstheme="minorHAnsi"/>
          <w:sz w:val="20"/>
          <w:szCs w:val="20"/>
        </w:rPr>
        <w:t>106</w:t>
      </w:r>
      <w:r w:rsidR="002A5B72" w:rsidRPr="006C7B74">
        <w:rPr>
          <w:rFonts w:cstheme="minorHAnsi"/>
          <w:sz w:val="20"/>
          <w:szCs w:val="20"/>
        </w:rPr>
        <w:t xml:space="preserve"> h</w:t>
      </w:r>
      <w:r w:rsidR="00CD0B82" w:rsidRPr="006C7B74">
        <w:rPr>
          <w:rFonts w:cstheme="minorHAnsi"/>
          <w:sz w:val="20"/>
          <w:szCs w:val="20"/>
        </w:rPr>
        <w:t>ectares</w:t>
      </w:r>
      <w:r w:rsidR="002A5B72" w:rsidRPr="006C7B74">
        <w:rPr>
          <w:rFonts w:cstheme="minorHAnsi"/>
          <w:sz w:val="20"/>
          <w:szCs w:val="20"/>
        </w:rPr>
        <w:t xml:space="preserve">). </w:t>
      </w:r>
      <w:r w:rsidR="00170A7C" w:rsidRPr="006C7B74">
        <w:rPr>
          <w:rFonts w:cstheme="minorHAnsi"/>
          <w:sz w:val="20"/>
          <w:szCs w:val="20"/>
        </w:rPr>
        <w:t xml:space="preserve">This land accounts for </w:t>
      </w:r>
      <w:r w:rsidR="00A91E59" w:rsidRPr="006C7B74">
        <w:rPr>
          <w:rFonts w:cstheme="minorHAnsi"/>
          <w:sz w:val="20"/>
          <w:szCs w:val="20"/>
        </w:rPr>
        <w:t>19</w:t>
      </w:r>
      <w:r w:rsidR="00170A7C" w:rsidRPr="006C7B74">
        <w:rPr>
          <w:rFonts w:cstheme="minorHAnsi"/>
          <w:sz w:val="20"/>
          <w:szCs w:val="20"/>
        </w:rPr>
        <w:t xml:space="preserve"> per cent of all future commercial land identified for the region and some of </w:t>
      </w:r>
      <w:r w:rsidR="007B4E60" w:rsidRPr="006C7B74">
        <w:rPr>
          <w:rFonts w:cstheme="minorHAnsi"/>
          <w:sz w:val="20"/>
          <w:szCs w:val="20"/>
        </w:rPr>
        <w:t>this land</w:t>
      </w:r>
      <w:r w:rsidR="00170A7C" w:rsidRPr="006C7B74">
        <w:rPr>
          <w:rFonts w:cstheme="minorHAnsi"/>
          <w:sz w:val="20"/>
          <w:szCs w:val="20"/>
        </w:rPr>
        <w:t xml:space="preserve"> is also </w:t>
      </w:r>
      <w:r w:rsidR="002A5B72" w:rsidRPr="006C7B74">
        <w:rPr>
          <w:rFonts w:cstheme="minorHAnsi"/>
          <w:sz w:val="20"/>
          <w:szCs w:val="20"/>
        </w:rPr>
        <w:t xml:space="preserve">generally suitable for a range other employment purposes, including industrial uses. </w:t>
      </w:r>
    </w:p>
    <w:p w14:paraId="613CD481" w14:textId="77777777" w:rsidR="002A5B72" w:rsidRPr="006C7B74" w:rsidRDefault="002A5B72" w:rsidP="00934C4D">
      <w:pPr>
        <w:spacing w:after="120"/>
        <w:rPr>
          <w:rFonts w:cstheme="minorHAnsi"/>
          <w:sz w:val="20"/>
          <w:szCs w:val="20"/>
        </w:rPr>
      </w:pPr>
    </w:p>
    <w:p w14:paraId="75B14E93" w14:textId="38373313" w:rsidR="002A5B72" w:rsidRPr="006C7B74" w:rsidRDefault="002A5B72" w:rsidP="00E326DD">
      <w:pPr>
        <w:pStyle w:val="Heading5"/>
      </w:pPr>
      <w:r w:rsidRPr="006C7B74">
        <w:t xml:space="preserve">Table </w:t>
      </w:r>
      <w:r w:rsidR="0028011E" w:rsidRPr="006C7B74">
        <w:t>16</w:t>
      </w:r>
      <w:r w:rsidRPr="006C7B74">
        <w:t>: Future commercial land supply</w:t>
      </w:r>
      <w:r w:rsidR="006326CE" w:rsidRPr="006C7B74">
        <w:t>, Western Region</w:t>
      </w:r>
    </w:p>
    <w:tbl>
      <w:tblPr>
        <w:tblStyle w:val="TableGrid"/>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83"/>
        <w:gridCol w:w="4055"/>
        <w:gridCol w:w="2872"/>
      </w:tblGrid>
      <w:tr w:rsidR="00C361DD" w:rsidRPr="006C7B74" w14:paraId="592DEF3F" w14:textId="77777777" w:rsidTr="007420C4">
        <w:trPr>
          <w:cnfStyle w:val="100000000000" w:firstRow="1" w:lastRow="0" w:firstColumn="0" w:lastColumn="0" w:oddVBand="0" w:evenVBand="0" w:oddHBand="0" w:evenHBand="0" w:firstRowFirstColumn="0" w:firstRowLastColumn="0" w:lastRowFirstColumn="0" w:lastRowLastColumn="0"/>
          <w:trHeight w:val="625"/>
        </w:trPr>
        <w:tc>
          <w:tcPr>
            <w:cnfStyle w:val="001000000100" w:firstRow="0" w:lastRow="0" w:firstColumn="1" w:lastColumn="0" w:oddVBand="0" w:evenVBand="0" w:oddHBand="0" w:evenHBand="0" w:firstRowFirstColumn="1" w:firstRowLastColumn="0" w:lastRowFirstColumn="0" w:lastRowLastColumn="0"/>
            <w:tcW w:w="1156" w:type="pct"/>
            <w:noWrap/>
            <w:hideMark/>
          </w:tcPr>
          <w:p w14:paraId="0AB6149A" w14:textId="710D38AC" w:rsidR="00C361DD" w:rsidRPr="00683949" w:rsidRDefault="001C62ED" w:rsidP="00683949">
            <w:pPr>
              <w:pStyle w:val="TableHeaderRow"/>
            </w:pPr>
            <w:r w:rsidRPr="00683949">
              <w:t>Council</w:t>
            </w:r>
          </w:p>
        </w:tc>
        <w:tc>
          <w:tcPr>
            <w:tcW w:w="2250" w:type="pct"/>
          </w:tcPr>
          <w:p w14:paraId="56370A2E" w14:textId="39EABE6D" w:rsidR="00C361DD" w:rsidRPr="00683949" w:rsidRDefault="004C33C1" w:rsidP="00683949">
            <w:pPr>
              <w:pStyle w:val="TableHeaderRow"/>
              <w:cnfStyle w:val="100000000000" w:firstRow="1" w:lastRow="0" w:firstColumn="0" w:lastColumn="0" w:oddVBand="0" w:evenVBand="0" w:oddHBand="0" w:evenHBand="0" w:firstRowFirstColumn="0" w:firstRowLastColumn="0" w:lastRowFirstColumn="0" w:lastRowLastColumn="0"/>
            </w:pPr>
            <w:r w:rsidRPr="00683949">
              <w:t>Future commercial land (ha)</w:t>
            </w:r>
          </w:p>
        </w:tc>
        <w:tc>
          <w:tcPr>
            <w:tcW w:w="1594" w:type="pct"/>
          </w:tcPr>
          <w:p w14:paraId="188E7B3A" w14:textId="2A6F16F4" w:rsidR="00C361DD" w:rsidRPr="00683949" w:rsidRDefault="00C361DD" w:rsidP="00683949">
            <w:pPr>
              <w:pStyle w:val="TableHeaderRow"/>
              <w:cnfStyle w:val="100000000000" w:firstRow="1" w:lastRow="0" w:firstColumn="0" w:lastColumn="0" w:oddVBand="0" w:evenVBand="0" w:oddHBand="0" w:evenHBand="0" w:firstRowFirstColumn="0" w:firstRowLastColumn="0" w:lastRowFirstColumn="0" w:lastRowLastColumn="0"/>
            </w:pPr>
            <w:r w:rsidRPr="00683949">
              <w:t xml:space="preserve">Share of </w:t>
            </w:r>
            <w:r w:rsidR="004331A5" w:rsidRPr="00683949">
              <w:t>m</w:t>
            </w:r>
            <w:r w:rsidRPr="00683949">
              <w:t>etro</w:t>
            </w:r>
            <w:r w:rsidR="00D57E01" w:rsidRPr="00683949">
              <w:t>politan Melbourne</w:t>
            </w:r>
          </w:p>
        </w:tc>
      </w:tr>
      <w:tr w:rsidR="000D72B4" w:rsidRPr="006C7B74" w14:paraId="1F07EF75" w14:textId="77777777" w:rsidTr="000D72B4">
        <w:trPr>
          <w:trHeight w:val="302"/>
        </w:trPr>
        <w:tc>
          <w:tcPr>
            <w:cnfStyle w:val="001000000000" w:firstRow="0" w:lastRow="0" w:firstColumn="1" w:lastColumn="0" w:oddVBand="0" w:evenVBand="0" w:oddHBand="0" w:evenHBand="0" w:firstRowFirstColumn="0" w:firstRowLastColumn="0" w:lastRowFirstColumn="0" w:lastRowLastColumn="0"/>
            <w:tcW w:w="1156" w:type="pct"/>
            <w:noWrap/>
            <w:vAlign w:val="top"/>
            <w:hideMark/>
          </w:tcPr>
          <w:p w14:paraId="52402405" w14:textId="259D50F2" w:rsidR="000D72B4" w:rsidRPr="006C7B74" w:rsidRDefault="000D72B4" w:rsidP="000D72B4">
            <w:pPr>
              <w:spacing w:before="0" w:after="120" w:line="240" w:lineRule="auto"/>
              <w:rPr>
                <w:rFonts w:cstheme="minorHAnsi"/>
                <w:color w:val="000000"/>
                <w:sz w:val="18"/>
                <w:szCs w:val="18"/>
              </w:rPr>
            </w:pPr>
            <w:r w:rsidRPr="006C7B74">
              <w:rPr>
                <w:sz w:val="18"/>
                <w:szCs w:val="18"/>
              </w:rPr>
              <w:t>Melton</w:t>
            </w:r>
          </w:p>
        </w:tc>
        <w:tc>
          <w:tcPr>
            <w:tcW w:w="2250" w:type="pct"/>
            <w:noWrap/>
            <w:vAlign w:val="top"/>
            <w:hideMark/>
          </w:tcPr>
          <w:p w14:paraId="01B2AF62" w14:textId="1F372A16" w:rsidR="000D72B4" w:rsidRPr="006C7B74" w:rsidRDefault="000D72B4" w:rsidP="000D72B4">
            <w:pPr>
              <w:spacing w:before="0" w:after="12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C7B74">
              <w:rPr>
                <w:sz w:val="18"/>
                <w:szCs w:val="18"/>
              </w:rPr>
              <w:t>222</w:t>
            </w:r>
          </w:p>
        </w:tc>
        <w:tc>
          <w:tcPr>
            <w:tcW w:w="1594" w:type="pct"/>
            <w:noWrap/>
            <w:vAlign w:val="top"/>
            <w:hideMark/>
          </w:tcPr>
          <w:p w14:paraId="3EFEF4BB" w14:textId="47F2583F" w:rsidR="000D72B4" w:rsidRPr="001C018A" w:rsidRDefault="00972B34" w:rsidP="000D72B4">
            <w:pPr>
              <w:spacing w:before="0" w:after="12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018A">
              <w:rPr>
                <w:sz w:val="18"/>
                <w:szCs w:val="18"/>
              </w:rPr>
              <w:t>1</w:t>
            </w:r>
            <w:r w:rsidR="00991542" w:rsidRPr="001C018A">
              <w:rPr>
                <w:sz w:val="18"/>
                <w:szCs w:val="18"/>
              </w:rPr>
              <w:t>7</w:t>
            </w:r>
            <w:r w:rsidR="000D72B4" w:rsidRPr="001C018A">
              <w:rPr>
                <w:sz w:val="18"/>
                <w:szCs w:val="18"/>
              </w:rPr>
              <w:t>%</w:t>
            </w:r>
          </w:p>
        </w:tc>
      </w:tr>
      <w:tr w:rsidR="000D72B4" w:rsidRPr="006C7B74" w14:paraId="5DEE6B26" w14:textId="77777777" w:rsidTr="000D72B4">
        <w:trPr>
          <w:trHeight w:val="302"/>
        </w:trPr>
        <w:tc>
          <w:tcPr>
            <w:cnfStyle w:val="001000000000" w:firstRow="0" w:lastRow="0" w:firstColumn="1" w:lastColumn="0" w:oddVBand="0" w:evenVBand="0" w:oddHBand="0" w:evenHBand="0" w:firstRowFirstColumn="0" w:firstRowLastColumn="0" w:lastRowFirstColumn="0" w:lastRowLastColumn="0"/>
            <w:tcW w:w="1156" w:type="pct"/>
            <w:noWrap/>
            <w:vAlign w:val="top"/>
            <w:hideMark/>
          </w:tcPr>
          <w:p w14:paraId="0E7A13B4" w14:textId="632CEDEA" w:rsidR="000D72B4" w:rsidRPr="006C7B74" w:rsidRDefault="000D72B4" w:rsidP="000D72B4">
            <w:pPr>
              <w:spacing w:before="0" w:after="120" w:line="240" w:lineRule="auto"/>
              <w:rPr>
                <w:rFonts w:cstheme="minorHAnsi"/>
                <w:color w:val="000000"/>
                <w:sz w:val="18"/>
                <w:szCs w:val="18"/>
              </w:rPr>
            </w:pPr>
            <w:r w:rsidRPr="006C7B74">
              <w:rPr>
                <w:sz w:val="18"/>
                <w:szCs w:val="18"/>
              </w:rPr>
              <w:t>Wyndham</w:t>
            </w:r>
          </w:p>
        </w:tc>
        <w:tc>
          <w:tcPr>
            <w:tcW w:w="2250" w:type="pct"/>
            <w:noWrap/>
            <w:vAlign w:val="top"/>
            <w:hideMark/>
          </w:tcPr>
          <w:p w14:paraId="7C529CB4" w14:textId="4DB00CA7" w:rsidR="000D72B4" w:rsidRPr="006C7B74" w:rsidRDefault="000D72B4" w:rsidP="000D72B4">
            <w:pPr>
              <w:spacing w:before="0" w:after="12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C7B74">
              <w:rPr>
                <w:sz w:val="18"/>
                <w:szCs w:val="18"/>
              </w:rPr>
              <w:t>336</w:t>
            </w:r>
          </w:p>
        </w:tc>
        <w:tc>
          <w:tcPr>
            <w:tcW w:w="1594" w:type="pct"/>
            <w:noWrap/>
            <w:vAlign w:val="top"/>
            <w:hideMark/>
          </w:tcPr>
          <w:p w14:paraId="0852AE10" w14:textId="37305263" w:rsidR="000D72B4" w:rsidRPr="001C018A" w:rsidRDefault="004C199B" w:rsidP="000D72B4">
            <w:pPr>
              <w:spacing w:before="0" w:after="12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018A">
              <w:rPr>
                <w:sz w:val="18"/>
                <w:szCs w:val="18"/>
              </w:rPr>
              <w:t>2</w:t>
            </w:r>
            <w:r w:rsidR="00991542" w:rsidRPr="001C018A">
              <w:rPr>
                <w:sz w:val="18"/>
                <w:szCs w:val="18"/>
              </w:rPr>
              <w:t>5</w:t>
            </w:r>
            <w:r w:rsidR="000D72B4" w:rsidRPr="001C018A">
              <w:rPr>
                <w:sz w:val="18"/>
                <w:szCs w:val="18"/>
              </w:rPr>
              <w:t>%</w:t>
            </w:r>
          </w:p>
        </w:tc>
      </w:tr>
      <w:tr w:rsidR="000D72B4" w:rsidRPr="0062306B" w14:paraId="3E4262CD" w14:textId="77777777" w:rsidTr="000D72B4">
        <w:trPr>
          <w:trHeight w:val="302"/>
        </w:trPr>
        <w:tc>
          <w:tcPr>
            <w:cnfStyle w:val="001000000000" w:firstRow="0" w:lastRow="0" w:firstColumn="1" w:lastColumn="0" w:oddVBand="0" w:evenVBand="0" w:oddHBand="0" w:evenHBand="0" w:firstRowFirstColumn="0" w:firstRowLastColumn="0" w:lastRowFirstColumn="0" w:lastRowLastColumn="0"/>
            <w:tcW w:w="1156" w:type="pct"/>
            <w:noWrap/>
            <w:vAlign w:val="top"/>
            <w:hideMark/>
          </w:tcPr>
          <w:p w14:paraId="1E91858C" w14:textId="2E2B0018" w:rsidR="000D72B4" w:rsidRPr="0062306B" w:rsidRDefault="000D72B4" w:rsidP="000D72B4">
            <w:pPr>
              <w:spacing w:before="0" w:after="120" w:line="240" w:lineRule="auto"/>
              <w:rPr>
                <w:rFonts w:cstheme="minorHAnsi"/>
                <w:b/>
                <w:color w:val="000000"/>
                <w:sz w:val="18"/>
                <w:szCs w:val="18"/>
              </w:rPr>
            </w:pPr>
            <w:r w:rsidRPr="0062306B">
              <w:rPr>
                <w:b/>
                <w:sz w:val="18"/>
                <w:szCs w:val="18"/>
              </w:rPr>
              <w:t>T</w:t>
            </w:r>
            <w:r w:rsidR="00EE4191" w:rsidRPr="0062306B">
              <w:rPr>
                <w:b/>
                <w:sz w:val="18"/>
                <w:szCs w:val="18"/>
              </w:rPr>
              <w:t>otal</w:t>
            </w:r>
          </w:p>
        </w:tc>
        <w:tc>
          <w:tcPr>
            <w:tcW w:w="2250" w:type="pct"/>
            <w:noWrap/>
            <w:vAlign w:val="top"/>
            <w:hideMark/>
          </w:tcPr>
          <w:p w14:paraId="4FBCFF2F" w14:textId="3023DBAF" w:rsidR="000D72B4" w:rsidRPr="0062306B" w:rsidRDefault="000D72B4" w:rsidP="000D72B4">
            <w:pPr>
              <w:spacing w:before="0" w:after="120" w:line="240" w:lineRule="auto"/>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rPr>
            </w:pPr>
            <w:r w:rsidRPr="0062306B">
              <w:rPr>
                <w:b/>
                <w:sz w:val="18"/>
                <w:szCs w:val="18"/>
              </w:rPr>
              <w:t>559</w:t>
            </w:r>
          </w:p>
        </w:tc>
        <w:tc>
          <w:tcPr>
            <w:tcW w:w="1594" w:type="pct"/>
            <w:noWrap/>
            <w:vAlign w:val="top"/>
            <w:hideMark/>
          </w:tcPr>
          <w:p w14:paraId="2096982D" w14:textId="3E3EB610" w:rsidR="000D72B4" w:rsidRPr="001C018A" w:rsidRDefault="00991542" w:rsidP="000D72B4">
            <w:pPr>
              <w:spacing w:before="0" w:after="120" w:line="240" w:lineRule="auto"/>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rPr>
            </w:pPr>
            <w:r w:rsidRPr="001C018A">
              <w:rPr>
                <w:b/>
                <w:sz w:val="18"/>
                <w:szCs w:val="18"/>
              </w:rPr>
              <w:t>42</w:t>
            </w:r>
            <w:r w:rsidR="000D72B4" w:rsidRPr="001C018A">
              <w:rPr>
                <w:b/>
                <w:sz w:val="18"/>
                <w:szCs w:val="18"/>
              </w:rPr>
              <w:t>%</w:t>
            </w:r>
          </w:p>
        </w:tc>
      </w:tr>
    </w:tbl>
    <w:p w14:paraId="7199672F" w14:textId="2B9505B3" w:rsidR="002A5B72" w:rsidRPr="006C7B74" w:rsidRDefault="00DC580D" w:rsidP="00934C4D">
      <w:pPr>
        <w:spacing w:after="120"/>
        <w:rPr>
          <w:rFonts w:cstheme="minorHAnsi"/>
          <w:sz w:val="20"/>
          <w:szCs w:val="20"/>
        </w:rPr>
      </w:pPr>
      <w:r w:rsidRPr="006C7B74">
        <w:rPr>
          <w:i/>
          <w:iCs/>
          <w:color w:val="404040" w:themeColor="text1" w:themeTint="BF"/>
          <w:sz w:val="18"/>
        </w:rPr>
        <w:t>Source:</w:t>
      </w:r>
      <w:r w:rsidR="007C154C" w:rsidRPr="006C7B74">
        <w:rPr>
          <w:i/>
          <w:iCs/>
          <w:color w:val="404040" w:themeColor="text1" w:themeTint="BF"/>
          <w:sz w:val="18"/>
        </w:rPr>
        <w:t xml:space="preserve"> </w:t>
      </w:r>
      <w:r w:rsidRPr="006C7B74">
        <w:rPr>
          <w:i/>
          <w:iCs/>
          <w:color w:val="404040" w:themeColor="text1" w:themeTint="BF"/>
          <w:sz w:val="18"/>
        </w:rPr>
        <w:t>Department of Environment, Land, Water and Planning, unpublished data (</w:t>
      </w:r>
      <w:r w:rsidR="00BE4C55" w:rsidRPr="006C7B74">
        <w:rPr>
          <w:i/>
          <w:iCs/>
          <w:color w:val="404040" w:themeColor="text1" w:themeTint="BF"/>
          <w:sz w:val="18"/>
        </w:rPr>
        <w:t>20</w:t>
      </w:r>
      <w:r w:rsidR="00BE4C55">
        <w:rPr>
          <w:i/>
          <w:iCs/>
          <w:color w:val="404040" w:themeColor="text1" w:themeTint="BF"/>
          <w:sz w:val="18"/>
        </w:rPr>
        <w:t>20</w:t>
      </w:r>
      <w:r w:rsidRPr="006C7B74">
        <w:rPr>
          <w:i/>
          <w:iCs/>
          <w:color w:val="404040" w:themeColor="text1" w:themeTint="BF"/>
          <w:sz w:val="18"/>
        </w:rPr>
        <w:t>)</w:t>
      </w:r>
    </w:p>
    <w:p w14:paraId="3450ACA1" w14:textId="5399489B" w:rsidR="002A5B72" w:rsidRPr="006C7B74" w:rsidRDefault="002A5B72" w:rsidP="00934C4D">
      <w:pPr>
        <w:spacing w:after="120"/>
        <w:rPr>
          <w:rFonts w:cstheme="minorHAnsi"/>
          <w:sz w:val="20"/>
          <w:szCs w:val="20"/>
        </w:rPr>
      </w:pPr>
      <w:r w:rsidRPr="006C7B74">
        <w:rPr>
          <w:rFonts w:cstheme="minorHAnsi"/>
          <w:sz w:val="20"/>
          <w:szCs w:val="20"/>
        </w:rPr>
        <w:t>Based on projected growth, by 2031 it is anticipated that a</w:t>
      </w:r>
      <w:r w:rsidR="009B2665" w:rsidRPr="006C7B74">
        <w:rPr>
          <w:rFonts w:cstheme="minorHAnsi"/>
          <w:sz w:val="20"/>
          <w:szCs w:val="20"/>
        </w:rPr>
        <w:t>round</w:t>
      </w:r>
      <w:r w:rsidR="00A90925" w:rsidRPr="006C7B74">
        <w:rPr>
          <w:rFonts w:cstheme="minorHAnsi"/>
          <w:sz w:val="20"/>
          <w:szCs w:val="20"/>
        </w:rPr>
        <w:t xml:space="preserve"> </w:t>
      </w:r>
      <w:r w:rsidRPr="006C7B74">
        <w:rPr>
          <w:rFonts w:cstheme="minorHAnsi"/>
          <w:sz w:val="20"/>
          <w:szCs w:val="20"/>
        </w:rPr>
        <w:t>1.</w:t>
      </w:r>
      <w:r w:rsidR="009B2665" w:rsidRPr="006C7B74">
        <w:rPr>
          <w:rFonts w:cstheme="minorHAnsi"/>
          <w:sz w:val="20"/>
          <w:szCs w:val="20"/>
        </w:rPr>
        <w:t>5</w:t>
      </w:r>
      <w:r w:rsidRPr="006C7B74">
        <w:rPr>
          <w:rFonts w:cstheme="minorHAnsi"/>
          <w:sz w:val="20"/>
          <w:szCs w:val="20"/>
        </w:rPr>
        <w:t xml:space="preserve"> million square metres of commercial floorspace will be required across the Western Region. A</w:t>
      </w:r>
      <w:r w:rsidR="00170A7C" w:rsidRPr="006C7B74">
        <w:rPr>
          <w:rFonts w:cstheme="minorHAnsi"/>
          <w:sz w:val="20"/>
          <w:szCs w:val="20"/>
        </w:rPr>
        <w:t>lmost 800,000</w:t>
      </w:r>
      <w:r w:rsidRPr="006C7B74">
        <w:rPr>
          <w:rFonts w:cstheme="minorHAnsi"/>
          <w:sz w:val="20"/>
          <w:szCs w:val="20"/>
        </w:rPr>
        <w:t xml:space="preserve"> square metres will be required for office uses and the remaining </w:t>
      </w:r>
      <w:r w:rsidR="009B2665" w:rsidRPr="006C7B74">
        <w:rPr>
          <w:rFonts w:cstheme="minorHAnsi"/>
          <w:sz w:val="20"/>
          <w:szCs w:val="20"/>
        </w:rPr>
        <w:t>700,000</w:t>
      </w:r>
      <w:r w:rsidR="00F16500" w:rsidRPr="006C7B74">
        <w:rPr>
          <w:rFonts w:cstheme="minorHAnsi"/>
          <w:sz w:val="20"/>
          <w:szCs w:val="20"/>
        </w:rPr>
        <w:t xml:space="preserve"> million </w:t>
      </w:r>
      <w:r w:rsidRPr="006C7B74">
        <w:rPr>
          <w:rFonts w:cstheme="minorHAnsi"/>
          <w:sz w:val="20"/>
          <w:szCs w:val="20"/>
        </w:rPr>
        <w:t xml:space="preserve">square metres will be required for retail. </w:t>
      </w:r>
      <w:r w:rsidR="00EC7CC3" w:rsidRPr="006C7B74">
        <w:rPr>
          <w:rFonts w:cstheme="minorHAnsi"/>
          <w:sz w:val="20"/>
          <w:szCs w:val="20"/>
        </w:rPr>
        <w:t>Around</w:t>
      </w:r>
      <w:r w:rsidR="00170A7C" w:rsidRPr="006C7B74">
        <w:rPr>
          <w:rFonts w:cstheme="minorHAnsi"/>
          <w:sz w:val="20"/>
          <w:szCs w:val="20"/>
        </w:rPr>
        <w:t xml:space="preserve"> </w:t>
      </w:r>
      <w:r w:rsidR="006F3F97" w:rsidRPr="006C7B74">
        <w:rPr>
          <w:rFonts w:cstheme="minorHAnsi"/>
          <w:sz w:val="20"/>
          <w:szCs w:val="20"/>
        </w:rPr>
        <w:t>60</w:t>
      </w:r>
      <w:r w:rsidRPr="006C7B74">
        <w:rPr>
          <w:rFonts w:cstheme="minorHAnsi"/>
          <w:sz w:val="20"/>
          <w:szCs w:val="20"/>
        </w:rPr>
        <w:t xml:space="preserve"> per cent of </w:t>
      </w:r>
      <w:r w:rsidRPr="006C7B74">
        <w:rPr>
          <w:rFonts w:cstheme="minorHAnsi"/>
          <w:sz w:val="20"/>
          <w:szCs w:val="20"/>
        </w:rPr>
        <w:lastRenderedPageBreak/>
        <w:t xml:space="preserve">this additional floorspace </w:t>
      </w:r>
      <w:r w:rsidR="00EC7CC3" w:rsidRPr="006C7B74">
        <w:rPr>
          <w:rFonts w:cstheme="minorHAnsi"/>
          <w:sz w:val="20"/>
          <w:szCs w:val="20"/>
        </w:rPr>
        <w:t>is projected to be located in</w:t>
      </w:r>
      <w:r w:rsidRPr="006C7B74">
        <w:rPr>
          <w:rFonts w:cstheme="minorHAnsi"/>
          <w:sz w:val="20"/>
          <w:szCs w:val="20"/>
        </w:rPr>
        <w:t xml:space="preserve"> the growth area municipalities of Melton and Wyndham. These councils have land identified for future </w:t>
      </w:r>
      <w:r w:rsidR="00170A7C" w:rsidRPr="006C7B74">
        <w:rPr>
          <w:rFonts w:cstheme="minorHAnsi"/>
          <w:sz w:val="20"/>
          <w:szCs w:val="20"/>
        </w:rPr>
        <w:t>c</w:t>
      </w:r>
      <w:r w:rsidRPr="006C7B74">
        <w:rPr>
          <w:rFonts w:cstheme="minorHAnsi"/>
          <w:sz w:val="20"/>
          <w:szCs w:val="20"/>
        </w:rPr>
        <w:t xml:space="preserve">ommercial purposes. </w:t>
      </w:r>
    </w:p>
    <w:p w14:paraId="6B05A58A" w14:textId="103EAAED" w:rsidR="002A5B72" w:rsidRPr="006C7B74" w:rsidRDefault="002A5B72" w:rsidP="00934C4D">
      <w:pPr>
        <w:spacing w:after="120"/>
        <w:rPr>
          <w:rFonts w:cstheme="minorHAnsi"/>
          <w:sz w:val="20"/>
          <w:szCs w:val="20"/>
        </w:rPr>
      </w:pPr>
      <w:r w:rsidRPr="006C7B74">
        <w:rPr>
          <w:rFonts w:cstheme="minorHAnsi"/>
          <w:sz w:val="20"/>
          <w:szCs w:val="20"/>
        </w:rPr>
        <w:t xml:space="preserve">The municipalities of </w:t>
      </w:r>
      <w:proofErr w:type="spellStart"/>
      <w:r w:rsidRPr="006C7B74">
        <w:rPr>
          <w:rFonts w:cstheme="minorHAnsi"/>
          <w:sz w:val="20"/>
          <w:szCs w:val="20"/>
        </w:rPr>
        <w:t>Brimbank</w:t>
      </w:r>
      <w:proofErr w:type="spellEnd"/>
      <w:r w:rsidRPr="006C7B74">
        <w:rPr>
          <w:rFonts w:cstheme="minorHAnsi"/>
          <w:sz w:val="20"/>
          <w:szCs w:val="20"/>
        </w:rPr>
        <w:t xml:space="preserve">, Hobsons Bay, Maribyrnong and Moonee Valley </w:t>
      </w:r>
      <w:r w:rsidR="00170A7C" w:rsidRPr="006C7B74">
        <w:rPr>
          <w:rFonts w:cstheme="minorHAnsi"/>
          <w:sz w:val="20"/>
          <w:szCs w:val="20"/>
        </w:rPr>
        <w:t xml:space="preserve">will </w:t>
      </w:r>
      <w:r w:rsidRPr="006C7B74">
        <w:rPr>
          <w:rFonts w:cstheme="minorHAnsi"/>
          <w:sz w:val="20"/>
          <w:szCs w:val="20"/>
        </w:rPr>
        <w:t xml:space="preserve">need to identify options to accommodate projected demand for commercial floorspace within existing commercial areas, as well as considering areas that could </w:t>
      </w:r>
      <w:r w:rsidR="00170A7C" w:rsidRPr="006C7B74">
        <w:rPr>
          <w:rFonts w:cstheme="minorHAnsi"/>
          <w:sz w:val="20"/>
          <w:szCs w:val="20"/>
        </w:rPr>
        <w:t xml:space="preserve">accommodate future </w:t>
      </w:r>
      <w:r w:rsidRPr="006C7B74">
        <w:rPr>
          <w:rFonts w:cstheme="minorHAnsi"/>
          <w:sz w:val="20"/>
          <w:szCs w:val="20"/>
        </w:rPr>
        <w:t>floorspace requirements</w:t>
      </w:r>
      <w:r w:rsidR="00170A7C" w:rsidRPr="006C7B74">
        <w:rPr>
          <w:rFonts w:cstheme="minorHAnsi"/>
          <w:sz w:val="20"/>
          <w:szCs w:val="20"/>
        </w:rPr>
        <w:t xml:space="preserve"> through </w:t>
      </w:r>
      <w:proofErr w:type="spellStart"/>
      <w:r w:rsidR="00170A7C" w:rsidRPr="006C7B74">
        <w:rPr>
          <w:rFonts w:cstheme="minorHAnsi"/>
          <w:sz w:val="20"/>
          <w:szCs w:val="20"/>
        </w:rPr>
        <w:t>rezonings</w:t>
      </w:r>
      <w:proofErr w:type="spellEnd"/>
      <w:r w:rsidRPr="006C7B74">
        <w:rPr>
          <w:rFonts w:cstheme="minorHAnsi"/>
          <w:sz w:val="20"/>
          <w:szCs w:val="20"/>
        </w:rPr>
        <w:t>.</w:t>
      </w:r>
    </w:p>
    <w:p w14:paraId="52AC8A48" w14:textId="77777777" w:rsidR="002A5B72" w:rsidRPr="006C7B74" w:rsidRDefault="002A5B72" w:rsidP="00934C4D">
      <w:pPr>
        <w:spacing w:after="120"/>
        <w:rPr>
          <w:rFonts w:cstheme="minorHAnsi"/>
          <w:sz w:val="20"/>
          <w:szCs w:val="20"/>
        </w:rPr>
      </w:pPr>
    </w:p>
    <w:p w14:paraId="69B25315" w14:textId="17585828" w:rsidR="002A5B72" w:rsidRPr="006C7B74" w:rsidRDefault="002A5B72" w:rsidP="00106109">
      <w:pPr>
        <w:pStyle w:val="Heading5"/>
      </w:pPr>
      <w:r w:rsidRPr="006C7B74">
        <w:t xml:space="preserve">Table </w:t>
      </w:r>
      <w:r w:rsidR="003043A3" w:rsidRPr="006C7B74">
        <w:t>17</w:t>
      </w:r>
      <w:r w:rsidRPr="006C7B74">
        <w:t xml:space="preserve">: Commercial floorspace supply and </w:t>
      </w:r>
      <w:r w:rsidR="00D44B39">
        <w:t>estimate</w:t>
      </w:r>
      <w:r w:rsidRPr="006C7B74">
        <w:t xml:space="preserve">, </w:t>
      </w:r>
      <w:r w:rsidR="00AA0F6A" w:rsidRPr="006C7B74">
        <w:t>Western Region</w:t>
      </w:r>
    </w:p>
    <w:tbl>
      <w:tblPr>
        <w:tblW w:w="5000" w:type="pct"/>
        <w:tblCellMar>
          <w:left w:w="0" w:type="dxa"/>
          <w:right w:w="0" w:type="dxa"/>
        </w:tblCellMar>
        <w:tblLook w:val="04A0" w:firstRow="1" w:lastRow="0" w:firstColumn="1" w:lastColumn="0" w:noHBand="0" w:noVBand="1"/>
      </w:tblPr>
      <w:tblGrid>
        <w:gridCol w:w="3319"/>
        <w:gridCol w:w="2259"/>
        <w:gridCol w:w="3442"/>
      </w:tblGrid>
      <w:tr w:rsidR="00A06647" w:rsidRPr="006C7B74" w14:paraId="3F413798" w14:textId="77777777" w:rsidTr="001C62ED">
        <w:trPr>
          <w:trHeight w:val="690"/>
        </w:trPr>
        <w:tc>
          <w:tcPr>
            <w:tcW w:w="1840" w:type="pct"/>
            <w:tcBorders>
              <w:top w:val="nil"/>
              <w:left w:val="nil"/>
              <w:bottom w:val="nil"/>
              <w:right w:val="nil"/>
            </w:tcBorders>
            <w:shd w:val="clear" w:color="000000" w:fill="4D446C"/>
            <w:noWrap/>
            <w:tcMar>
              <w:top w:w="15" w:type="dxa"/>
              <w:left w:w="15" w:type="dxa"/>
              <w:bottom w:w="0" w:type="dxa"/>
              <w:right w:w="15" w:type="dxa"/>
            </w:tcMar>
            <w:vAlign w:val="center"/>
            <w:hideMark/>
          </w:tcPr>
          <w:p w14:paraId="58CF9F41" w14:textId="46499D09" w:rsidR="00A06647" w:rsidRPr="006C7B74" w:rsidRDefault="00A06647" w:rsidP="00683949">
            <w:pPr>
              <w:pStyle w:val="TableHeaderRow"/>
            </w:pPr>
            <w:r w:rsidRPr="006C7B74">
              <w:t>Council</w:t>
            </w:r>
          </w:p>
        </w:tc>
        <w:tc>
          <w:tcPr>
            <w:tcW w:w="1252" w:type="pct"/>
            <w:tcBorders>
              <w:top w:val="single" w:sz="4" w:space="0" w:color="auto"/>
              <w:left w:val="nil"/>
              <w:bottom w:val="nil"/>
              <w:right w:val="nil"/>
            </w:tcBorders>
            <w:shd w:val="clear" w:color="000000" w:fill="4D446C"/>
            <w:tcMar>
              <w:top w:w="15" w:type="dxa"/>
              <w:left w:w="15" w:type="dxa"/>
              <w:bottom w:w="0" w:type="dxa"/>
              <w:right w:w="15" w:type="dxa"/>
            </w:tcMar>
            <w:vAlign w:val="center"/>
            <w:hideMark/>
          </w:tcPr>
          <w:p w14:paraId="301D74E7" w14:textId="3FED46A5" w:rsidR="00A06647" w:rsidRPr="006C7B74" w:rsidRDefault="00A06647" w:rsidP="00683949">
            <w:pPr>
              <w:pStyle w:val="TableHeaderRow"/>
              <w:jc w:val="center"/>
            </w:pPr>
            <w:r w:rsidRPr="006C7B74">
              <w:t>Existing commercial</w:t>
            </w:r>
            <w:r w:rsidRPr="006C7B74">
              <w:br/>
              <w:t>floorspace</w:t>
            </w:r>
            <w:r w:rsidR="00723ECE" w:rsidRPr="006C7B74">
              <w:t xml:space="preserve"> 2018</w:t>
            </w:r>
            <w:r w:rsidR="001C62ED" w:rsidRPr="006C7B74">
              <w:t xml:space="preserve"> </w:t>
            </w:r>
            <w:r w:rsidRPr="006C7B74">
              <w:t>(m</w:t>
            </w:r>
            <w:r w:rsidRPr="006C7B74">
              <w:rPr>
                <w:vertAlign w:val="superscript"/>
              </w:rPr>
              <w:t>2</w:t>
            </w:r>
            <w:r w:rsidRPr="006C7B74">
              <w:t>)</w:t>
            </w:r>
          </w:p>
        </w:tc>
        <w:tc>
          <w:tcPr>
            <w:tcW w:w="1908" w:type="pct"/>
            <w:tcBorders>
              <w:top w:val="nil"/>
              <w:left w:val="nil"/>
              <w:bottom w:val="nil"/>
              <w:right w:val="nil"/>
            </w:tcBorders>
            <w:shd w:val="clear" w:color="000000" w:fill="4D446C"/>
            <w:tcMar>
              <w:top w:w="15" w:type="dxa"/>
              <w:left w:w="15" w:type="dxa"/>
              <w:bottom w:w="0" w:type="dxa"/>
              <w:right w:w="15" w:type="dxa"/>
            </w:tcMar>
            <w:vAlign w:val="center"/>
            <w:hideMark/>
          </w:tcPr>
          <w:p w14:paraId="6205CA67" w14:textId="5702D0BE" w:rsidR="00167EA7" w:rsidRPr="006C7B74" w:rsidRDefault="000A2F68" w:rsidP="00683949">
            <w:pPr>
              <w:pStyle w:val="TableHeaderRow"/>
              <w:jc w:val="center"/>
            </w:pPr>
            <w:r>
              <w:t>Estimated a</w:t>
            </w:r>
            <w:r w:rsidRPr="006C7B74">
              <w:t xml:space="preserve">dditional </w:t>
            </w:r>
            <w:r w:rsidR="00167EA7" w:rsidRPr="006C7B74">
              <w:t>commercial floorspace</w:t>
            </w:r>
          </w:p>
          <w:p w14:paraId="751A9828" w14:textId="3F7C99B1" w:rsidR="00A06647" w:rsidRPr="006C7B74" w:rsidRDefault="00167EA7" w:rsidP="00683949">
            <w:pPr>
              <w:pStyle w:val="TableHeaderRow"/>
              <w:jc w:val="center"/>
            </w:pPr>
            <w:r w:rsidRPr="006C7B74">
              <w:t>2016 to 2031 (m</w:t>
            </w:r>
            <w:r w:rsidRPr="006C7B74">
              <w:rPr>
                <w:vertAlign w:val="superscript"/>
              </w:rPr>
              <w:t>2</w:t>
            </w:r>
            <w:r w:rsidRPr="006C7B74">
              <w:t>)</w:t>
            </w:r>
          </w:p>
        </w:tc>
      </w:tr>
      <w:tr w:rsidR="000315AE" w:rsidRPr="006C7B74" w14:paraId="1C0BEBD4" w14:textId="77777777" w:rsidTr="006C7B74">
        <w:trPr>
          <w:trHeight w:val="240"/>
        </w:trPr>
        <w:tc>
          <w:tcPr>
            <w:tcW w:w="1840"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43FE8C66" w14:textId="77777777" w:rsidR="000315AE" w:rsidRPr="006C7B74" w:rsidRDefault="000315AE">
            <w:pPr>
              <w:rPr>
                <w:rFonts w:ascii="Calibri" w:hAnsi="Calibri" w:cs="Calibri"/>
                <w:color w:val="000000"/>
                <w:sz w:val="18"/>
                <w:szCs w:val="16"/>
              </w:rPr>
            </w:pPr>
            <w:proofErr w:type="spellStart"/>
            <w:r w:rsidRPr="006C7B74">
              <w:rPr>
                <w:rFonts w:ascii="Calibri" w:hAnsi="Calibri" w:cs="Calibri"/>
                <w:color w:val="000000"/>
                <w:sz w:val="18"/>
                <w:szCs w:val="16"/>
              </w:rPr>
              <w:t>Brimbank</w:t>
            </w:r>
            <w:proofErr w:type="spellEnd"/>
          </w:p>
        </w:tc>
        <w:tc>
          <w:tcPr>
            <w:tcW w:w="1252"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175CF827" w14:textId="77777777" w:rsidR="000315AE" w:rsidRPr="006C7B74" w:rsidRDefault="000315AE">
            <w:pPr>
              <w:jc w:val="center"/>
              <w:rPr>
                <w:rFonts w:ascii="Calibri" w:hAnsi="Calibri" w:cs="Calibri"/>
                <w:color w:val="000000"/>
                <w:sz w:val="18"/>
                <w:szCs w:val="16"/>
              </w:rPr>
            </w:pPr>
            <w:r w:rsidRPr="006C7B74">
              <w:rPr>
                <w:rFonts w:ascii="Calibri" w:hAnsi="Calibri" w:cs="Calibri"/>
                <w:color w:val="000000"/>
                <w:sz w:val="18"/>
                <w:szCs w:val="16"/>
              </w:rPr>
              <w:t>714,000</w:t>
            </w:r>
          </w:p>
        </w:tc>
        <w:tc>
          <w:tcPr>
            <w:tcW w:w="1908"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64A8B480" w14:textId="2A20FFC8" w:rsidR="000315AE" w:rsidRPr="006C7B74" w:rsidRDefault="007B644F">
            <w:pPr>
              <w:jc w:val="center"/>
              <w:rPr>
                <w:rFonts w:ascii="Calibri" w:hAnsi="Calibri" w:cs="Calibri"/>
                <w:color w:val="000000"/>
                <w:sz w:val="18"/>
                <w:szCs w:val="18"/>
              </w:rPr>
            </w:pPr>
            <w:r w:rsidRPr="006C7B74">
              <w:rPr>
                <w:rFonts w:ascii="Calibri" w:hAnsi="Calibri" w:cs="Calibri"/>
                <w:color w:val="000000"/>
                <w:sz w:val="18"/>
                <w:szCs w:val="18"/>
              </w:rPr>
              <w:t xml:space="preserve">106,000 </w:t>
            </w:r>
          </w:p>
        </w:tc>
      </w:tr>
      <w:tr w:rsidR="000315AE" w:rsidRPr="006C7B74" w14:paraId="5E8C80A3" w14:textId="77777777" w:rsidTr="006C7B74">
        <w:trPr>
          <w:trHeight w:val="240"/>
        </w:trPr>
        <w:tc>
          <w:tcPr>
            <w:tcW w:w="1840"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1062D373" w14:textId="77777777" w:rsidR="000315AE" w:rsidRPr="006C7B74" w:rsidRDefault="000315AE">
            <w:pPr>
              <w:rPr>
                <w:rFonts w:ascii="Calibri" w:hAnsi="Calibri" w:cs="Calibri"/>
                <w:color w:val="000000"/>
                <w:sz w:val="18"/>
                <w:szCs w:val="16"/>
              </w:rPr>
            </w:pPr>
            <w:r w:rsidRPr="006C7B74">
              <w:rPr>
                <w:rFonts w:ascii="Calibri" w:hAnsi="Calibri" w:cs="Calibri"/>
                <w:color w:val="000000"/>
                <w:sz w:val="18"/>
                <w:szCs w:val="16"/>
              </w:rPr>
              <w:t>Hobsons Bay</w:t>
            </w:r>
          </w:p>
        </w:tc>
        <w:tc>
          <w:tcPr>
            <w:tcW w:w="1252"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3A56956E" w14:textId="77777777" w:rsidR="000315AE" w:rsidRPr="006C7B74" w:rsidRDefault="000315AE">
            <w:pPr>
              <w:jc w:val="center"/>
              <w:rPr>
                <w:rFonts w:ascii="Calibri" w:hAnsi="Calibri" w:cs="Calibri"/>
                <w:color w:val="000000"/>
                <w:sz w:val="18"/>
                <w:szCs w:val="16"/>
              </w:rPr>
            </w:pPr>
            <w:r w:rsidRPr="006C7B74">
              <w:rPr>
                <w:rFonts w:ascii="Calibri" w:hAnsi="Calibri" w:cs="Calibri"/>
                <w:color w:val="000000"/>
                <w:sz w:val="18"/>
                <w:szCs w:val="16"/>
              </w:rPr>
              <w:t>262,200</w:t>
            </w:r>
          </w:p>
        </w:tc>
        <w:tc>
          <w:tcPr>
            <w:tcW w:w="1908"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26AF6EB6" w14:textId="4F016563" w:rsidR="000315AE" w:rsidRPr="006C7B74" w:rsidRDefault="007B644F">
            <w:pPr>
              <w:jc w:val="center"/>
              <w:rPr>
                <w:rFonts w:ascii="Calibri" w:hAnsi="Calibri" w:cs="Calibri"/>
                <w:color w:val="000000"/>
                <w:sz w:val="18"/>
                <w:szCs w:val="18"/>
              </w:rPr>
            </w:pPr>
            <w:r w:rsidRPr="006C7B74">
              <w:rPr>
                <w:rFonts w:ascii="Calibri" w:hAnsi="Calibri" w:cs="Calibri"/>
                <w:color w:val="000000"/>
                <w:sz w:val="18"/>
                <w:szCs w:val="18"/>
              </w:rPr>
              <w:t xml:space="preserve">64,000 </w:t>
            </w:r>
          </w:p>
        </w:tc>
      </w:tr>
      <w:tr w:rsidR="000315AE" w:rsidRPr="006C7B74" w14:paraId="3CE6FB45" w14:textId="77777777" w:rsidTr="006C7B74">
        <w:trPr>
          <w:trHeight w:val="240"/>
        </w:trPr>
        <w:tc>
          <w:tcPr>
            <w:tcW w:w="1840"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4F2FDFB4" w14:textId="77777777" w:rsidR="000315AE" w:rsidRPr="006C7B74" w:rsidRDefault="000315AE">
            <w:pPr>
              <w:rPr>
                <w:rFonts w:ascii="Calibri" w:hAnsi="Calibri" w:cs="Calibri"/>
                <w:color w:val="000000"/>
                <w:sz w:val="18"/>
                <w:szCs w:val="16"/>
              </w:rPr>
            </w:pPr>
            <w:r w:rsidRPr="006C7B74">
              <w:rPr>
                <w:rFonts w:ascii="Calibri" w:hAnsi="Calibri" w:cs="Calibri"/>
                <w:color w:val="000000"/>
                <w:sz w:val="18"/>
                <w:szCs w:val="16"/>
              </w:rPr>
              <w:t>Maribyrnong</w:t>
            </w:r>
          </w:p>
        </w:tc>
        <w:tc>
          <w:tcPr>
            <w:tcW w:w="1252"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7AA5EB35" w14:textId="77777777" w:rsidR="000315AE" w:rsidRPr="006C7B74" w:rsidRDefault="000315AE">
            <w:pPr>
              <w:jc w:val="center"/>
              <w:rPr>
                <w:rFonts w:ascii="Calibri" w:hAnsi="Calibri" w:cs="Calibri"/>
                <w:color w:val="000000"/>
                <w:sz w:val="18"/>
                <w:szCs w:val="16"/>
              </w:rPr>
            </w:pPr>
            <w:r w:rsidRPr="006C7B74">
              <w:rPr>
                <w:rFonts w:ascii="Calibri" w:hAnsi="Calibri" w:cs="Calibri"/>
                <w:color w:val="000000"/>
                <w:sz w:val="18"/>
                <w:szCs w:val="16"/>
              </w:rPr>
              <w:t>635,000</w:t>
            </w:r>
          </w:p>
        </w:tc>
        <w:tc>
          <w:tcPr>
            <w:tcW w:w="1908"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4A3D42E5" w14:textId="039B569E" w:rsidR="000315AE" w:rsidRPr="006C7B74" w:rsidRDefault="007B644F">
            <w:pPr>
              <w:jc w:val="center"/>
              <w:rPr>
                <w:rFonts w:ascii="Calibri" w:hAnsi="Calibri" w:cs="Calibri"/>
                <w:color w:val="000000"/>
                <w:sz w:val="18"/>
                <w:szCs w:val="18"/>
              </w:rPr>
            </w:pPr>
            <w:r w:rsidRPr="006C7B74">
              <w:rPr>
                <w:rFonts w:ascii="Calibri" w:hAnsi="Calibri" w:cs="Calibri"/>
                <w:color w:val="000000"/>
                <w:sz w:val="18"/>
                <w:szCs w:val="18"/>
              </w:rPr>
              <w:t xml:space="preserve">194,000 </w:t>
            </w:r>
          </w:p>
        </w:tc>
      </w:tr>
      <w:tr w:rsidR="000315AE" w:rsidRPr="006C7B74" w14:paraId="3862FF1A" w14:textId="77777777" w:rsidTr="006C7B74">
        <w:trPr>
          <w:trHeight w:val="240"/>
        </w:trPr>
        <w:tc>
          <w:tcPr>
            <w:tcW w:w="1840"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044254F8" w14:textId="77777777" w:rsidR="000315AE" w:rsidRPr="006C7B74" w:rsidRDefault="000315AE">
            <w:pPr>
              <w:rPr>
                <w:rFonts w:ascii="Calibri" w:hAnsi="Calibri" w:cs="Calibri"/>
                <w:color w:val="000000"/>
                <w:sz w:val="18"/>
                <w:szCs w:val="16"/>
              </w:rPr>
            </w:pPr>
            <w:r w:rsidRPr="006C7B74">
              <w:rPr>
                <w:rFonts w:ascii="Calibri" w:hAnsi="Calibri" w:cs="Calibri"/>
                <w:color w:val="000000"/>
                <w:sz w:val="18"/>
                <w:szCs w:val="16"/>
              </w:rPr>
              <w:t xml:space="preserve">Melton </w:t>
            </w:r>
          </w:p>
        </w:tc>
        <w:tc>
          <w:tcPr>
            <w:tcW w:w="1252"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7FC26BD5" w14:textId="77777777" w:rsidR="000315AE" w:rsidRPr="006C7B74" w:rsidRDefault="000315AE">
            <w:pPr>
              <w:jc w:val="center"/>
              <w:rPr>
                <w:rFonts w:ascii="Calibri" w:hAnsi="Calibri" w:cs="Calibri"/>
                <w:color w:val="000000"/>
                <w:sz w:val="18"/>
                <w:szCs w:val="16"/>
              </w:rPr>
            </w:pPr>
            <w:r w:rsidRPr="006C7B74">
              <w:rPr>
                <w:rFonts w:ascii="Calibri" w:hAnsi="Calibri" w:cs="Calibri"/>
                <w:color w:val="000000"/>
                <w:sz w:val="18"/>
                <w:szCs w:val="16"/>
              </w:rPr>
              <w:t>186,550</w:t>
            </w:r>
          </w:p>
        </w:tc>
        <w:tc>
          <w:tcPr>
            <w:tcW w:w="1908"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60AFBDFE" w14:textId="7956A218" w:rsidR="000315AE" w:rsidRPr="006C7B74" w:rsidRDefault="007B644F">
            <w:pPr>
              <w:jc w:val="center"/>
              <w:rPr>
                <w:rFonts w:ascii="Calibri" w:hAnsi="Calibri" w:cs="Calibri"/>
                <w:color w:val="000000"/>
                <w:sz w:val="18"/>
                <w:szCs w:val="18"/>
              </w:rPr>
            </w:pPr>
            <w:r w:rsidRPr="006C7B74">
              <w:rPr>
                <w:rFonts w:ascii="Calibri" w:hAnsi="Calibri" w:cs="Calibri"/>
                <w:color w:val="000000"/>
                <w:sz w:val="18"/>
                <w:szCs w:val="18"/>
              </w:rPr>
              <w:t xml:space="preserve">348,000 </w:t>
            </w:r>
          </w:p>
        </w:tc>
      </w:tr>
      <w:tr w:rsidR="000315AE" w:rsidRPr="006C7B74" w14:paraId="682B0BB4" w14:textId="77777777" w:rsidTr="006C7B74">
        <w:trPr>
          <w:trHeight w:val="240"/>
        </w:trPr>
        <w:tc>
          <w:tcPr>
            <w:tcW w:w="1840"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48E16056" w14:textId="77777777" w:rsidR="000315AE" w:rsidRPr="006C7B74" w:rsidRDefault="000315AE">
            <w:pPr>
              <w:rPr>
                <w:rFonts w:ascii="Calibri" w:hAnsi="Calibri" w:cs="Calibri"/>
                <w:color w:val="000000"/>
                <w:sz w:val="18"/>
                <w:szCs w:val="16"/>
              </w:rPr>
            </w:pPr>
            <w:r w:rsidRPr="006C7B74">
              <w:rPr>
                <w:rFonts w:ascii="Calibri" w:hAnsi="Calibri" w:cs="Calibri"/>
                <w:color w:val="000000"/>
                <w:sz w:val="18"/>
                <w:szCs w:val="16"/>
              </w:rPr>
              <w:t>Moonee Valley</w:t>
            </w:r>
          </w:p>
        </w:tc>
        <w:tc>
          <w:tcPr>
            <w:tcW w:w="1252"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09399F8F" w14:textId="77777777" w:rsidR="000315AE" w:rsidRPr="006C7B74" w:rsidRDefault="000315AE">
            <w:pPr>
              <w:jc w:val="center"/>
              <w:rPr>
                <w:rFonts w:ascii="Calibri" w:hAnsi="Calibri" w:cs="Calibri"/>
                <w:color w:val="000000"/>
                <w:sz w:val="18"/>
                <w:szCs w:val="16"/>
              </w:rPr>
            </w:pPr>
            <w:r w:rsidRPr="006C7B74">
              <w:rPr>
                <w:rFonts w:ascii="Calibri" w:hAnsi="Calibri" w:cs="Calibri"/>
                <w:color w:val="000000"/>
                <w:sz w:val="18"/>
                <w:szCs w:val="16"/>
              </w:rPr>
              <w:t>661,400</w:t>
            </w:r>
          </w:p>
        </w:tc>
        <w:tc>
          <w:tcPr>
            <w:tcW w:w="1908"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02AADC09" w14:textId="0B95637D" w:rsidR="000315AE" w:rsidRPr="006C7B74" w:rsidRDefault="007B644F">
            <w:pPr>
              <w:jc w:val="center"/>
              <w:rPr>
                <w:rFonts w:ascii="Calibri" w:hAnsi="Calibri" w:cs="Calibri"/>
                <w:color w:val="000000"/>
                <w:sz w:val="18"/>
                <w:szCs w:val="18"/>
              </w:rPr>
            </w:pPr>
            <w:r w:rsidRPr="006C7B74">
              <w:rPr>
                <w:rFonts w:ascii="Calibri" w:hAnsi="Calibri" w:cs="Calibri"/>
                <w:color w:val="000000"/>
                <w:sz w:val="18"/>
                <w:szCs w:val="18"/>
              </w:rPr>
              <w:t xml:space="preserve">267,000 </w:t>
            </w:r>
          </w:p>
        </w:tc>
      </w:tr>
      <w:tr w:rsidR="000315AE" w:rsidRPr="006C7B74" w14:paraId="15F92C3F" w14:textId="77777777" w:rsidTr="006C7B74">
        <w:trPr>
          <w:trHeight w:val="240"/>
        </w:trPr>
        <w:tc>
          <w:tcPr>
            <w:tcW w:w="1840"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566CDA05" w14:textId="77777777" w:rsidR="000315AE" w:rsidRPr="006C7B74" w:rsidRDefault="000315AE">
            <w:pPr>
              <w:rPr>
                <w:rFonts w:ascii="Calibri" w:hAnsi="Calibri" w:cs="Calibri"/>
                <w:color w:val="000000"/>
                <w:sz w:val="18"/>
                <w:szCs w:val="16"/>
              </w:rPr>
            </w:pPr>
            <w:r w:rsidRPr="006C7B74">
              <w:rPr>
                <w:rFonts w:ascii="Calibri" w:hAnsi="Calibri" w:cs="Calibri"/>
                <w:color w:val="000000"/>
                <w:sz w:val="18"/>
                <w:szCs w:val="16"/>
              </w:rPr>
              <w:t>Wyndham</w:t>
            </w:r>
          </w:p>
        </w:tc>
        <w:tc>
          <w:tcPr>
            <w:tcW w:w="1252"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28F4E5A8" w14:textId="77777777" w:rsidR="000315AE" w:rsidRPr="006C7B74" w:rsidRDefault="000315AE">
            <w:pPr>
              <w:jc w:val="center"/>
              <w:rPr>
                <w:rFonts w:ascii="Calibri" w:hAnsi="Calibri" w:cs="Calibri"/>
                <w:color w:val="000000"/>
                <w:sz w:val="18"/>
                <w:szCs w:val="16"/>
              </w:rPr>
            </w:pPr>
            <w:r w:rsidRPr="006C7B74">
              <w:rPr>
                <w:rFonts w:ascii="Calibri" w:hAnsi="Calibri" w:cs="Calibri"/>
                <w:color w:val="000000"/>
                <w:sz w:val="18"/>
                <w:szCs w:val="16"/>
              </w:rPr>
              <w:t>450,550</w:t>
            </w:r>
          </w:p>
        </w:tc>
        <w:tc>
          <w:tcPr>
            <w:tcW w:w="1908"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561B30D3" w14:textId="7D16741E" w:rsidR="000315AE" w:rsidRPr="006C7B74" w:rsidRDefault="007B644F">
            <w:pPr>
              <w:jc w:val="center"/>
              <w:rPr>
                <w:rFonts w:ascii="Calibri" w:hAnsi="Calibri" w:cs="Calibri"/>
                <w:color w:val="000000"/>
                <w:sz w:val="18"/>
                <w:szCs w:val="18"/>
              </w:rPr>
            </w:pPr>
            <w:r w:rsidRPr="006C7B74">
              <w:rPr>
                <w:rFonts w:ascii="Calibri" w:hAnsi="Calibri" w:cs="Calibri"/>
                <w:color w:val="000000"/>
                <w:sz w:val="18"/>
                <w:szCs w:val="18"/>
              </w:rPr>
              <w:t xml:space="preserve">569,000 </w:t>
            </w:r>
          </w:p>
        </w:tc>
      </w:tr>
      <w:tr w:rsidR="000315AE" w:rsidRPr="0062306B" w14:paraId="6DC8EC4C" w14:textId="77777777" w:rsidTr="006C7B74">
        <w:trPr>
          <w:trHeight w:val="240"/>
        </w:trPr>
        <w:tc>
          <w:tcPr>
            <w:tcW w:w="1840"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132317F9" w14:textId="77777777" w:rsidR="000315AE" w:rsidRPr="0062306B" w:rsidRDefault="000315AE">
            <w:pPr>
              <w:rPr>
                <w:rFonts w:ascii="Calibri" w:hAnsi="Calibri" w:cs="Calibri"/>
                <w:b/>
                <w:bCs/>
                <w:color w:val="000000"/>
                <w:sz w:val="18"/>
                <w:szCs w:val="16"/>
              </w:rPr>
            </w:pPr>
            <w:r w:rsidRPr="0062306B">
              <w:rPr>
                <w:rFonts w:ascii="Calibri" w:hAnsi="Calibri" w:cs="Calibri"/>
                <w:b/>
                <w:bCs/>
                <w:color w:val="000000"/>
                <w:sz w:val="18"/>
                <w:szCs w:val="16"/>
              </w:rPr>
              <w:t>Total</w:t>
            </w:r>
          </w:p>
        </w:tc>
        <w:tc>
          <w:tcPr>
            <w:tcW w:w="1252"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445B6FF1" w14:textId="77777777" w:rsidR="000315AE" w:rsidRPr="0062306B" w:rsidRDefault="000315AE">
            <w:pPr>
              <w:jc w:val="center"/>
              <w:rPr>
                <w:rFonts w:ascii="Calibri" w:hAnsi="Calibri" w:cs="Calibri"/>
                <w:b/>
                <w:bCs/>
                <w:color w:val="000000"/>
                <w:sz w:val="18"/>
                <w:szCs w:val="16"/>
              </w:rPr>
            </w:pPr>
            <w:r w:rsidRPr="0062306B">
              <w:rPr>
                <w:rFonts w:ascii="Calibri" w:hAnsi="Calibri" w:cs="Calibri"/>
                <w:b/>
                <w:bCs/>
                <w:color w:val="000000"/>
                <w:sz w:val="18"/>
                <w:szCs w:val="16"/>
              </w:rPr>
              <w:t>2,909,700</w:t>
            </w:r>
          </w:p>
        </w:tc>
        <w:tc>
          <w:tcPr>
            <w:tcW w:w="1908"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02E24B25" w14:textId="6171AE90" w:rsidR="000315AE" w:rsidRPr="0062306B" w:rsidRDefault="007B644F">
            <w:pPr>
              <w:jc w:val="center"/>
              <w:rPr>
                <w:rFonts w:ascii="Calibri" w:hAnsi="Calibri" w:cs="Calibri"/>
                <w:b/>
                <w:bCs/>
                <w:color w:val="000000"/>
                <w:sz w:val="18"/>
                <w:szCs w:val="18"/>
              </w:rPr>
            </w:pPr>
            <w:r w:rsidRPr="0062306B">
              <w:rPr>
                <w:rFonts w:ascii="Calibri" w:hAnsi="Calibri" w:cs="Calibri"/>
                <w:b/>
                <w:bCs/>
                <w:color w:val="000000"/>
                <w:sz w:val="18"/>
                <w:szCs w:val="18"/>
              </w:rPr>
              <w:t xml:space="preserve">1,548,000 </w:t>
            </w:r>
          </w:p>
        </w:tc>
      </w:tr>
    </w:tbl>
    <w:p w14:paraId="57D372E3" w14:textId="220EE5B6" w:rsidR="002A5B72" w:rsidRPr="006C7B74" w:rsidRDefault="00DC580D" w:rsidP="00934C4D">
      <w:pPr>
        <w:spacing w:after="120"/>
        <w:rPr>
          <w:i/>
          <w:iCs/>
          <w:color w:val="404040" w:themeColor="text1" w:themeTint="BF"/>
          <w:sz w:val="18"/>
        </w:rPr>
      </w:pPr>
      <w:r w:rsidRPr="006C7B74">
        <w:rPr>
          <w:i/>
          <w:iCs/>
          <w:color w:val="404040" w:themeColor="text1" w:themeTint="BF"/>
          <w:sz w:val="18"/>
        </w:rPr>
        <w:t>Source:</w:t>
      </w:r>
      <w:r w:rsidR="007C154C" w:rsidRPr="006C7B74">
        <w:rPr>
          <w:i/>
          <w:iCs/>
          <w:color w:val="404040" w:themeColor="text1" w:themeTint="BF"/>
          <w:sz w:val="18"/>
        </w:rPr>
        <w:t xml:space="preserve"> </w:t>
      </w:r>
      <w:r w:rsidRPr="006C7B74">
        <w:rPr>
          <w:i/>
          <w:iCs/>
          <w:color w:val="404040" w:themeColor="text1" w:themeTint="BF"/>
          <w:sz w:val="18"/>
        </w:rPr>
        <w:t>Department of Environment, Land, Water and Planning, unpublished data (</w:t>
      </w:r>
      <w:r w:rsidR="00BE3759" w:rsidRPr="006C7B74">
        <w:rPr>
          <w:i/>
          <w:iCs/>
          <w:color w:val="404040" w:themeColor="text1" w:themeTint="BF"/>
          <w:sz w:val="18"/>
        </w:rPr>
        <w:t>20</w:t>
      </w:r>
      <w:r w:rsidR="00BE3759">
        <w:rPr>
          <w:i/>
          <w:iCs/>
          <w:color w:val="404040" w:themeColor="text1" w:themeTint="BF"/>
          <w:sz w:val="18"/>
        </w:rPr>
        <w:t>20</w:t>
      </w:r>
      <w:r w:rsidRPr="006C7B74">
        <w:rPr>
          <w:i/>
          <w:iCs/>
          <w:color w:val="404040" w:themeColor="text1" w:themeTint="BF"/>
          <w:sz w:val="18"/>
        </w:rPr>
        <w:t>)</w:t>
      </w:r>
    </w:p>
    <w:p w14:paraId="689C32DE" w14:textId="77777777" w:rsidR="00DC580D" w:rsidRPr="006C7B74" w:rsidRDefault="00DC580D" w:rsidP="00934C4D">
      <w:pPr>
        <w:spacing w:after="120"/>
        <w:rPr>
          <w:rFonts w:cstheme="minorHAnsi"/>
          <w:sz w:val="20"/>
          <w:szCs w:val="20"/>
        </w:rPr>
      </w:pPr>
    </w:p>
    <w:p w14:paraId="6CA9A379" w14:textId="19968406" w:rsidR="002A5B72" w:rsidRPr="006C7B74" w:rsidRDefault="002A5B72" w:rsidP="001B2A5D">
      <w:pPr>
        <w:pStyle w:val="Heading5"/>
        <w:rPr>
          <w:rFonts w:cstheme="minorHAnsi"/>
          <w:szCs w:val="20"/>
        </w:rPr>
      </w:pPr>
      <w:r w:rsidRPr="006C7B74">
        <w:t xml:space="preserve">Figure </w:t>
      </w:r>
      <w:r w:rsidR="0085739A" w:rsidRPr="006C7B74">
        <w:t>1</w:t>
      </w:r>
      <w:r w:rsidR="00DC23D3" w:rsidRPr="006C7B74">
        <w:t>8</w:t>
      </w:r>
      <w:r w:rsidRPr="006C7B74">
        <w:t xml:space="preserve">: </w:t>
      </w:r>
      <w:r w:rsidR="00BF3888">
        <w:t xml:space="preserve">Estimated additional </w:t>
      </w:r>
      <w:r w:rsidR="00BF3888" w:rsidRPr="006C7B74">
        <w:t>commercial floorspace</w:t>
      </w:r>
      <w:r w:rsidRPr="006C7B74">
        <w:t xml:space="preserve"> by type and municipality,</w:t>
      </w:r>
      <w:r w:rsidR="0083629F" w:rsidRPr="006C7B74">
        <w:t xml:space="preserve"> Western Region,</w:t>
      </w:r>
      <w:r w:rsidRPr="006C7B74">
        <w:t xml:space="preserve"> 201</w:t>
      </w:r>
      <w:r w:rsidR="008006DE" w:rsidRPr="006C7B74">
        <w:t>6</w:t>
      </w:r>
      <w:r w:rsidRPr="006C7B74">
        <w:t xml:space="preserve"> to 2031</w:t>
      </w:r>
    </w:p>
    <w:p w14:paraId="18BB3EAC" w14:textId="167224D0" w:rsidR="002A5B72" w:rsidRPr="006C7B74" w:rsidRDefault="006F1AF0" w:rsidP="00934C4D">
      <w:pPr>
        <w:spacing w:after="120"/>
        <w:rPr>
          <w:rFonts w:cstheme="minorHAnsi"/>
          <w:sz w:val="20"/>
          <w:szCs w:val="20"/>
        </w:rPr>
      </w:pPr>
      <w:r>
        <w:rPr>
          <w:noProof/>
        </w:rPr>
        <w:drawing>
          <wp:inline distT="0" distB="0" distL="0" distR="0" wp14:anchorId="33FB0B3E" wp14:editId="5A6E62F0">
            <wp:extent cx="5727700" cy="2848610"/>
            <wp:effectExtent l="0" t="0" r="0" b="0"/>
            <wp:docPr id="19" name="Chart 19" descr="Bar graph - Estimated additional commercial floorspace for Western Region, 2016 to 2031. Shows estimates required for each council for office and retail floorspace.">
              <a:extLst xmlns:a="http://schemas.openxmlformats.org/drawingml/2006/main">
                <a:ext uri="{FF2B5EF4-FFF2-40B4-BE49-F238E27FC236}">
                  <a16:creationId xmlns:a16="http://schemas.microsoft.com/office/drawing/2014/main" id="{F5BF55A1-826B-4D93-9426-0FEB6A8832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DC580D" w:rsidRPr="006C7B74">
        <w:rPr>
          <w:i/>
          <w:iCs/>
          <w:color w:val="404040" w:themeColor="text1" w:themeTint="BF"/>
          <w:sz w:val="18"/>
        </w:rPr>
        <w:t>Source:</w:t>
      </w:r>
      <w:r w:rsidR="007C154C" w:rsidRPr="006C7B74">
        <w:rPr>
          <w:i/>
          <w:iCs/>
          <w:color w:val="404040" w:themeColor="text1" w:themeTint="BF"/>
          <w:sz w:val="18"/>
        </w:rPr>
        <w:t xml:space="preserve"> </w:t>
      </w:r>
      <w:r w:rsidR="00DC580D" w:rsidRPr="006C7B74">
        <w:rPr>
          <w:i/>
          <w:iCs/>
          <w:color w:val="404040" w:themeColor="text1" w:themeTint="BF"/>
          <w:sz w:val="18"/>
        </w:rPr>
        <w:t>Department of Environment, Land, Water and Planning, unpublished data (</w:t>
      </w:r>
      <w:r w:rsidR="00BE3759" w:rsidRPr="006C7B74">
        <w:rPr>
          <w:i/>
          <w:iCs/>
          <w:color w:val="404040" w:themeColor="text1" w:themeTint="BF"/>
          <w:sz w:val="18"/>
        </w:rPr>
        <w:t>20</w:t>
      </w:r>
      <w:r w:rsidR="00BE3759">
        <w:rPr>
          <w:i/>
          <w:iCs/>
          <w:color w:val="404040" w:themeColor="text1" w:themeTint="BF"/>
          <w:sz w:val="18"/>
        </w:rPr>
        <w:t>20</w:t>
      </w:r>
      <w:r w:rsidR="00DC580D" w:rsidRPr="006C7B74">
        <w:rPr>
          <w:i/>
          <w:iCs/>
          <w:color w:val="404040" w:themeColor="text1" w:themeTint="BF"/>
          <w:sz w:val="18"/>
        </w:rPr>
        <w:t>)</w:t>
      </w:r>
    </w:p>
    <w:p w14:paraId="62601A2F" w14:textId="77777777" w:rsidR="002A5B72" w:rsidRPr="006C7B74" w:rsidRDefault="002A5B72" w:rsidP="00934C4D">
      <w:pPr>
        <w:spacing w:after="120"/>
        <w:rPr>
          <w:rFonts w:eastAsiaTheme="majorEastAsia" w:cstheme="minorHAnsi"/>
          <w:color w:val="4EBAC5" w:themeColor="accent1" w:themeShade="BF"/>
          <w:sz w:val="26"/>
          <w:szCs w:val="26"/>
        </w:rPr>
      </w:pPr>
      <w:r w:rsidRPr="006C7B74">
        <w:rPr>
          <w:rFonts w:cstheme="minorHAnsi"/>
        </w:rPr>
        <w:br w:type="page"/>
      </w:r>
    </w:p>
    <w:p w14:paraId="6F94F25B" w14:textId="2B40420B" w:rsidR="006C6A10" w:rsidRPr="006C7B74" w:rsidRDefault="006C6A10" w:rsidP="00934C4D">
      <w:pPr>
        <w:pStyle w:val="Heading2-Contenttable"/>
        <w:spacing w:after="120"/>
      </w:pPr>
      <w:bookmarkStart w:id="42" w:name="_Toc21694821"/>
      <w:r w:rsidRPr="006C7B74">
        <w:lastRenderedPageBreak/>
        <w:t xml:space="preserve">Planning </w:t>
      </w:r>
      <w:r w:rsidR="003C5031" w:rsidRPr="006C7B74">
        <w:t>frame</w:t>
      </w:r>
      <w:r w:rsidR="00712DB8" w:rsidRPr="006C7B74">
        <w:t xml:space="preserve">work </w:t>
      </w:r>
      <w:r w:rsidRPr="006C7B74">
        <w:t>for industrial and commercial land</w:t>
      </w:r>
      <w:r w:rsidR="007E6FA4" w:rsidRPr="006C7B74">
        <w:t xml:space="preserve"> a</w:t>
      </w:r>
      <w:r w:rsidR="007F6352" w:rsidRPr="006C7B74">
        <w:t>cross the region</w:t>
      </w:r>
      <w:bookmarkEnd w:id="42"/>
    </w:p>
    <w:p w14:paraId="50B43757" w14:textId="24FE3340" w:rsidR="00064FC6" w:rsidRPr="006C7B74" w:rsidRDefault="006C6A10" w:rsidP="00064FC6">
      <w:pPr>
        <w:spacing w:after="120"/>
        <w:rPr>
          <w:rFonts w:cstheme="minorHAnsi"/>
          <w:sz w:val="20"/>
          <w:szCs w:val="20"/>
          <w:lang w:eastAsia="en-AU"/>
        </w:rPr>
      </w:pPr>
      <w:r w:rsidRPr="006C7B74">
        <w:rPr>
          <w:rFonts w:cstheme="minorHAnsi"/>
          <w:sz w:val="20"/>
          <w:szCs w:val="20"/>
          <w:lang w:eastAsia="en-AU"/>
        </w:rPr>
        <w:t xml:space="preserve">There is a large amount of industrial land </w:t>
      </w:r>
      <w:r w:rsidR="00064FC6" w:rsidRPr="006C7B74">
        <w:rPr>
          <w:rFonts w:cstheme="minorHAnsi"/>
          <w:sz w:val="20"/>
          <w:szCs w:val="20"/>
          <w:lang w:eastAsia="en-AU"/>
        </w:rPr>
        <w:t xml:space="preserve">across the region </w:t>
      </w:r>
      <w:r w:rsidRPr="006C7B74">
        <w:rPr>
          <w:rFonts w:cstheme="minorHAnsi"/>
          <w:sz w:val="20"/>
          <w:szCs w:val="20"/>
          <w:lang w:eastAsia="en-AU"/>
        </w:rPr>
        <w:t xml:space="preserve">providing state, regional and </w:t>
      </w:r>
      <w:proofErr w:type="gramStart"/>
      <w:r w:rsidRPr="006C7B74">
        <w:rPr>
          <w:rFonts w:cstheme="minorHAnsi"/>
          <w:sz w:val="20"/>
          <w:szCs w:val="20"/>
          <w:lang w:eastAsia="en-AU"/>
        </w:rPr>
        <w:t>locally</w:t>
      </w:r>
      <w:r w:rsidR="00284D6F" w:rsidRPr="006C7B74">
        <w:rPr>
          <w:rFonts w:cstheme="minorHAnsi"/>
          <w:sz w:val="20"/>
          <w:szCs w:val="20"/>
          <w:lang w:eastAsia="en-AU"/>
        </w:rPr>
        <w:t>-</w:t>
      </w:r>
      <w:r w:rsidRPr="006C7B74">
        <w:rPr>
          <w:rFonts w:cstheme="minorHAnsi"/>
          <w:sz w:val="20"/>
          <w:szCs w:val="20"/>
          <w:lang w:eastAsia="en-AU"/>
        </w:rPr>
        <w:t>significant</w:t>
      </w:r>
      <w:proofErr w:type="gramEnd"/>
      <w:r w:rsidRPr="006C7B74">
        <w:rPr>
          <w:rFonts w:cstheme="minorHAnsi"/>
          <w:sz w:val="20"/>
          <w:szCs w:val="20"/>
          <w:lang w:eastAsia="en-AU"/>
        </w:rPr>
        <w:t xml:space="preserve"> employment and economic functions. </w:t>
      </w:r>
      <w:r w:rsidR="00BD6D14" w:rsidRPr="006C7B74">
        <w:rPr>
          <w:rFonts w:cstheme="minorHAnsi"/>
          <w:sz w:val="20"/>
          <w:szCs w:val="20"/>
          <w:lang w:eastAsia="en-AU"/>
        </w:rPr>
        <w:t>T</w:t>
      </w:r>
      <w:r w:rsidR="00C653F8" w:rsidRPr="006C7B74">
        <w:rPr>
          <w:rFonts w:cstheme="minorHAnsi"/>
          <w:sz w:val="20"/>
          <w:szCs w:val="20"/>
          <w:lang w:eastAsia="en-AU"/>
        </w:rPr>
        <w:t xml:space="preserve">he region </w:t>
      </w:r>
      <w:r w:rsidR="00BD6D14" w:rsidRPr="006C7B74">
        <w:rPr>
          <w:rFonts w:cstheme="minorHAnsi"/>
          <w:sz w:val="20"/>
          <w:szCs w:val="20"/>
          <w:lang w:eastAsia="en-AU"/>
        </w:rPr>
        <w:t>has</w:t>
      </w:r>
      <w:r w:rsidR="007C11A6" w:rsidRPr="006C7B74">
        <w:rPr>
          <w:rFonts w:cstheme="minorHAnsi"/>
          <w:sz w:val="20"/>
          <w:szCs w:val="20"/>
          <w:lang w:eastAsia="en-AU"/>
        </w:rPr>
        <w:t xml:space="preserve"> </w:t>
      </w:r>
      <w:r w:rsidR="0015213A" w:rsidRPr="006C7B74">
        <w:rPr>
          <w:rFonts w:cstheme="minorHAnsi"/>
          <w:sz w:val="20"/>
          <w:szCs w:val="20"/>
          <w:lang w:eastAsia="en-AU"/>
        </w:rPr>
        <w:t xml:space="preserve">excellent </w:t>
      </w:r>
      <w:r w:rsidR="00C653F8" w:rsidRPr="006C7B74">
        <w:rPr>
          <w:rFonts w:cstheme="minorHAnsi"/>
          <w:sz w:val="20"/>
          <w:szCs w:val="20"/>
          <w:lang w:eastAsia="en-AU"/>
        </w:rPr>
        <w:t xml:space="preserve">arterial road, freeway and fixed rail connections to major transport gateways such as the Port of Melbourne, Port of Geelong, Melbourne and Avalon Airports and the proposed Bay West </w:t>
      </w:r>
      <w:r w:rsidR="00906DE2" w:rsidRPr="006C7B74">
        <w:rPr>
          <w:rFonts w:cstheme="minorHAnsi"/>
          <w:sz w:val="20"/>
          <w:szCs w:val="20"/>
          <w:lang w:eastAsia="en-AU"/>
        </w:rPr>
        <w:t>container port</w:t>
      </w:r>
      <w:r w:rsidR="00C653F8" w:rsidRPr="006C7B74">
        <w:rPr>
          <w:rFonts w:cstheme="minorHAnsi"/>
          <w:sz w:val="20"/>
          <w:szCs w:val="20"/>
          <w:lang w:eastAsia="en-AU"/>
        </w:rPr>
        <w:t xml:space="preserve"> and </w:t>
      </w:r>
      <w:r w:rsidR="00E047B8" w:rsidRPr="006C7B74">
        <w:rPr>
          <w:rFonts w:cstheme="minorHAnsi"/>
          <w:sz w:val="20"/>
          <w:szCs w:val="20"/>
          <w:lang w:eastAsia="en-AU"/>
        </w:rPr>
        <w:t>WIFT</w:t>
      </w:r>
      <w:r w:rsidR="00C653F8" w:rsidRPr="006C7B74">
        <w:rPr>
          <w:rFonts w:cstheme="minorHAnsi"/>
          <w:sz w:val="20"/>
          <w:szCs w:val="20"/>
          <w:lang w:eastAsia="en-AU"/>
        </w:rPr>
        <w:t xml:space="preserve">. These networks will be further </w:t>
      </w:r>
      <w:r w:rsidR="007C11A6" w:rsidRPr="006C7B74">
        <w:rPr>
          <w:rFonts w:cstheme="minorHAnsi"/>
          <w:sz w:val="20"/>
          <w:szCs w:val="20"/>
          <w:lang w:eastAsia="en-AU"/>
        </w:rPr>
        <w:t xml:space="preserve">enhanced </w:t>
      </w:r>
      <w:r w:rsidR="00C653F8" w:rsidRPr="006C7B74">
        <w:rPr>
          <w:rFonts w:cstheme="minorHAnsi"/>
          <w:sz w:val="20"/>
          <w:szCs w:val="20"/>
          <w:lang w:eastAsia="en-AU"/>
        </w:rPr>
        <w:t xml:space="preserve">by </w:t>
      </w:r>
      <w:r w:rsidR="007C11A6" w:rsidRPr="006C7B74">
        <w:rPr>
          <w:rFonts w:cstheme="minorHAnsi"/>
          <w:sz w:val="20"/>
          <w:szCs w:val="20"/>
          <w:lang w:eastAsia="en-AU"/>
        </w:rPr>
        <w:t>the proposed</w:t>
      </w:r>
      <w:r w:rsidR="00C653F8" w:rsidRPr="006C7B74">
        <w:rPr>
          <w:rFonts w:cstheme="minorHAnsi"/>
          <w:sz w:val="20"/>
          <w:szCs w:val="20"/>
          <w:lang w:eastAsia="en-AU"/>
        </w:rPr>
        <w:t xml:space="preserve"> </w:t>
      </w:r>
      <w:r w:rsidR="00C31FDA" w:rsidRPr="006C7B74">
        <w:rPr>
          <w:rFonts w:cstheme="minorHAnsi"/>
          <w:sz w:val="20"/>
          <w:szCs w:val="20"/>
          <w:lang w:eastAsia="en-AU"/>
        </w:rPr>
        <w:t>OMR</w:t>
      </w:r>
      <w:r w:rsidR="00C653F8" w:rsidRPr="006C7B74">
        <w:rPr>
          <w:rFonts w:cstheme="minorHAnsi"/>
          <w:sz w:val="20"/>
          <w:szCs w:val="20"/>
          <w:lang w:eastAsia="en-AU"/>
        </w:rPr>
        <w:t>.</w:t>
      </w:r>
    </w:p>
    <w:p w14:paraId="5515410B" w14:textId="0879DB2E" w:rsidR="007C11A6" w:rsidRPr="006C7B74" w:rsidRDefault="00C653F8" w:rsidP="00064FC6">
      <w:pPr>
        <w:spacing w:after="120"/>
        <w:rPr>
          <w:rFonts w:cstheme="minorHAnsi"/>
          <w:sz w:val="20"/>
          <w:szCs w:val="20"/>
          <w:lang w:eastAsia="en-AU"/>
        </w:rPr>
      </w:pPr>
      <w:r w:rsidRPr="006C7B74">
        <w:rPr>
          <w:rFonts w:cstheme="minorHAnsi"/>
          <w:sz w:val="20"/>
          <w:szCs w:val="20"/>
          <w:lang w:eastAsia="en-AU"/>
        </w:rPr>
        <w:t xml:space="preserve">The region </w:t>
      </w:r>
      <w:r w:rsidR="007C11A6" w:rsidRPr="006C7B74">
        <w:rPr>
          <w:rFonts w:cstheme="minorHAnsi"/>
          <w:sz w:val="20"/>
          <w:szCs w:val="20"/>
          <w:lang w:eastAsia="en-AU"/>
        </w:rPr>
        <w:t>has</w:t>
      </w:r>
      <w:r w:rsidRPr="006C7B74">
        <w:rPr>
          <w:rFonts w:cstheme="minorHAnsi"/>
          <w:sz w:val="20"/>
          <w:szCs w:val="20"/>
          <w:lang w:eastAsia="en-AU"/>
        </w:rPr>
        <w:t xml:space="preserve"> </w:t>
      </w:r>
      <w:r w:rsidR="00294C6B" w:rsidRPr="006C7B74">
        <w:rPr>
          <w:rFonts w:cstheme="minorHAnsi"/>
          <w:sz w:val="20"/>
          <w:szCs w:val="20"/>
          <w:lang w:eastAsia="en-AU"/>
        </w:rPr>
        <w:t>a significant number</w:t>
      </w:r>
      <w:r w:rsidRPr="006C7B74">
        <w:rPr>
          <w:rFonts w:cstheme="minorHAnsi"/>
          <w:sz w:val="20"/>
          <w:szCs w:val="20"/>
          <w:lang w:eastAsia="en-AU"/>
        </w:rPr>
        <w:t xml:space="preserve"> of unfragmented </w:t>
      </w:r>
      <w:r w:rsidR="00294C6B" w:rsidRPr="006C7B74">
        <w:rPr>
          <w:rFonts w:cstheme="minorHAnsi"/>
          <w:sz w:val="20"/>
          <w:szCs w:val="20"/>
          <w:lang w:eastAsia="en-AU"/>
        </w:rPr>
        <w:t xml:space="preserve">site </w:t>
      </w:r>
      <w:r w:rsidRPr="006C7B74">
        <w:rPr>
          <w:rFonts w:cstheme="minorHAnsi"/>
          <w:sz w:val="20"/>
          <w:szCs w:val="20"/>
          <w:lang w:eastAsia="en-AU"/>
        </w:rPr>
        <w:t>available for industrial uses that can provide for freight, logistics, warehousing, transport, manufacturing and other larger format industrial uses.</w:t>
      </w:r>
      <w:r w:rsidR="007C11A6" w:rsidRPr="006C7B74">
        <w:rPr>
          <w:rFonts w:cstheme="minorHAnsi"/>
          <w:sz w:val="20"/>
          <w:szCs w:val="20"/>
          <w:lang w:eastAsia="en-AU"/>
        </w:rPr>
        <w:t xml:space="preserve"> It also </w:t>
      </w:r>
      <w:r w:rsidR="00E313EA" w:rsidRPr="006C7B74">
        <w:rPr>
          <w:rFonts w:cstheme="minorHAnsi"/>
          <w:sz w:val="20"/>
          <w:szCs w:val="20"/>
          <w:lang w:eastAsia="en-AU"/>
        </w:rPr>
        <w:t>has traditional</w:t>
      </w:r>
      <w:r w:rsidR="007C11A6" w:rsidRPr="006C7B74">
        <w:rPr>
          <w:rFonts w:cstheme="minorHAnsi"/>
          <w:sz w:val="20"/>
          <w:szCs w:val="20"/>
          <w:lang w:eastAsia="en-AU"/>
        </w:rPr>
        <w:t xml:space="preserve"> industrial and major hazard facilities operating within regulatory requirements, requiring buffers, and minimal restraints imposed by sensitive uses.</w:t>
      </w:r>
    </w:p>
    <w:p w14:paraId="3A75C2D3" w14:textId="45DA23E4" w:rsidR="006C6A10" w:rsidRPr="006C7B74" w:rsidRDefault="006C6A10" w:rsidP="00064FC6">
      <w:pPr>
        <w:spacing w:after="120"/>
        <w:rPr>
          <w:rFonts w:cstheme="minorHAnsi"/>
          <w:sz w:val="20"/>
          <w:szCs w:val="20"/>
          <w:lang w:eastAsia="en-AU"/>
        </w:rPr>
      </w:pPr>
      <w:r w:rsidRPr="006C7B74">
        <w:rPr>
          <w:rFonts w:cstheme="minorHAnsi"/>
          <w:sz w:val="20"/>
          <w:szCs w:val="20"/>
          <w:lang w:eastAsia="en-AU"/>
        </w:rPr>
        <w:t xml:space="preserve">While </w:t>
      </w:r>
      <w:r w:rsidR="00064FC6" w:rsidRPr="006C7B74">
        <w:rPr>
          <w:rFonts w:cstheme="minorHAnsi"/>
          <w:sz w:val="20"/>
          <w:szCs w:val="20"/>
          <w:lang w:eastAsia="en-AU"/>
        </w:rPr>
        <w:t xml:space="preserve">there is opportunity for </w:t>
      </w:r>
      <w:r w:rsidRPr="006C7B74">
        <w:rPr>
          <w:rFonts w:cstheme="minorHAnsi"/>
          <w:sz w:val="20"/>
          <w:szCs w:val="20"/>
          <w:lang w:eastAsia="en-AU"/>
        </w:rPr>
        <w:t xml:space="preserve">industrial land </w:t>
      </w:r>
      <w:r w:rsidR="00064FC6" w:rsidRPr="006C7B74">
        <w:rPr>
          <w:rFonts w:cstheme="minorHAnsi"/>
          <w:sz w:val="20"/>
          <w:szCs w:val="20"/>
          <w:lang w:eastAsia="en-AU"/>
        </w:rPr>
        <w:t xml:space="preserve">supply to </w:t>
      </w:r>
      <w:r w:rsidRPr="006C7B74">
        <w:rPr>
          <w:rFonts w:cstheme="minorHAnsi"/>
          <w:sz w:val="20"/>
          <w:szCs w:val="20"/>
          <w:lang w:eastAsia="en-AU"/>
        </w:rPr>
        <w:t>increas</w:t>
      </w:r>
      <w:r w:rsidR="00064FC6" w:rsidRPr="006C7B74">
        <w:rPr>
          <w:rFonts w:cstheme="minorHAnsi"/>
          <w:sz w:val="20"/>
          <w:szCs w:val="20"/>
          <w:lang w:eastAsia="en-AU"/>
        </w:rPr>
        <w:t>e over time</w:t>
      </w:r>
      <w:r w:rsidRPr="006C7B74">
        <w:rPr>
          <w:rFonts w:cstheme="minorHAnsi"/>
          <w:sz w:val="20"/>
          <w:szCs w:val="20"/>
          <w:lang w:eastAsia="en-AU"/>
        </w:rPr>
        <w:t xml:space="preserve"> in area in the municipalities of Wyndham and Melton, other municipalities are reducing their industrial land area</w:t>
      </w:r>
      <w:r w:rsidR="00064FC6" w:rsidRPr="006C7B74">
        <w:rPr>
          <w:rFonts w:cstheme="minorHAnsi"/>
          <w:sz w:val="20"/>
          <w:szCs w:val="20"/>
          <w:lang w:eastAsia="en-AU"/>
        </w:rPr>
        <w:t xml:space="preserve"> through </w:t>
      </w:r>
      <w:proofErr w:type="spellStart"/>
      <w:r w:rsidR="00064FC6" w:rsidRPr="006C7B74">
        <w:rPr>
          <w:rFonts w:cstheme="minorHAnsi"/>
          <w:sz w:val="20"/>
          <w:szCs w:val="20"/>
          <w:lang w:eastAsia="en-AU"/>
        </w:rPr>
        <w:t>rezonings</w:t>
      </w:r>
      <w:proofErr w:type="spellEnd"/>
      <w:r w:rsidR="00207EE9" w:rsidRPr="006C7B74">
        <w:rPr>
          <w:rFonts w:cstheme="minorHAnsi"/>
          <w:sz w:val="20"/>
          <w:szCs w:val="20"/>
          <w:lang w:eastAsia="en-AU"/>
        </w:rPr>
        <w:t>,</w:t>
      </w:r>
      <w:r w:rsidRPr="006C7B74">
        <w:rPr>
          <w:rFonts w:cstheme="minorHAnsi"/>
          <w:sz w:val="20"/>
          <w:szCs w:val="20"/>
          <w:lang w:eastAsia="en-AU"/>
        </w:rPr>
        <w:t xml:space="preserve"> which </w:t>
      </w:r>
      <w:r w:rsidR="00064FC6" w:rsidRPr="006C7B74">
        <w:rPr>
          <w:rFonts w:cstheme="minorHAnsi"/>
          <w:sz w:val="20"/>
          <w:szCs w:val="20"/>
          <w:lang w:eastAsia="en-AU"/>
        </w:rPr>
        <w:t>may</w:t>
      </w:r>
      <w:r w:rsidRPr="006C7B74">
        <w:rPr>
          <w:rFonts w:cstheme="minorHAnsi"/>
          <w:sz w:val="20"/>
          <w:szCs w:val="20"/>
          <w:lang w:eastAsia="en-AU"/>
        </w:rPr>
        <w:t xml:space="preserve"> potentially </w:t>
      </w:r>
      <w:r w:rsidR="003E722B" w:rsidRPr="006C7B74">
        <w:rPr>
          <w:rFonts w:cstheme="minorHAnsi"/>
          <w:sz w:val="20"/>
          <w:szCs w:val="20"/>
          <w:lang w:eastAsia="en-AU"/>
        </w:rPr>
        <w:t>ha</w:t>
      </w:r>
      <w:r w:rsidR="00064FC6" w:rsidRPr="006C7B74">
        <w:rPr>
          <w:rFonts w:cstheme="minorHAnsi"/>
          <w:sz w:val="20"/>
          <w:szCs w:val="20"/>
          <w:lang w:eastAsia="en-AU"/>
        </w:rPr>
        <w:t>ve</w:t>
      </w:r>
      <w:r w:rsidR="003E722B" w:rsidRPr="006C7B74">
        <w:rPr>
          <w:rFonts w:cstheme="minorHAnsi"/>
          <w:sz w:val="20"/>
          <w:szCs w:val="20"/>
          <w:lang w:eastAsia="en-AU"/>
        </w:rPr>
        <w:t xml:space="preserve"> </w:t>
      </w:r>
      <w:r w:rsidRPr="006C7B74">
        <w:rPr>
          <w:rFonts w:cstheme="minorHAnsi"/>
          <w:sz w:val="20"/>
          <w:szCs w:val="20"/>
          <w:lang w:eastAsia="en-AU"/>
        </w:rPr>
        <w:t xml:space="preserve">negative impacts for the region’s </w:t>
      </w:r>
      <w:r w:rsidR="00294C6B" w:rsidRPr="006C7B74">
        <w:rPr>
          <w:rFonts w:cstheme="minorHAnsi"/>
          <w:sz w:val="20"/>
          <w:szCs w:val="20"/>
          <w:lang w:eastAsia="en-AU"/>
        </w:rPr>
        <w:t>future</w:t>
      </w:r>
      <w:r w:rsidR="006F6548" w:rsidRPr="006C7B74">
        <w:rPr>
          <w:rFonts w:cstheme="minorHAnsi"/>
          <w:sz w:val="20"/>
          <w:szCs w:val="20"/>
          <w:lang w:eastAsia="en-AU"/>
        </w:rPr>
        <w:t xml:space="preserve"> </w:t>
      </w:r>
      <w:r w:rsidRPr="006C7B74">
        <w:rPr>
          <w:rFonts w:cstheme="minorHAnsi"/>
          <w:sz w:val="20"/>
          <w:szCs w:val="20"/>
          <w:lang w:eastAsia="en-AU"/>
        </w:rPr>
        <w:t>econom</w:t>
      </w:r>
      <w:r w:rsidR="006F6548" w:rsidRPr="006C7B74">
        <w:rPr>
          <w:rFonts w:cstheme="minorHAnsi"/>
          <w:sz w:val="20"/>
          <w:szCs w:val="20"/>
          <w:lang w:eastAsia="en-AU"/>
        </w:rPr>
        <w:t>ic</w:t>
      </w:r>
      <w:r w:rsidRPr="006C7B74">
        <w:rPr>
          <w:rFonts w:cstheme="minorHAnsi"/>
          <w:sz w:val="20"/>
          <w:szCs w:val="20"/>
          <w:lang w:eastAsia="en-AU"/>
        </w:rPr>
        <w:t xml:space="preserve"> and employment</w:t>
      </w:r>
      <w:r w:rsidR="00064FC6" w:rsidRPr="006C7B74">
        <w:rPr>
          <w:rFonts w:cstheme="minorHAnsi"/>
          <w:sz w:val="20"/>
          <w:szCs w:val="20"/>
          <w:lang w:eastAsia="en-AU"/>
        </w:rPr>
        <w:t xml:space="preserve"> opportunities</w:t>
      </w:r>
      <w:r w:rsidRPr="006C7B74">
        <w:rPr>
          <w:rFonts w:cstheme="minorHAnsi"/>
          <w:sz w:val="20"/>
          <w:szCs w:val="20"/>
          <w:lang w:eastAsia="en-AU"/>
        </w:rPr>
        <w:t xml:space="preserve">. </w:t>
      </w:r>
    </w:p>
    <w:p w14:paraId="25376672" w14:textId="1E25FC90" w:rsidR="006C6A10" w:rsidRPr="006C7B74" w:rsidRDefault="00116103" w:rsidP="00064FC6">
      <w:pPr>
        <w:spacing w:after="120"/>
        <w:rPr>
          <w:rFonts w:cstheme="minorHAnsi"/>
          <w:sz w:val="20"/>
          <w:szCs w:val="20"/>
          <w:lang w:eastAsia="en-AU"/>
        </w:rPr>
      </w:pPr>
      <w:r w:rsidRPr="006C7B74">
        <w:rPr>
          <w:rFonts w:cstheme="minorHAnsi"/>
          <w:sz w:val="20"/>
          <w:szCs w:val="20"/>
          <w:lang w:eastAsia="en-AU"/>
        </w:rPr>
        <w:t>Previous p</w:t>
      </w:r>
      <w:r w:rsidR="006523D8" w:rsidRPr="006C7B74">
        <w:rPr>
          <w:rFonts w:cstheme="minorHAnsi"/>
          <w:sz w:val="20"/>
          <w:szCs w:val="20"/>
          <w:lang w:eastAsia="en-AU"/>
        </w:rPr>
        <w:t xml:space="preserve">lanning for new </w:t>
      </w:r>
      <w:r w:rsidRPr="006C7B74">
        <w:rPr>
          <w:rFonts w:cstheme="minorHAnsi"/>
          <w:sz w:val="20"/>
          <w:szCs w:val="20"/>
          <w:lang w:eastAsia="en-AU"/>
        </w:rPr>
        <w:t xml:space="preserve">greenfield </w:t>
      </w:r>
      <w:r w:rsidR="006523D8" w:rsidRPr="006C7B74">
        <w:rPr>
          <w:rFonts w:cstheme="minorHAnsi"/>
          <w:sz w:val="20"/>
          <w:szCs w:val="20"/>
          <w:lang w:eastAsia="en-AU"/>
        </w:rPr>
        <w:t xml:space="preserve">industrial areas has in </w:t>
      </w:r>
      <w:r w:rsidRPr="006C7B74">
        <w:rPr>
          <w:rFonts w:cstheme="minorHAnsi"/>
          <w:sz w:val="20"/>
          <w:szCs w:val="20"/>
          <w:lang w:eastAsia="en-AU"/>
        </w:rPr>
        <w:t>some cases</w:t>
      </w:r>
      <w:r w:rsidR="006523D8" w:rsidRPr="006C7B74">
        <w:rPr>
          <w:rFonts w:cstheme="minorHAnsi"/>
          <w:sz w:val="20"/>
          <w:szCs w:val="20"/>
          <w:lang w:eastAsia="en-AU"/>
        </w:rPr>
        <w:t xml:space="preserve"> reduced the overall amount of land set aside for industrial </w:t>
      </w:r>
      <w:r w:rsidRPr="006C7B74">
        <w:rPr>
          <w:rFonts w:cstheme="minorHAnsi"/>
          <w:sz w:val="20"/>
          <w:szCs w:val="20"/>
          <w:lang w:eastAsia="en-AU"/>
        </w:rPr>
        <w:t>purposes</w:t>
      </w:r>
      <w:r w:rsidR="006523D8" w:rsidRPr="006C7B74">
        <w:rPr>
          <w:rFonts w:cstheme="minorHAnsi"/>
          <w:sz w:val="20"/>
          <w:szCs w:val="20"/>
          <w:lang w:eastAsia="en-AU"/>
        </w:rPr>
        <w:t xml:space="preserve">. </w:t>
      </w:r>
      <w:r w:rsidR="00AC000D" w:rsidRPr="006C7B74">
        <w:rPr>
          <w:rFonts w:cstheme="minorHAnsi"/>
          <w:sz w:val="20"/>
          <w:szCs w:val="20"/>
          <w:lang w:eastAsia="en-AU"/>
        </w:rPr>
        <w:t xml:space="preserve">Future </w:t>
      </w:r>
      <w:r w:rsidR="004975B9" w:rsidRPr="006C7B74">
        <w:rPr>
          <w:rFonts w:cstheme="minorHAnsi"/>
          <w:sz w:val="20"/>
          <w:szCs w:val="20"/>
          <w:lang w:eastAsia="en-AU"/>
        </w:rPr>
        <w:t>i</w:t>
      </w:r>
      <w:r w:rsidR="006C6A10" w:rsidRPr="006C7B74">
        <w:rPr>
          <w:rFonts w:cstheme="minorHAnsi"/>
          <w:sz w:val="20"/>
          <w:szCs w:val="20"/>
          <w:lang w:eastAsia="en-AU"/>
        </w:rPr>
        <w:t>ndustrial land</w:t>
      </w:r>
      <w:r w:rsidR="004975B9" w:rsidRPr="006C7B74">
        <w:rPr>
          <w:rFonts w:cstheme="minorHAnsi"/>
          <w:sz w:val="20"/>
          <w:szCs w:val="20"/>
          <w:lang w:eastAsia="en-AU"/>
        </w:rPr>
        <w:t xml:space="preserve"> identified</w:t>
      </w:r>
      <w:r w:rsidR="006C6A10" w:rsidRPr="006C7B74">
        <w:rPr>
          <w:rFonts w:cstheme="minorHAnsi"/>
          <w:sz w:val="20"/>
          <w:szCs w:val="20"/>
          <w:lang w:eastAsia="en-AU"/>
        </w:rPr>
        <w:t xml:space="preserve"> in the Western SSIP</w:t>
      </w:r>
      <w:r w:rsidR="00064FC6" w:rsidRPr="006C7B74">
        <w:rPr>
          <w:rFonts w:cstheme="minorHAnsi"/>
          <w:sz w:val="20"/>
          <w:szCs w:val="20"/>
          <w:lang w:eastAsia="en-AU"/>
        </w:rPr>
        <w:t xml:space="preserve"> and at</w:t>
      </w:r>
      <w:r w:rsidR="006C6A10" w:rsidRPr="006C7B74">
        <w:rPr>
          <w:rFonts w:cstheme="minorHAnsi"/>
          <w:sz w:val="20"/>
          <w:szCs w:val="20"/>
          <w:lang w:eastAsia="en-AU"/>
        </w:rPr>
        <w:t xml:space="preserve"> </w:t>
      </w:r>
      <w:proofErr w:type="spellStart"/>
      <w:r w:rsidR="006C6A10" w:rsidRPr="006C7B74">
        <w:rPr>
          <w:rFonts w:cstheme="minorHAnsi"/>
          <w:sz w:val="20"/>
          <w:szCs w:val="20"/>
          <w:lang w:eastAsia="en-AU"/>
        </w:rPr>
        <w:t>Toolern</w:t>
      </w:r>
      <w:proofErr w:type="spellEnd"/>
      <w:r w:rsidR="006C6A10" w:rsidRPr="006C7B74">
        <w:rPr>
          <w:rFonts w:cstheme="minorHAnsi"/>
          <w:sz w:val="20"/>
          <w:szCs w:val="20"/>
          <w:lang w:eastAsia="en-AU"/>
        </w:rPr>
        <w:t xml:space="preserve">, Plumpton and </w:t>
      </w:r>
      <w:r w:rsidR="00064FC6" w:rsidRPr="006C7B74">
        <w:rPr>
          <w:rFonts w:cstheme="minorHAnsi"/>
          <w:sz w:val="20"/>
          <w:szCs w:val="20"/>
          <w:lang w:eastAsia="en-AU"/>
        </w:rPr>
        <w:t xml:space="preserve">south of Werribee </w:t>
      </w:r>
      <w:r w:rsidR="0056378E" w:rsidRPr="006C7B74">
        <w:rPr>
          <w:rFonts w:cstheme="minorHAnsi"/>
          <w:sz w:val="20"/>
          <w:szCs w:val="20"/>
          <w:lang w:eastAsia="en-AU"/>
        </w:rPr>
        <w:t xml:space="preserve">needs to </w:t>
      </w:r>
      <w:r w:rsidR="006C6A10" w:rsidRPr="006C7B74">
        <w:rPr>
          <w:rFonts w:cstheme="minorHAnsi"/>
          <w:sz w:val="20"/>
          <w:szCs w:val="20"/>
          <w:lang w:eastAsia="en-AU"/>
        </w:rPr>
        <w:t xml:space="preserve">be retained </w:t>
      </w:r>
      <w:r w:rsidR="0056378E" w:rsidRPr="006C7B74">
        <w:rPr>
          <w:rFonts w:cstheme="minorHAnsi"/>
          <w:sz w:val="20"/>
          <w:szCs w:val="20"/>
          <w:lang w:eastAsia="en-AU"/>
        </w:rPr>
        <w:t xml:space="preserve">and protected </w:t>
      </w:r>
      <w:r w:rsidR="006C6A10" w:rsidRPr="006C7B74">
        <w:rPr>
          <w:rFonts w:cstheme="minorHAnsi"/>
          <w:sz w:val="20"/>
          <w:szCs w:val="20"/>
          <w:lang w:eastAsia="en-AU"/>
        </w:rPr>
        <w:t xml:space="preserve">for </w:t>
      </w:r>
      <w:r w:rsidR="00064FC6" w:rsidRPr="006C7B74">
        <w:rPr>
          <w:rFonts w:cstheme="minorHAnsi"/>
          <w:sz w:val="20"/>
          <w:szCs w:val="20"/>
          <w:lang w:eastAsia="en-AU"/>
        </w:rPr>
        <w:t xml:space="preserve">future </w:t>
      </w:r>
      <w:r w:rsidR="006C6A10" w:rsidRPr="006C7B74">
        <w:rPr>
          <w:rFonts w:cstheme="minorHAnsi"/>
          <w:sz w:val="20"/>
          <w:szCs w:val="20"/>
          <w:lang w:eastAsia="en-AU"/>
        </w:rPr>
        <w:t>industrial use</w:t>
      </w:r>
      <w:r w:rsidR="0056378E" w:rsidRPr="006C7B74">
        <w:rPr>
          <w:rFonts w:cstheme="minorHAnsi"/>
          <w:sz w:val="20"/>
          <w:szCs w:val="20"/>
          <w:lang w:eastAsia="en-AU"/>
        </w:rPr>
        <w:t>s</w:t>
      </w:r>
      <w:r w:rsidR="006C6A10" w:rsidRPr="006C7B74">
        <w:rPr>
          <w:rFonts w:cstheme="minorHAnsi"/>
          <w:sz w:val="20"/>
          <w:szCs w:val="20"/>
          <w:lang w:eastAsia="en-AU"/>
        </w:rPr>
        <w:t xml:space="preserve">. </w:t>
      </w:r>
      <w:r w:rsidR="00064FC6" w:rsidRPr="006C7B74">
        <w:rPr>
          <w:rFonts w:cstheme="minorHAnsi"/>
          <w:sz w:val="20"/>
          <w:szCs w:val="20"/>
          <w:lang w:eastAsia="en-AU"/>
        </w:rPr>
        <w:t>Other areas that should be retained and protect</w:t>
      </w:r>
      <w:r w:rsidR="006523D8" w:rsidRPr="006C7B74">
        <w:rPr>
          <w:rFonts w:cstheme="minorHAnsi"/>
          <w:sz w:val="20"/>
          <w:szCs w:val="20"/>
          <w:lang w:eastAsia="en-AU"/>
        </w:rPr>
        <w:t>ed</w:t>
      </w:r>
      <w:r w:rsidR="00064FC6" w:rsidRPr="006C7B74">
        <w:rPr>
          <w:rFonts w:cstheme="minorHAnsi"/>
          <w:sz w:val="20"/>
          <w:szCs w:val="20"/>
          <w:lang w:eastAsia="en-AU"/>
        </w:rPr>
        <w:t xml:space="preserve"> include precincts adjacent to major transport gateways such as the Port of Melbourne and Melbourne Airport. </w:t>
      </w:r>
    </w:p>
    <w:p w14:paraId="7C0147AF" w14:textId="3256D523" w:rsidR="000050A5" w:rsidRPr="006C7B74" w:rsidRDefault="006C6A10" w:rsidP="00064FC6">
      <w:pPr>
        <w:spacing w:after="120"/>
        <w:rPr>
          <w:rFonts w:cstheme="minorHAnsi"/>
          <w:sz w:val="20"/>
          <w:szCs w:val="20"/>
          <w:lang w:eastAsia="en-AU"/>
        </w:rPr>
      </w:pPr>
      <w:r w:rsidRPr="006C7B74">
        <w:rPr>
          <w:rFonts w:cstheme="minorHAnsi"/>
          <w:sz w:val="20"/>
          <w:szCs w:val="20"/>
          <w:lang w:eastAsia="en-AU"/>
        </w:rPr>
        <w:t xml:space="preserve">There </w:t>
      </w:r>
      <w:r w:rsidR="000050A5" w:rsidRPr="006C7B74">
        <w:rPr>
          <w:rFonts w:cstheme="minorHAnsi"/>
          <w:sz w:val="20"/>
          <w:szCs w:val="20"/>
          <w:lang w:eastAsia="en-AU"/>
        </w:rPr>
        <w:t xml:space="preserve">will </w:t>
      </w:r>
      <w:r w:rsidRPr="006C7B74">
        <w:rPr>
          <w:rFonts w:cstheme="minorHAnsi"/>
          <w:sz w:val="20"/>
          <w:szCs w:val="20"/>
          <w:lang w:eastAsia="en-AU"/>
        </w:rPr>
        <w:t xml:space="preserve">need to be a significant increase </w:t>
      </w:r>
      <w:r w:rsidR="000050A5" w:rsidRPr="006C7B74">
        <w:rPr>
          <w:rFonts w:cstheme="minorHAnsi"/>
          <w:sz w:val="20"/>
          <w:szCs w:val="20"/>
          <w:lang w:eastAsia="en-AU"/>
        </w:rPr>
        <w:t xml:space="preserve">in the amount </w:t>
      </w:r>
      <w:r w:rsidRPr="006C7B74">
        <w:rPr>
          <w:rFonts w:cstheme="minorHAnsi"/>
          <w:sz w:val="20"/>
          <w:szCs w:val="20"/>
          <w:lang w:eastAsia="en-AU"/>
        </w:rPr>
        <w:t xml:space="preserve">of commercial </w:t>
      </w:r>
      <w:r w:rsidR="000050A5" w:rsidRPr="006C7B74">
        <w:rPr>
          <w:rFonts w:cstheme="minorHAnsi"/>
          <w:sz w:val="20"/>
          <w:szCs w:val="20"/>
          <w:lang w:eastAsia="en-AU"/>
        </w:rPr>
        <w:t xml:space="preserve">floorspace </w:t>
      </w:r>
      <w:r w:rsidRPr="006C7B74">
        <w:rPr>
          <w:rFonts w:cstheme="minorHAnsi"/>
          <w:sz w:val="20"/>
          <w:szCs w:val="20"/>
          <w:lang w:eastAsia="en-AU"/>
        </w:rPr>
        <w:t>to serve growing populations in the municipalities of Melton and</w:t>
      </w:r>
      <w:r w:rsidR="000050A5" w:rsidRPr="006C7B74">
        <w:rPr>
          <w:rFonts w:cstheme="minorHAnsi"/>
          <w:sz w:val="20"/>
          <w:szCs w:val="20"/>
          <w:lang w:eastAsia="en-AU"/>
        </w:rPr>
        <w:t xml:space="preserve"> </w:t>
      </w:r>
      <w:r w:rsidRPr="006C7B74">
        <w:rPr>
          <w:rFonts w:cstheme="minorHAnsi"/>
          <w:sz w:val="20"/>
          <w:szCs w:val="20"/>
          <w:lang w:eastAsia="en-AU"/>
        </w:rPr>
        <w:t>Wyndham</w:t>
      </w:r>
      <w:r w:rsidR="0072591D" w:rsidRPr="006C7B74">
        <w:rPr>
          <w:rFonts w:cstheme="minorHAnsi"/>
          <w:sz w:val="20"/>
          <w:szCs w:val="20"/>
          <w:lang w:eastAsia="en-AU"/>
        </w:rPr>
        <w:t xml:space="preserve"> in particular</w:t>
      </w:r>
      <w:r w:rsidRPr="006C7B74">
        <w:rPr>
          <w:rFonts w:cstheme="minorHAnsi"/>
          <w:sz w:val="20"/>
          <w:szCs w:val="20"/>
          <w:lang w:eastAsia="en-AU"/>
        </w:rPr>
        <w:t xml:space="preserve">. </w:t>
      </w:r>
      <w:r w:rsidR="000050A5" w:rsidRPr="006C7B74">
        <w:rPr>
          <w:rFonts w:cstheme="minorHAnsi"/>
          <w:sz w:val="20"/>
          <w:szCs w:val="20"/>
          <w:lang w:eastAsia="en-AU"/>
        </w:rPr>
        <w:t xml:space="preserve">The Werribee NEIC provides significant opportunity, however </w:t>
      </w:r>
      <w:r w:rsidR="00E313EA" w:rsidRPr="006C7B74">
        <w:rPr>
          <w:rFonts w:cstheme="minorHAnsi"/>
          <w:sz w:val="20"/>
          <w:szCs w:val="20"/>
          <w:lang w:eastAsia="en-AU"/>
        </w:rPr>
        <w:t>its</w:t>
      </w:r>
      <w:r w:rsidR="000050A5" w:rsidRPr="006C7B74">
        <w:rPr>
          <w:rFonts w:cstheme="minorHAnsi"/>
          <w:sz w:val="20"/>
          <w:szCs w:val="20"/>
          <w:lang w:eastAsia="en-AU"/>
        </w:rPr>
        <w:t xml:space="preserve"> role as an NEIC should be prioritised. Significant opportunity will still need to be made across the region and growth areas for future retail development. </w:t>
      </w:r>
    </w:p>
    <w:p w14:paraId="42152BEC" w14:textId="4700E0B6" w:rsidR="000050A5" w:rsidRPr="006C7B74" w:rsidRDefault="000050A5" w:rsidP="00064FC6">
      <w:pPr>
        <w:spacing w:after="120"/>
        <w:rPr>
          <w:rFonts w:cstheme="minorHAnsi"/>
          <w:sz w:val="20"/>
          <w:szCs w:val="20"/>
          <w:lang w:eastAsia="en-AU"/>
        </w:rPr>
      </w:pPr>
      <w:r w:rsidRPr="006C7B74">
        <w:rPr>
          <w:rFonts w:cstheme="minorHAnsi"/>
          <w:sz w:val="20"/>
          <w:szCs w:val="20"/>
          <w:lang w:eastAsia="en-AU"/>
        </w:rPr>
        <w:t xml:space="preserve">Careful consideration will be required through the </w:t>
      </w:r>
      <w:r w:rsidR="00402B34" w:rsidRPr="006C7B74">
        <w:rPr>
          <w:rFonts w:cstheme="minorHAnsi"/>
          <w:sz w:val="20"/>
          <w:szCs w:val="20"/>
          <w:lang w:eastAsia="en-AU"/>
        </w:rPr>
        <w:t>PSP</w:t>
      </w:r>
      <w:r w:rsidRPr="006C7B74">
        <w:rPr>
          <w:rFonts w:cstheme="minorHAnsi"/>
          <w:sz w:val="20"/>
          <w:szCs w:val="20"/>
          <w:lang w:eastAsia="en-AU"/>
        </w:rPr>
        <w:t xml:space="preserve"> processes to ensure adequate provision is made to accommodate </w:t>
      </w:r>
      <w:proofErr w:type="gramStart"/>
      <w:r w:rsidR="003C1FBC" w:rsidRPr="006C7B74">
        <w:rPr>
          <w:rFonts w:cstheme="minorHAnsi"/>
          <w:sz w:val="20"/>
          <w:szCs w:val="20"/>
          <w:lang w:eastAsia="en-AU"/>
        </w:rPr>
        <w:t>medium and longer term</w:t>
      </w:r>
      <w:proofErr w:type="gramEnd"/>
      <w:r w:rsidR="003C1FBC" w:rsidRPr="006C7B74">
        <w:rPr>
          <w:rFonts w:cstheme="minorHAnsi"/>
          <w:sz w:val="20"/>
          <w:szCs w:val="20"/>
          <w:lang w:eastAsia="en-AU"/>
        </w:rPr>
        <w:t xml:space="preserve"> </w:t>
      </w:r>
      <w:r w:rsidRPr="006C7B74">
        <w:rPr>
          <w:rFonts w:cstheme="minorHAnsi"/>
          <w:sz w:val="20"/>
          <w:szCs w:val="20"/>
          <w:lang w:eastAsia="en-AU"/>
        </w:rPr>
        <w:t xml:space="preserve">commercial development. </w:t>
      </w:r>
      <w:r w:rsidR="000C0F2E" w:rsidRPr="006C7B74">
        <w:rPr>
          <w:rFonts w:cstheme="minorHAnsi"/>
          <w:sz w:val="20"/>
          <w:szCs w:val="20"/>
          <w:lang w:eastAsia="en-AU"/>
        </w:rPr>
        <w:t>Approaches that will support delivery of 20-minute neighbourhoods should be put in place offering a finer grain network of activity centre</w:t>
      </w:r>
      <w:r w:rsidR="003C1FBC" w:rsidRPr="006C7B74">
        <w:rPr>
          <w:rFonts w:cstheme="minorHAnsi"/>
          <w:sz w:val="20"/>
          <w:szCs w:val="20"/>
          <w:lang w:eastAsia="en-AU"/>
        </w:rPr>
        <w:t>s</w:t>
      </w:r>
      <w:r w:rsidR="00DF69C2" w:rsidRPr="006C7B74">
        <w:rPr>
          <w:rFonts w:cstheme="minorHAnsi"/>
          <w:sz w:val="20"/>
          <w:szCs w:val="20"/>
          <w:lang w:eastAsia="en-AU"/>
        </w:rPr>
        <w:t>.</w:t>
      </w:r>
    </w:p>
    <w:p w14:paraId="5A1AD31E" w14:textId="3B1A4E57" w:rsidR="006C6A10" w:rsidRPr="006C7B74" w:rsidRDefault="00AF1599" w:rsidP="00064FC6">
      <w:pPr>
        <w:spacing w:after="120"/>
        <w:rPr>
          <w:rFonts w:cstheme="minorHAnsi"/>
          <w:sz w:val="20"/>
          <w:szCs w:val="20"/>
          <w:lang w:eastAsia="en-AU"/>
        </w:rPr>
      </w:pPr>
      <w:r w:rsidRPr="006C7B74">
        <w:rPr>
          <w:rFonts w:cstheme="minorHAnsi"/>
          <w:sz w:val="20"/>
          <w:szCs w:val="20"/>
          <w:lang w:eastAsia="en-AU"/>
        </w:rPr>
        <w:t>W</w:t>
      </w:r>
      <w:r w:rsidR="006C6A10" w:rsidRPr="006C7B74">
        <w:rPr>
          <w:rFonts w:cstheme="minorHAnsi"/>
          <w:sz w:val="20"/>
          <w:szCs w:val="20"/>
          <w:lang w:eastAsia="en-AU"/>
        </w:rPr>
        <w:t xml:space="preserve">ithin the established areas of Maribyrnong and Moonee Valley, and to a lesser extent, </w:t>
      </w:r>
      <w:proofErr w:type="spellStart"/>
      <w:r w:rsidR="006C6A10" w:rsidRPr="006C7B74">
        <w:rPr>
          <w:rFonts w:cstheme="minorHAnsi"/>
          <w:sz w:val="20"/>
          <w:szCs w:val="20"/>
          <w:lang w:eastAsia="en-AU"/>
        </w:rPr>
        <w:t>Brimbank</w:t>
      </w:r>
      <w:proofErr w:type="spellEnd"/>
      <w:r w:rsidR="006C6A10" w:rsidRPr="006C7B74">
        <w:rPr>
          <w:rFonts w:cstheme="minorHAnsi"/>
          <w:sz w:val="20"/>
          <w:szCs w:val="20"/>
          <w:lang w:eastAsia="en-AU"/>
        </w:rPr>
        <w:t xml:space="preserve"> and Hobsons Bay</w:t>
      </w:r>
      <w:r w:rsidRPr="006C7B74">
        <w:rPr>
          <w:rFonts w:cstheme="minorHAnsi"/>
          <w:sz w:val="20"/>
          <w:szCs w:val="20"/>
          <w:lang w:eastAsia="en-AU"/>
        </w:rPr>
        <w:t xml:space="preserve">, there will be an ongoing need to allow for expansion of commercial facilities. In addition to this, there will be ongoing pressure in older industrial areas to convert to predominantly residential uses, particularly in Maribyrnong and Hobsons Bay. The ongoing erosion of industrial land to residential uses needs to be </w:t>
      </w:r>
      <w:r w:rsidR="003220B7" w:rsidRPr="006C7B74">
        <w:rPr>
          <w:rFonts w:cstheme="minorHAnsi"/>
          <w:sz w:val="20"/>
          <w:szCs w:val="20"/>
          <w:lang w:eastAsia="en-AU"/>
        </w:rPr>
        <w:t>better managed</w:t>
      </w:r>
      <w:r w:rsidR="003C1FBC" w:rsidRPr="006C7B74">
        <w:rPr>
          <w:rFonts w:cstheme="minorHAnsi"/>
          <w:sz w:val="20"/>
          <w:szCs w:val="20"/>
          <w:lang w:eastAsia="en-AU"/>
        </w:rPr>
        <w:t>.</w:t>
      </w:r>
    </w:p>
    <w:p w14:paraId="47B78A8E" w14:textId="7B3C3120" w:rsidR="00906DE2" w:rsidRPr="006C7B74" w:rsidRDefault="00906DE2" w:rsidP="00064FC6">
      <w:pPr>
        <w:spacing w:after="120"/>
        <w:rPr>
          <w:rFonts w:cstheme="minorHAnsi"/>
          <w:sz w:val="20"/>
          <w:szCs w:val="20"/>
          <w:lang w:eastAsia="en-AU"/>
        </w:rPr>
      </w:pPr>
    </w:p>
    <w:p w14:paraId="1D651AB4" w14:textId="77777777" w:rsidR="0052312F" w:rsidRPr="006C7B74" w:rsidRDefault="0052312F" w:rsidP="0052312F">
      <w:pPr>
        <w:spacing w:after="120"/>
        <w:rPr>
          <w:rFonts w:cstheme="minorHAnsi"/>
          <w:sz w:val="20"/>
          <w:szCs w:val="20"/>
          <w:lang w:eastAsia="en-AU"/>
        </w:rPr>
      </w:pPr>
      <w:r w:rsidRPr="006C7B74">
        <w:rPr>
          <w:rFonts w:cstheme="minorHAnsi"/>
          <w:sz w:val="20"/>
          <w:szCs w:val="20"/>
          <w:lang w:eastAsia="en-AU"/>
        </w:rPr>
        <w:t>Planning for the region should:</w:t>
      </w:r>
    </w:p>
    <w:p w14:paraId="43355A33" w14:textId="77777777" w:rsidR="0052312F" w:rsidRPr="006C7B74" w:rsidRDefault="0052312F" w:rsidP="0052312F">
      <w:pPr>
        <w:pStyle w:val="BodyText"/>
        <w:numPr>
          <w:ilvl w:val="0"/>
          <w:numId w:val="4"/>
        </w:numPr>
        <w:spacing w:before="0" w:line="240" w:lineRule="auto"/>
        <w:rPr>
          <w:lang w:eastAsia="en-AU"/>
        </w:rPr>
      </w:pPr>
      <w:r w:rsidRPr="006C7B74">
        <w:rPr>
          <w:lang w:eastAsia="en-AU"/>
        </w:rPr>
        <w:t xml:space="preserve">Investigate industrial areas that could support other employment uses that support or are well connected to adjacent employment uses or transport connections. </w:t>
      </w:r>
    </w:p>
    <w:p w14:paraId="70D231DD" w14:textId="77777777" w:rsidR="0052312F" w:rsidRPr="006C7B74" w:rsidRDefault="0052312F" w:rsidP="0052312F">
      <w:pPr>
        <w:pStyle w:val="BodyText"/>
        <w:numPr>
          <w:ilvl w:val="0"/>
          <w:numId w:val="4"/>
        </w:numPr>
        <w:spacing w:before="0" w:line="240" w:lineRule="auto"/>
        <w:rPr>
          <w:lang w:eastAsia="en-AU"/>
        </w:rPr>
      </w:pPr>
      <w:r w:rsidRPr="006C7B74">
        <w:rPr>
          <w:lang w:eastAsia="en-AU"/>
        </w:rPr>
        <w:t>Consider the future demand for and need for, commercial and employment land across the growth areas and ensure that PSPs make adequate and sufficient provision to accommodate longer-term commercial and employment needs.</w:t>
      </w:r>
    </w:p>
    <w:p w14:paraId="4F358A71" w14:textId="77777777" w:rsidR="0052312F" w:rsidRPr="006C7B74" w:rsidRDefault="0052312F" w:rsidP="00064FC6">
      <w:pPr>
        <w:spacing w:after="120"/>
        <w:rPr>
          <w:rFonts w:cstheme="minorHAnsi"/>
          <w:sz w:val="20"/>
          <w:szCs w:val="20"/>
          <w:lang w:eastAsia="en-AU"/>
        </w:rPr>
      </w:pPr>
    </w:p>
    <w:p w14:paraId="184B8011" w14:textId="3468A69D" w:rsidR="002A5B72" w:rsidRPr="006C7B74" w:rsidRDefault="002A5B72" w:rsidP="007C11A6">
      <w:pPr>
        <w:spacing w:after="120"/>
        <w:rPr>
          <w:rFonts w:cstheme="minorHAnsi"/>
          <w:sz w:val="20"/>
          <w:szCs w:val="20"/>
          <w:lang w:eastAsia="en-AU"/>
        </w:rPr>
      </w:pPr>
    </w:p>
    <w:p w14:paraId="237CD9F4" w14:textId="298BB309" w:rsidR="002A5B72" w:rsidRPr="006C7B74" w:rsidRDefault="002A5B72" w:rsidP="00934C4D">
      <w:pPr>
        <w:spacing w:after="120"/>
        <w:rPr>
          <w:rFonts w:cstheme="minorHAnsi"/>
          <w:b/>
          <w:sz w:val="20"/>
          <w:szCs w:val="20"/>
        </w:rPr>
      </w:pPr>
      <w:r w:rsidRPr="006C7B74">
        <w:rPr>
          <w:rFonts w:cstheme="minorHAnsi"/>
          <w:b/>
          <w:sz w:val="20"/>
          <w:szCs w:val="20"/>
        </w:rPr>
        <w:br w:type="page"/>
      </w:r>
    </w:p>
    <w:p w14:paraId="07C22DF3" w14:textId="21D4F8B4" w:rsidR="002A5B72" w:rsidRPr="006C7B74" w:rsidRDefault="0085739A" w:rsidP="00F6360B">
      <w:pPr>
        <w:pStyle w:val="Heading5"/>
      </w:pPr>
      <w:r w:rsidRPr="006C7B74">
        <w:lastRenderedPageBreak/>
        <w:t xml:space="preserve">Map </w:t>
      </w:r>
      <w:r w:rsidR="00D90DAF" w:rsidRPr="006C7B74">
        <w:t>6</w:t>
      </w:r>
      <w:r w:rsidR="002A5B72" w:rsidRPr="006C7B74">
        <w:t xml:space="preserve">: Western Region </w:t>
      </w:r>
      <w:r w:rsidR="00CD790E" w:rsidRPr="006C7B74">
        <w:t xml:space="preserve">- </w:t>
      </w:r>
      <w:r w:rsidR="00AC567F" w:rsidRPr="006C7B74">
        <w:t>i</w:t>
      </w:r>
      <w:r w:rsidR="004F3E8D" w:rsidRPr="006C7B74">
        <w:t xml:space="preserve">ndustrial </w:t>
      </w:r>
      <w:r w:rsidR="00AC567F" w:rsidRPr="006C7B74">
        <w:t>l</w:t>
      </w:r>
      <w:r w:rsidR="004F3E8D" w:rsidRPr="006C7B74">
        <w:t>and</w:t>
      </w:r>
    </w:p>
    <w:p w14:paraId="4316B91C" w14:textId="148B0137" w:rsidR="000E5EC2" w:rsidRPr="006C7B74" w:rsidRDefault="000E5EC2" w:rsidP="000E5EC2">
      <w:pPr>
        <w:pStyle w:val="Quote"/>
      </w:pPr>
      <w:r w:rsidRPr="006C7B74">
        <w:t xml:space="preserve">Source: Department of Environment, Land, Water and Planning </w:t>
      </w:r>
    </w:p>
    <w:p w14:paraId="47C36FC8" w14:textId="190EB0F9" w:rsidR="00FA21DC" w:rsidRPr="006C7B74" w:rsidRDefault="00FA21DC" w:rsidP="00934C4D">
      <w:pPr>
        <w:spacing w:after="120"/>
        <w:rPr>
          <w:rFonts w:cstheme="minorHAnsi"/>
          <w:sz w:val="20"/>
          <w:szCs w:val="20"/>
        </w:rPr>
      </w:pPr>
    </w:p>
    <w:p w14:paraId="4A3ABC81" w14:textId="305CDF96" w:rsidR="004F3E8D" w:rsidRPr="006C7B74" w:rsidRDefault="004F3E8D" w:rsidP="004F3E8D">
      <w:pPr>
        <w:pStyle w:val="Heading5"/>
      </w:pPr>
      <w:r w:rsidRPr="006C7B74">
        <w:t xml:space="preserve">Map </w:t>
      </w:r>
      <w:r w:rsidR="00D90DAF" w:rsidRPr="006C7B74">
        <w:t>7</w:t>
      </w:r>
      <w:r w:rsidRPr="006C7B74">
        <w:t xml:space="preserve">: Western Region </w:t>
      </w:r>
      <w:r w:rsidR="00CD790E" w:rsidRPr="006C7B74">
        <w:t xml:space="preserve">- </w:t>
      </w:r>
      <w:r w:rsidR="00AC567F" w:rsidRPr="006C7B74">
        <w:t>c</w:t>
      </w:r>
      <w:r w:rsidRPr="006C7B74">
        <w:t xml:space="preserve">ommercial </w:t>
      </w:r>
      <w:r w:rsidR="00AC567F" w:rsidRPr="006C7B74">
        <w:t>l</w:t>
      </w:r>
      <w:r w:rsidRPr="006C7B74">
        <w:t>and</w:t>
      </w:r>
      <w:r w:rsidRPr="006C7B74" w:rsidDel="004F3E8D">
        <w:t xml:space="preserve"> </w:t>
      </w:r>
    </w:p>
    <w:p w14:paraId="59C83B2A" w14:textId="33BA5CFC" w:rsidR="000E5EC2" w:rsidRPr="006C7B74" w:rsidRDefault="000E5EC2" w:rsidP="000E5EC2">
      <w:pPr>
        <w:pStyle w:val="Quote"/>
      </w:pPr>
      <w:r w:rsidRPr="006C7B74">
        <w:t xml:space="preserve">Source: Department of Environment, Land, Water and Planning </w:t>
      </w:r>
    </w:p>
    <w:p w14:paraId="63A7FE1F" w14:textId="3ECCD7E8" w:rsidR="002C5D89" w:rsidRPr="006C7B74" w:rsidRDefault="002C5D89" w:rsidP="00934C4D">
      <w:pPr>
        <w:spacing w:after="120"/>
        <w:rPr>
          <w:rFonts w:cstheme="minorHAnsi"/>
          <w:sz w:val="20"/>
          <w:szCs w:val="20"/>
        </w:rPr>
      </w:pPr>
      <w:r w:rsidRPr="006C7B74">
        <w:rPr>
          <w:rFonts w:cstheme="minorHAnsi"/>
          <w:sz w:val="20"/>
          <w:szCs w:val="20"/>
        </w:rPr>
        <w:br w:type="page"/>
      </w:r>
    </w:p>
    <w:p w14:paraId="1654E60F" w14:textId="77777777" w:rsidR="0075498A" w:rsidRPr="006C7B74" w:rsidRDefault="0075498A" w:rsidP="00934C4D">
      <w:pPr>
        <w:pStyle w:val="Heading1"/>
        <w:spacing w:before="0"/>
        <w:ind w:left="357" w:hanging="357"/>
      </w:pPr>
      <w:bookmarkStart w:id="43" w:name="_Toc21694822"/>
      <w:r w:rsidRPr="006C7B74">
        <w:lastRenderedPageBreak/>
        <w:t>Northern Region</w:t>
      </w:r>
      <w:bookmarkEnd w:id="43"/>
      <w:r w:rsidRPr="006C7B74">
        <w:t xml:space="preserve"> </w:t>
      </w:r>
    </w:p>
    <w:p w14:paraId="78515225" w14:textId="3B84DA86" w:rsidR="0075498A" w:rsidRPr="006C7B74" w:rsidRDefault="0075498A" w:rsidP="00934C4D">
      <w:pPr>
        <w:pStyle w:val="Heading2-Contenttable"/>
        <w:spacing w:after="120"/>
      </w:pPr>
      <w:bookmarkStart w:id="44" w:name="_Toc21694823"/>
      <w:r w:rsidRPr="006C7B74">
        <w:t xml:space="preserve">Regional </w:t>
      </w:r>
      <w:r w:rsidR="00941C0F" w:rsidRPr="006C7B74">
        <w:t>snapshot</w:t>
      </w:r>
      <w:bookmarkEnd w:id="44"/>
    </w:p>
    <w:p w14:paraId="60CAADFB" w14:textId="33E7E74D" w:rsidR="0075498A" w:rsidRPr="006C7B74" w:rsidRDefault="0075498A" w:rsidP="00934C4D">
      <w:pPr>
        <w:spacing w:after="120"/>
        <w:rPr>
          <w:rStyle w:val="normaltextrun"/>
          <w:rFonts w:cstheme="minorHAnsi"/>
          <w:color w:val="000000"/>
          <w:sz w:val="20"/>
          <w:szCs w:val="20"/>
          <w:shd w:val="clear" w:color="auto" w:fill="FFFFFF"/>
        </w:rPr>
      </w:pPr>
      <w:r w:rsidRPr="006C7B74">
        <w:rPr>
          <w:rStyle w:val="normaltextrun"/>
          <w:rFonts w:cstheme="minorHAnsi"/>
          <w:color w:val="000000"/>
          <w:sz w:val="20"/>
          <w:szCs w:val="20"/>
          <w:shd w:val="clear" w:color="auto" w:fill="FFFFFF"/>
        </w:rPr>
        <w:t>The Northern Region comprises the municipalities of</w:t>
      </w:r>
      <w:r w:rsidRPr="006C7B74">
        <w:rPr>
          <w:rFonts w:cstheme="minorHAnsi"/>
          <w:color w:val="000000"/>
          <w:sz w:val="20"/>
          <w:szCs w:val="20"/>
          <w:shd w:val="clear" w:color="auto" w:fill="FFFFFF"/>
        </w:rPr>
        <w:t xml:space="preserve"> </w:t>
      </w:r>
      <w:r w:rsidRPr="006C7B74">
        <w:rPr>
          <w:rStyle w:val="normaltextrun"/>
          <w:rFonts w:cstheme="minorHAnsi"/>
          <w:color w:val="000000"/>
          <w:sz w:val="20"/>
          <w:szCs w:val="20"/>
          <w:shd w:val="clear" w:color="auto" w:fill="FFFFFF"/>
        </w:rPr>
        <w:t xml:space="preserve">Banyule, Darebin, Hume, Moreland, Nillumbik, Whittlesea and the area within the urban growth boundary </w:t>
      </w:r>
      <w:r w:rsidR="00D3415E" w:rsidRPr="006C7B74">
        <w:rPr>
          <w:rStyle w:val="normaltextrun"/>
          <w:rFonts w:cstheme="minorHAnsi"/>
          <w:color w:val="000000"/>
          <w:sz w:val="20"/>
          <w:szCs w:val="20"/>
          <w:shd w:val="clear" w:color="auto" w:fill="FFFFFF"/>
        </w:rPr>
        <w:t xml:space="preserve">(UGB) </w:t>
      </w:r>
      <w:r w:rsidRPr="006C7B74">
        <w:rPr>
          <w:rStyle w:val="normaltextrun"/>
          <w:rFonts w:cstheme="minorHAnsi"/>
          <w:color w:val="000000"/>
          <w:sz w:val="20"/>
          <w:szCs w:val="20"/>
          <w:shd w:val="clear" w:color="auto" w:fill="FFFFFF"/>
        </w:rPr>
        <w:t xml:space="preserve">in the Shire of Mitchell. </w:t>
      </w:r>
      <w:r w:rsidR="00CA6891" w:rsidRPr="006C7B74">
        <w:rPr>
          <w:rFonts w:cstheme="minorHAnsi"/>
          <w:sz w:val="20"/>
          <w:szCs w:val="20"/>
        </w:rPr>
        <w:t xml:space="preserve">The region includes the Northern Growth Corridor </w:t>
      </w:r>
      <w:r w:rsidR="005937FB" w:rsidRPr="006C7B74">
        <w:rPr>
          <w:rFonts w:cstheme="minorHAnsi"/>
          <w:sz w:val="20"/>
          <w:szCs w:val="20"/>
        </w:rPr>
        <w:t>which</w:t>
      </w:r>
      <w:r w:rsidR="00CA6891" w:rsidRPr="006C7B74">
        <w:rPr>
          <w:rFonts w:cstheme="minorHAnsi"/>
          <w:sz w:val="20"/>
          <w:szCs w:val="20"/>
        </w:rPr>
        <w:t xml:space="preserve"> makes significant provision for future industry and housing.</w:t>
      </w:r>
    </w:p>
    <w:p w14:paraId="285AA02F" w14:textId="4ACEAE4C" w:rsidR="00E32440" w:rsidRPr="006C7B74" w:rsidRDefault="00E32440" w:rsidP="00E32440">
      <w:pPr>
        <w:spacing w:after="120"/>
        <w:rPr>
          <w:rFonts w:cstheme="minorHAnsi"/>
          <w:sz w:val="16"/>
          <w:szCs w:val="20"/>
        </w:rPr>
      </w:pPr>
      <w:r w:rsidRPr="006C7B74">
        <w:rPr>
          <w:rFonts w:cstheme="minorHAnsi"/>
          <w:sz w:val="20"/>
        </w:rPr>
        <w:t xml:space="preserve">The region has good connections to transport gateways </w:t>
      </w:r>
      <w:r w:rsidR="00B2576F" w:rsidRPr="006C7B74">
        <w:rPr>
          <w:rFonts w:cstheme="minorHAnsi"/>
          <w:sz w:val="20"/>
        </w:rPr>
        <w:t xml:space="preserve">and the freight network </w:t>
      </w:r>
      <w:r w:rsidRPr="006C7B74">
        <w:rPr>
          <w:rFonts w:cstheme="minorHAnsi"/>
          <w:sz w:val="20"/>
        </w:rPr>
        <w:t>along key roads and railway</w:t>
      </w:r>
      <w:r w:rsidR="00E51107" w:rsidRPr="006C7B74">
        <w:rPr>
          <w:rFonts w:cstheme="minorHAnsi"/>
          <w:sz w:val="20"/>
        </w:rPr>
        <w:t xml:space="preserve">s. While </w:t>
      </w:r>
      <w:r w:rsidR="00FB037B" w:rsidRPr="006C7B74">
        <w:rPr>
          <w:rFonts w:cstheme="minorHAnsi"/>
          <w:sz w:val="20"/>
        </w:rPr>
        <w:t>east-west linkages</w:t>
      </w:r>
      <w:r w:rsidR="0040456D" w:rsidRPr="006C7B74">
        <w:rPr>
          <w:rFonts w:cstheme="minorHAnsi"/>
          <w:sz w:val="20"/>
        </w:rPr>
        <w:t xml:space="preserve"> across the region</w:t>
      </w:r>
      <w:r w:rsidRPr="006C7B74">
        <w:rPr>
          <w:rFonts w:cstheme="minorHAnsi"/>
          <w:sz w:val="20"/>
        </w:rPr>
        <w:t xml:space="preserve"> </w:t>
      </w:r>
      <w:r w:rsidR="0040456D" w:rsidRPr="006C7B74">
        <w:rPr>
          <w:rFonts w:cstheme="minorHAnsi"/>
          <w:sz w:val="20"/>
        </w:rPr>
        <w:t xml:space="preserve">are </w:t>
      </w:r>
      <w:r w:rsidRPr="006C7B74">
        <w:rPr>
          <w:rFonts w:cstheme="minorHAnsi"/>
          <w:sz w:val="20"/>
        </w:rPr>
        <w:t xml:space="preserve">a </w:t>
      </w:r>
      <w:r w:rsidR="0040456D" w:rsidRPr="006C7B74">
        <w:rPr>
          <w:rFonts w:cstheme="minorHAnsi"/>
          <w:sz w:val="20"/>
        </w:rPr>
        <w:t xml:space="preserve">limiting </w:t>
      </w:r>
      <w:r w:rsidRPr="006C7B74">
        <w:rPr>
          <w:rFonts w:cstheme="minorHAnsi"/>
          <w:sz w:val="20"/>
        </w:rPr>
        <w:t>factor</w:t>
      </w:r>
      <w:r w:rsidR="00E51107" w:rsidRPr="006C7B74">
        <w:rPr>
          <w:rFonts w:cstheme="minorHAnsi"/>
          <w:sz w:val="20"/>
        </w:rPr>
        <w:t xml:space="preserve">, </w:t>
      </w:r>
      <w:r w:rsidR="0060304E" w:rsidRPr="006C7B74">
        <w:rPr>
          <w:rFonts w:cstheme="minorHAnsi"/>
          <w:sz w:val="20"/>
        </w:rPr>
        <w:t>ther</w:t>
      </w:r>
      <w:r w:rsidR="00224563" w:rsidRPr="006C7B74">
        <w:rPr>
          <w:rFonts w:cstheme="minorHAnsi"/>
          <w:sz w:val="20"/>
        </w:rPr>
        <w:t>e is significant appeal for businesses wanting</w:t>
      </w:r>
      <w:r w:rsidR="00FC61EF" w:rsidRPr="006C7B74">
        <w:rPr>
          <w:rFonts w:cstheme="minorHAnsi"/>
          <w:sz w:val="20"/>
        </w:rPr>
        <w:t xml:space="preserve"> eastern seaboard access from Melbourne </w:t>
      </w:r>
      <w:r w:rsidR="00E51107" w:rsidRPr="006C7B74">
        <w:rPr>
          <w:rFonts w:cstheme="minorHAnsi"/>
          <w:sz w:val="20"/>
        </w:rPr>
        <w:t>to Sydney and Brisbane</w:t>
      </w:r>
      <w:r w:rsidR="00FC61EF" w:rsidRPr="006C7B74">
        <w:rPr>
          <w:rFonts w:cstheme="minorHAnsi"/>
          <w:sz w:val="20"/>
        </w:rPr>
        <w:t xml:space="preserve">. </w:t>
      </w:r>
      <w:r w:rsidRPr="006C7B74">
        <w:rPr>
          <w:rFonts w:cstheme="minorHAnsi"/>
          <w:sz w:val="20"/>
        </w:rPr>
        <w:t xml:space="preserve">Significant competitive advantages </w:t>
      </w:r>
      <w:r w:rsidR="005937FB" w:rsidRPr="006C7B74">
        <w:rPr>
          <w:rFonts w:cstheme="minorHAnsi"/>
          <w:sz w:val="20"/>
        </w:rPr>
        <w:t>are created by</w:t>
      </w:r>
      <w:r w:rsidRPr="006C7B74">
        <w:rPr>
          <w:rFonts w:cstheme="minorHAnsi"/>
          <w:sz w:val="20"/>
        </w:rPr>
        <w:t xml:space="preserve"> the region having </w:t>
      </w:r>
      <w:r w:rsidR="005D5EAB" w:rsidRPr="006C7B74">
        <w:rPr>
          <w:rFonts w:cstheme="minorHAnsi"/>
          <w:sz w:val="20"/>
        </w:rPr>
        <w:t>good</w:t>
      </w:r>
      <w:r w:rsidR="0067260F" w:rsidRPr="006C7B74">
        <w:rPr>
          <w:rFonts w:cstheme="minorHAnsi"/>
          <w:sz w:val="20"/>
        </w:rPr>
        <w:t xml:space="preserve"> </w:t>
      </w:r>
      <w:r w:rsidRPr="006C7B74">
        <w:rPr>
          <w:rFonts w:cstheme="minorHAnsi"/>
          <w:sz w:val="20"/>
        </w:rPr>
        <w:t>access to Essendon and Melbourne Airports</w:t>
      </w:r>
      <w:r w:rsidR="005D5EAB" w:rsidRPr="006C7B74">
        <w:rPr>
          <w:rFonts w:cstheme="minorHAnsi"/>
          <w:sz w:val="20"/>
        </w:rPr>
        <w:t xml:space="preserve"> and </w:t>
      </w:r>
      <w:r w:rsidR="003D0DFF" w:rsidRPr="006C7B74">
        <w:rPr>
          <w:rFonts w:cstheme="minorHAnsi"/>
          <w:sz w:val="20"/>
        </w:rPr>
        <w:t>th</w:t>
      </w:r>
      <w:r w:rsidR="0040456D" w:rsidRPr="006C7B74">
        <w:rPr>
          <w:rFonts w:cstheme="minorHAnsi"/>
          <w:sz w:val="20"/>
        </w:rPr>
        <w:t>ere</w:t>
      </w:r>
      <w:r w:rsidRPr="006C7B74">
        <w:rPr>
          <w:rFonts w:cstheme="minorHAnsi"/>
          <w:sz w:val="20"/>
        </w:rPr>
        <w:t xml:space="preserve"> a</w:t>
      </w:r>
      <w:r w:rsidR="0040456D" w:rsidRPr="006C7B74">
        <w:rPr>
          <w:rFonts w:cstheme="minorHAnsi"/>
          <w:sz w:val="20"/>
        </w:rPr>
        <w:t>re</w:t>
      </w:r>
      <w:r w:rsidRPr="006C7B74">
        <w:rPr>
          <w:rFonts w:cstheme="minorHAnsi"/>
          <w:sz w:val="20"/>
        </w:rPr>
        <w:t xml:space="preserve"> substantial synergies </w:t>
      </w:r>
      <w:r w:rsidR="0040456D" w:rsidRPr="006C7B74">
        <w:rPr>
          <w:rFonts w:cstheme="minorHAnsi"/>
          <w:sz w:val="20"/>
        </w:rPr>
        <w:t xml:space="preserve">that can be gained with the Melbourne Wholesale Markets and </w:t>
      </w:r>
      <w:r w:rsidRPr="006C7B74">
        <w:rPr>
          <w:rFonts w:cstheme="minorHAnsi"/>
          <w:sz w:val="20"/>
        </w:rPr>
        <w:t>complementary industries.</w:t>
      </w:r>
      <w:r w:rsidR="00951193" w:rsidRPr="006C7B74">
        <w:rPr>
          <w:rFonts w:cstheme="minorHAnsi"/>
          <w:sz w:val="20"/>
          <w:szCs w:val="20"/>
        </w:rPr>
        <w:t xml:space="preserve"> The region also contain</w:t>
      </w:r>
      <w:r w:rsidR="001A189B" w:rsidRPr="006C7B74">
        <w:rPr>
          <w:rFonts w:cstheme="minorHAnsi"/>
          <w:sz w:val="20"/>
          <w:szCs w:val="20"/>
        </w:rPr>
        <w:t>s</w:t>
      </w:r>
      <w:r w:rsidR="00951193" w:rsidRPr="006C7B74">
        <w:rPr>
          <w:rFonts w:cstheme="minorHAnsi"/>
          <w:sz w:val="20"/>
          <w:szCs w:val="20"/>
        </w:rPr>
        <w:t xml:space="preserve"> significant high</w:t>
      </w:r>
      <w:r w:rsidR="001A189B" w:rsidRPr="006C7B74">
        <w:rPr>
          <w:rFonts w:cstheme="minorHAnsi"/>
          <w:sz w:val="20"/>
          <w:szCs w:val="20"/>
        </w:rPr>
        <w:t>-</w:t>
      </w:r>
      <w:r w:rsidR="00951193" w:rsidRPr="006C7B74">
        <w:rPr>
          <w:rFonts w:cstheme="minorHAnsi"/>
          <w:sz w:val="20"/>
          <w:szCs w:val="20"/>
        </w:rPr>
        <w:t xml:space="preserve">quality extractive resources </w:t>
      </w:r>
      <w:r w:rsidR="00B2576F" w:rsidRPr="006C7B74">
        <w:rPr>
          <w:rFonts w:cstheme="minorHAnsi"/>
          <w:sz w:val="20"/>
          <w:szCs w:val="20"/>
        </w:rPr>
        <w:t xml:space="preserve">that are </w:t>
      </w:r>
      <w:r w:rsidR="004052B0" w:rsidRPr="006C7B74">
        <w:rPr>
          <w:rFonts w:cstheme="minorHAnsi"/>
          <w:sz w:val="20"/>
          <w:szCs w:val="20"/>
        </w:rPr>
        <w:t>critical</w:t>
      </w:r>
      <w:r w:rsidR="00B2576F" w:rsidRPr="006C7B74">
        <w:rPr>
          <w:rFonts w:cstheme="minorHAnsi"/>
          <w:sz w:val="20"/>
          <w:szCs w:val="20"/>
        </w:rPr>
        <w:t xml:space="preserve"> to support the development and ongoing functioning of the city</w:t>
      </w:r>
      <w:r w:rsidR="00951193" w:rsidRPr="006C7B74">
        <w:rPr>
          <w:rFonts w:cstheme="minorHAnsi"/>
          <w:sz w:val="20"/>
          <w:szCs w:val="20"/>
        </w:rPr>
        <w:t>.</w:t>
      </w:r>
    </w:p>
    <w:p w14:paraId="49D90C79" w14:textId="417BD8B0" w:rsidR="005D5EAB" w:rsidRPr="006C7B74" w:rsidRDefault="00CA6891" w:rsidP="00934C4D">
      <w:pPr>
        <w:spacing w:after="120"/>
        <w:rPr>
          <w:rFonts w:cstheme="minorHAnsi"/>
          <w:sz w:val="20"/>
          <w:szCs w:val="20"/>
        </w:rPr>
      </w:pPr>
      <w:r w:rsidRPr="006C7B74">
        <w:rPr>
          <w:rFonts w:cstheme="minorHAnsi"/>
          <w:sz w:val="20"/>
          <w:szCs w:val="20"/>
        </w:rPr>
        <w:t xml:space="preserve">The proposed Beveridge </w:t>
      </w:r>
      <w:r w:rsidR="00F41CCE" w:rsidRPr="006C7B74">
        <w:rPr>
          <w:rFonts w:cstheme="minorHAnsi"/>
          <w:sz w:val="20"/>
          <w:szCs w:val="20"/>
        </w:rPr>
        <w:t>Interstate</w:t>
      </w:r>
      <w:r w:rsidRPr="006C7B74">
        <w:rPr>
          <w:rFonts w:cstheme="minorHAnsi"/>
          <w:sz w:val="20"/>
          <w:szCs w:val="20"/>
        </w:rPr>
        <w:t xml:space="preserve"> Freight Terminal (BIFT) is an important </w:t>
      </w:r>
      <w:r w:rsidR="006A319E" w:rsidRPr="006C7B74">
        <w:rPr>
          <w:rFonts w:cstheme="minorHAnsi"/>
          <w:sz w:val="20"/>
          <w:szCs w:val="20"/>
        </w:rPr>
        <w:t xml:space="preserve">future </w:t>
      </w:r>
      <w:r w:rsidRPr="006C7B74">
        <w:rPr>
          <w:rFonts w:cstheme="minorHAnsi"/>
          <w:sz w:val="20"/>
          <w:szCs w:val="20"/>
        </w:rPr>
        <w:t xml:space="preserve">asset for the region with direct </w:t>
      </w:r>
      <w:r w:rsidR="005D5EAB" w:rsidRPr="006C7B74">
        <w:rPr>
          <w:rFonts w:cstheme="minorHAnsi"/>
          <w:sz w:val="20"/>
          <w:szCs w:val="20"/>
        </w:rPr>
        <w:t xml:space="preserve">access to the </w:t>
      </w:r>
      <w:r w:rsidR="009E1FB8" w:rsidRPr="006C7B74">
        <w:rPr>
          <w:rFonts w:cstheme="minorHAnsi"/>
          <w:sz w:val="20"/>
          <w:szCs w:val="20"/>
        </w:rPr>
        <w:t>PFN</w:t>
      </w:r>
      <w:r w:rsidR="005D5EAB" w:rsidRPr="006C7B74">
        <w:rPr>
          <w:rFonts w:cstheme="minorHAnsi"/>
          <w:sz w:val="20"/>
          <w:szCs w:val="20"/>
        </w:rPr>
        <w:t xml:space="preserve"> and the propose Outer Metropolitan Ring </w:t>
      </w:r>
      <w:r w:rsidR="00C31FDA" w:rsidRPr="006C7B74">
        <w:rPr>
          <w:rFonts w:cstheme="minorHAnsi"/>
          <w:sz w:val="20"/>
          <w:szCs w:val="20"/>
        </w:rPr>
        <w:t>/</w:t>
      </w:r>
      <w:r w:rsidR="005D5EAB" w:rsidRPr="006C7B74">
        <w:rPr>
          <w:rFonts w:cstheme="minorHAnsi"/>
          <w:sz w:val="20"/>
          <w:szCs w:val="20"/>
        </w:rPr>
        <w:t xml:space="preserve"> E6 </w:t>
      </w:r>
      <w:r w:rsidR="00C31FDA" w:rsidRPr="006C7B74">
        <w:rPr>
          <w:rFonts w:cstheme="minorHAnsi"/>
          <w:sz w:val="20"/>
          <w:szCs w:val="20"/>
        </w:rPr>
        <w:t>T</w:t>
      </w:r>
      <w:r w:rsidR="005D5EAB" w:rsidRPr="006C7B74">
        <w:rPr>
          <w:rFonts w:cstheme="minorHAnsi"/>
          <w:sz w:val="20"/>
          <w:szCs w:val="20"/>
        </w:rPr>
        <w:t xml:space="preserve">ransport </w:t>
      </w:r>
      <w:r w:rsidR="00C31FDA" w:rsidRPr="006C7B74">
        <w:rPr>
          <w:rFonts w:cstheme="minorHAnsi"/>
          <w:sz w:val="20"/>
          <w:szCs w:val="20"/>
        </w:rPr>
        <w:t>C</w:t>
      </w:r>
      <w:r w:rsidR="005D5EAB" w:rsidRPr="006C7B74">
        <w:rPr>
          <w:rFonts w:cstheme="minorHAnsi"/>
          <w:sz w:val="20"/>
          <w:szCs w:val="20"/>
        </w:rPr>
        <w:t xml:space="preserve">orridor </w:t>
      </w:r>
      <w:r w:rsidR="00C31FDA" w:rsidRPr="006C7B74">
        <w:rPr>
          <w:rFonts w:cstheme="minorHAnsi"/>
          <w:sz w:val="20"/>
          <w:szCs w:val="20"/>
        </w:rPr>
        <w:t>(OMR)</w:t>
      </w:r>
      <w:r w:rsidR="005D5EAB" w:rsidRPr="006C7B74">
        <w:rPr>
          <w:rFonts w:cstheme="minorHAnsi"/>
          <w:sz w:val="20"/>
          <w:szCs w:val="20"/>
        </w:rPr>
        <w:t xml:space="preserve"> </w:t>
      </w:r>
      <w:r w:rsidR="001A189B" w:rsidRPr="006C7B74">
        <w:rPr>
          <w:rFonts w:cstheme="minorHAnsi"/>
          <w:sz w:val="20"/>
          <w:szCs w:val="20"/>
        </w:rPr>
        <w:t xml:space="preserve">and North East Link </w:t>
      </w:r>
      <w:r w:rsidR="005D5EAB" w:rsidRPr="006C7B74">
        <w:rPr>
          <w:rFonts w:cstheme="minorHAnsi"/>
          <w:sz w:val="20"/>
          <w:szCs w:val="20"/>
        </w:rPr>
        <w:t xml:space="preserve">will further enhance connections </w:t>
      </w:r>
      <w:r w:rsidR="001A189B" w:rsidRPr="006C7B74">
        <w:rPr>
          <w:rFonts w:cstheme="minorHAnsi"/>
          <w:sz w:val="20"/>
          <w:szCs w:val="20"/>
        </w:rPr>
        <w:t>within</w:t>
      </w:r>
      <w:r w:rsidR="005D5EAB" w:rsidRPr="006C7B74">
        <w:rPr>
          <w:rFonts w:cstheme="minorHAnsi"/>
          <w:sz w:val="20"/>
          <w:szCs w:val="20"/>
        </w:rPr>
        <w:t xml:space="preserve"> the region and beyond. </w:t>
      </w:r>
    </w:p>
    <w:p w14:paraId="2F4F17B0" w14:textId="37D2D9EE" w:rsidR="0075498A" w:rsidRPr="006C7B74" w:rsidRDefault="00951193" w:rsidP="00934C4D">
      <w:pPr>
        <w:spacing w:after="120"/>
        <w:rPr>
          <w:rFonts w:cstheme="minorHAnsi"/>
          <w:sz w:val="20"/>
          <w:szCs w:val="20"/>
        </w:rPr>
      </w:pPr>
      <w:r w:rsidRPr="006C7B74">
        <w:rPr>
          <w:rFonts w:cstheme="minorHAnsi"/>
          <w:sz w:val="20"/>
          <w:szCs w:val="20"/>
        </w:rPr>
        <w:t>The region has a strong and vibrant network of activity centres closer to the city</w:t>
      </w:r>
      <w:r w:rsidR="00BD6F41" w:rsidRPr="006C7B74">
        <w:rPr>
          <w:rFonts w:cstheme="minorHAnsi"/>
          <w:sz w:val="20"/>
          <w:szCs w:val="20"/>
        </w:rPr>
        <w:t>,</w:t>
      </w:r>
      <w:r w:rsidRPr="006C7B74">
        <w:rPr>
          <w:rFonts w:cstheme="minorHAnsi"/>
          <w:sz w:val="20"/>
          <w:szCs w:val="20"/>
        </w:rPr>
        <w:t xml:space="preserve"> as well as three existing and future </w:t>
      </w:r>
      <w:r w:rsidR="00C1290A" w:rsidRPr="006C7B74">
        <w:rPr>
          <w:rFonts w:cstheme="minorHAnsi"/>
          <w:sz w:val="20"/>
          <w:szCs w:val="20"/>
        </w:rPr>
        <w:t>m</w:t>
      </w:r>
      <w:r w:rsidRPr="006C7B74">
        <w:rPr>
          <w:rFonts w:cstheme="minorHAnsi"/>
          <w:sz w:val="20"/>
          <w:szCs w:val="20"/>
        </w:rPr>
        <w:t xml:space="preserve">etropolitan </w:t>
      </w:r>
      <w:r w:rsidR="00C1290A" w:rsidRPr="006C7B74">
        <w:rPr>
          <w:rFonts w:cstheme="minorHAnsi"/>
          <w:sz w:val="20"/>
          <w:szCs w:val="20"/>
        </w:rPr>
        <w:t>a</w:t>
      </w:r>
      <w:r w:rsidRPr="006C7B74">
        <w:rPr>
          <w:rFonts w:cstheme="minorHAnsi"/>
          <w:sz w:val="20"/>
          <w:szCs w:val="20"/>
        </w:rPr>
        <w:t xml:space="preserve">ctivity </w:t>
      </w:r>
      <w:r w:rsidR="00C1290A" w:rsidRPr="006C7B74">
        <w:rPr>
          <w:rFonts w:cstheme="minorHAnsi"/>
          <w:sz w:val="20"/>
          <w:szCs w:val="20"/>
        </w:rPr>
        <w:t>c</w:t>
      </w:r>
      <w:r w:rsidRPr="006C7B74">
        <w:rPr>
          <w:rFonts w:cstheme="minorHAnsi"/>
          <w:sz w:val="20"/>
          <w:szCs w:val="20"/>
        </w:rPr>
        <w:t>entres and the La</w:t>
      </w:r>
      <w:r w:rsidR="004965BE" w:rsidRPr="006C7B74">
        <w:rPr>
          <w:rFonts w:cstheme="minorHAnsi"/>
          <w:sz w:val="20"/>
          <w:szCs w:val="20"/>
        </w:rPr>
        <w:t xml:space="preserve"> </w:t>
      </w:r>
      <w:r w:rsidRPr="006C7B74">
        <w:rPr>
          <w:rFonts w:cstheme="minorHAnsi"/>
          <w:sz w:val="20"/>
          <w:szCs w:val="20"/>
        </w:rPr>
        <w:t>Trobe National Employment and Innovation Cluster</w:t>
      </w:r>
      <w:r w:rsidR="0019392D" w:rsidRPr="006C7B74">
        <w:rPr>
          <w:rFonts w:cstheme="minorHAnsi"/>
          <w:sz w:val="20"/>
          <w:szCs w:val="20"/>
        </w:rPr>
        <w:t xml:space="preserve"> (</w:t>
      </w:r>
      <w:r w:rsidR="0086682F" w:rsidRPr="006C7B74">
        <w:rPr>
          <w:rFonts w:cstheme="minorHAnsi"/>
          <w:sz w:val="20"/>
          <w:szCs w:val="20"/>
        </w:rPr>
        <w:t>La Trobe NEIC</w:t>
      </w:r>
      <w:r w:rsidR="0019392D" w:rsidRPr="006C7B74">
        <w:rPr>
          <w:rFonts w:cstheme="minorHAnsi"/>
          <w:sz w:val="20"/>
          <w:szCs w:val="20"/>
        </w:rPr>
        <w:t>)</w:t>
      </w:r>
      <w:r w:rsidRPr="006C7B74">
        <w:rPr>
          <w:rFonts w:cstheme="minorHAnsi"/>
          <w:sz w:val="20"/>
          <w:szCs w:val="20"/>
        </w:rPr>
        <w:t>.</w:t>
      </w:r>
    </w:p>
    <w:p w14:paraId="1587E903" w14:textId="1AB51C28" w:rsidR="00B24DF7" w:rsidRPr="006C7B74" w:rsidRDefault="001C16F0" w:rsidP="00934C4D">
      <w:pPr>
        <w:spacing w:after="120"/>
        <w:rPr>
          <w:rFonts w:cstheme="minorHAnsi"/>
          <w:sz w:val="20"/>
          <w:szCs w:val="20"/>
        </w:rPr>
      </w:pPr>
      <w:r w:rsidRPr="006C7B74">
        <w:rPr>
          <w:sz w:val="20"/>
          <w:szCs w:val="20"/>
        </w:rPr>
        <w:t>The business service sector is the largest contributor to the economy for the region</w:t>
      </w:r>
      <w:r w:rsidR="00BD6F41" w:rsidRPr="006C7B74">
        <w:rPr>
          <w:sz w:val="20"/>
          <w:szCs w:val="20"/>
        </w:rPr>
        <w:t>,</w:t>
      </w:r>
      <w:r w:rsidRPr="006C7B74">
        <w:rPr>
          <w:sz w:val="20"/>
          <w:szCs w:val="20"/>
        </w:rPr>
        <w:t xml:space="preserve"> with a </w:t>
      </w:r>
      <w:r w:rsidRPr="006C7B74">
        <w:rPr>
          <w:rFonts w:cstheme="minorHAnsi"/>
          <w:sz w:val="20"/>
          <w:szCs w:val="20"/>
        </w:rPr>
        <w:t xml:space="preserve">total value-added estimate at </w:t>
      </w:r>
      <w:r w:rsidR="00B24DF7" w:rsidRPr="006C7B74">
        <w:rPr>
          <w:rFonts w:cstheme="minorHAnsi"/>
          <w:sz w:val="20"/>
          <w:szCs w:val="20"/>
        </w:rPr>
        <w:t>just under</w:t>
      </w:r>
      <w:r w:rsidRPr="006C7B74">
        <w:rPr>
          <w:rFonts w:cstheme="minorHAnsi"/>
          <w:sz w:val="20"/>
          <w:szCs w:val="20"/>
        </w:rPr>
        <w:t xml:space="preserve"> $1</w:t>
      </w:r>
      <w:r w:rsidR="00B24DF7" w:rsidRPr="006C7B74">
        <w:rPr>
          <w:rFonts w:cstheme="minorHAnsi"/>
          <w:sz w:val="20"/>
          <w:szCs w:val="20"/>
        </w:rPr>
        <w:t>4</w:t>
      </w:r>
      <w:r w:rsidRPr="006C7B74">
        <w:rPr>
          <w:rFonts w:cstheme="minorHAnsi"/>
          <w:sz w:val="20"/>
          <w:szCs w:val="20"/>
        </w:rPr>
        <w:t xml:space="preserve"> billion. </w:t>
      </w:r>
      <w:r w:rsidR="00B24DF7" w:rsidRPr="006C7B74">
        <w:rPr>
          <w:rFonts w:cstheme="minorHAnsi"/>
          <w:sz w:val="20"/>
          <w:szCs w:val="20"/>
        </w:rPr>
        <w:t>The m</w:t>
      </w:r>
      <w:r w:rsidRPr="006C7B74">
        <w:rPr>
          <w:rFonts w:cstheme="minorHAnsi"/>
          <w:sz w:val="20"/>
          <w:szCs w:val="20"/>
        </w:rPr>
        <w:t>anufacturing and industrial</w:t>
      </w:r>
      <w:r w:rsidR="00B24DF7" w:rsidRPr="006C7B74">
        <w:rPr>
          <w:rFonts w:cstheme="minorHAnsi"/>
          <w:sz w:val="20"/>
          <w:szCs w:val="20"/>
        </w:rPr>
        <w:t xml:space="preserve"> sector</w:t>
      </w:r>
      <w:r w:rsidRPr="006C7B74">
        <w:rPr>
          <w:rFonts w:cstheme="minorHAnsi"/>
          <w:sz w:val="20"/>
          <w:szCs w:val="20"/>
        </w:rPr>
        <w:t xml:space="preserve"> is the next largest contributor </w:t>
      </w:r>
      <w:r w:rsidRPr="006C7B74">
        <w:rPr>
          <w:sz w:val="20"/>
          <w:szCs w:val="20"/>
        </w:rPr>
        <w:t xml:space="preserve">with a </w:t>
      </w:r>
      <w:r w:rsidRPr="006C7B74">
        <w:rPr>
          <w:rFonts w:cstheme="minorHAnsi"/>
          <w:sz w:val="20"/>
          <w:szCs w:val="20"/>
        </w:rPr>
        <w:t>total value-added estimate at around $11.</w:t>
      </w:r>
      <w:r w:rsidR="00B24DF7" w:rsidRPr="006C7B74">
        <w:rPr>
          <w:rFonts w:cstheme="minorHAnsi"/>
          <w:sz w:val="20"/>
          <w:szCs w:val="20"/>
        </w:rPr>
        <w:t>2</w:t>
      </w:r>
      <w:r w:rsidRPr="006C7B74">
        <w:rPr>
          <w:rFonts w:cstheme="minorHAnsi"/>
          <w:sz w:val="20"/>
          <w:szCs w:val="20"/>
        </w:rPr>
        <w:t xml:space="preserve"> billion. Combined, these sectors account for </w:t>
      </w:r>
      <w:r w:rsidR="00B24DF7" w:rsidRPr="006C7B74">
        <w:rPr>
          <w:rFonts w:cstheme="minorHAnsi"/>
          <w:sz w:val="20"/>
          <w:szCs w:val="20"/>
        </w:rPr>
        <w:t>almost 62</w:t>
      </w:r>
      <w:r w:rsidRPr="006C7B74">
        <w:rPr>
          <w:rFonts w:cstheme="minorHAnsi"/>
          <w:sz w:val="20"/>
          <w:szCs w:val="20"/>
        </w:rPr>
        <w:t xml:space="preserve"> per cent of the total value-add for the region.</w:t>
      </w:r>
    </w:p>
    <w:p w14:paraId="1982D5B2" w14:textId="67FF996F" w:rsidR="006E0A5C" w:rsidRPr="006C7B74" w:rsidRDefault="006E0A5C" w:rsidP="008D088F">
      <w:pPr>
        <w:pStyle w:val="Heading5"/>
      </w:pPr>
      <w:r w:rsidRPr="006C7B74">
        <w:t xml:space="preserve">Fast </w:t>
      </w:r>
      <w:r w:rsidR="00941C0F" w:rsidRPr="006C7B74">
        <w:t>f</w:t>
      </w:r>
      <w:r w:rsidRPr="006C7B74">
        <w:t>acts</w:t>
      </w:r>
    </w:p>
    <w:tbl>
      <w:tblPr>
        <w:tblStyle w:val="TableGrid"/>
        <w:tblW w:w="0" w:type="auto"/>
        <w:tblBorders>
          <w:left w:val="single" w:sz="8" w:space="0" w:color="auto"/>
          <w:right w:val="single" w:sz="8" w:space="0" w:color="auto"/>
          <w:insideH w:val="none" w:sz="0" w:space="0" w:color="auto"/>
          <w:insideV w:val="single" w:sz="8" w:space="0" w:color="auto"/>
        </w:tblBorders>
        <w:tblLook w:val="04A0" w:firstRow="1" w:lastRow="0" w:firstColumn="1" w:lastColumn="0" w:noHBand="0" w:noVBand="1"/>
      </w:tblPr>
      <w:tblGrid>
        <w:gridCol w:w="3000"/>
        <w:gridCol w:w="3000"/>
        <w:gridCol w:w="3000"/>
      </w:tblGrid>
      <w:tr w:rsidR="0085099E" w:rsidRPr="006C7B74" w14:paraId="6A0AFEA8" w14:textId="77777777" w:rsidTr="00DC580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00" w:type="dxa"/>
            <w:shd w:val="clear" w:color="auto" w:fill="auto"/>
            <w:vAlign w:val="top"/>
          </w:tcPr>
          <w:p w14:paraId="68F88EBB" w14:textId="77777777" w:rsidR="0085099E" w:rsidRPr="006C7B74" w:rsidRDefault="0085099E" w:rsidP="008D088F">
            <w:pPr>
              <w:pStyle w:val="BodyText"/>
            </w:pPr>
            <w:r w:rsidRPr="006C7B74">
              <w:t>PEOPLE</w:t>
            </w:r>
          </w:p>
          <w:p w14:paraId="6D169D59" w14:textId="77777777" w:rsidR="00F037C2" w:rsidRPr="006C7B74" w:rsidRDefault="0085099E" w:rsidP="008D088F">
            <w:pPr>
              <w:pStyle w:val="BodyText"/>
              <w:rPr>
                <w:b w:val="0"/>
              </w:rPr>
            </w:pPr>
            <w:r w:rsidRPr="006C7B74">
              <w:t>Population in 2006</w:t>
            </w:r>
          </w:p>
          <w:p w14:paraId="6B84D749" w14:textId="014271DB" w:rsidR="0085099E" w:rsidRPr="006C7B74" w:rsidRDefault="0085099E" w:rsidP="008D088F">
            <w:pPr>
              <w:pStyle w:val="BodyText"/>
            </w:pPr>
            <w:r w:rsidRPr="006C7B74">
              <w:rPr>
                <w:sz w:val="44"/>
                <w:szCs w:val="44"/>
              </w:rPr>
              <w:t xml:space="preserve">744,267 </w:t>
            </w:r>
          </w:p>
          <w:p w14:paraId="6243F218" w14:textId="77777777" w:rsidR="0085099E" w:rsidRPr="006C7B74" w:rsidRDefault="0085099E" w:rsidP="008D088F">
            <w:pPr>
              <w:pStyle w:val="BodyText"/>
            </w:pPr>
            <w:r w:rsidRPr="006C7B74">
              <w:t>Population in 2016</w:t>
            </w:r>
          </w:p>
          <w:p w14:paraId="56E0F859" w14:textId="77777777" w:rsidR="00F037C2" w:rsidRPr="006C7B74" w:rsidRDefault="00677880" w:rsidP="008D088F">
            <w:pPr>
              <w:pStyle w:val="BodyText"/>
              <w:rPr>
                <w:b w:val="0"/>
                <w:sz w:val="44"/>
                <w:szCs w:val="44"/>
              </w:rPr>
            </w:pPr>
            <w:r w:rsidRPr="006C7B74">
              <w:rPr>
                <w:sz w:val="44"/>
                <w:szCs w:val="44"/>
              </w:rPr>
              <w:t>949,887</w:t>
            </w:r>
          </w:p>
          <w:p w14:paraId="50FB58A4" w14:textId="77777777" w:rsidR="00F037C2" w:rsidRPr="006C7B74" w:rsidRDefault="0085099E" w:rsidP="008D088F">
            <w:pPr>
              <w:pStyle w:val="BodyText"/>
              <w:rPr>
                <w:b w:val="0"/>
              </w:rPr>
            </w:pPr>
            <w:r w:rsidRPr="006C7B74">
              <w:t xml:space="preserve">That’s </w:t>
            </w:r>
            <w:r w:rsidRPr="006C7B74">
              <w:rPr>
                <w:sz w:val="44"/>
                <w:szCs w:val="36"/>
              </w:rPr>
              <w:t>2</w:t>
            </w:r>
            <w:r w:rsidR="00677880" w:rsidRPr="006C7B74">
              <w:rPr>
                <w:sz w:val="44"/>
                <w:szCs w:val="36"/>
              </w:rPr>
              <w:t>7</w:t>
            </w:r>
            <w:r w:rsidRPr="006C7B74">
              <w:rPr>
                <w:sz w:val="44"/>
                <w:szCs w:val="36"/>
              </w:rPr>
              <w:t>%</w:t>
            </w:r>
            <w:r w:rsidRPr="006C7B74">
              <w:rPr>
                <w:sz w:val="24"/>
              </w:rPr>
              <w:t xml:space="preserve"> </w:t>
            </w:r>
            <w:r w:rsidRPr="006C7B74">
              <w:t>more people</w:t>
            </w:r>
          </w:p>
          <w:p w14:paraId="0EA5E7BE" w14:textId="2D23C9A4" w:rsidR="0085099E" w:rsidRPr="006C7B74" w:rsidRDefault="0085099E" w:rsidP="008D088F">
            <w:pPr>
              <w:pStyle w:val="BodyText"/>
              <w:rPr>
                <w:sz w:val="44"/>
                <w:szCs w:val="44"/>
              </w:rPr>
            </w:pPr>
            <w:r w:rsidRPr="006C7B74">
              <w:t>Banyule =</w:t>
            </w:r>
            <w:r w:rsidRPr="006C7B74">
              <w:rPr>
                <w:sz w:val="28"/>
                <w:szCs w:val="28"/>
              </w:rPr>
              <w:t xml:space="preserve"> +</w:t>
            </w:r>
            <w:r w:rsidRPr="006C7B74">
              <w:t xml:space="preserve"> </w:t>
            </w:r>
            <w:r w:rsidR="00677880" w:rsidRPr="006C7B74">
              <w:rPr>
                <w:sz w:val="28"/>
              </w:rPr>
              <w:t>9,484</w:t>
            </w:r>
          </w:p>
          <w:p w14:paraId="0DB820A5" w14:textId="2CF19CF5" w:rsidR="0085099E" w:rsidRPr="006C7B74" w:rsidRDefault="0085099E" w:rsidP="008D088F">
            <w:pPr>
              <w:pStyle w:val="BodyText"/>
            </w:pPr>
            <w:r w:rsidRPr="006C7B74">
              <w:t>Darebin =</w:t>
            </w:r>
            <w:r w:rsidRPr="006C7B74">
              <w:rPr>
                <w:sz w:val="28"/>
                <w:szCs w:val="28"/>
              </w:rPr>
              <w:t xml:space="preserve"> +</w:t>
            </w:r>
            <w:r w:rsidRPr="006C7B74">
              <w:t xml:space="preserve"> </w:t>
            </w:r>
            <w:r w:rsidR="00677880" w:rsidRPr="006C7B74">
              <w:rPr>
                <w:sz w:val="28"/>
              </w:rPr>
              <w:t>22,827</w:t>
            </w:r>
          </w:p>
          <w:p w14:paraId="6BC90B64" w14:textId="4963329F" w:rsidR="0085099E" w:rsidRPr="006C7B74" w:rsidRDefault="0085099E" w:rsidP="008D088F">
            <w:pPr>
              <w:pStyle w:val="BodyText"/>
            </w:pPr>
            <w:r w:rsidRPr="006C7B74">
              <w:t>Hume =</w:t>
            </w:r>
            <w:r w:rsidRPr="006C7B74">
              <w:rPr>
                <w:sz w:val="28"/>
                <w:szCs w:val="28"/>
              </w:rPr>
              <w:t xml:space="preserve"> +</w:t>
            </w:r>
            <w:r w:rsidRPr="006C7B74">
              <w:t xml:space="preserve"> </w:t>
            </w:r>
            <w:r w:rsidR="00677880" w:rsidRPr="006C7B74">
              <w:rPr>
                <w:sz w:val="28"/>
              </w:rPr>
              <w:t>54,244</w:t>
            </w:r>
          </w:p>
          <w:p w14:paraId="1AC6F70A" w14:textId="29400061" w:rsidR="0085099E" w:rsidRPr="006C7B74" w:rsidRDefault="0085099E" w:rsidP="008D088F">
            <w:pPr>
              <w:pStyle w:val="BodyText"/>
            </w:pPr>
            <w:r w:rsidRPr="006C7B74">
              <w:t>Mitchell (Wallan SA2) =</w:t>
            </w:r>
            <w:r w:rsidRPr="006C7B74">
              <w:rPr>
                <w:sz w:val="28"/>
                <w:szCs w:val="28"/>
              </w:rPr>
              <w:t xml:space="preserve"> +</w:t>
            </w:r>
            <w:r w:rsidR="00677880" w:rsidRPr="006C7B74">
              <w:rPr>
                <w:sz w:val="28"/>
              </w:rPr>
              <w:t>6,417</w:t>
            </w:r>
          </w:p>
          <w:p w14:paraId="5DFFE9E9" w14:textId="07BF57A1" w:rsidR="0085099E" w:rsidRPr="006C7B74" w:rsidRDefault="0085099E" w:rsidP="008D088F">
            <w:pPr>
              <w:pStyle w:val="BodyText"/>
            </w:pPr>
            <w:r w:rsidRPr="006C7B74">
              <w:t>Moreland =</w:t>
            </w:r>
            <w:r w:rsidRPr="006C7B74">
              <w:rPr>
                <w:sz w:val="28"/>
                <w:szCs w:val="28"/>
              </w:rPr>
              <w:t xml:space="preserve"> +</w:t>
            </w:r>
            <w:r w:rsidRPr="006C7B74">
              <w:t xml:space="preserve"> </w:t>
            </w:r>
            <w:r w:rsidR="00677880" w:rsidRPr="006C7B74">
              <w:rPr>
                <w:sz w:val="28"/>
              </w:rPr>
              <w:t>31,422</w:t>
            </w:r>
          </w:p>
          <w:p w14:paraId="3DBD8116" w14:textId="1F6AF5F8" w:rsidR="0085099E" w:rsidRPr="006C7B74" w:rsidRDefault="0085099E" w:rsidP="008D088F">
            <w:pPr>
              <w:pStyle w:val="BodyText"/>
            </w:pPr>
            <w:r w:rsidRPr="006C7B74">
              <w:t>Nillumbik =</w:t>
            </w:r>
            <w:r w:rsidRPr="006C7B74">
              <w:rPr>
                <w:sz w:val="28"/>
                <w:szCs w:val="28"/>
              </w:rPr>
              <w:t xml:space="preserve"> +</w:t>
            </w:r>
            <w:r w:rsidRPr="006C7B74">
              <w:t xml:space="preserve"> </w:t>
            </w:r>
            <w:r w:rsidR="00677880" w:rsidRPr="006C7B74">
              <w:rPr>
                <w:sz w:val="28"/>
              </w:rPr>
              <w:t>2,659</w:t>
            </w:r>
          </w:p>
          <w:p w14:paraId="2A0E02FC" w14:textId="343F065F" w:rsidR="0085099E" w:rsidRPr="006C7B74" w:rsidRDefault="0085099E" w:rsidP="008D088F">
            <w:pPr>
              <w:pStyle w:val="BodyText"/>
            </w:pPr>
            <w:r w:rsidRPr="006C7B74">
              <w:t>Whittlesea =</w:t>
            </w:r>
            <w:r w:rsidRPr="006C7B74">
              <w:rPr>
                <w:sz w:val="28"/>
                <w:szCs w:val="28"/>
              </w:rPr>
              <w:t xml:space="preserve"> +</w:t>
            </w:r>
            <w:r w:rsidRPr="006C7B74">
              <w:t xml:space="preserve"> </w:t>
            </w:r>
            <w:r w:rsidR="00677880" w:rsidRPr="006C7B74">
              <w:rPr>
                <w:sz w:val="28"/>
              </w:rPr>
              <w:t>78,567</w:t>
            </w:r>
          </w:p>
        </w:tc>
        <w:tc>
          <w:tcPr>
            <w:tcW w:w="3000" w:type="dxa"/>
            <w:shd w:val="clear" w:color="auto" w:fill="auto"/>
            <w:vAlign w:val="top"/>
          </w:tcPr>
          <w:p w14:paraId="769536CA" w14:textId="77777777" w:rsidR="0085099E"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pPr>
            <w:r w:rsidRPr="006C7B74">
              <w:t>JOBS</w:t>
            </w:r>
          </w:p>
          <w:p w14:paraId="401F49F0" w14:textId="77777777" w:rsidR="00F037C2"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rPr>
                <w:b w:val="0"/>
              </w:rPr>
            </w:pPr>
            <w:r w:rsidRPr="006C7B74">
              <w:t>Jobs in 2006</w:t>
            </w:r>
          </w:p>
          <w:p w14:paraId="72D1523D" w14:textId="54F1177F" w:rsidR="0085099E"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pPr>
            <w:r w:rsidRPr="006C7B74">
              <w:rPr>
                <w:sz w:val="44"/>
                <w:szCs w:val="44"/>
              </w:rPr>
              <w:t xml:space="preserve">250,050 </w:t>
            </w:r>
          </w:p>
          <w:p w14:paraId="634CE033" w14:textId="77777777" w:rsidR="0085099E"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pPr>
            <w:r w:rsidRPr="006C7B74">
              <w:t>Jobs in 2016</w:t>
            </w:r>
          </w:p>
          <w:p w14:paraId="1741F00D" w14:textId="77777777" w:rsidR="0085099E"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rPr>
                <w:sz w:val="44"/>
                <w:szCs w:val="44"/>
              </w:rPr>
            </w:pPr>
            <w:r w:rsidRPr="006C7B74">
              <w:rPr>
                <w:sz w:val="44"/>
                <w:szCs w:val="44"/>
              </w:rPr>
              <w:t xml:space="preserve">321,200 </w:t>
            </w:r>
          </w:p>
          <w:p w14:paraId="330CEF90" w14:textId="77777777" w:rsidR="00F037C2"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rPr>
                <w:b w:val="0"/>
              </w:rPr>
            </w:pPr>
            <w:r w:rsidRPr="006C7B74">
              <w:t xml:space="preserve">That’s </w:t>
            </w:r>
            <w:r w:rsidRPr="006C7B74">
              <w:rPr>
                <w:sz w:val="44"/>
                <w:szCs w:val="44"/>
              </w:rPr>
              <w:t>28%</w:t>
            </w:r>
            <w:r w:rsidRPr="006C7B74">
              <w:t xml:space="preserve"> more jobs</w:t>
            </w:r>
          </w:p>
          <w:p w14:paraId="7A03F349" w14:textId="247B8E40" w:rsidR="0085099E"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pPr>
            <w:r w:rsidRPr="006C7B74">
              <w:t>Banyule =</w:t>
            </w:r>
            <w:r w:rsidRPr="006C7B74">
              <w:rPr>
                <w:sz w:val="28"/>
                <w:szCs w:val="28"/>
              </w:rPr>
              <w:t xml:space="preserve"> +</w:t>
            </w:r>
            <w:r w:rsidRPr="006C7B74">
              <w:t xml:space="preserve"> </w:t>
            </w:r>
            <w:r w:rsidRPr="006C7B74">
              <w:rPr>
                <w:sz w:val="28"/>
              </w:rPr>
              <w:t>5,100</w:t>
            </w:r>
          </w:p>
          <w:p w14:paraId="04993687" w14:textId="77777777" w:rsidR="0085099E"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pPr>
            <w:r w:rsidRPr="006C7B74">
              <w:t>Darebin =</w:t>
            </w:r>
            <w:r w:rsidRPr="006C7B74">
              <w:rPr>
                <w:sz w:val="28"/>
                <w:szCs w:val="28"/>
              </w:rPr>
              <w:t xml:space="preserve"> +</w:t>
            </w:r>
            <w:r w:rsidRPr="006C7B74">
              <w:t xml:space="preserve"> </w:t>
            </w:r>
            <w:r w:rsidRPr="006C7B74">
              <w:rPr>
                <w:sz w:val="28"/>
              </w:rPr>
              <w:t>7,000</w:t>
            </w:r>
          </w:p>
          <w:p w14:paraId="04CD8807" w14:textId="77777777" w:rsidR="0085099E"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pPr>
            <w:r w:rsidRPr="006C7B74">
              <w:t>Hume =</w:t>
            </w:r>
            <w:r w:rsidRPr="006C7B74">
              <w:rPr>
                <w:sz w:val="28"/>
                <w:szCs w:val="28"/>
              </w:rPr>
              <w:t xml:space="preserve"> +</w:t>
            </w:r>
            <w:r w:rsidRPr="006C7B74">
              <w:t xml:space="preserve"> </w:t>
            </w:r>
            <w:r w:rsidRPr="006C7B74">
              <w:rPr>
                <w:sz w:val="28"/>
              </w:rPr>
              <w:t>24,700</w:t>
            </w:r>
          </w:p>
          <w:p w14:paraId="5BE823BF" w14:textId="77777777" w:rsidR="0085099E"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pPr>
            <w:r w:rsidRPr="006C7B74">
              <w:t>Mitchell (Wallan SA2) =</w:t>
            </w:r>
            <w:r w:rsidRPr="006C7B74">
              <w:rPr>
                <w:sz w:val="28"/>
                <w:szCs w:val="28"/>
              </w:rPr>
              <w:t xml:space="preserve"> +</w:t>
            </w:r>
            <w:r w:rsidRPr="006C7B74">
              <w:rPr>
                <w:sz w:val="28"/>
              </w:rPr>
              <w:t>2,150</w:t>
            </w:r>
          </w:p>
          <w:p w14:paraId="73B040DB" w14:textId="77777777" w:rsidR="0085099E"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pPr>
            <w:r w:rsidRPr="006C7B74">
              <w:t>Moreland =</w:t>
            </w:r>
            <w:r w:rsidRPr="006C7B74">
              <w:rPr>
                <w:sz w:val="28"/>
                <w:szCs w:val="28"/>
              </w:rPr>
              <w:t xml:space="preserve"> +</w:t>
            </w:r>
            <w:r w:rsidRPr="006C7B74">
              <w:t xml:space="preserve"> </w:t>
            </w:r>
            <w:r w:rsidRPr="006C7B74">
              <w:rPr>
                <w:sz w:val="28"/>
              </w:rPr>
              <w:t>8,550</w:t>
            </w:r>
          </w:p>
          <w:p w14:paraId="4BB51608" w14:textId="77777777" w:rsidR="0085099E"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pPr>
            <w:r w:rsidRPr="006C7B74">
              <w:t>Nillumbik =</w:t>
            </w:r>
            <w:r w:rsidRPr="006C7B74">
              <w:rPr>
                <w:sz w:val="28"/>
                <w:szCs w:val="28"/>
              </w:rPr>
              <w:t xml:space="preserve"> +</w:t>
            </w:r>
            <w:r w:rsidRPr="006C7B74">
              <w:t xml:space="preserve"> </w:t>
            </w:r>
            <w:r w:rsidRPr="006C7B74">
              <w:rPr>
                <w:sz w:val="28"/>
              </w:rPr>
              <w:t>1,700</w:t>
            </w:r>
          </w:p>
          <w:p w14:paraId="7D1B1023" w14:textId="77777777" w:rsidR="0085099E"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pPr>
            <w:r w:rsidRPr="006C7B74">
              <w:t>Whittlesea =</w:t>
            </w:r>
            <w:r w:rsidRPr="006C7B74">
              <w:rPr>
                <w:sz w:val="28"/>
                <w:szCs w:val="28"/>
              </w:rPr>
              <w:t xml:space="preserve"> +</w:t>
            </w:r>
            <w:r w:rsidRPr="006C7B74">
              <w:t xml:space="preserve"> </w:t>
            </w:r>
            <w:r w:rsidRPr="006C7B74">
              <w:rPr>
                <w:sz w:val="28"/>
              </w:rPr>
              <w:t>21,950</w:t>
            </w:r>
          </w:p>
        </w:tc>
        <w:tc>
          <w:tcPr>
            <w:tcW w:w="3000" w:type="dxa"/>
            <w:shd w:val="clear" w:color="auto" w:fill="auto"/>
            <w:vAlign w:val="top"/>
          </w:tcPr>
          <w:p w14:paraId="124709C0" w14:textId="77777777" w:rsidR="0085099E"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pPr>
            <w:r w:rsidRPr="006C7B74">
              <w:t>ECONOMY</w:t>
            </w:r>
          </w:p>
          <w:p w14:paraId="4A4DC81E" w14:textId="77777777" w:rsidR="0085099E"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pPr>
            <w:r w:rsidRPr="006C7B74">
              <w:t>GRP for the region</w:t>
            </w:r>
          </w:p>
          <w:p w14:paraId="6352F761" w14:textId="77777777" w:rsidR="00F037C2"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rPr>
                <w:b w:val="0"/>
                <w:sz w:val="44"/>
                <w:szCs w:val="44"/>
              </w:rPr>
            </w:pPr>
            <w:r w:rsidRPr="006C7B74">
              <w:rPr>
                <w:sz w:val="44"/>
                <w:szCs w:val="44"/>
              </w:rPr>
              <w:t>$42 billion</w:t>
            </w:r>
          </w:p>
          <w:p w14:paraId="495AB8FE" w14:textId="77777777" w:rsidR="00F037C2"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rPr>
                <w:b w:val="0"/>
              </w:rPr>
            </w:pPr>
            <w:r w:rsidRPr="006C7B74">
              <w:t>Share of metropolitan Melbourne’s total GRP</w:t>
            </w:r>
          </w:p>
          <w:p w14:paraId="398BB3E9" w14:textId="77777777" w:rsidR="00F037C2"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rPr>
                <w:b w:val="0"/>
                <w:sz w:val="44"/>
                <w:szCs w:val="44"/>
              </w:rPr>
            </w:pPr>
            <w:r w:rsidRPr="006C7B74">
              <w:rPr>
                <w:sz w:val="44"/>
                <w:szCs w:val="44"/>
              </w:rPr>
              <w:t>13%</w:t>
            </w:r>
          </w:p>
          <w:p w14:paraId="1ACED04D" w14:textId="66FE017B" w:rsidR="0085099E"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rPr>
                <w:sz w:val="44"/>
                <w:szCs w:val="44"/>
              </w:rPr>
            </w:pPr>
            <w:r w:rsidRPr="006C7B74">
              <w:t>Banyule =</w:t>
            </w:r>
            <w:r w:rsidRPr="006C7B74">
              <w:rPr>
                <w:sz w:val="28"/>
                <w:szCs w:val="28"/>
              </w:rPr>
              <w:t xml:space="preserve"> $</w:t>
            </w:r>
            <w:r w:rsidRPr="006C7B74">
              <w:rPr>
                <w:sz w:val="28"/>
              </w:rPr>
              <w:t xml:space="preserve">5.5 </w:t>
            </w:r>
            <w:r w:rsidRPr="006C7B74">
              <w:rPr>
                <w:sz w:val="28"/>
                <w:szCs w:val="28"/>
              </w:rPr>
              <w:t>billon</w:t>
            </w:r>
          </w:p>
          <w:p w14:paraId="0B19D804" w14:textId="77777777" w:rsidR="0085099E"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pPr>
            <w:r w:rsidRPr="006C7B74">
              <w:t>Darebin =</w:t>
            </w:r>
            <w:r w:rsidRPr="006C7B74">
              <w:rPr>
                <w:sz w:val="28"/>
                <w:szCs w:val="28"/>
              </w:rPr>
              <w:t xml:space="preserve"> $</w:t>
            </w:r>
            <w:r w:rsidRPr="006C7B74">
              <w:rPr>
                <w:sz w:val="28"/>
              </w:rPr>
              <w:t xml:space="preserve">7.1 </w:t>
            </w:r>
            <w:r w:rsidRPr="006C7B74">
              <w:rPr>
                <w:sz w:val="28"/>
                <w:szCs w:val="28"/>
              </w:rPr>
              <w:t>billon</w:t>
            </w:r>
          </w:p>
          <w:p w14:paraId="7980D436" w14:textId="77777777" w:rsidR="0085099E"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pPr>
            <w:r w:rsidRPr="006C7B74">
              <w:t>Hume =</w:t>
            </w:r>
            <w:r w:rsidRPr="006C7B74">
              <w:rPr>
                <w:sz w:val="28"/>
                <w:szCs w:val="28"/>
              </w:rPr>
              <w:t xml:space="preserve"> $</w:t>
            </w:r>
            <w:r w:rsidRPr="006C7B74">
              <w:rPr>
                <w:sz w:val="28"/>
              </w:rPr>
              <w:t xml:space="preserve">13.7 </w:t>
            </w:r>
            <w:r w:rsidRPr="006C7B74">
              <w:rPr>
                <w:sz w:val="28"/>
                <w:szCs w:val="28"/>
              </w:rPr>
              <w:t>billon</w:t>
            </w:r>
          </w:p>
          <w:p w14:paraId="5E5A15C0" w14:textId="77777777" w:rsidR="0085099E"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pPr>
            <w:r w:rsidRPr="006C7B74">
              <w:t>Mitchell (Wallan SA2) =</w:t>
            </w:r>
            <w:r w:rsidRPr="006C7B74">
              <w:rPr>
                <w:sz w:val="28"/>
                <w:szCs w:val="28"/>
              </w:rPr>
              <w:t xml:space="preserve"> $</w:t>
            </w:r>
            <w:r w:rsidRPr="006C7B74">
              <w:rPr>
                <w:sz w:val="28"/>
              </w:rPr>
              <w:t xml:space="preserve">0.4 </w:t>
            </w:r>
            <w:r w:rsidRPr="006C7B74">
              <w:rPr>
                <w:sz w:val="28"/>
                <w:szCs w:val="28"/>
              </w:rPr>
              <w:t>billon</w:t>
            </w:r>
          </w:p>
          <w:p w14:paraId="41014396" w14:textId="77777777" w:rsidR="0085099E"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pPr>
            <w:r w:rsidRPr="006C7B74">
              <w:t>Moreland =</w:t>
            </w:r>
            <w:r w:rsidRPr="006C7B74">
              <w:rPr>
                <w:sz w:val="28"/>
                <w:szCs w:val="28"/>
              </w:rPr>
              <w:t xml:space="preserve"> $</w:t>
            </w:r>
            <w:r w:rsidRPr="006C7B74">
              <w:rPr>
                <w:sz w:val="28"/>
              </w:rPr>
              <w:t xml:space="preserve">5.8 </w:t>
            </w:r>
            <w:r w:rsidRPr="006C7B74">
              <w:rPr>
                <w:sz w:val="28"/>
                <w:szCs w:val="28"/>
              </w:rPr>
              <w:t>billon</w:t>
            </w:r>
          </w:p>
          <w:p w14:paraId="688AAD5A" w14:textId="77777777" w:rsidR="0085099E"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pPr>
            <w:r w:rsidRPr="006C7B74">
              <w:t>Nillumbik =</w:t>
            </w:r>
            <w:r w:rsidRPr="006C7B74">
              <w:rPr>
                <w:sz w:val="28"/>
                <w:szCs w:val="28"/>
              </w:rPr>
              <w:t xml:space="preserve"> $</w:t>
            </w:r>
            <w:r w:rsidRPr="006C7B74">
              <w:rPr>
                <w:sz w:val="28"/>
              </w:rPr>
              <w:t xml:space="preserve">1.9 </w:t>
            </w:r>
            <w:r w:rsidRPr="006C7B74">
              <w:rPr>
                <w:sz w:val="28"/>
                <w:szCs w:val="28"/>
              </w:rPr>
              <w:t>billon</w:t>
            </w:r>
          </w:p>
          <w:p w14:paraId="2B294A0F" w14:textId="77777777" w:rsidR="0085099E" w:rsidRPr="006C7B74" w:rsidRDefault="0085099E" w:rsidP="008D088F">
            <w:pPr>
              <w:pStyle w:val="BodyText"/>
              <w:jc w:val="left"/>
              <w:cnfStyle w:val="100000000000" w:firstRow="1" w:lastRow="0" w:firstColumn="0" w:lastColumn="0" w:oddVBand="0" w:evenVBand="0" w:oddHBand="0" w:evenHBand="0" w:firstRowFirstColumn="0" w:firstRowLastColumn="0" w:lastRowFirstColumn="0" w:lastRowLastColumn="0"/>
            </w:pPr>
            <w:r w:rsidRPr="006C7B74">
              <w:t>Whittlesea =</w:t>
            </w:r>
            <w:r w:rsidRPr="006C7B74">
              <w:rPr>
                <w:sz w:val="28"/>
                <w:szCs w:val="28"/>
              </w:rPr>
              <w:t xml:space="preserve"> $</w:t>
            </w:r>
            <w:r w:rsidRPr="006C7B74">
              <w:rPr>
                <w:sz w:val="28"/>
              </w:rPr>
              <w:t xml:space="preserve">7.5 </w:t>
            </w:r>
            <w:r w:rsidRPr="006C7B74">
              <w:rPr>
                <w:sz w:val="28"/>
                <w:szCs w:val="28"/>
              </w:rPr>
              <w:t>billon</w:t>
            </w:r>
          </w:p>
        </w:tc>
      </w:tr>
    </w:tbl>
    <w:p w14:paraId="4281DB89" w14:textId="3AFA0EFF" w:rsidR="006E0A5C" w:rsidRPr="006C7B74" w:rsidRDefault="00DC580D" w:rsidP="00DC580D">
      <w:pPr>
        <w:pStyle w:val="Quote"/>
        <w:rPr>
          <w:rFonts w:eastAsiaTheme="majorEastAsia"/>
        </w:rPr>
      </w:pPr>
      <w:r w:rsidRPr="006C7B74">
        <w:rPr>
          <w:rFonts w:eastAsiaTheme="majorEastAsia"/>
        </w:rPr>
        <w:t>Source:</w:t>
      </w:r>
      <w:r w:rsidR="007C154C" w:rsidRPr="006C7B74">
        <w:rPr>
          <w:rFonts w:eastAsiaTheme="majorEastAsia"/>
        </w:rPr>
        <w:t xml:space="preserve"> </w:t>
      </w:r>
      <w:r w:rsidRPr="006C7B74">
        <w:rPr>
          <w:rFonts w:eastAsiaTheme="majorEastAsia"/>
        </w:rPr>
        <w:t>Department of Environment, Land, Water and Planning, unpublished data (2019)</w:t>
      </w:r>
    </w:p>
    <w:p w14:paraId="3AC194DB" w14:textId="4FED731D" w:rsidR="00CA6891" w:rsidRPr="006C7B74" w:rsidRDefault="00CA6891" w:rsidP="00CA6891">
      <w:pPr>
        <w:spacing w:after="120"/>
        <w:rPr>
          <w:rFonts w:cstheme="minorHAnsi"/>
          <w:sz w:val="20"/>
          <w:szCs w:val="20"/>
        </w:rPr>
      </w:pPr>
      <w:r w:rsidRPr="006C7B74">
        <w:rPr>
          <w:rFonts w:cstheme="minorHAnsi"/>
          <w:sz w:val="20"/>
          <w:szCs w:val="20"/>
        </w:rPr>
        <w:lastRenderedPageBreak/>
        <w:t xml:space="preserve">The region was home to around </w:t>
      </w:r>
      <w:r w:rsidR="00677880" w:rsidRPr="006C7B74">
        <w:rPr>
          <w:rFonts w:cstheme="minorHAnsi"/>
          <w:sz w:val="20"/>
          <w:szCs w:val="20"/>
        </w:rPr>
        <w:t xml:space="preserve">949,900 </w:t>
      </w:r>
      <w:r w:rsidRPr="006C7B74">
        <w:rPr>
          <w:rFonts w:cstheme="minorHAnsi"/>
          <w:sz w:val="20"/>
          <w:szCs w:val="20"/>
        </w:rPr>
        <w:t>people in 2016. By 20</w:t>
      </w:r>
      <w:r w:rsidR="00377BEE" w:rsidRPr="006C7B74">
        <w:rPr>
          <w:rFonts w:cstheme="minorHAnsi"/>
          <w:sz w:val="20"/>
          <w:szCs w:val="20"/>
        </w:rPr>
        <w:t>3</w:t>
      </w:r>
      <w:r w:rsidRPr="006C7B74">
        <w:rPr>
          <w:rFonts w:cstheme="minorHAnsi"/>
          <w:sz w:val="20"/>
          <w:szCs w:val="20"/>
        </w:rPr>
        <w:t xml:space="preserve">1 it is projected that the region will grow by around </w:t>
      </w:r>
      <w:r w:rsidR="002529D6" w:rsidRPr="006C7B74">
        <w:rPr>
          <w:rFonts w:cstheme="minorHAnsi"/>
          <w:sz w:val="20"/>
          <w:szCs w:val="20"/>
        </w:rPr>
        <w:t xml:space="preserve">375,100 </w:t>
      </w:r>
      <w:r w:rsidRPr="006C7B74">
        <w:rPr>
          <w:rFonts w:cstheme="minorHAnsi"/>
          <w:sz w:val="20"/>
          <w:szCs w:val="20"/>
        </w:rPr>
        <w:t>people to a total population of around 1.</w:t>
      </w:r>
      <w:r w:rsidR="004245BE" w:rsidRPr="006C7B74">
        <w:rPr>
          <w:rFonts w:cstheme="minorHAnsi"/>
          <w:sz w:val="20"/>
          <w:szCs w:val="20"/>
        </w:rPr>
        <w:t>3</w:t>
      </w:r>
      <w:r w:rsidRPr="006C7B74">
        <w:rPr>
          <w:rFonts w:cstheme="minorHAnsi"/>
          <w:sz w:val="20"/>
          <w:szCs w:val="20"/>
        </w:rPr>
        <w:t xml:space="preserve"> million people. The growth area municipalities of Hume and Whittlesea will account for </w:t>
      </w:r>
      <w:r w:rsidR="00711BCE" w:rsidRPr="006C7B74">
        <w:rPr>
          <w:rFonts w:cstheme="minorHAnsi"/>
          <w:sz w:val="20"/>
          <w:szCs w:val="20"/>
        </w:rPr>
        <w:t>60 per cent</w:t>
      </w:r>
      <w:r w:rsidR="005A64EA" w:rsidRPr="006C7B74">
        <w:rPr>
          <w:rFonts w:cstheme="minorHAnsi"/>
          <w:sz w:val="20"/>
          <w:szCs w:val="20"/>
        </w:rPr>
        <w:t xml:space="preserve"> </w:t>
      </w:r>
      <w:r w:rsidRPr="006C7B74">
        <w:rPr>
          <w:rFonts w:cstheme="minorHAnsi"/>
          <w:sz w:val="20"/>
          <w:szCs w:val="20"/>
        </w:rPr>
        <w:t>of the projected growth in the region by 20</w:t>
      </w:r>
      <w:r w:rsidR="0083745F" w:rsidRPr="006C7B74">
        <w:rPr>
          <w:rFonts w:cstheme="minorHAnsi"/>
          <w:sz w:val="20"/>
          <w:szCs w:val="20"/>
        </w:rPr>
        <w:t>3</w:t>
      </w:r>
      <w:r w:rsidRPr="006C7B74">
        <w:rPr>
          <w:rFonts w:cstheme="minorHAnsi"/>
          <w:sz w:val="20"/>
          <w:szCs w:val="20"/>
        </w:rPr>
        <w:t>1. The area in Mitchell Shire (Wallan SA2) will also experience relatively significant growth over this period.</w:t>
      </w:r>
    </w:p>
    <w:p w14:paraId="7A6DA50F" w14:textId="25313B3A" w:rsidR="0075498A" w:rsidRPr="006C7B74" w:rsidRDefault="0075498A" w:rsidP="00E326DD">
      <w:pPr>
        <w:pStyle w:val="Heading5"/>
      </w:pPr>
      <w:r w:rsidRPr="006C7B74">
        <w:t xml:space="preserve">Figure </w:t>
      </w:r>
      <w:r w:rsidR="00660BB5" w:rsidRPr="006C7B74">
        <w:t>1</w:t>
      </w:r>
      <w:r w:rsidR="00DC23D3" w:rsidRPr="006C7B74">
        <w:t>9</w:t>
      </w:r>
      <w:r w:rsidRPr="006C7B74">
        <w:t>: Projected population growth, Northern Region, 2016</w:t>
      </w:r>
      <w:r w:rsidR="0019751E" w:rsidRPr="006C7B74">
        <w:t xml:space="preserve"> </w:t>
      </w:r>
      <w:r w:rsidR="00305798" w:rsidRPr="006C7B74">
        <w:t>to</w:t>
      </w:r>
      <w:r w:rsidR="0019751E" w:rsidRPr="006C7B74">
        <w:t xml:space="preserve"> 2031</w:t>
      </w:r>
    </w:p>
    <w:p w14:paraId="5B6236B8" w14:textId="1E2D0806" w:rsidR="0075498A" w:rsidRPr="006C7B74" w:rsidRDefault="008A2278" w:rsidP="000E5D39">
      <w:pPr>
        <w:spacing w:after="120"/>
        <w:jc w:val="center"/>
        <w:rPr>
          <w:rFonts w:cstheme="minorHAnsi"/>
          <w:sz w:val="20"/>
          <w:szCs w:val="20"/>
        </w:rPr>
      </w:pPr>
      <w:r w:rsidRPr="006C7B74">
        <w:rPr>
          <w:noProof/>
        </w:rPr>
        <w:drawing>
          <wp:inline distT="0" distB="0" distL="0" distR="0" wp14:anchorId="40999B82" wp14:editId="4722DB83">
            <wp:extent cx="5727700" cy="2521585"/>
            <wp:effectExtent l="0" t="0" r="0" b="0"/>
            <wp:docPr id="37" name="Chart 37" descr="Bar Graph - Projected population growth, Northern Region, 2016 to 2031 ">
              <a:extLst xmlns:a="http://schemas.openxmlformats.org/drawingml/2006/main">
                <a:ext uri="{FF2B5EF4-FFF2-40B4-BE49-F238E27FC236}">
                  <a16:creationId xmlns:a16="http://schemas.microsoft.com/office/drawing/2014/main" id="{FD8ED566-885D-407F-9712-94EF1720E7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7B88C24" w14:textId="5215DA0A" w:rsidR="0075498A" w:rsidRPr="006C7B74" w:rsidRDefault="00677880" w:rsidP="00934C4D">
      <w:pPr>
        <w:spacing w:after="120"/>
        <w:rPr>
          <w:rFonts w:cstheme="minorHAnsi"/>
          <w:sz w:val="20"/>
          <w:szCs w:val="20"/>
        </w:rPr>
      </w:pPr>
      <w:r w:rsidRPr="006C7B74">
        <w:rPr>
          <w:i/>
          <w:iCs/>
          <w:color w:val="404040" w:themeColor="text1" w:themeTint="BF"/>
          <w:sz w:val="18"/>
        </w:rPr>
        <w:t xml:space="preserve">Source: Department of Environment, Land, Water and Planning, Victoria in Future 2019 </w:t>
      </w:r>
      <w:r w:rsidR="00F83608" w:rsidRPr="006C7B74">
        <w:rPr>
          <w:i/>
          <w:iCs/>
          <w:color w:val="404040" w:themeColor="text1" w:themeTint="BF"/>
          <w:sz w:val="18"/>
        </w:rPr>
        <w:t>(</w:t>
      </w:r>
      <w:r w:rsidRPr="006C7B74">
        <w:rPr>
          <w:i/>
          <w:iCs/>
          <w:color w:val="404040" w:themeColor="text1" w:themeTint="BF"/>
          <w:sz w:val="18"/>
        </w:rPr>
        <w:t>July 2019</w:t>
      </w:r>
      <w:r w:rsidR="00F83608" w:rsidRPr="006C7B74">
        <w:rPr>
          <w:i/>
          <w:iCs/>
          <w:color w:val="404040" w:themeColor="text1" w:themeTint="BF"/>
          <w:sz w:val="18"/>
        </w:rPr>
        <w:t>)</w:t>
      </w:r>
      <w:r w:rsidRPr="006C7B74">
        <w:rPr>
          <w:i/>
          <w:iCs/>
          <w:color w:val="404040" w:themeColor="text1" w:themeTint="BF"/>
          <w:sz w:val="18"/>
        </w:rPr>
        <w:t>.</w:t>
      </w:r>
    </w:p>
    <w:p w14:paraId="1EFD0286" w14:textId="77777777" w:rsidR="00D8308D" w:rsidRPr="006C7B74" w:rsidRDefault="00D8308D" w:rsidP="00934C4D">
      <w:pPr>
        <w:spacing w:after="120"/>
        <w:rPr>
          <w:rFonts w:cstheme="minorHAnsi"/>
          <w:sz w:val="20"/>
          <w:szCs w:val="20"/>
        </w:rPr>
      </w:pPr>
    </w:p>
    <w:p w14:paraId="4DE50749" w14:textId="174A9AF1" w:rsidR="0075498A" w:rsidRPr="006C7B74" w:rsidRDefault="00C777A5" w:rsidP="00934C4D">
      <w:pPr>
        <w:spacing w:after="120"/>
        <w:rPr>
          <w:rFonts w:cstheme="minorHAnsi"/>
          <w:sz w:val="20"/>
          <w:szCs w:val="20"/>
        </w:rPr>
      </w:pPr>
      <w:r w:rsidRPr="006C7B74">
        <w:rPr>
          <w:rFonts w:cstheme="minorHAnsi"/>
          <w:sz w:val="20"/>
          <w:szCs w:val="20"/>
        </w:rPr>
        <w:t>In 2016 t</w:t>
      </w:r>
      <w:r w:rsidR="0075498A" w:rsidRPr="006C7B74">
        <w:rPr>
          <w:rFonts w:cstheme="minorHAnsi"/>
          <w:sz w:val="20"/>
          <w:szCs w:val="20"/>
        </w:rPr>
        <w:t xml:space="preserve">he region </w:t>
      </w:r>
      <w:r w:rsidR="00D77EE0" w:rsidRPr="006C7B74">
        <w:rPr>
          <w:rFonts w:cstheme="minorHAnsi"/>
          <w:sz w:val="20"/>
          <w:szCs w:val="20"/>
        </w:rPr>
        <w:t>supported</w:t>
      </w:r>
      <w:r w:rsidR="0075498A" w:rsidRPr="006C7B74">
        <w:rPr>
          <w:rFonts w:cstheme="minorHAnsi"/>
          <w:sz w:val="20"/>
          <w:szCs w:val="20"/>
        </w:rPr>
        <w:t xml:space="preserve"> </w:t>
      </w:r>
      <w:r w:rsidR="001952BA" w:rsidRPr="006C7B74">
        <w:rPr>
          <w:rFonts w:cstheme="minorHAnsi"/>
          <w:sz w:val="20"/>
          <w:szCs w:val="20"/>
        </w:rPr>
        <w:t>around</w:t>
      </w:r>
      <w:r w:rsidR="0075498A" w:rsidRPr="006C7B74">
        <w:rPr>
          <w:rFonts w:cstheme="minorHAnsi"/>
          <w:sz w:val="20"/>
          <w:szCs w:val="20"/>
        </w:rPr>
        <w:t xml:space="preserve"> </w:t>
      </w:r>
      <w:r w:rsidR="001952BA" w:rsidRPr="006C7B74">
        <w:rPr>
          <w:rFonts w:cstheme="minorHAnsi"/>
          <w:sz w:val="20"/>
          <w:szCs w:val="20"/>
        </w:rPr>
        <w:t>321,200</w:t>
      </w:r>
      <w:r w:rsidR="0075498A" w:rsidRPr="006C7B74">
        <w:rPr>
          <w:rFonts w:cstheme="minorHAnsi"/>
          <w:sz w:val="20"/>
          <w:szCs w:val="20"/>
        </w:rPr>
        <w:t xml:space="preserve"> jobs, accounting for around 14 per cent of all employment across the metropolitan area. </w:t>
      </w:r>
    </w:p>
    <w:p w14:paraId="301C82C0" w14:textId="011B7F1B" w:rsidR="00D77EE0" w:rsidRPr="006C7B74" w:rsidRDefault="001B2A06" w:rsidP="00D77EE0">
      <w:pPr>
        <w:spacing w:after="120"/>
        <w:rPr>
          <w:rFonts w:cstheme="minorHAnsi"/>
          <w:sz w:val="20"/>
          <w:szCs w:val="20"/>
        </w:rPr>
      </w:pPr>
      <w:r w:rsidRPr="006C7B74">
        <w:rPr>
          <w:rFonts w:cstheme="minorHAnsi"/>
          <w:sz w:val="20"/>
          <w:szCs w:val="20"/>
        </w:rPr>
        <w:t xml:space="preserve">By 2031 it is </w:t>
      </w:r>
      <w:r>
        <w:rPr>
          <w:rFonts w:cstheme="minorHAnsi"/>
          <w:sz w:val="20"/>
          <w:szCs w:val="20"/>
        </w:rPr>
        <w:t xml:space="preserve">projected </w:t>
      </w:r>
      <w:r w:rsidRPr="006C7B74">
        <w:rPr>
          <w:rFonts w:cstheme="minorHAnsi"/>
          <w:sz w:val="20"/>
          <w:szCs w:val="20"/>
        </w:rPr>
        <w:t xml:space="preserve">that approximately </w:t>
      </w:r>
      <w:r>
        <w:rPr>
          <w:rFonts w:cstheme="minorHAnsi"/>
          <w:sz w:val="20"/>
          <w:szCs w:val="20"/>
        </w:rPr>
        <w:t>138,000</w:t>
      </w:r>
      <w:r w:rsidRPr="006C7B74">
        <w:rPr>
          <w:rFonts w:cstheme="minorHAnsi"/>
          <w:sz w:val="20"/>
          <w:szCs w:val="20"/>
        </w:rPr>
        <w:t xml:space="preserve"> additional jobs will be </w:t>
      </w:r>
      <w:r>
        <w:rPr>
          <w:rFonts w:cstheme="minorHAnsi"/>
          <w:sz w:val="20"/>
          <w:szCs w:val="20"/>
        </w:rPr>
        <w:t>located</w:t>
      </w:r>
      <w:r w:rsidRPr="006C7B74">
        <w:rPr>
          <w:rFonts w:cstheme="minorHAnsi"/>
          <w:sz w:val="20"/>
          <w:szCs w:val="20"/>
        </w:rPr>
        <w:t xml:space="preserve"> across the region.</w:t>
      </w:r>
      <w:r w:rsidR="0075498A" w:rsidRPr="006C7B74">
        <w:rPr>
          <w:rFonts w:cstheme="minorHAnsi"/>
          <w:sz w:val="20"/>
          <w:szCs w:val="20"/>
        </w:rPr>
        <w:t xml:space="preserve"> </w:t>
      </w:r>
      <w:r w:rsidR="00D77EE0" w:rsidRPr="006C7B74">
        <w:rPr>
          <w:rFonts w:cstheme="minorHAnsi"/>
          <w:sz w:val="20"/>
          <w:szCs w:val="20"/>
        </w:rPr>
        <w:t xml:space="preserve">Over half of the new jobs in </w:t>
      </w:r>
      <w:r w:rsidR="00EA7D66" w:rsidRPr="006C7B74">
        <w:rPr>
          <w:rFonts w:cstheme="minorHAnsi"/>
          <w:sz w:val="20"/>
          <w:szCs w:val="20"/>
        </w:rPr>
        <w:t xml:space="preserve">the </w:t>
      </w:r>
      <w:r w:rsidR="00D77EE0" w:rsidRPr="006C7B74">
        <w:rPr>
          <w:rFonts w:cstheme="minorHAnsi"/>
          <w:sz w:val="20"/>
          <w:szCs w:val="20"/>
        </w:rPr>
        <w:t xml:space="preserve">region are expected to be </w:t>
      </w:r>
      <w:r w:rsidR="00EA7D66" w:rsidRPr="006C7B74">
        <w:rPr>
          <w:rFonts w:cstheme="minorHAnsi"/>
          <w:sz w:val="20"/>
          <w:szCs w:val="20"/>
        </w:rPr>
        <w:t xml:space="preserve">located </w:t>
      </w:r>
      <w:r w:rsidR="00D77EE0" w:rsidRPr="006C7B74">
        <w:rPr>
          <w:rFonts w:cstheme="minorHAnsi"/>
          <w:sz w:val="20"/>
          <w:szCs w:val="20"/>
        </w:rPr>
        <w:t xml:space="preserve">within the growth area </w:t>
      </w:r>
      <w:r w:rsidR="0075498A" w:rsidRPr="006C7B74">
        <w:rPr>
          <w:rFonts w:cstheme="minorHAnsi"/>
          <w:sz w:val="20"/>
          <w:szCs w:val="20"/>
        </w:rPr>
        <w:t xml:space="preserve">municipalities </w:t>
      </w:r>
      <w:r w:rsidR="00D77EE0" w:rsidRPr="006C7B74">
        <w:rPr>
          <w:rFonts w:cstheme="minorHAnsi"/>
          <w:sz w:val="20"/>
          <w:szCs w:val="20"/>
        </w:rPr>
        <w:t xml:space="preserve">of Hume and </w:t>
      </w:r>
      <w:r w:rsidR="0075498A" w:rsidRPr="006C7B74">
        <w:rPr>
          <w:rFonts w:cstheme="minorHAnsi"/>
          <w:sz w:val="20"/>
          <w:szCs w:val="20"/>
        </w:rPr>
        <w:t xml:space="preserve">Whittlesea. </w:t>
      </w:r>
    </w:p>
    <w:p w14:paraId="2B11D016" w14:textId="5CC81F2B" w:rsidR="00D77EE0" w:rsidRPr="006C7B74" w:rsidRDefault="0075498A" w:rsidP="00D77EE0">
      <w:pPr>
        <w:spacing w:after="120"/>
        <w:rPr>
          <w:rFonts w:cstheme="minorHAnsi"/>
          <w:sz w:val="20"/>
          <w:szCs w:val="20"/>
        </w:rPr>
      </w:pPr>
      <w:r w:rsidRPr="006C7B74">
        <w:rPr>
          <w:rFonts w:cstheme="minorHAnsi"/>
          <w:sz w:val="20"/>
          <w:szCs w:val="20"/>
        </w:rPr>
        <w:t xml:space="preserve">The industries that </w:t>
      </w:r>
      <w:r w:rsidR="00D77EE0" w:rsidRPr="006C7B74">
        <w:rPr>
          <w:rFonts w:cstheme="minorHAnsi"/>
          <w:sz w:val="20"/>
          <w:szCs w:val="20"/>
        </w:rPr>
        <w:t xml:space="preserve">are expected to </w:t>
      </w:r>
      <w:r w:rsidRPr="006C7B74">
        <w:rPr>
          <w:rFonts w:cstheme="minorHAnsi"/>
          <w:sz w:val="20"/>
          <w:szCs w:val="20"/>
        </w:rPr>
        <w:t>experience the strongest growth are</w:t>
      </w:r>
      <w:r w:rsidR="00D77EE0" w:rsidRPr="006C7B74">
        <w:rPr>
          <w:rFonts w:cstheme="minorHAnsi"/>
          <w:sz w:val="20"/>
          <w:szCs w:val="20"/>
        </w:rPr>
        <w:t>:</w:t>
      </w:r>
      <w:r w:rsidRPr="006C7B74">
        <w:rPr>
          <w:rFonts w:cstheme="minorHAnsi"/>
          <w:sz w:val="20"/>
          <w:szCs w:val="20"/>
        </w:rPr>
        <w:t xml:space="preserve"> </w:t>
      </w:r>
      <w:r w:rsidR="004C066C" w:rsidRPr="006C7B74">
        <w:rPr>
          <w:rFonts w:cstheme="minorHAnsi"/>
          <w:sz w:val="20"/>
          <w:szCs w:val="20"/>
        </w:rPr>
        <w:t xml:space="preserve">health care and social assistance; education and training; retail trade; manufacturing; </w:t>
      </w:r>
      <w:r w:rsidR="000A53DD" w:rsidRPr="006C7B74">
        <w:rPr>
          <w:rFonts w:cstheme="minorHAnsi"/>
          <w:sz w:val="20"/>
          <w:szCs w:val="20"/>
        </w:rPr>
        <w:t>transport, postal and warehousing</w:t>
      </w:r>
      <w:r w:rsidR="004C066C" w:rsidRPr="006C7B74">
        <w:rPr>
          <w:rFonts w:cstheme="minorHAnsi"/>
          <w:sz w:val="20"/>
          <w:szCs w:val="20"/>
        </w:rPr>
        <w:t>.</w:t>
      </w:r>
      <w:r w:rsidR="00E16CE7" w:rsidRPr="006C7B74">
        <w:rPr>
          <w:rFonts w:cstheme="minorHAnsi"/>
          <w:sz w:val="20"/>
          <w:szCs w:val="20"/>
        </w:rPr>
        <w:t xml:space="preserve"> </w:t>
      </w:r>
    </w:p>
    <w:p w14:paraId="4250100F" w14:textId="77777777" w:rsidR="00F768DB" w:rsidRPr="006C7B74" w:rsidRDefault="00F768DB" w:rsidP="00D77EE0">
      <w:pPr>
        <w:spacing w:after="120"/>
        <w:rPr>
          <w:rFonts w:cstheme="minorHAnsi"/>
          <w:sz w:val="20"/>
          <w:szCs w:val="20"/>
        </w:rPr>
      </w:pPr>
    </w:p>
    <w:p w14:paraId="1851BAD2" w14:textId="0746168B" w:rsidR="0075498A" w:rsidRPr="006C7B74" w:rsidRDefault="00552473" w:rsidP="00E326DD">
      <w:pPr>
        <w:pStyle w:val="Heading5"/>
      </w:pPr>
      <w:r w:rsidRPr="006C7B74">
        <w:lastRenderedPageBreak/>
        <w:t>F</w:t>
      </w:r>
      <w:r w:rsidR="0075498A" w:rsidRPr="006C7B74">
        <w:t xml:space="preserve">igure </w:t>
      </w:r>
      <w:r w:rsidR="00DC23D3" w:rsidRPr="006C7B74">
        <w:t>20</w:t>
      </w:r>
      <w:r w:rsidR="0075498A" w:rsidRPr="006C7B74">
        <w:t>: Projected employment growth, Northern Region, 2016 to 2031</w:t>
      </w:r>
    </w:p>
    <w:p w14:paraId="3E1D4DFA" w14:textId="4ED72E03" w:rsidR="0075498A" w:rsidRPr="006C7B74" w:rsidRDefault="00C055C6" w:rsidP="00E326DD">
      <w:pPr>
        <w:pStyle w:val="Quote"/>
      </w:pPr>
      <w:r w:rsidRPr="006C7B74">
        <w:rPr>
          <w:noProof/>
        </w:rPr>
        <w:drawing>
          <wp:inline distT="0" distB="0" distL="0" distR="0" wp14:anchorId="1A72A897" wp14:editId="129A28C6">
            <wp:extent cx="5727700" cy="4049395"/>
            <wp:effectExtent l="0" t="0" r="0" b="0"/>
            <wp:docPr id="9" name="Picture 9" descr="Graphic showing:&#10;Whittlesea +34K jobs, 3.3%pa growth&#10;Hume +42K jobs, 2.7%pa growth&#10;Moreland +24K jobs, 2.9%pa growth&#10;Mitchell (Wallan SA2) +9K jobs, 11.9%pa growth&#10;Nillumbik +1K jobs, 0.7%pa growth&#10;Banyule +9K jobs, 1.3%pa growth&#10;Darebin +19K jobs, 2.1%pa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rojected employment growth map_2020 update-03.png"/>
                    <pic:cNvPicPr/>
                  </pic:nvPicPr>
                  <pic:blipFill>
                    <a:blip r:embed="rId46"/>
                    <a:stretch>
                      <a:fillRect/>
                    </a:stretch>
                  </pic:blipFill>
                  <pic:spPr>
                    <a:xfrm>
                      <a:off x="0" y="0"/>
                      <a:ext cx="5727700" cy="4049395"/>
                    </a:xfrm>
                    <a:prstGeom prst="rect">
                      <a:avLst/>
                    </a:prstGeom>
                  </pic:spPr>
                </pic:pic>
              </a:graphicData>
            </a:graphic>
          </wp:inline>
        </w:drawing>
      </w:r>
      <w:r w:rsidR="0075498A" w:rsidRPr="006C7B74">
        <w:t>Source: Department of Jobs, Precincts and Regions, internal analysis (201</w:t>
      </w:r>
      <w:r w:rsidRPr="006C7B74">
        <w:t>9</w:t>
      </w:r>
      <w:r w:rsidR="0075498A" w:rsidRPr="006C7B74">
        <w:t>).</w:t>
      </w:r>
    </w:p>
    <w:p w14:paraId="457738FE" w14:textId="77777777" w:rsidR="00944BE6" w:rsidRPr="006C7B74" w:rsidRDefault="00944BE6" w:rsidP="008D088F">
      <w:pPr>
        <w:pStyle w:val="BodyText"/>
      </w:pPr>
      <w:r>
        <w:t xml:space="preserve">NOTE: Job </w:t>
      </w:r>
      <w:r w:rsidRPr="00C77EF1">
        <w:t xml:space="preserve">figures </w:t>
      </w:r>
      <w:r>
        <w:t xml:space="preserve">have been </w:t>
      </w:r>
      <w:r w:rsidRPr="00C77EF1">
        <w:t>rounded to the nearest thou</w:t>
      </w:r>
      <w:r>
        <w:t>s</w:t>
      </w:r>
      <w:r w:rsidRPr="00C77EF1">
        <w:t>and.</w:t>
      </w:r>
    </w:p>
    <w:p w14:paraId="1B7826FC" w14:textId="77777777" w:rsidR="002305F4" w:rsidRPr="006C7B74" w:rsidRDefault="002305F4" w:rsidP="00934C4D">
      <w:pPr>
        <w:spacing w:after="120"/>
        <w:rPr>
          <w:rFonts w:cstheme="minorHAnsi"/>
        </w:rPr>
      </w:pPr>
    </w:p>
    <w:p w14:paraId="2C942B1F" w14:textId="77777777" w:rsidR="00E97E74" w:rsidRPr="006C7B74" w:rsidRDefault="00E97E74" w:rsidP="00E97E74">
      <w:pPr>
        <w:pStyle w:val="Heading2-Contenttable"/>
        <w:spacing w:after="120"/>
      </w:pPr>
      <w:bookmarkStart w:id="45" w:name="_Toc21694824"/>
      <w:r w:rsidRPr="006C7B74">
        <w:t>Key industrial and commercial areas</w:t>
      </w:r>
      <w:bookmarkEnd w:id="45"/>
    </w:p>
    <w:p w14:paraId="35848F2A" w14:textId="5A6AAA79" w:rsidR="007E54DF" w:rsidRPr="006C7B74" w:rsidRDefault="002305F4" w:rsidP="00153967">
      <w:pPr>
        <w:pStyle w:val="BodyText"/>
        <w:spacing w:before="0" w:line="240" w:lineRule="auto"/>
      </w:pPr>
      <w:r w:rsidRPr="006C7B74">
        <w:t xml:space="preserve">The </w:t>
      </w:r>
      <w:r w:rsidRPr="006C7B74">
        <w:rPr>
          <w:b/>
        </w:rPr>
        <w:t xml:space="preserve">Northern </w:t>
      </w:r>
      <w:r w:rsidR="003B4C5D" w:rsidRPr="006C7B74">
        <w:rPr>
          <w:b/>
        </w:rPr>
        <w:t>s</w:t>
      </w:r>
      <w:r w:rsidR="00715BD3" w:rsidRPr="006C7B74">
        <w:rPr>
          <w:b/>
        </w:rPr>
        <w:t>tate</w:t>
      </w:r>
      <w:r w:rsidR="001C538C" w:rsidRPr="006C7B74">
        <w:rPr>
          <w:b/>
        </w:rPr>
        <w:t>-s</w:t>
      </w:r>
      <w:r w:rsidR="00715BD3" w:rsidRPr="006C7B74">
        <w:rPr>
          <w:b/>
        </w:rPr>
        <w:t xml:space="preserve">ignificant </w:t>
      </w:r>
      <w:r w:rsidR="001C538C" w:rsidRPr="006C7B74">
        <w:rPr>
          <w:b/>
        </w:rPr>
        <w:t>i</w:t>
      </w:r>
      <w:r w:rsidR="00715BD3" w:rsidRPr="006C7B74">
        <w:rPr>
          <w:b/>
        </w:rPr>
        <w:t xml:space="preserve">ndustrial </w:t>
      </w:r>
      <w:r w:rsidR="001C538C" w:rsidRPr="006C7B74">
        <w:rPr>
          <w:b/>
        </w:rPr>
        <w:t>p</w:t>
      </w:r>
      <w:r w:rsidR="00715BD3" w:rsidRPr="006C7B74">
        <w:rPr>
          <w:b/>
        </w:rPr>
        <w:t>recinct</w:t>
      </w:r>
      <w:r w:rsidR="00715BD3" w:rsidRPr="006C7B74">
        <w:t xml:space="preserve"> (Northern SSIP)</w:t>
      </w:r>
      <w:r w:rsidRPr="006C7B74">
        <w:t xml:space="preserve"> is Melbourne’s second largest SSIP</w:t>
      </w:r>
      <w:r w:rsidR="00715BD3" w:rsidRPr="006C7B74">
        <w:t>. It</w:t>
      </w:r>
      <w:r w:rsidRPr="006C7B74">
        <w:t xml:space="preserve"> compris</w:t>
      </w:r>
      <w:r w:rsidR="00715BD3" w:rsidRPr="006C7B74">
        <w:t xml:space="preserve">es almost </w:t>
      </w:r>
      <w:r w:rsidR="005069CE" w:rsidRPr="006C7B74">
        <w:t>5,</w:t>
      </w:r>
      <w:r w:rsidR="00067DD3" w:rsidRPr="006C7B74">
        <w:t>7</w:t>
      </w:r>
      <w:r w:rsidR="00067DD3">
        <w:t>7</w:t>
      </w:r>
      <w:r w:rsidR="00067DD3" w:rsidRPr="006C7B74">
        <w:t xml:space="preserve">0 </w:t>
      </w:r>
      <w:r w:rsidRPr="006C7B74">
        <w:t xml:space="preserve">hectares of existing </w:t>
      </w:r>
      <w:r w:rsidR="00715BD3" w:rsidRPr="006C7B74">
        <w:t xml:space="preserve">and future </w:t>
      </w:r>
      <w:r w:rsidRPr="006C7B74">
        <w:t xml:space="preserve">zoned </w:t>
      </w:r>
      <w:r w:rsidR="00715BD3" w:rsidRPr="006C7B74">
        <w:t xml:space="preserve">and unzoned land identified for </w:t>
      </w:r>
      <w:r w:rsidRPr="006C7B74">
        <w:t xml:space="preserve">industrial </w:t>
      </w:r>
      <w:r w:rsidR="00715BD3" w:rsidRPr="006C7B74">
        <w:t xml:space="preserve">purposes </w:t>
      </w:r>
      <w:r w:rsidR="00F10116" w:rsidRPr="006C7B74">
        <w:t>across</w:t>
      </w:r>
      <w:r w:rsidRPr="006C7B74">
        <w:t xml:space="preserve"> the municipalities of Hume</w:t>
      </w:r>
      <w:r w:rsidR="00715BD3" w:rsidRPr="006C7B74">
        <w:t>,</w:t>
      </w:r>
      <w:r w:rsidRPr="006C7B74">
        <w:t xml:space="preserve"> Whittlesea</w:t>
      </w:r>
      <w:r w:rsidR="00715BD3" w:rsidRPr="006C7B74">
        <w:t xml:space="preserve"> and Mitchell</w:t>
      </w:r>
      <w:r w:rsidRPr="006C7B74">
        <w:t xml:space="preserve">. </w:t>
      </w:r>
      <w:r w:rsidR="008D737B" w:rsidRPr="006C7B74">
        <w:t xml:space="preserve">It has </w:t>
      </w:r>
      <w:r w:rsidR="00366193" w:rsidRPr="006C7B74">
        <w:t xml:space="preserve">access to significant transport infrastructure including </w:t>
      </w:r>
      <w:r w:rsidR="00024E52" w:rsidRPr="006C7B74">
        <w:t xml:space="preserve">interstate rail freight connections and </w:t>
      </w:r>
      <w:r w:rsidR="00366193" w:rsidRPr="006C7B74">
        <w:t xml:space="preserve">the </w:t>
      </w:r>
      <w:r w:rsidR="007E54DF" w:rsidRPr="006C7B74">
        <w:t xml:space="preserve">key roads of the Hume Highway and Freeway, Metropolitan Ring Road, and potential </w:t>
      </w:r>
      <w:r w:rsidR="00D76DCB" w:rsidRPr="006C7B74">
        <w:t>OMR</w:t>
      </w:r>
      <w:r w:rsidR="007E54DF" w:rsidRPr="006C7B74">
        <w:t xml:space="preserve"> </w:t>
      </w:r>
      <w:r w:rsidR="00366193" w:rsidRPr="006C7B74">
        <w:t>which could</w:t>
      </w:r>
      <w:r w:rsidR="007E54DF" w:rsidRPr="006C7B74">
        <w:t xml:space="preserve"> provide important orbital connections to industrial land throughout the region</w:t>
      </w:r>
      <w:r w:rsidR="008D737B" w:rsidRPr="006C7B74">
        <w:t xml:space="preserve"> and beyond</w:t>
      </w:r>
      <w:r w:rsidR="007E54DF" w:rsidRPr="006C7B74">
        <w:t>.</w:t>
      </w:r>
      <w:r w:rsidR="00756EB6" w:rsidRPr="006C7B74">
        <w:t xml:space="preserve"> </w:t>
      </w:r>
      <w:r w:rsidR="004C3254" w:rsidRPr="006C7B74">
        <w:t xml:space="preserve">The Northern SSIP has been expanded to include approximately </w:t>
      </w:r>
      <w:r w:rsidR="004D0D83" w:rsidRPr="006C7B74">
        <w:t>1,590</w:t>
      </w:r>
      <w:r w:rsidR="004C3254" w:rsidRPr="006C7B74">
        <w:t xml:space="preserve"> hectares of land identified within the </w:t>
      </w:r>
      <w:r w:rsidR="001746C1" w:rsidRPr="006C7B74">
        <w:t xml:space="preserve">proposed </w:t>
      </w:r>
      <w:r w:rsidR="004C3254" w:rsidRPr="006C7B74">
        <w:t xml:space="preserve">BIFT and the Craigieburn South Employment </w:t>
      </w:r>
      <w:r w:rsidR="001746C1" w:rsidRPr="006C7B74">
        <w:t>Precinct</w:t>
      </w:r>
      <w:r w:rsidR="004C3254" w:rsidRPr="006C7B74">
        <w:t xml:space="preserve">. </w:t>
      </w:r>
      <w:r w:rsidR="001746C1" w:rsidRPr="006C7B74">
        <w:t xml:space="preserve">The </w:t>
      </w:r>
      <w:r w:rsidR="00A00E1B" w:rsidRPr="006C7B74">
        <w:t xml:space="preserve">Northern </w:t>
      </w:r>
      <w:r w:rsidR="001746C1" w:rsidRPr="006C7B74">
        <w:t>SSIP</w:t>
      </w:r>
      <w:r w:rsidR="00A00E1B" w:rsidRPr="006C7B74">
        <w:t xml:space="preserve"> is</w:t>
      </w:r>
      <w:r w:rsidR="00024E52" w:rsidRPr="006C7B74">
        <w:t xml:space="preserve"> well place</w:t>
      </w:r>
      <w:r w:rsidR="006F4280" w:rsidRPr="006C7B74">
        <w:t>d</w:t>
      </w:r>
      <w:r w:rsidR="00024E52" w:rsidRPr="006C7B74">
        <w:t xml:space="preserve"> with easy road and rail access to interstate markets along the eastern seaboard and </w:t>
      </w:r>
      <w:r w:rsidR="008D737B" w:rsidRPr="006C7B74">
        <w:t>has a number of distinct precincts as follows:</w:t>
      </w:r>
    </w:p>
    <w:p w14:paraId="01B64CC0" w14:textId="74027F32" w:rsidR="008D737B" w:rsidRPr="006C7B74" w:rsidRDefault="008D737B" w:rsidP="007744FE">
      <w:pPr>
        <w:pStyle w:val="BodyText"/>
        <w:numPr>
          <w:ilvl w:val="0"/>
          <w:numId w:val="4"/>
        </w:numPr>
        <w:spacing w:before="0" w:line="240" w:lineRule="auto"/>
        <w:rPr>
          <w:bCs/>
        </w:rPr>
      </w:pPr>
      <w:r w:rsidRPr="006C7B74">
        <w:rPr>
          <w:bCs/>
        </w:rPr>
        <w:t xml:space="preserve">The </w:t>
      </w:r>
      <w:r w:rsidRPr="006C7B74">
        <w:rPr>
          <w:b/>
        </w:rPr>
        <w:t>Thomastown</w:t>
      </w:r>
      <w:r w:rsidRPr="006C7B74">
        <w:rPr>
          <w:bCs/>
        </w:rPr>
        <w:t xml:space="preserve"> precinct supports a range of manufacturing, warehousing and services industries. It has excellent access to the Western Ring Road and the Hume Freeway via the Craigieburn Bypass. To the north is the </w:t>
      </w:r>
      <w:r w:rsidRPr="006C7B74">
        <w:rPr>
          <w:b/>
        </w:rPr>
        <w:t>Cooper Street</w:t>
      </w:r>
      <w:r w:rsidRPr="006C7B74">
        <w:rPr>
          <w:bCs/>
        </w:rPr>
        <w:t xml:space="preserve"> employment precinct. As well as being home to the Melbourne Wholesale Fruit, Vegetable and Flower Market, it is also an </w:t>
      </w:r>
      <w:r w:rsidR="00024E52" w:rsidRPr="006C7B74">
        <w:rPr>
          <w:bCs/>
        </w:rPr>
        <w:t>increasingly attractive location for warehousing and freight and logistics businesses.</w:t>
      </w:r>
    </w:p>
    <w:p w14:paraId="1ED69E85" w14:textId="198B4D97" w:rsidR="00024E52" w:rsidRPr="006C7B74" w:rsidRDefault="00024E52" w:rsidP="007744FE">
      <w:pPr>
        <w:pStyle w:val="BodyText"/>
        <w:numPr>
          <w:ilvl w:val="0"/>
          <w:numId w:val="4"/>
        </w:numPr>
        <w:spacing w:before="0" w:line="240" w:lineRule="auto"/>
        <w:rPr>
          <w:bCs/>
        </w:rPr>
      </w:pPr>
      <w:r w:rsidRPr="006C7B74">
        <w:rPr>
          <w:bCs/>
        </w:rPr>
        <w:t xml:space="preserve">The </w:t>
      </w:r>
      <w:r w:rsidRPr="006C7B74">
        <w:rPr>
          <w:b/>
        </w:rPr>
        <w:t>Campbellfield</w:t>
      </w:r>
      <w:r w:rsidRPr="006C7B74">
        <w:rPr>
          <w:bCs/>
        </w:rPr>
        <w:t xml:space="preserve"> precinct extends from the Metropolitan Ring Road north to </w:t>
      </w:r>
      <w:r w:rsidR="00B34CF9" w:rsidRPr="006C7B74">
        <w:rPr>
          <w:bCs/>
        </w:rPr>
        <w:t xml:space="preserve">Cooper Street and Somerton Road. It is home to a range of manufacturing and storage facilities as well as the former Ford site. It is a </w:t>
      </w:r>
      <w:r w:rsidR="00475501" w:rsidRPr="006C7B74">
        <w:rPr>
          <w:bCs/>
        </w:rPr>
        <w:t xml:space="preserve">finer grain, </w:t>
      </w:r>
      <w:r w:rsidR="00B34CF9" w:rsidRPr="006C7B74">
        <w:rPr>
          <w:bCs/>
        </w:rPr>
        <w:t xml:space="preserve">densely developed </w:t>
      </w:r>
      <w:r w:rsidR="001459D2" w:rsidRPr="006C7B74">
        <w:rPr>
          <w:bCs/>
        </w:rPr>
        <w:t xml:space="preserve">industrial </w:t>
      </w:r>
      <w:r w:rsidR="00B34CF9" w:rsidRPr="006C7B74">
        <w:rPr>
          <w:bCs/>
        </w:rPr>
        <w:t xml:space="preserve">area </w:t>
      </w:r>
      <w:r w:rsidR="00475501" w:rsidRPr="006C7B74">
        <w:rPr>
          <w:bCs/>
        </w:rPr>
        <w:t>and a major employment area for the municipality of Hume</w:t>
      </w:r>
      <w:r w:rsidR="001459D2" w:rsidRPr="006C7B74">
        <w:rPr>
          <w:bCs/>
        </w:rPr>
        <w:t>. It has excellent freight connections to regional Victoria and interstate via both road and rail. It also has easy access to Melbourne Airport and its surrounding businesses via the Metropolitan Ring Road.</w:t>
      </w:r>
    </w:p>
    <w:p w14:paraId="102C55E1" w14:textId="1F2F5F18" w:rsidR="001459D2" w:rsidRPr="006C7B74" w:rsidRDefault="001459D2" w:rsidP="007744FE">
      <w:pPr>
        <w:pStyle w:val="BodyText"/>
        <w:numPr>
          <w:ilvl w:val="0"/>
          <w:numId w:val="4"/>
        </w:numPr>
        <w:spacing w:before="0" w:line="240" w:lineRule="auto"/>
        <w:rPr>
          <w:bCs/>
        </w:rPr>
      </w:pPr>
      <w:r w:rsidRPr="006C7B74">
        <w:rPr>
          <w:b/>
        </w:rPr>
        <w:lastRenderedPageBreak/>
        <w:t>Somerton</w:t>
      </w:r>
      <w:r w:rsidRPr="006C7B74">
        <w:rPr>
          <w:bCs/>
        </w:rPr>
        <w:t xml:space="preserve"> is located north of the Campbellfield precinct with excellent access to major road and rail networks. The area is used predominantly for logistics, warehousing and distribution a</w:t>
      </w:r>
      <w:r w:rsidR="007744FE" w:rsidRPr="006C7B74">
        <w:rPr>
          <w:bCs/>
        </w:rPr>
        <w:t>nd includes</w:t>
      </w:r>
      <w:r w:rsidR="00383A65" w:rsidRPr="006C7B74">
        <w:rPr>
          <w:bCs/>
        </w:rPr>
        <w:t xml:space="preserve"> an inter-modal freight terminal </w:t>
      </w:r>
      <w:r w:rsidR="00EE0BC9" w:rsidRPr="006C7B74">
        <w:rPr>
          <w:bCs/>
        </w:rPr>
        <w:t xml:space="preserve">at </w:t>
      </w:r>
      <w:r w:rsidRPr="006C7B74">
        <w:rPr>
          <w:bCs/>
        </w:rPr>
        <w:t xml:space="preserve">the </w:t>
      </w:r>
      <w:proofErr w:type="spellStart"/>
      <w:r w:rsidRPr="006C7B74">
        <w:rPr>
          <w:bCs/>
        </w:rPr>
        <w:t>Austrak</w:t>
      </w:r>
      <w:proofErr w:type="spellEnd"/>
      <w:r w:rsidRPr="006C7B74">
        <w:rPr>
          <w:bCs/>
        </w:rPr>
        <w:t xml:space="preserve"> </w:t>
      </w:r>
      <w:r w:rsidR="00A502FB" w:rsidRPr="006C7B74">
        <w:rPr>
          <w:bCs/>
        </w:rPr>
        <w:t>B</w:t>
      </w:r>
      <w:r w:rsidRPr="006C7B74">
        <w:rPr>
          <w:bCs/>
        </w:rPr>
        <w:t xml:space="preserve">usiness </w:t>
      </w:r>
      <w:r w:rsidR="00A502FB" w:rsidRPr="006C7B74">
        <w:rPr>
          <w:bCs/>
        </w:rPr>
        <w:t>P</w:t>
      </w:r>
      <w:r w:rsidRPr="006C7B74">
        <w:rPr>
          <w:bCs/>
        </w:rPr>
        <w:t>ark</w:t>
      </w:r>
      <w:r w:rsidR="007744FE" w:rsidRPr="006C7B74">
        <w:rPr>
          <w:bCs/>
        </w:rPr>
        <w:t>.</w:t>
      </w:r>
      <w:r w:rsidR="008C499C" w:rsidRPr="006C7B74">
        <w:rPr>
          <w:bCs/>
        </w:rPr>
        <w:t xml:space="preserve"> There is also a </w:t>
      </w:r>
      <w:r w:rsidR="00337B3C" w:rsidRPr="006C7B74">
        <w:t>bulk cement terminal in this location.</w:t>
      </w:r>
    </w:p>
    <w:p w14:paraId="2CDC2533" w14:textId="0B2DB4E8" w:rsidR="00DB7E06" w:rsidRPr="006C7B74" w:rsidRDefault="00DB7E06" w:rsidP="007744FE">
      <w:pPr>
        <w:pStyle w:val="BodyText"/>
        <w:numPr>
          <w:ilvl w:val="0"/>
          <w:numId w:val="4"/>
        </w:numPr>
        <w:spacing w:before="0" w:line="240" w:lineRule="auto"/>
        <w:rPr>
          <w:bCs/>
        </w:rPr>
      </w:pPr>
      <w:r w:rsidRPr="006C7B74">
        <w:t>A number of future industrial</w:t>
      </w:r>
      <w:r w:rsidR="004F103A" w:rsidRPr="006C7B74">
        <w:t xml:space="preserve"> areas </w:t>
      </w:r>
      <w:r w:rsidRPr="006C7B74">
        <w:t xml:space="preserve">have also been </w:t>
      </w:r>
      <w:r w:rsidR="004F103A" w:rsidRPr="006C7B74">
        <w:t xml:space="preserve">identified for future expansion of the Northern SSIP. Areas around </w:t>
      </w:r>
      <w:r w:rsidR="004F103A" w:rsidRPr="006C7B74">
        <w:rPr>
          <w:b/>
          <w:bCs/>
        </w:rPr>
        <w:t>Craigieburn</w:t>
      </w:r>
      <w:r w:rsidRPr="006C7B74">
        <w:t>,</w:t>
      </w:r>
      <w:r w:rsidR="004F103A" w:rsidRPr="006C7B74">
        <w:t xml:space="preserve"> </w:t>
      </w:r>
      <w:r w:rsidR="004F103A" w:rsidRPr="006C7B74">
        <w:rPr>
          <w:b/>
          <w:bCs/>
        </w:rPr>
        <w:t>Donnybrook</w:t>
      </w:r>
      <w:r w:rsidR="004F103A" w:rsidRPr="006C7B74">
        <w:t xml:space="preserve"> and </w:t>
      </w:r>
      <w:r w:rsidR="004B4AA6" w:rsidRPr="006C7B74">
        <w:rPr>
          <w:b/>
          <w:bCs/>
        </w:rPr>
        <w:t>Mickleham</w:t>
      </w:r>
      <w:r w:rsidR="004F103A" w:rsidRPr="006C7B74">
        <w:t xml:space="preserve"> </w:t>
      </w:r>
      <w:r w:rsidRPr="006C7B74">
        <w:t>offer opportunit</w:t>
      </w:r>
      <w:r w:rsidR="00A502FB" w:rsidRPr="006C7B74">
        <w:t>ies</w:t>
      </w:r>
      <w:r w:rsidRPr="006C7B74">
        <w:t xml:space="preserve"> for future industrial development with easy access to freight networks </w:t>
      </w:r>
      <w:r w:rsidR="00F13103" w:rsidRPr="006C7B74">
        <w:t>and larger land holdings suitable for warehousing</w:t>
      </w:r>
      <w:r w:rsidR="006E2F8D" w:rsidRPr="006C7B74">
        <w:t>,</w:t>
      </w:r>
      <w:r w:rsidR="00F13103" w:rsidRPr="006C7B74">
        <w:t xml:space="preserve"> freight and logistics. These locations can provide for a range of employment and business opportunities</w:t>
      </w:r>
      <w:r w:rsidR="006E2F8D" w:rsidRPr="006C7B74">
        <w:t>.</w:t>
      </w:r>
      <w:r w:rsidR="00F13103" w:rsidRPr="006C7B74">
        <w:t xml:space="preserve"> </w:t>
      </w:r>
      <w:r w:rsidR="006E2F8D" w:rsidRPr="006C7B74">
        <w:t>D</w:t>
      </w:r>
      <w:r w:rsidR="00F13103" w:rsidRPr="006C7B74">
        <w:t xml:space="preserve">evelopment is </w:t>
      </w:r>
      <w:r w:rsidRPr="006C7B74">
        <w:t xml:space="preserve">underway at the Merrifield </w:t>
      </w:r>
      <w:r w:rsidR="006E2F8D" w:rsidRPr="006C7B74">
        <w:t>B</w:t>
      </w:r>
      <w:r w:rsidRPr="006C7B74">
        <w:t xml:space="preserve">usiness </w:t>
      </w:r>
      <w:r w:rsidR="006E2F8D" w:rsidRPr="006C7B74">
        <w:t>P</w:t>
      </w:r>
      <w:r w:rsidRPr="006C7B74">
        <w:t>ark</w:t>
      </w:r>
      <w:r w:rsidR="00F13103" w:rsidRPr="006C7B74">
        <w:t xml:space="preserve"> adjacent to Donnybrook Road with Dulux establishing its brand new, state-of-the-art paint manufacturing facility there. </w:t>
      </w:r>
    </w:p>
    <w:p w14:paraId="6DFE4AFC" w14:textId="1212248B" w:rsidR="00ED26FD" w:rsidRPr="006C7B74" w:rsidRDefault="00B850B9" w:rsidP="00153967">
      <w:pPr>
        <w:pStyle w:val="BodyText"/>
        <w:numPr>
          <w:ilvl w:val="0"/>
          <w:numId w:val="4"/>
        </w:numPr>
        <w:spacing w:before="0" w:line="240" w:lineRule="auto"/>
      </w:pPr>
      <w:r w:rsidRPr="006C7B74">
        <w:t xml:space="preserve">The </w:t>
      </w:r>
      <w:r w:rsidR="005D3C94" w:rsidRPr="006C7B74">
        <w:t>proposed</w:t>
      </w:r>
      <w:r w:rsidRPr="006C7B74">
        <w:t xml:space="preserve"> </w:t>
      </w:r>
      <w:r w:rsidRPr="006C7B74">
        <w:rPr>
          <w:b/>
        </w:rPr>
        <w:t xml:space="preserve">Beveridge </w:t>
      </w:r>
      <w:r w:rsidR="00F41CCE" w:rsidRPr="006C7B74">
        <w:rPr>
          <w:b/>
        </w:rPr>
        <w:t xml:space="preserve">Interstate </w:t>
      </w:r>
      <w:r w:rsidRPr="006C7B74">
        <w:rPr>
          <w:b/>
        </w:rPr>
        <w:t>Freight Terminal</w:t>
      </w:r>
      <w:r w:rsidRPr="006C7B74">
        <w:t xml:space="preserve"> </w:t>
      </w:r>
      <w:r w:rsidR="007D56D5" w:rsidRPr="006C7B74">
        <w:t xml:space="preserve">(BIFT) </w:t>
      </w:r>
      <w:r w:rsidR="00E8799A" w:rsidRPr="006C7B74">
        <w:t>will be</w:t>
      </w:r>
      <w:r w:rsidRPr="006C7B74">
        <w:t xml:space="preserve"> an important future asset for the </w:t>
      </w:r>
      <w:r w:rsidR="00A0557C" w:rsidRPr="006C7B74">
        <w:t>N</w:t>
      </w:r>
      <w:r w:rsidRPr="006C7B74">
        <w:t xml:space="preserve">orthern </w:t>
      </w:r>
      <w:r w:rsidR="00A0557C" w:rsidRPr="006C7B74">
        <w:t>R</w:t>
      </w:r>
      <w:r w:rsidRPr="006C7B74">
        <w:t>egion</w:t>
      </w:r>
      <w:r w:rsidR="00054BFC" w:rsidRPr="006C7B74">
        <w:t xml:space="preserve">. Approximately </w:t>
      </w:r>
      <w:r w:rsidR="004D0D83" w:rsidRPr="006C7B74">
        <w:t>1,500</w:t>
      </w:r>
      <w:r w:rsidR="00054BFC" w:rsidRPr="006C7B74">
        <w:t xml:space="preserve"> hectares of land ha</w:t>
      </w:r>
      <w:r w:rsidR="00A274BB" w:rsidRPr="006C7B74">
        <w:t>s</w:t>
      </w:r>
      <w:r w:rsidR="00054BFC" w:rsidRPr="006C7B74">
        <w:t xml:space="preserve"> been set aside for </w:t>
      </w:r>
      <w:r w:rsidR="00A274BB" w:rsidRPr="006C7B74">
        <w:t>a major freight hub supporting a range of other businesses which benefit from being co-located with major terminals including distribution centres and warehousing</w:t>
      </w:r>
      <w:r w:rsidR="00054BFC" w:rsidRPr="006C7B74">
        <w:t>.</w:t>
      </w:r>
      <w:r w:rsidRPr="006C7B74">
        <w:t xml:space="preserve"> </w:t>
      </w:r>
      <w:r w:rsidR="0071364C" w:rsidRPr="006C7B74">
        <w:t>The terminal will play a vital role in enabling the transfer of interstate freight across Australia</w:t>
      </w:r>
      <w:r w:rsidR="00A274BB" w:rsidRPr="006C7B74">
        <w:t xml:space="preserve"> and </w:t>
      </w:r>
      <w:r w:rsidR="0071364C" w:rsidRPr="006C7B74">
        <w:t xml:space="preserve">is located adjacent to the Melbourne-Sydney-Brisbane rail line, Hume Freeway and proposed </w:t>
      </w:r>
      <w:r w:rsidR="00274DC2" w:rsidRPr="006C7B74">
        <w:t>OMR</w:t>
      </w:r>
      <w:r w:rsidR="0071364C" w:rsidRPr="006C7B74">
        <w:t>.</w:t>
      </w:r>
    </w:p>
    <w:p w14:paraId="55BAC4D6" w14:textId="574469A6" w:rsidR="00B36AD5" w:rsidRPr="006C7B74" w:rsidRDefault="00B36AD5" w:rsidP="00153967">
      <w:pPr>
        <w:pStyle w:val="BodyText"/>
        <w:numPr>
          <w:ilvl w:val="0"/>
          <w:numId w:val="4"/>
        </w:numPr>
        <w:spacing w:before="0" w:line="240" w:lineRule="auto"/>
      </w:pPr>
      <w:r w:rsidRPr="006C7B74">
        <w:t xml:space="preserve">The </w:t>
      </w:r>
      <w:r w:rsidRPr="006C7B74">
        <w:rPr>
          <w:b/>
        </w:rPr>
        <w:t>Craigieburn South Employment Precinct</w:t>
      </w:r>
      <w:r w:rsidRPr="006C7B74">
        <w:t xml:space="preserve"> is a site of approximately 190 hectares located adjacent to the Craigieburn North Employment Precinct within the Northern SSIP. To its east are a number of existing quarries. It </w:t>
      </w:r>
      <w:r w:rsidR="00C40688" w:rsidRPr="006C7B74">
        <w:t>provides the</w:t>
      </w:r>
      <w:r w:rsidRPr="006C7B74">
        <w:t xml:space="preserve"> opportunity for future industrial development with excellent access to rail and road available. </w:t>
      </w:r>
    </w:p>
    <w:p w14:paraId="1D1C814B" w14:textId="77777777" w:rsidR="00820DA2" w:rsidRPr="006C7B74" w:rsidRDefault="00820DA2" w:rsidP="00820DA2">
      <w:pPr>
        <w:spacing w:after="120"/>
        <w:rPr>
          <w:rFonts w:cstheme="minorHAnsi"/>
          <w:sz w:val="20"/>
          <w:szCs w:val="20"/>
        </w:rPr>
      </w:pPr>
      <w:r w:rsidRPr="006C7B74">
        <w:rPr>
          <w:rFonts w:cstheme="minorHAnsi"/>
          <w:sz w:val="20"/>
          <w:szCs w:val="20"/>
        </w:rPr>
        <w:t xml:space="preserve">Beyond the Northern SSIP, there are a number of other industrial areas considered to be of state or regional significance. </w:t>
      </w:r>
    </w:p>
    <w:p w14:paraId="01DE13CB" w14:textId="4C209200" w:rsidR="00831091" w:rsidRPr="006C7B74" w:rsidRDefault="003E52BF" w:rsidP="00831091">
      <w:pPr>
        <w:spacing w:after="120"/>
        <w:rPr>
          <w:rFonts w:eastAsia="Calibri" w:cstheme="minorHAnsi"/>
          <w:sz w:val="20"/>
          <w:szCs w:val="20"/>
        </w:rPr>
      </w:pPr>
      <w:r w:rsidRPr="006C7B74">
        <w:rPr>
          <w:rFonts w:eastAsia="Calibri" w:cstheme="minorHAnsi"/>
          <w:sz w:val="20"/>
          <w:szCs w:val="20"/>
        </w:rPr>
        <w:t xml:space="preserve">To the </w:t>
      </w:r>
      <w:r w:rsidR="00B36AD5" w:rsidRPr="006C7B74">
        <w:rPr>
          <w:rFonts w:eastAsia="Calibri" w:cstheme="minorHAnsi"/>
          <w:bCs/>
          <w:sz w:val="20"/>
          <w:szCs w:val="20"/>
        </w:rPr>
        <w:t xml:space="preserve">north on </w:t>
      </w:r>
      <w:r w:rsidRPr="006C7B74">
        <w:rPr>
          <w:rFonts w:eastAsia="Calibri" w:cstheme="minorHAnsi"/>
          <w:bCs/>
          <w:sz w:val="20"/>
          <w:szCs w:val="20"/>
        </w:rPr>
        <w:t xml:space="preserve">Donnybrook </w:t>
      </w:r>
      <w:r w:rsidR="005E58A7" w:rsidRPr="006C7B74">
        <w:rPr>
          <w:rFonts w:eastAsia="Calibri" w:cstheme="minorHAnsi"/>
          <w:bCs/>
          <w:sz w:val="20"/>
          <w:szCs w:val="20"/>
        </w:rPr>
        <w:t>Road,</w:t>
      </w:r>
      <w:r w:rsidRPr="006C7B74">
        <w:rPr>
          <w:rFonts w:eastAsia="Calibri" w:cstheme="minorHAnsi"/>
          <w:sz w:val="20"/>
          <w:szCs w:val="20"/>
        </w:rPr>
        <w:t xml:space="preserve"> the </w:t>
      </w:r>
      <w:r w:rsidRPr="006C7B74">
        <w:rPr>
          <w:rFonts w:eastAsia="Calibri" w:cstheme="minorHAnsi"/>
          <w:b/>
          <w:sz w:val="20"/>
          <w:szCs w:val="20"/>
        </w:rPr>
        <w:t>Shenstone Park</w:t>
      </w:r>
      <w:r w:rsidRPr="006C7B74">
        <w:rPr>
          <w:rFonts w:eastAsia="Calibri" w:cstheme="minorHAnsi"/>
          <w:sz w:val="20"/>
          <w:szCs w:val="20"/>
        </w:rPr>
        <w:t xml:space="preserve"> </w:t>
      </w:r>
      <w:r w:rsidR="00AA2681" w:rsidRPr="006C7B74">
        <w:rPr>
          <w:rFonts w:eastAsia="Calibri" w:cstheme="minorHAnsi"/>
          <w:sz w:val="20"/>
          <w:szCs w:val="20"/>
        </w:rPr>
        <w:t>PSP</w:t>
      </w:r>
      <w:r w:rsidRPr="006C7B74">
        <w:rPr>
          <w:rFonts w:eastAsia="Calibri" w:cstheme="minorHAnsi"/>
          <w:sz w:val="20"/>
          <w:szCs w:val="20"/>
        </w:rPr>
        <w:t xml:space="preserve"> </w:t>
      </w:r>
      <w:r w:rsidR="008D3B07" w:rsidRPr="006C7B74">
        <w:rPr>
          <w:rFonts w:eastAsia="Calibri" w:cstheme="minorHAnsi"/>
          <w:sz w:val="20"/>
          <w:szCs w:val="20"/>
        </w:rPr>
        <w:t xml:space="preserve">area includes approximately </w:t>
      </w:r>
      <w:r w:rsidR="00B459E4" w:rsidRPr="006C7B74">
        <w:rPr>
          <w:rFonts w:eastAsia="Calibri" w:cstheme="minorHAnsi"/>
          <w:sz w:val="20"/>
          <w:szCs w:val="20"/>
        </w:rPr>
        <w:t xml:space="preserve">280 </w:t>
      </w:r>
      <w:r w:rsidR="008D3B07" w:rsidRPr="006C7B74">
        <w:rPr>
          <w:rFonts w:eastAsia="Calibri" w:cstheme="minorHAnsi"/>
          <w:sz w:val="20"/>
          <w:szCs w:val="20"/>
        </w:rPr>
        <w:t xml:space="preserve">hectares of industrial land </w:t>
      </w:r>
      <w:r w:rsidRPr="006C7B74">
        <w:rPr>
          <w:rFonts w:eastAsia="Calibri" w:cstheme="minorHAnsi"/>
          <w:sz w:val="20"/>
          <w:szCs w:val="20"/>
        </w:rPr>
        <w:t xml:space="preserve">identified </w:t>
      </w:r>
      <w:r w:rsidR="00535011">
        <w:rPr>
          <w:rFonts w:eastAsia="Calibri" w:cstheme="minorHAnsi"/>
          <w:sz w:val="20"/>
          <w:szCs w:val="20"/>
        </w:rPr>
        <w:t>through</w:t>
      </w:r>
      <w:r w:rsidR="00535011" w:rsidRPr="006C7B74">
        <w:rPr>
          <w:rFonts w:eastAsia="Calibri" w:cstheme="minorHAnsi"/>
          <w:sz w:val="20"/>
          <w:szCs w:val="20"/>
        </w:rPr>
        <w:t xml:space="preserve"> </w:t>
      </w:r>
      <w:r w:rsidRPr="006C7B74">
        <w:rPr>
          <w:rFonts w:eastAsia="Calibri" w:cstheme="minorHAnsi"/>
          <w:sz w:val="20"/>
          <w:szCs w:val="20"/>
        </w:rPr>
        <w:t>the North Growth Corridor Plan</w:t>
      </w:r>
      <w:r w:rsidR="00535011">
        <w:rPr>
          <w:rFonts w:eastAsia="Calibri" w:cstheme="minorHAnsi"/>
          <w:sz w:val="20"/>
          <w:szCs w:val="20"/>
        </w:rPr>
        <w:t xml:space="preserve"> and PSP process</w:t>
      </w:r>
      <w:r w:rsidR="009E50DD" w:rsidRPr="006C7B74">
        <w:rPr>
          <w:rFonts w:eastAsia="Calibri" w:cstheme="minorHAnsi"/>
          <w:sz w:val="20"/>
          <w:szCs w:val="20"/>
        </w:rPr>
        <w:t xml:space="preserve">. This land provides </w:t>
      </w:r>
      <w:r w:rsidR="00CA2CC1" w:rsidRPr="006C7B74">
        <w:rPr>
          <w:rFonts w:eastAsia="Calibri" w:cstheme="minorHAnsi"/>
          <w:sz w:val="20"/>
          <w:szCs w:val="20"/>
        </w:rPr>
        <w:t xml:space="preserve">an important </w:t>
      </w:r>
      <w:r w:rsidR="009E50DD" w:rsidRPr="006C7B74">
        <w:rPr>
          <w:rFonts w:eastAsia="Calibri" w:cstheme="minorHAnsi"/>
          <w:sz w:val="20"/>
          <w:szCs w:val="20"/>
        </w:rPr>
        <w:t>buffer to existing</w:t>
      </w:r>
      <w:r w:rsidR="00C60364" w:rsidRPr="006C7B74">
        <w:rPr>
          <w:rFonts w:eastAsia="Calibri" w:cstheme="minorHAnsi"/>
          <w:sz w:val="20"/>
          <w:szCs w:val="20"/>
        </w:rPr>
        <w:t xml:space="preserve"> and proposed</w:t>
      </w:r>
      <w:r w:rsidR="009E50DD" w:rsidRPr="006C7B74">
        <w:rPr>
          <w:rFonts w:eastAsia="Calibri" w:cstheme="minorHAnsi"/>
          <w:sz w:val="20"/>
          <w:szCs w:val="20"/>
        </w:rPr>
        <w:t xml:space="preserve"> quarry operation</w:t>
      </w:r>
      <w:r w:rsidR="00C60364" w:rsidRPr="006C7B74">
        <w:rPr>
          <w:rFonts w:eastAsia="Calibri" w:cstheme="minorHAnsi"/>
          <w:sz w:val="20"/>
          <w:szCs w:val="20"/>
        </w:rPr>
        <w:t>s</w:t>
      </w:r>
      <w:r w:rsidR="00D541B8" w:rsidRPr="006C7B74">
        <w:rPr>
          <w:rFonts w:eastAsia="Calibri" w:cstheme="minorHAnsi"/>
          <w:sz w:val="20"/>
          <w:szCs w:val="20"/>
        </w:rPr>
        <w:t>,</w:t>
      </w:r>
      <w:r w:rsidR="00C60364" w:rsidRPr="006C7B74">
        <w:rPr>
          <w:rFonts w:eastAsia="Calibri" w:cstheme="minorHAnsi"/>
          <w:sz w:val="20"/>
          <w:szCs w:val="20"/>
        </w:rPr>
        <w:t xml:space="preserve"> a proposed sewerage treatment plant </w:t>
      </w:r>
      <w:r w:rsidR="009E50DD" w:rsidRPr="006C7B74">
        <w:rPr>
          <w:rFonts w:eastAsia="Calibri" w:cstheme="minorHAnsi"/>
          <w:sz w:val="20"/>
          <w:szCs w:val="20"/>
        </w:rPr>
        <w:t>to the south</w:t>
      </w:r>
      <w:r w:rsidR="00B815C9" w:rsidRPr="006C7B74">
        <w:rPr>
          <w:rFonts w:eastAsia="Calibri" w:cstheme="minorHAnsi"/>
          <w:sz w:val="20"/>
          <w:szCs w:val="20"/>
        </w:rPr>
        <w:t>,</w:t>
      </w:r>
      <w:r w:rsidR="00831091" w:rsidRPr="006C7B74">
        <w:rPr>
          <w:rFonts w:eastAsia="Calibri" w:cstheme="minorHAnsi"/>
          <w:sz w:val="20"/>
          <w:szCs w:val="20"/>
        </w:rPr>
        <w:t xml:space="preserve"> and nearby residential land uses. This precinct has good access to the Hume Freeway</w:t>
      </w:r>
      <w:r w:rsidR="00EF7B85" w:rsidRPr="006C7B74">
        <w:rPr>
          <w:rFonts w:eastAsia="Calibri" w:cstheme="minorHAnsi"/>
          <w:sz w:val="20"/>
          <w:szCs w:val="20"/>
        </w:rPr>
        <w:t xml:space="preserve"> from Donnybrook Road</w:t>
      </w:r>
      <w:r w:rsidR="00831091" w:rsidRPr="006C7B74">
        <w:rPr>
          <w:rFonts w:eastAsia="Calibri" w:cstheme="minorHAnsi"/>
          <w:sz w:val="20"/>
          <w:szCs w:val="20"/>
        </w:rPr>
        <w:t>.</w:t>
      </w:r>
    </w:p>
    <w:p w14:paraId="707DEC84" w14:textId="44F49D4A" w:rsidR="006E74AC" w:rsidRPr="006C7B74" w:rsidRDefault="00F13103" w:rsidP="006E74AC">
      <w:pPr>
        <w:spacing w:after="120"/>
        <w:rPr>
          <w:rFonts w:eastAsia="Calibri" w:cstheme="minorHAnsi"/>
          <w:sz w:val="20"/>
          <w:szCs w:val="20"/>
        </w:rPr>
      </w:pPr>
      <w:r w:rsidRPr="006C7B74">
        <w:rPr>
          <w:rFonts w:eastAsia="Calibri" w:cstheme="minorHAnsi"/>
          <w:sz w:val="20"/>
          <w:szCs w:val="20"/>
        </w:rPr>
        <w:t>I</w:t>
      </w:r>
      <w:r w:rsidR="00D61FEF" w:rsidRPr="006C7B74">
        <w:rPr>
          <w:rFonts w:eastAsia="Calibri" w:cstheme="minorHAnsi"/>
          <w:sz w:val="20"/>
          <w:szCs w:val="20"/>
        </w:rPr>
        <w:t xml:space="preserve">n </w:t>
      </w:r>
      <w:r w:rsidR="00D61FEF" w:rsidRPr="006C7B74">
        <w:rPr>
          <w:rFonts w:eastAsia="Calibri" w:cstheme="minorHAnsi"/>
          <w:b/>
          <w:sz w:val="20"/>
          <w:szCs w:val="20"/>
        </w:rPr>
        <w:t>Wollert</w:t>
      </w:r>
      <w:r w:rsidR="00D61FEF" w:rsidRPr="006C7B74">
        <w:rPr>
          <w:rFonts w:eastAsia="Calibri" w:cstheme="minorHAnsi"/>
          <w:sz w:val="20"/>
          <w:szCs w:val="20"/>
        </w:rPr>
        <w:t xml:space="preserve">, </w:t>
      </w:r>
      <w:r w:rsidR="00D82E35" w:rsidRPr="006C7B74">
        <w:rPr>
          <w:rFonts w:eastAsia="Calibri" w:cstheme="minorHAnsi"/>
          <w:sz w:val="20"/>
          <w:szCs w:val="20"/>
        </w:rPr>
        <w:t>160</w:t>
      </w:r>
      <w:r w:rsidR="00FE69CE" w:rsidRPr="006C7B74">
        <w:rPr>
          <w:rFonts w:eastAsia="Calibri" w:cstheme="minorHAnsi"/>
          <w:sz w:val="20"/>
          <w:szCs w:val="20"/>
        </w:rPr>
        <w:t xml:space="preserve"> </w:t>
      </w:r>
      <w:r w:rsidR="006E74AC" w:rsidRPr="006C7B74">
        <w:rPr>
          <w:rFonts w:eastAsia="Calibri" w:cstheme="minorHAnsi"/>
          <w:sz w:val="20"/>
          <w:szCs w:val="20"/>
        </w:rPr>
        <w:t xml:space="preserve">hectares of land for industrial uses is </w:t>
      </w:r>
      <w:r w:rsidRPr="006C7B74">
        <w:rPr>
          <w:rFonts w:eastAsia="Calibri" w:cstheme="minorHAnsi"/>
          <w:sz w:val="20"/>
          <w:szCs w:val="20"/>
        </w:rPr>
        <w:t xml:space="preserve">set aside </w:t>
      </w:r>
      <w:r w:rsidR="00784796" w:rsidRPr="006C7B74">
        <w:rPr>
          <w:rFonts w:eastAsia="Calibri" w:cstheme="minorHAnsi"/>
          <w:sz w:val="20"/>
          <w:szCs w:val="20"/>
        </w:rPr>
        <w:t>adjacent to</w:t>
      </w:r>
      <w:r w:rsidR="006E74AC" w:rsidRPr="006C7B74">
        <w:rPr>
          <w:rFonts w:eastAsia="Calibri" w:cstheme="minorHAnsi"/>
          <w:sz w:val="20"/>
          <w:szCs w:val="20"/>
        </w:rPr>
        <w:t xml:space="preserve"> the proposed </w:t>
      </w:r>
      <w:r w:rsidR="00AF205F" w:rsidRPr="006C7B74">
        <w:rPr>
          <w:rFonts w:eastAsia="Calibri" w:cstheme="minorHAnsi"/>
          <w:sz w:val="20"/>
          <w:szCs w:val="20"/>
        </w:rPr>
        <w:t>OMR</w:t>
      </w:r>
      <w:r w:rsidR="006E74AC" w:rsidRPr="006C7B74">
        <w:rPr>
          <w:rFonts w:eastAsia="Calibri" w:cstheme="minorHAnsi"/>
          <w:sz w:val="20"/>
          <w:szCs w:val="20"/>
        </w:rPr>
        <w:t xml:space="preserve">. The Wollert </w:t>
      </w:r>
      <w:r w:rsidR="00AA2681" w:rsidRPr="006C7B74">
        <w:rPr>
          <w:rFonts w:eastAsia="Calibri" w:cstheme="minorHAnsi"/>
          <w:sz w:val="20"/>
          <w:szCs w:val="20"/>
        </w:rPr>
        <w:t>PSP</w:t>
      </w:r>
      <w:r w:rsidR="006E74AC" w:rsidRPr="006C7B74">
        <w:rPr>
          <w:rFonts w:eastAsia="Calibri" w:cstheme="minorHAnsi"/>
          <w:sz w:val="20"/>
          <w:szCs w:val="20"/>
        </w:rPr>
        <w:t xml:space="preserve"> identifie</w:t>
      </w:r>
      <w:r w:rsidR="00481F7F" w:rsidRPr="006C7B74">
        <w:rPr>
          <w:rFonts w:eastAsia="Calibri" w:cstheme="minorHAnsi"/>
          <w:sz w:val="20"/>
          <w:szCs w:val="20"/>
        </w:rPr>
        <w:t>s</w:t>
      </w:r>
      <w:r w:rsidR="006E74AC" w:rsidRPr="006C7B74">
        <w:rPr>
          <w:rFonts w:eastAsia="Calibri" w:cstheme="minorHAnsi"/>
          <w:sz w:val="20"/>
          <w:szCs w:val="20"/>
        </w:rPr>
        <w:t xml:space="preserve"> the land as </w:t>
      </w:r>
      <w:r w:rsidR="002F15A8" w:rsidRPr="006C7B74">
        <w:rPr>
          <w:rFonts w:eastAsia="Calibri" w:cstheme="minorHAnsi"/>
          <w:sz w:val="20"/>
          <w:szCs w:val="20"/>
        </w:rPr>
        <w:t xml:space="preserve">a </w:t>
      </w:r>
      <w:r w:rsidR="006E74AC" w:rsidRPr="006C7B74">
        <w:rPr>
          <w:rFonts w:eastAsia="Calibri" w:cstheme="minorHAnsi"/>
          <w:sz w:val="20"/>
          <w:szCs w:val="20"/>
        </w:rPr>
        <w:t xml:space="preserve">future general light industrial precinct with </w:t>
      </w:r>
      <w:r w:rsidR="00BC625B" w:rsidRPr="006C7B74">
        <w:rPr>
          <w:rFonts w:eastAsia="Calibri" w:cstheme="minorHAnsi"/>
          <w:sz w:val="20"/>
          <w:szCs w:val="20"/>
        </w:rPr>
        <w:t>large format</w:t>
      </w:r>
      <w:r w:rsidR="006E74AC" w:rsidRPr="006C7B74">
        <w:rPr>
          <w:rFonts w:eastAsia="Calibri" w:cstheme="minorHAnsi"/>
          <w:sz w:val="20"/>
          <w:szCs w:val="20"/>
        </w:rPr>
        <w:t xml:space="preserve"> retail</w:t>
      </w:r>
      <w:r w:rsidR="00BC625B" w:rsidRPr="006C7B74">
        <w:rPr>
          <w:rFonts w:eastAsia="Calibri" w:cstheme="minorHAnsi"/>
          <w:sz w:val="20"/>
          <w:szCs w:val="20"/>
        </w:rPr>
        <w:t>ing</w:t>
      </w:r>
      <w:r w:rsidR="006E74AC" w:rsidRPr="006C7B74">
        <w:rPr>
          <w:rFonts w:eastAsia="Calibri" w:cstheme="minorHAnsi"/>
          <w:sz w:val="20"/>
          <w:szCs w:val="20"/>
        </w:rPr>
        <w:t xml:space="preserve"> on its south west corner. This industrial land functions as a buffer to existing quarry</w:t>
      </w:r>
      <w:r w:rsidR="00164345" w:rsidRPr="006C7B74">
        <w:rPr>
          <w:rFonts w:eastAsia="Calibri" w:cstheme="minorHAnsi"/>
          <w:sz w:val="20"/>
          <w:szCs w:val="20"/>
        </w:rPr>
        <w:t xml:space="preserve"> and </w:t>
      </w:r>
      <w:r w:rsidR="006E74AC" w:rsidRPr="006C7B74">
        <w:rPr>
          <w:rFonts w:eastAsia="Calibri" w:cstheme="minorHAnsi"/>
          <w:sz w:val="20"/>
          <w:szCs w:val="20"/>
        </w:rPr>
        <w:t>landfill site</w:t>
      </w:r>
      <w:r w:rsidR="00164345" w:rsidRPr="006C7B74">
        <w:rPr>
          <w:rFonts w:eastAsia="Calibri" w:cstheme="minorHAnsi"/>
          <w:sz w:val="20"/>
          <w:szCs w:val="20"/>
        </w:rPr>
        <w:t>s.</w:t>
      </w:r>
    </w:p>
    <w:p w14:paraId="4CAAB7AE" w14:textId="1F63D766" w:rsidR="002265FE" w:rsidRPr="006C7B74" w:rsidRDefault="002265FE" w:rsidP="006E74AC">
      <w:pPr>
        <w:spacing w:after="120"/>
        <w:rPr>
          <w:rFonts w:eastAsia="Calibri" w:cstheme="minorHAnsi"/>
          <w:sz w:val="20"/>
          <w:szCs w:val="20"/>
        </w:rPr>
      </w:pPr>
      <w:r w:rsidRPr="006C7B74">
        <w:rPr>
          <w:rFonts w:eastAsia="Calibri" w:cstheme="minorHAnsi"/>
          <w:sz w:val="20"/>
          <w:szCs w:val="20"/>
        </w:rPr>
        <w:t xml:space="preserve">In </w:t>
      </w:r>
      <w:r w:rsidRPr="006C7B74">
        <w:rPr>
          <w:rFonts w:eastAsia="Calibri" w:cstheme="minorHAnsi"/>
          <w:b/>
          <w:sz w:val="20"/>
          <w:szCs w:val="20"/>
        </w:rPr>
        <w:t>Sunbury South</w:t>
      </w:r>
      <w:r w:rsidR="00625C6E" w:rsidRPr="006C7B74">
        <w:rPr>
          <w:rFonts w:eastAsia="Calibri" w:cstheme="minorHAnsi"/>
          <w:sz w:val="20"/>
          <w:szCs w:val="20"/>
        </w:rPr>
        <w:t xml:space="preserve"> there is </w:t>
      </w:r>
      <w:r w:rsidR="00271E1A" w:rsidRPr="006C7B74">
        <w:rPr>
          <w:rFonts w:eastAsia="Calibri" w:cstheme="minorHAnsi"/>
          <w:sz w:val="20"/>
          <w:szCs w:val="20"/>
        </w:rPr>
        <w:t>just under 60</w:t>
      </w:r>
      <w:r w:rsidR="00625C6E" w:rsidRPr="006C7B74">
        <w:rPr>
          <w:rFonts w:eastAsia="Calibri" w:cstheme="minorHAnsi"/>
          <w:sz w:val="20"/>
          <w:szCs w:val="20"/>
        </w:rPr>
        <w:t xml:space="preserve"> hectares of land set aside for future industrial purposes. </w:t>
      </w:r>
      <w:r w:rsidR="00864590" w:rsidRPr="006C7B74">
        <w:rPr>
          <w:rFonts w:eastAsia="Calibri" w:cstheme="minorHAnsi"/>
          <w:sz w:val="20"/>
          <w:szCs w:val="20"/>
        </w:rPr>
        <w:t xml:space="preserve">As well as providing important employment land with good access, the area also provides an important buffer to </w:t>
      </w:r>
      <w:r w:rsidR="00CE468E" w:rsidRPr="006C7B74">
        <w:rPr>
          <w:rFonts w:eastAsia="Calibri" w:cstheme="minorHAnsi"/>
          <w:sz w:val="20"/>
          <w:szCs w:val="20"/>
        </w:rPr>
        <w:t>existing landfill and quarrying operations.</w:t>
      </w:r>
      <w:r w:rsidR="00625C6E" w:rsidRPr="006C7B74">
        <w:rPr>
          <w:rFonts w:eastAsia="Calibri" w:cstheme="minorHAnsi"/>
          <w:sz w:val="20"/>
          <w:szCs w:val="20"/>
        </w:rPr>
        <w:t xml:space="preserve"> </w:t>
      </w:r>
    </w:p>
    <w:p w14:paraId="680B9E41" w14:textId="27B08144" w:rsidR="002305F4" w:rsidRPr="006C7B74" w:rsidRDefault="002305F4" w:rsidP="00934C4D">
      <w:pPr>
        <w:spacing w:after="120"/>
        <w:rPr>
          <w:rFonts w:eastAsia="Calibri" w:cstheme="minorHAnsi"/>
          <w:sz w:val="20"/>
          <w:szCs w:val="20"/>
        </w:rPr>
      </w:pPr>
      <w:r w:rsidRPr="006C7B74">
        <w:rPr>
          <w:rFonts w:eastAsia="Calibri" w:cstheme="minorHAnsi"/>
          <w:b/>
          <w:bCs/>
          <w:sz w:val="20"/>
          <w:szCs w:val="20"/>
        </w:rPr>
        <w:t>Melbourne Airport</w:t>
      </w:r>
      <w:r w:rsidRPr="006C7B74">
        <w:rPr>
          <w:rFonts w:eastAsia="Calibri" w:cstheme="minorHAnsi"/>
          <w:sz w:val="20"/>
          <w:szCs w:val="20"/>
        </w:rPr>
        <w:t xml:space="preserve"> is the region’s largest employer with key industrial precincts </w:t>
      </w:r>
      <w:r w:rsidR="00EF08C8" w:rsidRPr="006C7B74">
        <w:rPr>
          <w:rFonts w:eastAsia="Calibri" w:cstheme="minorHAnsi"/>
          <w:sz w:val="20"/>
          <w:szCs w:val="20"/>
        </w:rPr>
        <w:t>located</w:t>
      </w:r>
      <w:r w:rsidRPr="006C7B74">
        <w:rPr>
          <w:rFonts w:eastAsia="Calibri" w:cstheme="minorHAnsi"/>
          <w:sz w:val="20"/>
          <w:szCs w:val="20"/>
        </w:rPr>
        <w:t xml:space="preserve"> to its south and east. The Melbourne Airport will continue </w:t>
      </w:r>
      <w:r w:rsidR="008C2B7B" w:rsidRPr="006C7B74">
        <w:rPr>
          <w:rFonts w:eastAsia="Calibri" w:cstheme="minorHAnsi"/>
          <w:sz w:val="20"/>
          <w:szCs w:val="20"/>
        </w:rPr>
        <w:t xml:space="preserve">to </w:t>
      </w:r>
      <w:r w:rsidRPr="006C7B74">
        <w:rPr>
          <w:rFonts w:eastAsia="Calibri" w:cstheme="minorHAnsi"/>
          <w:sz w:val="20"/>
          <w:szCs w:val="20"/>
        </w:rPr>
        <w:t>play an important role in providing for</w:t>
      </w:r>
      <w:r w:rsidRPr="006C7B74">
        <w:rPr>
          <w:rFonts w:eastAsia="Calibri" w:cstheme="minorHAnsi"/>
          <w:color w:val="414142"/>
          <w:sz w:val="20"/>
          <w:szCs w:val="20"/>
        </w:rPr>
        <w:t xml:space="preserve"> a range of aviation and non-aviation uses. </w:t>
      </w:r>
      <w:r w:rsidR="00EF7B85" w:rsidRPr="006C7B74">
        <w:rPr>
          <w:rFonts w:eastAsia="Calibri" w:cstheme="minorHAnsi"/>
          <w:color w:val="414142"/>
          <w:sz w:val="20"/>
          <w:szCs w:val="20"/>
        </w:rPr>
        <w:t>East and s</w:t>
      </w:r>
      <w:r w:rsidRPr="006C7B74">
        <w:rPr>
          <w:rFonts w:eastAsia="Calibri" w:cstheme="minorHAnsi"/>
          <w:color w:val="414142"/>
          <w:sz w:val="20"/>
          <w:szCs w:val="20"/>
        </w:rPr>
        <w:t xml:space="preserve">outh of the airport </w:t>
      </w:r>
      <w:r w:rsidR="00EF7B85" w:rsidRPr="006C7B74">
        <w:rPr>
          <w:rFonts w:eastAsia="Calibri" w:cstheme="minorHAnsi"/>
          <w:color w:val="414142"/>
          <w:sz w:val="20"/>
          <w:szCs w:val="20"/>
        </w:rPr>
        <w:t>are</w:t>
      </w:r>
      <w:r w:rsidRPr="006C7B74">
        <w:rPr>
          <w:rFonts w:eastAsia="Calibri" w:cstheme="minorHAnsi"/>
          <w:color w:val="414142"/>
          <w:sz w:val="20"/>
          <w:szCs w:val="20"/>
        </w:rPr>
        <w:t xml:space="preserve"> established precinct</w:t>
      </w:r>
      <w:r w:rsidR="00EF7B85" w:rsidRPr="006C7B74">
        <w:rPr>
          <w:rFonts w:eastAsia="Calibri" w:cstheme="minorHAnsi"/>
          <w:color w:val="414142"/>
          <w:sz w:val="20"/>
          <w:szCs w:val="20"/>
        </w:rPr>
        <w:t>s</w:t>
      </w:r>
      <w:r w:rsidRPr="006C7B74">
        <w:rPr>
          <w:rFonts w:eastAsia="Calibri" w:cstheme="minorHAnsi"/>
          <w:color w:val="414142"/>
          <w:sz w:val="20"/>
          <w:szCs w:val="20"/>
        </w:rPr>
        <w:t xml:space="preserve">, that </w:t>
      </w:r>
      <w:r w:rsidR="00EF08C8" w:rsidRPr="006C7B74">
        <w:rPr>
          <w:rFonts w:eastAsia="Calibri" w:cstheme="minorHAnsi"/>
          <w:sz w:val="20"/>
          <w:szCs w:val="20"/>
        </w:rPr>
        <w:t>combined</w:t>
      </w:r>
      <w:r w:rsidRPr="006C7B74">
        <w:rPr>
          <w:rFonts w:eastAsia="Calibri" w:cstheme="minorHAnsi"/>
          <w:sz w:val="20"/>
          <w:szCs w:val="20"/>
        </w:rPr>
        <w:t xml:space="preserve"> with the Tullamarine and Keilor Park Industrial Precinct in </w:t>
      </w:r>
      <w:proofErr w:type="spellStart"/>
      <w:r w:rsidRPr="006C7B74">
        <w:rPr>
          <w:rFonts w:eastAsia="Calibri" w:cstheme="minorHAnsi"/>
          <w:sz w:val="20"/>
          <w:szCs w:val="20"/>
        </w:rPr>
        <w:t>Brimbank</w:t>
      </w:r>
      <w:proofErr w:type="spellEnd"/>
      <w:r w:rsidR="00C22D7B" w:rsidRPr="006C7B74">
        <w:rPr>
          <w:rFonts w:eastAsia="Calibri" w:cstheme="minorHAnsi"/>
          <w:sz w:val="20"/>
          <w:szCs w:val="20"/>
        </w:rPr>
        <w:t>,</w:t>
      </w:r>
      <w:r w:rsidRPr="006C7B74">
        <w:rPr>
          <w:rFonts w:eastAsia="Calibri" w:cstheme="minorHAnsi"/>
          <w:sz w:val="20"/>
          <w:szCs w:val="20"/>
        </w:rPr>
        <w:t xml:space="preserve"> form a large cluster of industrial land located </w:t>
      </w:r>
      <w:r w:rsidR="00EF7B85" w:rsidRPr="006C7B74">
        <w:rPr>
          <w:rFonts w:eastAsia="Calibri" w:cstheme="minorHAnsi"/>
          <w:sz w:val="20"/>
          <w:szCs w:val="20"/>
        </w:rPr>
        <w:t>adjacent to</w:t>
      </w:r>
      <w:r w:rsidRPr="006C7B74">
        <w:rPr>
          <w:rFonts w:eastAsia="Calibri" w:cstheme="minorHAnsi"/>
          <w:sz w:val="20"/>
          <w:szCs w:val="20"/>
        </w:rPr>
        <w:t xml:space="preserve"> the airport</w:t>
      </w:r>
      <w:r w:rsidR="0056182E" w:rsidRPr="006C7B74">
        <w:rPr>
          <w:rFonts w:eastAsia="Calibri" w:cstheme="minorHAnsi"/>
          <w:sz w:val="20"/>
          <w:szCs w:val="20"/>
        </w:rPr>
        <w:t>,</w:t>
      </w:r>
      <w:r w:rsidR="00EF7B85" w:rsidRPr="006C7B74">
        <w:rPr>
          <w:rFonts w:eastAsia="Calibri" w:cstheme="minorHAnsi"/>
          <w:sz w:val="20"/>
          <w:szCs w:val="20"/>
        </w:rPr>
        <w:t xml:space="preserve"> that support a range of transport and logistics, wholesale trade and other sectors that require </w:t>
      </w:r>
      <w:r w:rsidR="00797214" w:rsidRPr="006C7B74">
        <w:rPr>
          <w:rFonts w:eastAsia="Calibri" w:cstheme="minorHAnsi"/>
          <w:sz w:val="20"/>
          <w:szCs w:val="20"/>
        </w:rPr>
        <w:t xml:space="preserve">easy </w:t>
      </w:r>
      <w:r w:rsidR="00EF7B85" w:rsidRPr="006C7B74">
        <w:rPr>
          <w:rFonts w:eastAsia="Calibri" w:cstheme="minorHAnsi"/>
          <w:sz w:val="20"/>
          <w:szCs w:val="20"/>
        </w:rPr>
        <w:t>access to the airport</w:t>
      </w:r>
      <w:r w:rsidRPr="006C7B74">
        <w:rPr>
          <w:rFonts w:eastAsia="Calibri" w:cstheme="minorHAnsi"/>
          <w:sz w:val="20"/>
          <w:szCs w:val="20"/>
        </w:rPr>
        <w:t>.</w:t>
      </w:r>
      <w:r w:rsidR="007C154C" w:rsidRPr="006C7B74">
        <w:rPr>
          <w:rFonts w:eastAsia="Calibri" w:cstheme="minorHAnsi"/>
          <w:sz w:val="20"/>
          <w:szCs w:val="20"/>
        </w:rPr>
        <w:t xml:space="preserve"> </w:t>
      </w:r>
    </w:p>
    <w:p w14:paraId="0D74CE0D" w14:textId="12EC3A9E" w:rsidR="00237FC6" w:rsidRPr="006C7B74" w:rsidRDefault="00032CF5" w:rsidP="00032CF5">
      <w:pPr>
        <w:spacing w:after="120"/>
        <w:rPr>
          <w:rFonts w:cstheme="minorHAnsi"/>
          <w:sz w:val="20"/>
          <w:szCs w:val="20"/>
        </w:rPr>
      </w:pPr>
      <w:r w:rsidRPr="006C7B74">
        <w:rPr>
          <w:rFonts w:cstheme="minorHAnsi"/>
          <w:sz w:val="20"/>
          <w:szCs w:val="20"/>
        </w:rPr>
        <w:t xml:space="preserve">The </w:t>
      </w:r>
      <w:r w:rsidRPr="006C7B74">
        <w:rPr>
          <w:rFonts w:cstheme="minorHAnsi"/>
          <w:b/>
          <w:sz w:val="20"/>
          <w:szCs w:val="20"/>
        </w:rPr>
        <w:t>La Trobe NEIC</w:t>
      </w:r>
      <w:r w:rsidRPr="006C7B74">
        <w:rPr>
          <w:rFonts w:cstheme="minorHAnsi"/>
          <w:sz w:val="20"/>
          <w:szCs w:val="20"/>
        </w:rPr>
        <w:t xml:space="preserve"> </w:t>
      </w:r>
      <w:r w:rsidR="00EF7B85" w:rsidRPr="006C7B74">
        <w:rPr>
          <w:rFonts w:cstheme="minorHAnsi"/>
          <w:sz w:val="20"/>
          <w:szCs w:val="20"/>
        </w:rPr>
        <w:t xml:space="preserve">includes La Trobe University, the Northland Shopping Centre and the Austin Biomedical Alliance Precinct, plus a concentration of other health, research, commercial and retail activities in and around the Heidelberg Major Activity Centre. It </w:t>
      </w:r>
      <w:r w:rsidRPr="006C7B74">
        <w:rPr>
          <w:rFonts w:cstheme="minorHAnsi"/>
          <w:sz w:val="20"/>
          <w:szCs w:val="20"/>
        </w:rPr>
        <w:t xml:space="preserve">has strengths in education, research, health and retail with approximately 28,700 jobs in the cluster. La Trobe University is continuing to expand its education and research activities, particularly in the biosciences. </w:t>
      </w:r>
    </w:p>
    <w:p w14:paraId="08FBC5C1" w14:textId="1099BB22" w:rsidR="00032CF5" w:rsidRPr="006C7B74" w:rsidRDefault="00237FC6" w:rsidP="00032CF5">
      <w:pPr>
        <w:spacing w:after="120"/>
        <w:rPr>
          <w:rFonts w:cstheme="minorHAnsi"/>
          <w:sz w:val="20"/>
          <w:szCs w:val="20"/>
        </w:rPr>
      </w:pPr>
      <w:r w:rsidRPr="006C7B74">
        <w:rPr>
          <w:rFonts w:eastAsia="Calibri" w:cstheme="minorHAnsi"/>
          <w:sz w:val="20"/>
          <w:szCs w:val="20"/>
        </w:rPr>
        <w:t xml:space="preserve">The </w:t>
      </w:r>
      <w:r w:rsidRPr="006C7B74">
        <w:rPr>
          <w:rFonts w:eastAsia="Calibri" w:cstheme="minorHAnsi"/>
          <w:b/>
          <w:sz w:val="20"/>
          <w:szCs w:val="20"/>
        </w:rPr>
        <w:t xml:space="preserve">Heidelberg </w:t>
      </w:r>
      <w:r w:rsidR="002D1613" w:rsidRPr="006C7B74">
        <w:rPr>
          <w:rFonts w:eastAsia="Calibri" w:cstheme="minorHAnsi"/>
          <w:b/>
          <w:sz w:val="20"/>
          <w:szCs w:val="20"/>
        </w:rPr>
        <w:t xml:space="preserve">West </w:t>
      </w:r>
      <w:r w:rsidR="002D1613">
        <w:rPr>
          <w:rFonts w:eastAsia="Calibri" w:cstheme="minorHAnsi"/>
          <w:b/>
          <w:sz w:val="20"/>
          <w:szCs w:val="20"/>
        </w:rPr>
        <w:t>Business Park</w:t>
      </w:r>
      <w:r w:rsidRPr="006C7B74">
        <w:rPr>
          <w:rFonts w:eastAsia="Calibri" w:cstheme="minorHAnsi"/>
          <w:sz w:val="20"/>
          <w:szCs w:val="20"/>
        </w:rPr>
        <w:t xml:space="preserve"> is the main industrial area in the municipality of Banyule and is located adjacent to La Trobe University</w:t>
      </w:r>
      <w:r w:rsidR="002D1613">
        <w:rPr>
          <w:rFonts w:eastAsia="Calibri" w:cstheme="minorHAnsi"/>
          <w:sz w:val="20"/>
          <w:szCs w:val="20"/>
        </w:rPr>
        <w:t xml:space="preserve"> within the La Trobe NEIC</w:t>
      </w:r>
      <w:r w:rsidRPr="006C7B74">
        <w:rPr>
          <w:rFonts w:eastAsia="Calibri" w:cstheme="minorHAnsi"/>
          <w:sz w:val="20"/>
          <w:szCs w:val="20"/>
        </w:rPr>
        <w:t xml:space="preserve">. It houses a range of manufacturing, construction, wholesale trade and motor </w:t>
      </w:r>
      <w:r w:rsidR="00DA66C2" w:rsidRPr="006C7B74">
        <w:rPr>
          <w:rFonts w:eastAsia="Calibri" w:cstheme="minorHAnsi"/>
          <w:sz w:val="20"/>
          <w:szCs w:val="20"/>
        </w:rPr>
        <w:t>industry</w:t>
      </w:r>
      <w:r w:rsidRPr="006C7B74">
        <w:rPr>
          <w:rFonts w:eastAsia="Calibri" w:cstheme="minorHAnsi"/>
          <w:sz w:val="20"/>
          <w:szCs w:val="20"/>
        </w:rPr>
        <w:t xml:space="preserve"> business</w:t>
      </w:r>
      <w:r w:rsidR="008450E6" w:rsidRPr="006C7B74">
        <w:rPr>
          <w:rFonts w:eastAsia="Calibri" w:cstheme="minorHAnsi"/>
          <w:sz w:val="20"/>
          <w:szCs w:val="20"/>
        </w:rPr>
        <w:t>es</w:t>
      </w:r>
      <w:r w:rsidR="00634EB9" w:rsidRPr="006C7B74">
        <w:rPr>
          <w:rFonts w:eastAsia="Calibri" w:cstheme="minorHAnsi"/>
          <w:sz w:val="20"/>
          <w:szCs w:val="20"/>
        </w:rPr>
        <w:t>.</w:t>
      </w:r>
      <w:r w:rsidR="00AE4B8F">
        <w:rPr>
          <w:rFonts w:eastAsia="Calibri" w:cstheme="minorHAnsi"/>
          <w:sz w:val="20"/>
          <w:szCs w:val="20"/>
        </w:rPr>
        <w:t xml:space="preserve"> </w:t>
      </w:r>
      <w:r w:rsidR="00D255F7">
        <w:rPr>
          <w:rFonts w:eastAsia="Calibri" w:cstheme="minorHAnsi"/>
          <w:sz w:val="20"/>
          <w:szCs w:val="20"/>
        </w:rPr>
        <w:t xml:space="preserve">There is </w:t>
      </w:r>
      <w:r w:rsidR="00A937A5">
        <w:rPr>
          <w:rFonts w:eastAsia="Calibri" w:cstheme="minorHAnsi"/>
          <w:sz w:val="20"/>
          <w:szCs w:val="20"/>
        </w:rPr>
        <w:t>opportunity</w:t>
      </w:r>
      <w:r w:rsidR="00AE4B8F">
        <w:rPr>
          <w:rFonts w:eastAsia="Calibri" w:cstheme="minorHAnsi"/>
          <w:sz w:val="20"/>
          <w:szCs w:val="20"/>
        </w:rPr>
        <w:t xml:space="preserve"> </w:t>
      </w:r>
      <w:r w:rsidR="00D255F7">
        <w:rPr>
          <w:rFonts w:eastAsia="Calibri" w:cstheme="minorHAnsi"/>
          <w:sz w:val="20"/>
          <w:szCs w:val="20"/>
        </w:rPr>
        <w:t>for it to</w:t>
      </w:r>
      <w:r w:rsidR="00AE4B8F">
        <w:rPr>
          <w:rFonts w:eastAsia="Calibri" w:cstheme="minorHAnsi"/>
          <w:sz w:val="20"/>
          <w:szCs w:val="20"/>
        </w:rPr>
        <w:t xml:space="preserve"> evolv</w:t>
      </w:r>
      <w:r w:rsidR="00134CAC">
        <w:rPr>
          <w:rFonts w:eastAsia="Calibri" w:cstheme="minorHAnsi"/>
          <w:sz w:val="20"/>
          <w:szCs w:val="20"/>
        </w:rPr>
        <w:t>e</w:t>
      </w:r>
      <w:r w:rsidR="00084F84">
        <w:rPr>
          <w:rFonts w:eastAsia="Calibri" w:cstheme="minorHAnsi"/>
          <w:sz w:val="20"/>
          <w:szCs w:val="20"/>
        </w:rPr>
        <w:t xml:space="preserve"> support</w:t>
      </w:r>
      <w:r w:rsidR="00381782">
        <w:rPr>
          <w:rFonts w:eastAsia="Calibri" w:cstheme="minorHAnsi"/>
          <w:sz w:val="20"/>
          <w:szCs w:val="20"/>
        </w:rPr>
        <w:t>ing</w:t>
      </w:r>
      <w:r w:rsidR="00084F84">
        <w:rPr>
          <w:rFonts w:eastAsia="Calibri" w:cstheme="minorHAnsi"/>
          <w:sz w:val="20"/>
          <w:szCs w:val="20"/>
        </w:rPr>
        <w:t xml:space="preserve"> higher technology production and services</w:t>
      </w:r>
      <w:r w:rsidR="0030145F">
        <w:rPr>
          <w:rFonts w:eastAsia="Calibri" w:cstheme="minorHAnsi"/>
          <w:sz w:val="20"/>
          <w:szCs w:val="20"/>
        </w:rPr>
        <w:t>.</w:t>
      </w:r>
    </w:p>
    <w:p w14:paraId="6242393F" w14:textId="5F291232" w:rsidR="002305F4" w:rsidRPr="006C7B74" w:rsidRDefault="002305F4" w:rsidP="00934C4D">
      <w:pPr>
        <w:spacing w:after="120"/>
        <w:rPr>
          <w:rFonts w:eastAsia="Calibri" w:cstheme="minorHAnsi"/>
          <w:sz w:val="20"/>
          <w:szCs w:val="20"/>
        </w:rPr>
      </w:pPr>
      <w:r w:rsidRPr="006C7B74">
        <w:rPr>
          <w:rFonts w:eastAsia="Calibri" w:cstheme="minorHAnsi"/>
          <w:sz w:val="20"/>
          <w:szCs w:val="20"/>
        </w:rPr>
        <w:t xml:space="preserve">Further to the south, the </w:t>
      </w:r>
      <w:r w:rsidRPr="006C7B74">
        <w:rPr>
          <w:rFonts w:eastAsia="Calibri" w:cstheme="minorHAnsi"/>
          <w:b/>
          <w:sz w:val="20"/>
          <w:szCs w:val="20"/>
        </w:rPr>
        <w:t>East Preston Industrial Precinct</w:t>
      </w:r>
      <w:r w:rsidRPr="006C7B74">
        <w:rPr>
          <w:rFonts w:eastAsia="Calibri" w:cstheme="minorHAnsi"/>
          <w:sz w:val="20"/>
          <w:szCs w:val="20"/>
        </w:rPr>
        <w:t xml:space="preserve"> is Darebin’s largest industrial area including manufacturing, light industrial</w:t>
      </w:r>
      <w:r w:rsidR="00681B37" w:rsidRPr="006C7B74">
        <w:rPr>
          <w:rFonts w:eastAsia="Calibri" w:cstheme="minorHAnsi"/>
          <w:sz w:val="20"/>
          <w:szCs w:val="20"/>
        </w:rPr>
        <w:t xml:space="preserve"> and</w:t>
      </w:r>
      <w:r w:rsidRPr="006C7B74">
        <w:rPr>
          <w:rFonts w:eastAsia="Calibri" w:cstheme="minorHAnsi"/>
          <w:sz w:val="20"/>
          <w:szCs w:val="20"/>
        </w:rPr>
        <w:t xml:space="preserve"> restricted retailing</w:t>
      </w:r>
      <w:r w:rsidR="00AB73E9">
        <w:rPr>
          <w:rFonts w:eastAsia="Calibri" w:cstheme="minorHAnsi"/>
          <w:sz w:val="20"/>
          <w:szCs w:val="20"/>
        </w:rPr>
        <w:t xml:space="preserve">. It </w:t>
      </w:r>
      <w:r w:rsidR="00535011">
        <w:rPr>
          <w:rFonts w:eastAsia="Calibri" w:cstheme="minorHAnsi"/>
          <w:sz w:val="20"/>
          <w:szCs w:val="20"/>
        </w:rPr>
        <w:t xml:space="preserve">is </w:t>
      </w:r>
      <w:r w:rsidR="00AB73E9">
        <w:rPr>
          <w:rFonts w:eastAsia="Calibri" w:cstheme="minorHAnsi"/>
          <w:sz w:val="20"/>
          <w:szCs w:val="20"/>
        </w:rPr>
        <w:t xml:space="preserve">included </w:t>
      </w:r>
      <w:r w:rsidR="00535011">
        <w:rPr>
          <w:rFonts w:eastAsia="Calibri" w:cstheme="minorHAnsi"/>
          <w:sz w:val="20"/>
          <w:szCs w:val="20"/>
        </w:rPr>
        <w:t xml:space="preserve">in </w:t>
      </w:r>
      <w:r w:rsidR="00AB73E9">
        <w:rPr>
          <w:rFonts w:eastAsia="Calibri" w:cstheme="minorHAnsi"/>
          <w:sz w:val="20"/>
          <w:szCs w:val="20"/>
        </w:rPr>
        <w:t xml:space="preserve">the </w:t>
      </w:r>
      <w:r w:rsidR="00AB73E9" w:rsidRPr="0039554B">
        <w:rPr>
          <w:rFonts w:eastAsia="Calibri" w:cstheme="minorHAnsi"/>
          <w:sz w:val="20"/>
          <w:szCs w:val="20"/>
        </w:rPr>
        <w:t>Northland Urban Renewal Precinct</w:t>
      </w:r>
      <w:r w:rsidR="00665FFC" w:rsidRPr="0039554B">
        <w:rPr>
          <w:rFonts w:eastAsia="Calibri" w:cstheme="minorHAnsi"/>
          <w:sz w:val="20"/>
          <w:szCs w:val="20"/>
        </w:rPr>
        <w:t>,</w:t>
      </w:r>
      <w:r w:rsidR="00AB73E9" w:rsidRPr="0039554B">
        <w:rPr>
          <w:rFonts w:eastAsia="Calibri" w:cstheme="minorHAnsi"/>
          <w:sz w:val="20"/>
          <w:szCs w:val="20"/>
        </w:rPr>
        <w:t xml:space="preserve"> a long-term planning project with </w:t>
      </w:r>
      <w:proofErr w:type="gramStart"/>
      <w:r w:rsidR="00AB73E9" w:rsidRPr="0039554B">
        <w:rPr>
          <w:rFonts w:eastAsia="Calibri" w:cstheme="minorHAnsi"/>
          <w:sz w:val="20"/>
          <w:szCs w:val="20"/>
        </w:rPr>
        <w:t>an</w:t>
      </w:r>
      <w:proofErr w:type="gramEnd"/>
      <w:r w:rsidR="00AB73E9" w:rsidRPr="0039554B">
        <w:rPr>
          <w:rFonts w:eastAsia="Calibri" w:cstheme="minorHAnsi"/>
          <w:sz w:val="20"/>
          <w:szCs w:val="20"/>
        </w:rPr>
        <w:t xml:space="preserve"> horizon of 30+ years</w:t>
      </w:r>
      <w:r w:rsidR="00665FFC" w:rsidRPr="0039554B">
        <w:rPr>
          <w:rFonts w:eastAsia="Calibri" w:cstheme="minorHAnsi"/>
          <w:sz w:val="20"/>
          <w:szCs w:val="20"/>
        </w:rPr>
        <w:t xml:space="preserve"> being undertake</w:t>
      </w:r>
      <w:r w:rsidR="004A72A6" w:rsidRPr="0039554B">
        <w:rPr>
          <w:rFonts w:eastAsia="Calibri" w:cstheme="minorHAnsi"/>
          <w:sz w:val="20"/>
          <w:szCs w:val="20"/>
        </w:rPr>
        <w:t>n</w:t>
      </w:r>
      <w:r w:rsidR="00665FFC" w:rsidRPr="0039554B">
        <w:rPr>
          <w:rFonts w:eastAsia="Calibri" w:cstheme="minorHAnsi"/>
          <w:sz w:val="20"/>
          <w:szCs w:val="20"/>
        </w:rPr>
        <w:t xml:space="preserve"> by council</w:t>
      </w:r>
      <w:r w:rsidRPr="006C7B74">
        <w:rPr>
          <w:rFonts w:eastAsia="Calibri" w:cstheme="minorHAnsi"/>
          <w:sz w:val="20"/>
          <w:szCs w:val="20"/>
        </w:rPr>
        <w:t xml:space="preserve">. </w:t>
      </w:r>
      <w:r w:rsidRPr="0039554B">
        <w:rPr>
          <w:rFonts w:eastAsia="Calibri" w:cstheme="minorHAnsi"/>
          <w:sz w:val="20"/>
          <w:szCs w:val="20"/>
        </w:rPr>
        <w:t>The</w:t>
      </w:r>
      <w:r w:rsidRPr="006C7B74">
        <w:rPr>
          <w:rFonts w:eastAsia="Calibri" w:cstheme="minorHAnsi"/>
          <w:b/>
          <w:sz w:val="20"/>
          <w:szCs w:val="20"/>
        </w:rPr>
        <w:t xml:space="preserve"> Fairfield </w:t>
      </w:r>
      <w:r w:rsidR="00C66BC0" w:rsidRPr="006C7B74">
        <w:rPr>
          <w:rFonts w:eastAsia="Calibri" w:cstheme="minorHAnsi"/>
          <w:b/>
          <w:sz w:val="20"/>
          <w:szCs w:val="20"/>
        </w:rPr>
        <w:t>I</w:t>
      </w:r>
      <w:r w:rsidRPr="006C7B74">
        <w:rPr>
          <w:rFonts w:eastAsia="Calibri" w:cstheme="minorHAnsi"/>
          <w:b/>
          <w:sz w:val="20"/>
          <w:szCs w:val="20"/>
        </w:rPr>
        <w:t xml:space="preserve">ndustrial </w:t>
      </w:r>
      <w:r w:rsidR="00C66BC0" w:rsidRPr="006C7B74">
        <w:rPr>
          <w:rFonts w:eastAsia="Calibri" w:cstheme="minorHAnsi"/>
          <w:b/>
          <w:sz w:val="20"/>
          <w:szCs w:val="20"/>
        </w:rPr>
        <w:lastRenderedPageBreak/>
        <w:t>P</w:t>
      </w:r>
      <w:r w:rsidRPr="006C7B74">
        <w:rPr>
          <w:rFonts w:eastAsia="Calibri" w:cstheme="minorHAnsi"/>
          <w:b/>
          <w:sz w:val="20"/>
          <w:szCs w:val="20"/>
        </w:rPr>
        <w:t>recinct</w:t>
      </w:r>
      <w:r w:rsidRPr="006C7B74">
        <w:rPr>
          <w:rFonts w:eastAsia="Calibri" w:cstheme="minorHAnsi"/>
          <w:sz w:val="20"/>
          <w:szCs w:val="20"/>
        </w:rPr>
        <w:t xml:space="preserve"> is used for industry, wholesale and retail trade as well as service industries and includes higher </w:t>
      </w:r>
      <w:proofErr w:type="gramStart"/>
      <w:r w:rsidRPr="006C7B74">
        <w:rPr>
          <w:rFonts w:eastAsia="Calibri" w:cstheme="minorHAnsi"/>
          <w:sz w:val="20"/>
          <w:szCs w:val="20"/>
        </w:rPr>
        <w:t>density built</w:t>
      </w:r>
      <w:proofErr w:type="gramEnd"/>
      <w:r w:rsidRPr="006C7B74">
        <w:rPr>
          <w:rFonts w:eastAsia="Calibri" w:cstheme="minorHAnsi"/>
          <w:sz w:val="20"/>
          <w:szCs w:val="20"/>
        </w:rPr>
        <w:t xml:space="preserve"> form. These precincts have a good access to</w:t>
      </w:r>
      <w:r w:rsidR="00600EC6" w:rsidRPr="006C7B74">
        <w:rPr>
          <w:rFonts w:eastAsia="Calibri" w:cstheme="minorHAnsi"/>
          <w:sz w:val="20"/>
          <w:szCs w:val="20"/>
        </w:rPr>
        <w:t xml:space="preserve"> a</w:t>
      </w:r>
      <w:r w:rsidRPr="006C7B74">
        <w:rPr>
          <w:rFonts w:eastAsia="Calibri" w:cstheme="minorHAnsi"/>
          <w:sz w:val="20"/>
          <w:szCs w:val="20"/>
        </w:rPr>
        <w:t xml:space="preserve"> skilled </w:t>
      </w:r>
      <w:proofErr w:type="gramStart"/>
      <w:r w:rsidRPr="006C7B74">
        <w:rPr>
          <w:rFonts w:eastAsia="Calibri" w:cstheme="minorHAnsi"/>
          <w:sz w:val="20"/>
          <w:szCs w:val="20"/>
        </w:rPr>
        <w:t>workforce</w:t>
      </w:r>
      <w:r w:rsidR="00EF7B85" w:rsidRPr="006C7B74">
        <w:rPr>
          <w:rFonts w:eastAsia="Calibri" w:cstheme="minorHAnsi"/>
          <w:sz w:val="20"/>
          <w:szCs w:val="20"/>
        </w:rPr>
        <w:t>,</w:t>
      </w:r>
      <w:proofErr w:type="gramEnd"/>
      <w:r w:rsidR="00EF7B85" w:rsidRPr="006C7B74">
        <w:rPr>
          <w:rFonts w:eastAsia="Calibri" w:cstheme="minorHAnsi"/>
          <w:sz w:val="20"/>
          <w:szCs w:val="20"/>
        </w:rPr>
        <w:t xml:space="preserve"> h</w:t>
      </w:r>
      <w:r w:rsidRPr="006C7B74">
        <w:rPr>
          <w:rFonts w:eastAsia="Calibri" w:cstheme="minorHAnsi"/>
          <w:sz w:val="20"/>
          <w:szCs w:val="20"/>
        </w:rPr>
        <w:t xml:space="preserve">owever they are </w:t>
      </w:r>
      <w:r w:rsidR="00EF7B85" w:rsidRPr="006C7B74">
        <w:rPr>
          <w:rFonts w:eastAsia="Calibri" w:cstheme="minorHAnsi"/>
          <w:sz w:val="20"/>
          <w:szCs w:val="20"/>
        </w:rPr>
        <w:t>limited</w:t>
      </w:r>
      <w:r w:rsidRPr="006C7B74">
        <w:rPr>
          <w:rFonts w:eastAsia="Calibri" w:cstheme="minorHAnsi"/>
          <w:sz w:val="20"/>
          <w:szCs w:val="20"/>
        </w:rPr>
        <w:t xml:space="preserve"> by adjacent residential use</w:t>
      </w:r>
      <w:r w:rsidR="00600EC6" w:rsidRPr="006C7B74">
        <w:rPr>
          <w:rFonts w:eastAsia="Calibri" w:cstheme="minorHAnsi"/>
          <w:sz w:val="20"/>
          <w:szCs w:val="20"/>
        </w:rPr>
        <w:t>s</w:t>
      </w:r>
      <w:r w:rsidRPr="006C7B74">
        <w:rPr>
          <w:rFonts w:eastAsia="Calibri" w:cstheme="minorHAnsi"/>
          <w:sz w:val="20"/>
          <w:szCs w:val="20"/>
        </w:rPr>
        <w:t xml:space="preserve"> and </w:t>
      </w:r>
      <w:r w:rsidR="00AE1069" w:rsidRPr="006C7B74">
        <w:rPr>
          <w:rFonts w:eastAsia="Calibri" w:cstheme="minorHAnsi"/>
          <w:sz w:val="20"/>
          <w:szCs w:val="20"/>
        </w:rPr>
        <w:t>lack</w:t>
      </w:r>
      <w:r w:rsidRPr="006C7B74">
        <w:rPr>
          <w:rFonts w:eastAsia="Calibri" w:cstheme="minorHAnsi"/>
          <w:sz w:val="20"/>
          <w:szCs w:val="20"/>
        </w:rPr>
        <w:t xml:space="preserve"> direct access to major road and rail networks.</w:t>
      </w:r>
    </w:p>
    <w:p w14:paraId="5328EA8B" w14:textId="623C9245" w:rsidR="002305F4" w:rsidRPr="006C7B74" w:rsidRDefault="002305F4" w:rsidP="00934C4D">
      <w:pPr>
        <w:spacing w:after="120"/>
        <w:rPr>
          <w:rFonts w:eastAsia="Calibri" w:cstheme="minorHAnsi"/>
          <w:sz w:val="20"/>
          <w:szCs w:val="20"/>
        </w:rPr>
      </w:pPr>
      <w:r w:rsidRPr="006C7B74">
        <w:rPr>
          <w:rFonts w:eastAsia="Calibri" w:cstheme="minorHAnsi"/>
          <w:sz w:val="20"/>
          <w:szCs w:val="20"/>
        </w:rPr>
        <w:t xml:space="preserve">The </w:t>
      </w:r>
      <w:r w:rsidRPr="006C7B74">
        <w:rPr>
          <w:rFonts w:eastAsia="Calibri" w:cstheme="minorHAnsi"/>
          <w:b/>
          <w:sz w:val="20"/>
          <w:szCs w:val="20"/>
        </w:rPr>
        <w:t xml:space="preserve">West Reservoir </w:t>
      </w:r>
      <w:r w:rsidRPr="006C7B74">
        <w:rPr>
          <w:rFonts w:eastAsia="Calibri" w:cstheme="minorHAnsi"/>
          <w:sz w:val="20"/>
          <w:szCs w:val="20"/>
        </w:rPr>
        <w:t>precinct is located generally between Edward</w:t>
      </w:r>
      <w:r w:rsidR="00B8664F" w:rsidRPr="006C7B74">
        <w:rPr>
          <w:rFonts w:eastAsia="Calibri" w:cstheme="minorHAnsi"/>
          <w:sz w:val="20"/>
          <w:szCs w:val="20"/>
        </w:rPr>
        <w:t>e</w:t>
      </w:r>
      <w:r w:rsidRPr="006C7B74">
        <w:rPr>
          <w:rFonts w:eastAsia="Calibri" w:cstheme="minorHAnsi"/>
          <w:sz w:val="20"/>
          <w:szCs w:val="20"/>
        </w:rPr>
        <w:t>s Park Lake and the Merri Creek within Darebin and extends south</w:t>
      </w:r>
      <w:r w:rsidR="005E365A" w:rsidRPr="006C7B74">
        <w:rPr>
          <w:rFonts w:eastAsia="Calibri" w:cstheme="minorHAnsi"/>
          <w:sz w:val="20"/>
          <w:szCs w:val="20"/>
        </w:rPr>
        <w:t>wards</w:t>
      </w:r>
      <w:r w:rsidRPr="006C7B74">
        <w:rPr>
          <w:rFonts w:eastAsia="Calibri" w:cstheme="minorHAnsi"/>
          <w:sz w:val="20"/>
          <w:szCs w:val="20"/>
        </w:rPr>
        <w:t xml:space="preserve"> to adjoin the </w:t>
      </w:r>
      <w:r w:rsidRPr="006C7B74">
        <w:rPr>
          <w:rFonts w:eastAsia="Calibri" w:cstheme="minorHAnsi"/>
          <w:b/>
          <w:sz w:val="20"/>
          <w:szCs w:val="20"/>
        </w:rPr>
        <w:t>Newlands Road</w:t>
      </w:r>
      <w:r w:rsidRPr="006C7B74">
        <w:rPr>
          <w:rFonts w:eastAsia="Calibri" w:cstheme="minorHAnsi"/>
          <w:sz w:val="20"/>
          <w:szCs w:val="20"/>
        </w:rPr>
        <w:t xml:space="preserve"> </w:t>
      </w:r>
      <w:r w:rsidR="007B7860" w:rsidRPr="006C7B74">
        <w:rPr>
          <w:rFonts w:eastAsia="Calibri" w:cstheme="minorHAnsi"/>
          <w:b/>
          <w:sz w:val="20"/>
          <w:szCs w:val="20"/>
        </w:rPr>
        <w:t>I</w:t>
      </w:r>
      <w:r w:rsidRPr="006C7B74">
        <w:rPr>
          <w:rFonts w:eastAsia="Calibri" w:cstheme="minorHAnsi"/>
          <w:b/>
          <w:sz w:val="20"/>
          <w:szCs w:val="20"/>
        </w:rPr>
        <w:t xml:space="preserve">ndustrial </w:t>
      </w:r>
      <w:r w:rsidR="007B7860" w:rsidRPr="006C7B74">
        <w:rPr>
          <w:rFonts w:eastAsia="Calibri" w:cstheme="minorHAnsi"/>
          <w:b/>
          <w:sz w:val="20"/>
          <w:szCs w:val="20"/>
        </w:rPr>
        <w:t>P</w:t>
      </w:r>
      <w:r w:rsidRPr="006C7B74">
        <w:rPr>
          <w:rFonts w:eastAsia="Calibri" w:cstheme="minorHAnsi"/>
          <w:b/>
          <w:sz w:val="20"/>
          <w:szCs w:val="20"/>
        </w:rPr>
        <w:t>recinct</w:t>
      </w:r>
      <w:r w:rsidRPr="006C7B74">
        <w:rPr>
          <w:rFonts w:eastAsia="Calibri" w:cstheme="minorHAnsi"/>
          <w:sz w:val="20"/>
          <w:szCs w:val="20"/>
        </w:rPr>
        <w:t xml:space="preserve"> within Moreland. These areas are used predominantly for a range of manufacturing and light industrial uses and are surrounded by residential land uses. </w:t>
      </w:r>
    </w:p>
    <w:p w14:paraId="0BA70972" w14:textId="38E46D9A" w:rsidR="002305F4" w:rsidRPr="006C7B74" w:rsidRDefault="00306C26" w:rsidP="00934C4D">
      <w:pPr>
        <w:spacing w:after="120"/>
        <w:rPr>
          <w:rFonts w:eastAsia="Calibri" w:cstheme="minorHAnsi"/>
          <w:sz w:val="20"/>
          <w:szCs w:val="20"/>
        </w:rPr>
      </w:pPr>
      <w:r w:rsidRPr="006C7B74">
        <w:rPr>
          <w:rFonts w:eastAsia="Calibri" w:cstheme="minorHAnsi"/>
          <w:bCs/>
          <w:sz w:val="20"/>
          <w:szCs w:val="20"/>
        </w:rPr>
        <w:t>Beyond the Newlands Road Precinct, t</w:t>
      </w:r>
      <w:r w:rsidR="002305F4" w:rsidRPr="006C7B74">
        <w:rPr>
          <w:rFonts w:eastAsia="Calibri" w:cstheme="minorHAnsi"/>
          <w:sz w:val="20"/>
          <w:szCs w:val="20"/>
        </w:rPr>
        <w:t xml:space="preserve">here are </w:t>
      </w:r>
      <w:r w:rsidRPr="006C7B74">
        <w:rPr>
          <w:rFonts w:eastAsia="Calibri" w:cstheme="minorHAnsi"/>
          <w:sz w:val="20"/>
          <w:szCs w:val="20"/>
        </w:rPr>
        <w:t>two other</w:t>
      </w:r>
      <w:r w:rsidR="002305F4" w:rsidRPr="006C7B74">
        <w:rPr>
          <w:rFonts w:eastAsia="Calibri" w:cstheme="minorHAnsi"/>
          <w:sz w:val="20"/>
          <w:szCs w:val="20"/>
        </w:rPr>
        <w:t xml:space="preserve"> large concentrations of industrial zoned land in </w:t>
      </w:r>
      <w:r w:rsidRPr="006C7B74">
        <w:rPr>
          <w:rFonts w:eastAsia="Calibri" w:cstheme="minorHAnsi"/>
          <w:sz w:val="20"/>
          <w:szCs w:val="20"/>
        </w:rPr>
        <w:t xml:space="preserve">Moreland at </w:t>
      </w:r>
      <w:r w:rsidRPr="006C7B74">
        <w:rPr>
          <w:rFonts w:eastAsia="Calibri" w:cstheme="minorHAnsi"/>
          <w:b/>
          <w:sz w:val="20"/>
          <w:szCs w:val="20"/>
        </w:rPr>
        <w:t>North Coburg</w:t>
      </w:r>
      <w:r w:rsidRPr="006C7B74">
        <w:rPr>
          <w:rFonts w:eastAsia="Calibri" w:cstheme="minorHAnsi"/>
          <w:sz w:val="20"/>
          <w:szCs w:val="20"/>
        </w:rPr>
        <w:t xml:space="preserve"> and </w:t>
      </w:r>
      <w:r w:rsidR="002305F4" w:rsidRPr="006C7B74">
        <w:rPr>
          <w:rFonts w:eastAsia="Calibri" w:cstheme="minorHAnsi"/>
          <w:b/>
          <w:sz w:val="20"/>
          <w:szCs w:val="20"/>
        </w:rPr>
        <w:t>Brunswick</w:t>
      </w:r>
      <w:r w:rsidR="005E365A" w:rsidRPr="006C7B74">
        <w:rPr>
          <w:rFonts w:eastAsia="Calibri" w:cstheme="minorHAnsi"/>
          <w:bCs/>
          <w:sz w:val="20"/>
          <w:szCs w:val="20"/>
        </w:rPr>
        <w:t>. These</w:t>
      </w:r>
      <w:r w:rsidR="00323A9A" w:rsidRPr="006C7B74">
        <w:rPr>
          <w:rFonts w:eastAsia="Calibri" w:cstheme="minorHAnsi"/>
          <w:sz w:val="20"/>
          <w:szCs w:val="20"/>
        </w:rPr>
        <w:t xml:space="preserve"> </w:t>
      </w:r>
      <w:r w:rsidR="00317196" w:rsidRPr="006C7B74">
        <w:rPr>
          <w:rFonts w:eastAsia="Calibri" w:cstheme="minorHAnsi"/>
          <w:sz w:val="20"/>
          <w:szCs w:val="20"/>
        </w:rPr>
        <w:t>are</w:t>
      </w:r>
      <w:r w:rsidR="00EF7B85" w:rsidRPr="006C7B74">
        <w:rPr>
          <w:rFonts w:eastAsia="Calibri" w:cstheme="minorHAnsi"/>
          <w:sz w:val="20"/>
          <w:szCs w:val="20"/>
        </w:rPr>
        <w:t>as have been identified</w:t>
      </w:r>
      <w:r w:rsidR="00317196" w:rsidRPr="006C7B74">
        <w:rPr>
          <w:rFonts w:eastAsia="Calibri" w:cstheme="minorHAnsi"/>
          <w:sz w:val="20"/>
          <w:szCs w:val="20"/>
        </w:rPr>
        <w:t xml:space="preserve"> to be retained for industry and employment uses</w:t>
      </w:r>
      <w:r w:rsidR="00EF7B85" w:rsidRPr="006C7B74">
        <w:rPr>
          <w:rFonts w:eastAsia="Calibri" w:cstheme="minorHAnsi"/>
          <w:sz w:val="20"/>
          <w:szCs w:val="20"/>
        </w:rPr>
        <w:t xml:space="preserve"> and are increasingly supporting a range of creative industries including makers spaces, film studios, recording studios and specialist 3D artwork production</w:t>
      </w:r>
      <w:r w:rsidR="00F436AA" w:rsidRPr="006C7B74">
        <w:rPr>
          <w:rFonts w:eastAsia="Calibri" w:cstheme="minorHAnsi"/>
          <w:sz w:val="20"/>
          <w:szCs w:val="20"/>
        </w:rPr>
        <w:t xml:space="preserve"> as well as a designated “Design District” in Brunswick centred around RMIT’s campus</w:t>
      </w:r>
      <w:r w:rsidR="002305F4" w:rsidRPr="006C7B74">
        <w:rPr>
          <w:rFonts w:eastAsia="Calibri" w:cstheme="minorHAnsi"/>
          <w:sz w:val="20"/>
          <w:szCs w:val="20"/>
        </w:rPr>
        <w:t>.</w:t>
      </w:r>
    </w:p>
    <w:p w14:paraId="25D53CA0" w14:textId="06864E08" w:rsidR="002305F4" w:rsidRPr="006C7B74" w:rsidRDefault="002305F4" w:rsidP="00934C4D">
      <w:pPr>
        <w:spacing w:after="120"/>
        <w:rPr>
          <w:rFonts w:eastAsia="Calibri" w:cstheme="minorHAnsi"/>
          <w:sz w:val="20"/>
          <w:szCs w:val="20"/>
        </w:rPr>
      </w:pPr>
      <w:r w:rsidRPr="006C7B74">
        <w:rPr>
          <w:rFonts w:eastAsia="Calibri" w:cstheme="minorHAnsi"/>
          <w:sz w:val="20"/>
          <w:szCs w:val="20"/>
        </w:rPr>
        <w:t xml:space="preserve">The activity centres network in the region is anchored by the two existing </w:t>
      </w:r>
      <w:r w:rsidR="00036575" w:rsidRPr="006C7B74">
        <w:rPr>
          <w:rFonts w:eastAsia="Calibri" w:cstheme="minorHAnsi"/>
          <w:sz w:val="20"/>
          <w:szCs w:val="20"/>
        </w:rPr>
        <w:t>m</w:t>
      </w:r>
      <w:r w:rsidRPr="006C7B74">
        <w:rPr>
          <w:rFonts w:eastAsia="Calibri" w:cstheme="minorHAnsi"/>
          <w:sz w:val="20"/>
          <w:szCs w:val="20"/>
        </w:rPr>
        <w:t xml:space="preserve">etropolitan </w:t>
      </w:r>
      <w:r w:rsidR="00036575" w:rsidRPr="006C7B74">
        <w:rPr>
          <w:rFonts w:eastAsia="Calibri" w:cstheme="minorHAnsi"/>
          <w:sz w:val="20"/>
          <w:szCs w:val="20"/>
        </w:rPr>
        <w:t>a</w:t>
      </w:r>
      <w:r w:rsidRPr="006C7B74">
        <w:rPr>
          <w:rFonts w:eastAsia="Calibri" w:cstheme="minorHAnsi"/>
          <w:sz w:val="20"/>
          <w:szCs w:val="20"/>
        </w:rPr>
        <w:t xml:space="preserve">ctivity </w:t>
      </w:r>
      <w:r w:rsidR="00036575" w:rsidRPr="006C7B74">
        <w:rPr>
          <w:rFonts w:eastAsia="Calibri" w:cstheme="minorHAnsi"/>
          <w:sz w:val="20"/>
          <w:szCs w:val="20"/>
        </w:rPr>
        <w:t>c</w:t>
      </w:r>
      <w:r w:rsidRPr="006C7B74">
        <w:rPr>
          <w:rFonts w:eastAsia="Calibri" w:cstheme="minorHAnsi"/>
          <w:sz w:val="20"/>
          <w:szCs w:val="20"/>
        </w:rPr>
        <w:t xml:space="preserve">entres of Broadmeadows and Epping and a future </w:t>
      </w:r>
      <w:r w:rsidR="00CC2741" w:rsidRPr="006C7B74">
        <w:rPr>
          <w:rFonts w:eastAsia="Calibri" w:cstheme="minorHAnsi"/>
          <w:sz w:val="20"/>
          <w:szCs w:val="20"/>
        </w:rPr>
        <w:t>m</w:t>
      </w:r>
      <w:r w:rsidRPr="006C7B74">
        <w:rPr>
          <w:rFonts w:eastAsia="Calibri" w:cstheme="minorHAnsi"/>
          <w:sz w:val="20"/>
          <w:szCs w:val="20"/>
        </w:rPr>
        <w:t xml:space="preserve">etropolitan </w:t>
      </w:r>
      <w:r w:rsidR="00735BC3" w:rsidRPr="006C7B74">
        <w:rPr>
          <w:rFonts w:eastAsia="Calibri" w:cstheme="minorHAnsi"/>
          <w:sz w:val="20"/>
          <w:szCs w:val="20"/>
        </w:rPr>
        <w:t>a</w:t>
      </w:r>
      <w:r w:rsidRPr="006C7B74">
        <w:rPr>
          <w:rFonts w:eastAsia="Calibri" w:cstheme="minorHAnsi"/>
          <w:sz w:val="20"/>
          <w:szCs w:val="20"/>
        </w:rPr>
        <w:t xml:space="preserve">ctivity </w:t>
      </w:r>
      <w:r w:rsidR="00735BC3" w:rsidRPr="006C7B74">
        <w:rPr>
          <w:rFonts w:eastAsia="Calibri" w:cstheme="minorHAnsi"/>
          <w:sz w:val="20"/>
          <w:szCs w:val="20"/>
        </w:rPr>
        <w:t>c</w:t>
      </w:r>
      <w:r w:rsidRPr="006C7B74">
        <w:rPr>
          <w:rFonts w:eastAsia="Calibri" w:cstheme="minorHAnsi"/>
          <w:sz w:val="20"/>
          <w:szCs w:val="20"/>
        </w:rPr>
        <w:t xml:space="preserve">entre at Lockerbie. </w:t>
      </w:r>
    </w:p>
    <w:p w14:paraId="5121807E" w14:textId="41123B97" w:rsidR="002305F4" w:rsidRPr="006C7B74" w:rsidRDefault="002305F4" w:rsidP="00934C4D">
      <w:pPr>
        <w:spacing w:after="120"/>
        <w:rPr>
          <w:rFonts w:eastAsia="Calibri" w:cstheme="minorHAnsi"/>
          <w:sz w:val="20"/>
          <w:szCs w:val="20"/>
        </w:rPr>
      </w:pPr>
      <w:r w:rsidRPr="006C7B74">
        <w:rPr>
          <w:rFonts w:eastAsia="Calibri" w:cstheme="minorHAnsi"/>
          <w:sz w:val="20"/>
          <w:szCs w:val="20"/>
        </w:rPr>
        <w:t xml:space="preserve">The </w:t>
      </w:r>
      <w:r w:rsidRPr="006C7B74">
        <w:rPr>
          <w:rFonts w:eastAsia="Calibri" w:cstheme="minorHAnsi"/>
          <w:b/>
          <w:sz w:val="20"/>
          <w:szCs w:val="20"/>
        </w:rPr>
        <w:t>Epping Metropolitan Activity Centre</w:t>
      </w:r>
      <w:r w:rsidRPr="006C7B74">
        <w:rPr>
          <w:rFonts w:eastAsia="Calibri" w:cstheme="minorHAnsi"/>
          <w:sz w:val="20"/>
          <w:szCs w:val="20"/>
        </w:rPr>
        <w:t xml:space="preserve"> is an important centre with good accessibility throughout the region via rail and road. It comprises approximately </w:t>
      </w:r>
      <w:r w:rsidR="00E313EA" w:rsidRPr="006C7B74">
        <w:rPr>
          <w:rFonts w:eastAsia="Calibri" w:cstheme="minorHAnsi"/>
          <w:sz w:val="20"/>
          <w:szCs w:val="20"/>
        </w:rPr>
        <w:t>230,300</w:t>
      </w:r>
      <w:r w:rsidRPr="006C7B74">
        <w:rPr>
          <w:rFonts w:eastAsia="Calibri" w:cstheme="minorHAnsi"/>
          <w:sz w:val="20"/>
          <w:szCs w:val="20"/>
        </w:rPr>
        <w:t xml:space="preserve"> square metres of commercial floorspace </w:t>
      </w:r>
      <w:r w:rsidR="00F436AA" w:rsidRPr="006C7B74">
        <w:rPr>
          <w:rFonts w:eastAsia="Calibri" w:cstheme="minorHAnsi"/>
          <w:sz w:val="20"/>
          <w:szCs w:val="20"/>
        </w:rPr>
        <w:t xml:space="preserve">and provides a range of retailing and food and drink premises with a </w:t>
      </w:r>
      <w:r w:rsidR="003965CD" w:rsidRPr="006C7B74">
        <w:rPr>
          <w:rFonts w:eastAsia="Calibri" w:cstheme="minorHAnsi"/>
          <w:sz w:val="20"/>
          <w:szCs w:val="20"/>
        </w:rPr>
        <w:t>small but</w:t>
      </w:r>
      <w:r w:rsidR="00F436AA" w:rsidRPr="006C7B74">
        <w:rPr>
          <w:rFonts w:eastAsia="Calibri" w:cstheme="minorHAnsi"/>
          <w:sz w:val="20"/>
          <w:szCs w:val="20"/>
        </w:rPr>
        <w:t xml:space="preserve"> growing residential population. It also includes </w:t>
      </w:r>
      <w:r w:rsidRPr="006C7B74">
        <w:rPr>
          <w:rFonts w:eastAsia="Calibri" w:cstheme="minorHAnsi"/>
          <w:sz w:val="20"/>
          <w:szCs w:val="20"/>
        </w:rPr>
        <w:t>health and education facilities</w:t>
      </w:r>
      <w:r w:rsidR="00F436AA" w:rsidRPr="006C7B74">
        <w:rPr>
          <w:rFonts w:eastAsia="Calibri" w:cstheme="minorHAnsi"/>
          <w:sz w:val="20"/>
          <w:szCs w:val="20"/>
        </w:rPr>
        <w:t xml:space="preserve"> and t</w:t>
      </w:r>
      <w:r w:rsidR="00CD12EB" w:rsidRPr="006C7B74">
        <w:rPr>
          <w:rFonts w:eastAsia="Calibri" w:cstheme="minorHAnsi"/>
          <w:sz w:val="20"/>
          <w:szCs w:val="20"/>
        </w:rPr>
        <w:t>here are</w:t>
      </w:r>
      <w:r w:rsidRPr="006C7B74">
        <w:rPr>
          <w:rFonts w:eastAsia="Calibri" w:cstheme="minorHAnsi"/>
          <w:sz w:val="20"/>
          <w:szCs w:val="20"/>
        </w:rPr>
        <w:t xml:space="preserve"> large areas of land </w:t>
      </w:r>
      <w:r w:rsidR="00CD12EB" w:rsidRPr="006C7B74">
        <w:rPr>
          <w:rFonts w:eastAsia="Calibri" w:cstheme="minorHAnsi"/>
          <w:sz w:val="20"/>
          <w:szCs w:val="20"/>
        </w:rPr>
        <w:t xml:space="preserve">available </w:t>
      </w:r>
      <w:r w:rsidRPr="006C7B74">
        <w:rPr>
          <w:rFonts w:eastAsia="Calibri" w:cstheme="minorHAnsi"/>
          <w:sz w:val="20"/>
          <w:szCs w:val="20"/>
        </w:rPr>
        <w:t>for expansion.</w:t>
      </w:r>
      <w:r w:rsidR="007C154C" w:rsidRPr="006C7B74">
        <w:rPr>
          <w:rFonts w:eastAsia="Calibri" w:cstheme="minorHAnsi"/>
          <w:sz w:val="20"/>
          <w:szCs w:val="20"/>
        </w:rPr>
        <w:t xml:space="preserve"> </w:t>
      </w:r>
    </w:p>
    <w:p w14:paraId="1BE44009" w14:textId="381B0C1F" w:rsidR="002305F4" w:rsidRPr="006C7B74" w:rsidRDefault="002305F4" w:rsidP="00934C4D">
      <w:pPr>
        <w:spacing w:after="120"/>
        <w:rPr>
          <w:rFonts w:eastAsia="Calibri" w:cstheme="minorHAnsi"/>
          <w:sz w:val="20"/>
          <w:szCs w:val="20"/>
        </w:rPr>
      </w:pPr>
      <w:r w:rsidRPr="006C7B74">
        <w:rPr>
          <w:rFonts w:eastAsia="Calibri" w:cstheme="minorHAnsi"/>
          <w:sz w:val="20"/>
          <w:szCs w:val="20"/>
        </w:rPr>
        <w:t xml:space="preserve">The </w:t>
      </w:r>
      <w:r w:rsidRPr="006C7B74">
        <w:rPr>
          <w:rFonts w:eastAsia="Calibri" w:cstheme="minorHAnsi"/>
          <w:b/>
          <w:sz w:val="20"/>
          <w:szCs w:val="20"/>
        </w:rPr>
        <w:t>Broadmeadows Metropolitan Activity Centre</w:t>
      </w:r>
      <w:r w:rsidRPr="006C7B74">
        <w:rPr>
          <w:rFonts w:eastAsia="Calibri" w:cstheme="minorHAnsi"/>
          <w:sz w:val="20"/>
          <w:szCs w:val="20"/>
        </w:rPr>
        <w:t xml:space="preserve"> is important due to its location within the fast-growing northern region</w:t>
      </w:r>
      <w:r w:rsidR="00F436AA" w:rsidRPr="006C7B74">
        <w:rPr>
          <w:rFonts w:eastAsia="Calibri" w:cstheme="minorHAnsi"/>
          <w:sz w:val="20"/>
          <w:szCs w:val="20"/>
        </w:rPr>
        <w:t xml:space="preserve"> and as</w:t>
      </w:r>
      <w:r w:rsidRPr="006C7B74">
        <w:rPr>
          <w:rFonts w:eastAsia="Calibri" w:cstheme="minorHAnsi"/>
          <w:sz w:val="20"/>
          <w:szCs w:val="20"/>
        </w:rPr>
        <w:t xml:space="preserve"> a major hub for transport to both metropolitan and key regional </w:t>
      </w:r>
      <w:r w:rsidR="00F436AA" w:rsidRPr="006C7B74">
        <w:rPr>
          <w:rFonts w:eastAsia="Calibri" w:cstheme="minorHAnsi"/>
          <w:sz w:val="20"/>
          <w:szCs w:val="20"/>
        </w:rPr>
        <w:t>centres. It</w:t>
      </w:r>
      <w:r w:rsidRPr="006C7B74">
        <w:rPr>
          <w:rFonts w:eastAsia="Calibri" w:cstheme="minorHAnsi"/>
          <w:sz w:val="20"/>
          <w:szCs w:val="20"/>
        </w:rPr>
        <w:t xml:space="preserve"> comprises approximately </w:t>
      </w:r>
      <w:r w:rsidR="00540EE2" w:rsidRPr="006C7B74">
        <w:rPr>
          <w:rFonts w:eastAsia="Calibri" w:cstheme="minorHAnsi"/>
          <w:sz w:val="20"/>
          <w:szCs w:val="20"/>
        </w:rPr>
        <w:t>623,700</w:t>
      </w:r>
      <w:r w:rsidR="00341175" w:rsidRPr="006C7B74">
        <w:rPr>
          <w:rFonts w:eastAsia="Calibri" w:cstheme="minorHAnsi"/>
          <w:sz w:val="20"/>
          <w:szCs w:val="20"/>
        </w:rPr>
        <w:t xml:space="preserve"> </w:t>
      </w:r>
      <w:r w:rsidRPr="006C7B74">
        <w:rPr>
          <w:rFonts w:eastAsia="Calibri" w:cstheme="minorHAnsi"/>
          <w:sz w:val="20"/>
          <w:szCs w:val="20"/>
        </w:rPr>
        <w:t xml:space="preserve">square metres of commercial floorspace and is an important regional </w:t>
      </w:r>
      <w:r w:rsidR="00A06647" w:rsidRPr="006C7B74">
        <w:rPr>
          <w:rFonts w:eastAsia="Calibri" w:cstheme="minorHAnsi"/>
          <w:sz w:val="20"/>
          <w:szCs w:val="20"/>
        </w:rPr>
        <w:t>mixed</w:t>
      </w:r>
      <w:r w:rsidR="00B175DF" w:rsidRPr="006C7B74">
        <w:rPr>
          <w:rFonts w:eastAsia="Calibri" w:cstheme="minorHAnsi"/>
          <w:sz w:val="20"/>
          <w:szCs w:val="20"/>
        </w:rPr>
        <w:t>-</w:t>
      </w:r>
      <w:r w:rsidR="00A06647" w:rsidRPr="006C7B74">
        <w:rPr>
          <w:rFonts w:eastAsia="Calibri" w:cstheme="minorHAnsi"/>
          <w:sz w:val="20"/>
          <w:szCs w:val="20"/>
        </w:rPr>
        <w:t>use</w:t>
      </w:r>
      <w:r w:rsidRPr="006C7B74">
        <w:rPr>
          <w:rFonts w:eastAsia="Calibri" w:cstheme="minorHAnsi"/>
          <w:sz w:val="20"/>
          <w:szCs w:val="20"/>
        </w:rPr>
        <w:t xml:space="preserve"> centre providing significant retailing, </w:t>
      </w:r>
      <w:r w:rsidR="00A54959" w:rsidRPr="006C7B74">
        <w:rPr>
          <w:rFonts w:eastAsia="Calibri" w:cstheme="minorHAnsi"/>
          <w:sz w:val="20"/>
          <w:szCs w:val="20"/>
        </w:rPr>
        <w:t xml:space="preserve">entertainment, civic, </w:t>
      </w:r>
      <w:r w:rsidRPr="006C7B74">
        <w:rPr>
          <w:rFonts w:eastAsia="Calibri" w:cstheme="minorHAnsi"/>
          <w:sz w:val="20"/>
          <w:szCs w:val="20"/>
        </w:rPr>
        <w:t xml:space="preserve">office, health and education facilities. </w:t>
      </w:r>
      <w:r w:rsidR="00A54959" w:rsidRPr="006C7B74">
        <w:rPr>
          <w:rFonts w:eastAsia="Calibri" w:cstheme="minorHAnsi"/>
          <w:sz w:val="20"/>
          <w:szCs w:val="20"/>
        </w:rPr>
        <w:t>There is significant opportunity for expansion and urban renewal to the east of the existing centre.</w:t>
      </w:r>
    </w:p>
    <w:p w14:paraId="2DD2B4F3" w14:textId="48446314" w:rsidR="002305F4" w:rsidRPr="006C7B74" w:rsidRDefault="002305F4" w:rsidP="00934C4D">
      <w:pPr>
        <w:spacing w:after="120"/>
        <w:rPr>
          <w:rFonts w:eastAsia="Calibri" w:cstheme="minorHAnsi"/>
          <w:sz w:val="20"/>
          <w:szCs w:val="20"/>
        </w:rPr>
      </w:pPr>
      <w:r w:rsidRPr="006C7B74">
        <w:rPr>
          <w:rFonts w:eastAsia="Calibri" w:cstheme="minorHAnsi"/>
          <w:sz w:val="20"/>
          <w:szCs w:val="20"/>
        </w:rPr>
        <w:t xml:space="preserve">The future </w:t>
      </w:r>
      <w:r w:rsidRPr="006C7B74">
        <w:rPr>
          <w:rFonts w:eastAsia="Calibri" w:cstheme="minorHAnsi"/>
          <w:b/>
          <w:sz w:val="20"/>
          <w:szCs w:val="20"/>
        </w:rPr>
        <w:t>Lockerbie Metropolitan Activity Centre</w:t>
      </w:r>
      <w:r w:rsidRPr="006C7B74">
        <w:rPr>
          <w:rFonts w:eastAsia="Calibri" w:cstheme="minorHAnsi"/>
          <w:sz w:val="20"/>
          <w:szCs w:val="20"/>
        </w:rPr>
        <w:t xml:space="preserve"> will have an important regional role with approximately </w:t>
      </w:r>
      <w:r w:rsidR="00DC7A74" w:rsidRPr="006C7B74">
        <w:rPr>
          <w:rFonts w:eastAsia="Calibri" w:cstheme="minorHAnsi"/>
          <w:sz w:val="20"/>
          <w:szCs w:val="20"/>
        </w:rPr>
        <w:t>6</w:t>
      </w:r>
      <w:r w:rsidR="00F436AA" w:rsidRPr="006C7B74">
        <w:rPr>
          <w:rFonts w:eastAsia="Calibri" w:cstheme="minorHAnsi"/>
          <w:sz w:val="20"/>
          <w:szCs w:val="20"/>
        </w:rPr>
        <w:t>0</w:t>
      </w:r>
      <w:r w:rsidR="00DC7A74" w:rsidRPr="006C7B74">
        <w:rPr>
          <w:rFonts w:eastAsia="Calibri" w:cstheme="minorHAnsi"/>
          <w:sz w:val="20"/>
          <w:szCs w:val="20"/>
        </w:rPr>
        <w:t xml:space="preserve"> h</w:t>
      </w:r>
      <w:r w:rsidR="00FA5341" w:rsidRPr="006C7B74">
        <w:rPr>
          <w:rFonts w:eastAsia="Calibri" w:cstheme="minorHAnsi"/>
          <w:sz w:val="20"/>
          <w:szCs w:val="20"/>
        </w:rPr>
        <w:t>ect</w:t>
      </w:r>
      <w:r w:rsidR="00DC7A74" w:rsidRPr="006C7B74">
        <w:rPr>
          <w:rFonts w:eastAsia="Calibri" w:cstheme="minorHAnsi"/>
          <w:sz w:val="20"/>
          <w:szCs w:val="20"/>
        </w:rPr>
        <w:t>a</w:t>
      </w:r>
      <w:r w:rsidR="00FA5341" w:rsidRPr="006C7B74">
        <w:rPr>
          <w:rFonts w:eastAsia="Calibri" w:cstheme="minorHAnsi"/>
          <w:sz w:val="20"/>
          <w:szCs w:val="20"/>
        </w:rPr>
        <w:t>res</w:t>
      </w:r>
      <w:r w:rsidR="00F42CF5" w:rsidRPr="006C7B74">
        <w:rPr>
          <w:rFonts w:eastAsia="Calibri" w:cstheme="minorHAnsi"/>
          <w:sz w:val="20"/>
          <w:szCs w:val="20"/>
        </w:rPr>
        <w:t xml:space="preserve"> </w:t>
      </w:r>
      <w:r w:rsidR="00F436AA" w:rsidRPr="006C7B74">
        <w:rPr>
          <w:rFonts w:eastAsia="Calibri" w:cstheme="minorHAnsi"/>
          <w:sz w:val="20"/>
          <w:szCs w:val="20"/>
        </w:rPr>
        <w:t>of land</w:t>
      </w:r>
      <w:r w:rsidR="00F42CF5" w:rsidRPr="006C7B74">
        <w:rPr>
          <w:rFonts w:eastAsia="Calibri" w:cstheme="minorHAnsi"/>
          <w:sz w:val="20"/>
          <w:szCs w:val="20"/>
        </w:rPr>
        <w:t xml:space="preserve"> identified</w:t>
      </w:r>
      <w:r w:rsidR="00DC7A74" w:rsidRPr="006C7B74">
        <w:rPr>
          <w:rFonts w:eastAsia="Calibri" w:cstheme="minorHAnsi"/>
          <w:sz w:val="20"/>
          <w:szCs w:val="20"/>
        </w:rPr>
        <w:t xml:space="preserve"> for future commercial </w:t>
      </w:r>
      <w:r w:rsidR="00F436AA" w:rsidRPr="006C7B74">
        <w:rPr>
          <w:rFonts w:eastAsia="Calibri" w:cstheme="minorHAnsi"/>
          <w:sz w:val="20"/>
          <w:szCs w:val="20"/>
        </w:rPr>
        <w:t>purposes</w:t>
      </w:r>
      <w:r w:rsidR="00F42CF5" w:rsidRPr="006C7B74">
        <w:rPr>
          <w:rFonts w:eastAsia="Calibri" w:cstheme="minorHAnsi"/>
          <w:sz w:val="20"/>
          <w:szCs w:val="20"/>
        </w:rPr>
        <w:t>.</w:t>
      </w:r>
      <w:r w:rsidRPr="006C7B74">
        <w:rPr>
          <w:rFonts w:eastAsia="Calibri" w:cstheme="minorHAnsi"/>
          <w:sz w:val="20"/>
          <w:szCs w:val="20"/>
        </w:rPr>
        <w:t xml:space="preserve"> This will be complemented by substantial employment and residential areas between the railway line and Hume Freeway</w:t>
      </w:r>
      <w:r w:rsidR="00F436AA" w:rsidRPr="006C7B74">
        <w:rPr>
          <w:rFonts w:eastAsia="Calibri" w:cstheme="minorHAnsi"/>
          <w:sz w:val="20"/>
          <w:szCs w:val="20"/>
        </w:rPr>
        <w:t xml:space="preserve"> and at the nearby Northern SSIP</w:t>
      </w:r>
      <w:r w:rsidRPr="006C7B74">
        <w:rPr>
          <w:rFonts w:eastAsia="Calibri" w:cstheme="minorHAnsi"/>
          <w:sz w:val="20"/>
          <w:szCs w:val="20"/>
        </w:rPr>
        <w:t>.</w:t>
      </w:r>
      <w:r w:rsidR="007C154C" w:rsidRPr="006C7B74">
        <w:rPr>
          <w:rFonts w:eastAsia="Calibri" w:cstheme="minorHAnsi"/>
          <w:sz w:val="20"/>
          <w:szCs w:val="20"/>
        </w:rPr>
        <w:t xml:space="preserve"> </w:t>
      </w:r>
    </w:p>
    <w:p w14:paraId="1078548A" w14:textId="22264194" w:rsidR="002305F4" w:rsidRPr="006C7B74" w:rsidRDefault="002305F4" w:rsidP="00934C4D">
      <w:pPr>
        <w:spacing w:after="120"/>
        <w:rPr>
          <w:rFonts w:eastAsia="Calibri" w:cstheme="minorHAnsi"/>
          <w:sz w:val="20"/>
          <w:szCs w:val="20"/>
        </w:rPr>
      </w:pPr>
      <w:r w:rsidRPr="006C7B74">
        <w:rPr>
          <w:rFonts w:eastAsia="Calibri" w:cstheme="minorHAnsi"/>
          <w:sz w:val="20"/>
          <w:szCs w:val="20"/>
        </w:rPr>
        <w:t xml:space="preserve">There are 19 existing </w:t>
      </w:r>
      <w:r w:rsidR="00B04E33" w:rsidRPr="006C7B74">
        <w:rPr>
          <w:rFonts w:eastAsia="Calibri" w:cstheme="minorHAnsi"/>
          <w:b/>
          <w:bCs/>
          <w:sz w:val="20"/>
          <w:szCs w:val="20"/>
        </w:rPr>
        <w:t>m</w:t>
      </w:r>
      <w:r w:rsidRPr="006C7B74">
        <w:rPr>
          <w:rFonts w:eastAsia="Calibri" w:cstheme="minorHAnsi"/>
          <w:b/>
          <w:bCs/>
          <w:sz w:val="20"/>
          <w:szCs w:val="20"/>
        </w:rPr>
        <w:t xml:space="preserve">ajor </w:t>
      </w:r>
      <w:r w:rsidR="00B04E33" w:rsidRPr="006C7B74">
        <w:rPr>
          <w:rFonts w:eastAsia="Calibri" w:cstheme="minorHAnsi"/>
          <w:b/>
          <w:bCs/>
          <w:sz w:val="20"/>
          <w:szCs w:val="20"/>
        </w:rPr>
        <w:t>a</w:t>
      </w:r>
      <w:r w:rsidRPr="006C7B74">
        <w:rPr>
          <w:rFonts w:eastAsia="Calibri" w:cstheme="minorHAnsi"/>
          <w:b/>
          <w:bCs/>
          <w:sz w:val="20"/>
          <w:szCs w:val="20"/>
        </w:rPr>
        <w:t xml:space="preserve">ctivity </w:t>
      </w:r>
      <w:r w:rsidR="00B04E33" w:rsidRPr="006C7B74">
        <w:rPr>
          <w:rFonts w:eastAsia="Calibri" w:cstheme="minorHAnsi"/>
          <w:b/>
          <w:bCs/>
          <w:sz w:val="20"/>
          <w:szCs w:val="20"/>
        </w:rPr>
        <w:t>c</w:t>
      </w:r>
      <w:r w:rsidRPr="006C7B74">
        <w:rPr>
          <w:rFonts w:eastAsia="Calibri" w:cstheme="minorHAnsi"/>
          <w:b/>
          <w:bCs/>
          <w:sz w:val="20"/>
          <w:szCs w:val="20"/>
        </w:rPr>
        <w:t>entres</w:t>
      </w:r>
      <w:r w:rsidRPr="006C7B74">
        <w:rPr>
          <w:rFonts w:eastAsia="Calibri" w:cstheme="minorHAnsi"/>
          <w:sz w:val="20"/>
          <w:szCs w:val="20"/>
        </w:rPr>
        <w:t xml:space="preserve"> </w:t>
      </w:r>
      <w:r w:rsidR="00BB4048" w:rsidRPr="006C7B74">
        <w:rPr>
          <w:rFonts w:eastAsia="Calibri" w:cstheme="minorHAnsi"/>
          <w:sz w:val="20"/>
          <w:szCs w:val="20"/>
        </w:rPr>
        <w:t xml:space="preserve">that vary in size, role and function </w:t>
      </w:r>
      <w:r w:rsidRPr="006C7B74">
        <w:rPr>
          <w:rFonts w:eastAsia="Calibri" w:cstheme="minorHAnsi"/>
          <w:sz w:val="20"/>
          <w:szCs w:val="20"/>
        </w:rPr>
        <w:t xml:space="preserve">and five future </w:t>
      </w:r>
      <w:r w:rsidR="00B04E33" w:rsidRPr="006C7B74">
        <w:rPr>
          <w:rFonts w:eastAsia="Calibri" w:cstheme="minorHAnsi"/>
          <w:sz w:val="20"/>
          <w:szCs w:val="20"/>
        </w:rPr>
        <w:t>m</w:t>
      </w:r>
      <w:r w:rsidRPr="006C7B74">
        <w:rPr>
          <w:rFonts w:eastAsia="Calibri" w:cstheme="minorHAnsi"/>
          <w:sz w:val="20"/>
          <w:szCs w:val="20"/>
        </w:rPr>
        <w:t xml:space="preserve">ajor </w:t>
      </w:r>
      <w:r w:rsidR="00B04E33" w:rsidRPr="006C7B74">
        <w:rPr>
          <w:rFonts w:eastAsia="Calibri" w:cstheme="minorHAnsi"/>
          <w:sz w:val="20"/>
          <w:szCs w:val="20"/>
        </w:rPr>
        <w:t>a</w:t>
      </w:r>
      <w:r w:rsidRPr="006C7B74">
        <w:rPr>
          <w:rFonts w:eastAsia="Calibri" w:cstheme="minorHAnsi"/>
          <w:sz w:val="20"/>
          <w:szCs w:val="20"/>
        </w:rPr>
        <w:t xml:space="preserve">ctivity </w:t>
      </w:r>
      <w:r w:rsidR="00B04E33" w:rsidRPr="006C7B74">
        <w:rPr>
          <w:rFonts w:eastAsia="Calibri" w:cstheme="minorHAnsi"/>
          <w:sz w:val="20"/>
          <w:szCs w:val="20"/>
        </w:rPr>
        <w:t>c</w:t>
      </w:r>
      <w:r w:rsidRPr="006C7B74">
        <w:rPr>
          <w:rFonts w:eastAsia="Calibri" w:cstheme="minorHAnsi"/>
          <w:sz w:val="20"/>
          <w:szCs w:val="20"/>
        </w:rPr>
        <w:t xml:space="preserve">entres </w:t>
      </w:r>
      <w:r w:rsidR="00BB4048" w:rsidRPr="006C7B74">
        <w:rPr>
          <w:rFonts w:eastAsia="Calibri" w:cstheme="minorHAnsi"/>
          <w:sz w:val="20"/>
          <w:szCs w:val="20"/>
        </w:rPr>
        <w:t xml:space="preserve">identified </w:t>
      </w:r>
      <w:r w:rsidRPr="006C7B74">
        <w:rPr>
          <w:rFonts w:eastAsia="Calibri" w:cstheme="minorHAnsi"/>
          <w:sz w:val="20"/>
          <w:szCs w:val="20"/>
        </w:rPr>
        <w:t xml:space="preserve">across the region. These activity centres vary in </w:t>
      </w:r>
      <w:r w:rsidR="00A54959" w:rsidRPr="006C7B74">
        <w:rPr>
          <w:rFonts w:eastAsia="Calibri" w:cstheme="minorHAnsi"/>
          <w:sz w:val="20"/>
          <w:szCs w:val="20"/>
        </w:rPr>
        <w:t>their</w:t>
      </w:r>
      <w:r w:rsidRPr="006C7B74">
        <w:rPr>
          <w:rFonts w:eastAsia="Calibri" w:cstheme="minorHAnsi"/>
          <w:sz w:val="20"/>
          <w:szCs w:val="20"/>
        </w:rPr>
        <w:t xml:space="preserve"> potential for growth. Some are limited in size with minimal prospects for growth, while others provide substantial opportunities. Larger free-standing shopping centres such as Craigieburn Town Centre, </w:t>
      </w:r>
      <w:r w:rsidR="002323A4" w:rsidRPr="006C7B74">
        <w:rPr>
          <w:rFonts w:eastAsia="Calibri" w:cstheme="minorHAnsi"/>
          <w:sz w:val="20"/>
          <w:szCs w:val="20"/>
        </w:rPr>
        <w:t xml:space="preserve">Epping Plaza, </w:t>
      </w:r>
      <w:r w:rsidRPr="006C7B74">
        <w:rPr>
          <w:rFonts w:eastAsia="Calibri" w:cstheme="minorHAnsi"/>
          <w:sz w:val="20"/>
          <w:szCs w:val="20"/>
        </w:rPr>
        <w:t xml:space="preserve">Gladstone Park, Greensborough, Preston-Northland and </w:t>
      </w:r>
      <w:r w:rsidR="002761FA" w:rsidRPr="006C7B74">
        <w:rPr>
          <w:rFonts w:eastAsia="Calibri" w:cstheme="minorHAnsi"/>
          <w:sz w:val="20"/>
          <w:szCs w:val="20"/>
        </w:rPr>
        <w:t>Plenty Valley (</w:t>
      </w:r>
      <w:r w:rsidRPr="006C7B74">
        <w:rPr>
          <w:rFonts w:eastAsia="Calibri" w:cstheme="minorHAnsi"/>
          <w:sz w:val="20"/>
          <w:szCs w:val="20"/>
        </w:rPr>
        <w:t>South Morang</w:t>
      </w:r>
      <w:r w:rsidR="006B6731" w:rsidRPr="006C7B74">
        <w:rPr>
          <w:rFonts w:eastAsia="Calibri" w:cstheme="minorHAnsi"/>
          <w:sz w:val="20"/>
          <w:szCs w:val="20"/>
        </w:rPr>
        <w:t>)</w:t>
      </w:r>
      <w:r w:rsidRPr="006C7B74">
        <w:rPr>
          <w:rFonts w:eastAsia="Calibri" w:cstheme="minorHAnsi"/>
          <w:sz w:val="20"/>
          <w:szCs w:val="20"/>
        </w:rPr>
        <w:t xml:space="preserve"> offer significant retail</w:t>
      </w:r>
      <w:r w:rsidR="003602CD" w:rsidRPr="006C7B74">
        <w:rPr>
          <w:rFonts w:eastAsia="Calibri" w:cstheme="minorHAnsi"/>
          <w:sz w:val="20"/>
          <w:szCs w:val="20"/>
        </w:rPr>
        <w:t xml:space="preserve"> activity, which </w:t>
      </w:r>
      <w:r w:rsidRPr="006C7B74">
        <w:rPr>
          <w:rFonts w:eastAsia="Calibri" w:cstheme="minorHAnsi"/>
          <w:sz w:val="20"/>
          <w:szCs w:val="20"/>
        </w:rPr>
        <w:t>serv</w:t>
      </w:r>
      <w:r w:rsidR="003602CD" w:rsidRPr="006C7B74">
        <w:rPr>
          <w:rFonts w:eastAsia="Calibri" w:cstheme="minorHAnsi"/>
          <w:sz w:val="20"/>
          <w:szCs w:val="20"/>
        </w:rPr>
        <w:t>es</w:t>
      </w:r>
      <w:r w:rsidRPr="006C7B74">
        <w:rPr>
          <w:rFonts w:eastAsia="Calibri" w:cstheme="minorHAnsi"/>
          <w:sz w:val="20"/>
          <w:szCs w:val="20"/>
        </w:rPr>
        <w:t xml:space="preserve"> larger sub-regional catchments. In other parts of the region, strip-based centres such as Brunswick, </w:t>
      </w:r>
      <w:r w:rsidR="002323A4" w:rsidRPr="006C7B74">
        <w:rPr>
          <w:rFonts w:eastAsia="Calibri" w:cstheme="minorHAnsi"/>
          <w:sz w:val="20"/>
          <w:szCs w:val="20"/>
        </w:rPr>
        <w:t>Coburg</w:t>
      </w:r>
      <w:r w:rsidRPr="006C7B74">
        <w:rPr>
          <w:rFonts w:eastAsia="Calibri" w:cstheme="minorHAnsi"/>
          <w:sz w:val="20"/>
          <w:szCs w:val="20"/>
        </w:rPr>
        <w:t xml:space="preserve">, Ivanhoe, Northcote and </w:t>
      </w:r>
      <w:r w:rsidR="00420BF9" w:rsidRPr="006C7B74">
        <w:rPr>
          <w:rFonts w:eastAsia="Calibri" w:cstheme="minorHAnsi"/>
          <w:sz w:val="20"/>
          <w:szCs w:val="20"/>
        </w:rPr>
        <w:t xml:space="preserve">Heidelberg </w:t>
      </w:r>
      <w:r w:rsidRPr="006C7B74">
        <w:rPr>
          <w:rFonts w:eastAsia="Calibri" w:cstheme="minorHAnsi"/>
          <w:sz w:val="20"/>
          <w:szCs w:val="20"/>
        </w:rPr>
        <w:t xml:space="preserve">offer a range of retailing, office and community uses. </w:t>
      </w:r>
      <w:r w:rsidR="00FA6CD7" w:rsidRPr="006C7B74">
        <w:rPr>
          <w:rFonts w:eastAsia="Calibri" w:cstheme="minorHAnsi"/>
          <w:sz w:val="20"/>
          <w:szCs w:val="20"/>
        </w:rPr>
        <w:t xml:space="preserve">Future activity centres such as </w:t>
      </w:r>
      <w:r w:rsidR="00137B31" w:rsidRPr="006C7B74">
        <w:rPr>
          <w:rFonts w:eastAsia="Calibri" w:cstheme="minorHAnsi"/>
          <w:sz w:val="20"/>
          <w:szCs w:val="20"/>
        </w:rPr>
        <w:t>Beveridge and Sunbury South offer</w:t>
      </w:r>
      <w:r w:rsidR="0018133E" w:rsidRPr="006C7B74">
        <w:rPr>
          <w:rFonts w:eastAsia="Calibri" w:cstheme="minorHAnsi"/>
          <w:sz w:val="20"/>
          <w:szCs w:val="20"/>
        </w:rPr>
        <w:t xml:space="preserve"> an opportunity to provide for </w:t>
      </w:r>
      <w:r w:rsidR="00E819A8" w:rsidRPr="006C7B74">
        <w:rPr>
          <w:rFonts w:eastAsia="Calibri" w:cstheme="minorHAnsi"/>
          <w:sz w:val="20"/>
          <w:szCs w:val="20"/>
        </w:rPr>
        <w:t>additional employment</w:t>
      </w:r>
      <w:r w:rsidR="00D74053" w:rsidRPr="006C7B74">
        <w:rPr>
          <w:rFonts w:eastAsia="Calibri" w:cstheme="minorHAnsi"/>
          <w:sz w:val="20"/>
          <w:szCs w:val="20"/>
        </w:rPr>
        <w:t xml:space="preserve"> while Wallan will play an increasingly important role </w:t>
      </w:r>
      <w:r w:rsidR="00A73856" w:rsidRPr="006C7B74">
        <w:rPr>
          <w:rFonts w:eastAsia="Calibri" w:cstheme="minorHAnsi"/>
          <w:sz w:val="20"/>
          <w:szCs w:val="20"/>
        </w:rPr>
        <w:t>in the corridor and beyond to regional townships</w:t>
      </w:r>
      <w:r w:rsidR="008B2C5E" w:rsidRPr="006C7B74">
        <w:rPr>
          <w:rFonts w:eastAsia="Calibri" w:cstheme="minorHAnsi"/>
          <w:sz w:val="20"/>
          <w:szCs w:val="20"/>
        </w:rPr>
        <w:t>.</w:t>
      </w:r>
      <w:r w:rsidR="00E819A8" w:rsidRPr="006C7B74">
        <w:rPr>
          <w:rFonts w:eastAsia="Calibri" w:cstheme="minorHAnsi"/>
          <w:sz w:val="20"/>
          <w:szCs w:val="20"/>
        </w:rPr>
        <w:t xml:space="preserve"> </w:t>
      </w:r>
      <w:r w:rsidR="00A54959" w:rsidRPr="006C7B74">
        <w:rPr>
          <w:rFonts w:eastAsia="Calibri" w:cstheme="minorHAnsi"/>
          <w:sz w:val="20"/>
          <w:szCs w:val="20"/>
        </w:rPr>
        <w:t>This network of centres is supported by a range of neighbourhood and local centres, both existing and proposed.</w:t>
      </w:r>
    </w:p>
    <w:p w14:paraId="7D0A207D" w14:textId="77777777" w:rsidR="007D56D5" w:rsidRPr="006C7B74" w:rsidRDefault="007D56D5" w:rsidP="00934C4D">
      <w:pPr>
        <w:spacing w:after="120"/>
        <w:rPr>
          <w:rFonts w:eastAsia="Calibri" w:cstheme="minorHAnsi"/>
          <w:sz w:val="20"/>
          <w:szCs w:val="20"/>
        </w:rPr>
      </w:pPr>
    </w:p>
    <w:p w14:paraId="7D4BEABC" w14:textId="7C649F26" w:rsidR="0075498A" w:rsidRPr="006C7B74" w:rsidRDefault="0075498A" w:rsidP="00934C4D">
      <w:pPr>
        <w:pStyle w:val="Heading2-Contenttable"/>
        <w:spacing w:after="120"/>
      </w:pPr>
      <w:bookmarkStart w:id="46" w:name="_Toc21694825"/>
      <w:r w:rsidRPr="006C7B74">
        <w:t>Supply and demand for industrial and commercial land across the region</w:t>
      </w:r>
      <w:bookmarkEnd w:id="46"/>
    </w:p>
    <w:p w14:paraId="18081587" w14:textId="1088D6AE" w:rsidR="0075498A" w:rsidRPr="006C7B74" w:rsidRDefault="0075498A" w:rsidP="00934C4D">
      <w:pPr>
        <w:pStyle w:val="Heading3"/>
        <w:spacing w:before="0" w:after="120"/>
      </w:pPr>
      <w:r w:rsidRPr="006C7B74">
        <w:t xml:space="preserve">Industrial </w:t>
      </w:r>
      <w:r w:rsidR="00AA1D74" w:rsidRPr="006C7B74">
        <w:t>l</w:t>
      </w:r>
      <w:r w:rsidRPr="006C7B74">
        <w:t>and</w:t>
      </w:r>
    </w:p>
    <w:p w14:paraId="6B09CE49" w14:textId="02AD325C" w:rsidR="00930171" w:rsidRPr="006C7B74" w:rsidRDefault="0075498A" w:rsidP="00934C4D">
      <w:pPr>
        <w:spacing w:after="120"/>
        <w:rPr>
          <w:rFonts w:cstheme="minorHAnsi"/>
          <w:sz w:val="20"/>
          <w:szCs w:val="20"/>
        </w:rPr>
      </w:pPr>
      <w:r w:rsidRPr="006C7B74">
        <w:rPr>
          <w:rFonts w:cstheme="minorHAnsi"/>
          <w:sz w:val="20"/>
          <w:szCs w:val="20"/>
        </w:rPr>
        <w:t xml:space="preserve">The Northern Region contains metropolitan Melbourne’s third largest </w:t>
      </w:r>
      <w:r w:rsidR="00930171" w:rsidRPr="006C7B74">
        <w:rPr>
          <w:rFonts w:cstheme="minorHAnsi"/>
          <w:sz w:val="20"/>
          <w:szCs w:val="20"/>
        </w:rPr>
        <w:t>holding</w:t>
      </w:r>
      <w:r w:rsidRPr="006C7B74">
        <w:rPr>
          <w:rFonts w:cstheme="minorHAnsi"/>
          <w:sz w:val="20"/>
          <w:szCs w:val="20"/>
        </w:rPr>
        <w:t xml:space="preserve"> of industrial land</w:t>
      </w:r>
      <w:r w:rsidR="00930171" w:rsidRPr="006C7B74">
        <w:rPr>
          <w:rFonts w:cstheme="minorHAnsi"/>
          <w:sz w:val="20"/>
          <w:szCs w:val="20"/>
        </w:rPr>
        <w:t>. The region has a total of around</w:t>
      </w:r>
      <w:r w:rsidR="007D254D" w:rsidRPr="006C7B74">
        <w:rPr>
          <w:rFonts w:cstheme="minorHAnsi"/>
          <w:sz w:val="20"/>
          <w:szCs w:val="20"/>
        </w:rPr>
        <w:t xml:space="preserve"> </w:t>
      </w:r>
      <w:r w:rsidR="00C90A9D" w:rsidRPr="006C7B74">
        <w:rPr>
          <w:rFonts w:cstheme="minorHAnsi"/>
          <w:sz w:val="20"/>
          <w:szCs w:val="20"/>
        </w:rPr>
        <w:t>4,960</w:t>
      </w:r>
      <w:r w:rsidR="00965005" w:rsidRPr="006C7B74">
        <w:rPr>
          <w:rFonts w:cstheme="minorHAnsi"/>
          <w:sz w:val="20"/>
          <w:szCs w:val="20"/>
        </w:rPr>
        <w:t xml:space="preserve"> </w:t>
      </w:r>
      <w:r w:rsidRPr="006C7B74">
        <w:rPr>
          <w:rFonts w:cstheme="minorHAnsi"/>
          <w:sz w:val="20"/>
          <w:szCs w:val="20"/>
        </w:rPr>
        <w:t>hectares of zoned land set aside for industrial uses</w:t>
      </w:r>
      <w:r w:rsidR="00BD0FC8" w:rsidRPr="006C7B74">
        <w:rPr>
          <w:rFonts w:cstheme="minorHAnsi"/>
          <w:sz w:val="20"/>
          <w:szCs w:val="20"/>
        </w:rPr>
        <w:t>.</w:t>
      </w:r>
      <w:r w:rsidRPr="006C7B74">
        <w:rPr>
          <w:rFonts w:cstheme="minorHAnsi"/>
          <w:sz w:val="20"/>
          <w:szCs w:val="20"/>
        </w:rPr>
        <w:t xml:space="preserve"> </w:t>
      </w:r>
      <w:r w:rsidR="00930171" w:rsidRPr="006C7B74">
        <w:rPr>
          <w:rFonts w:cstheme="minorHAnsi"/>
          <w:sz w:val="20"/>
          <w:szCs w:val="20"/>
        </w:rPr>
        <w:t xml:space="preserve">Of this, </w:t>
      </w:r>
      <w:r w:rsidR="006D101C" w:rsidRPr="006C7B74">
        <w:rPr>
          <w:rFonts w:cstheme="minorHAnsi"/>
          <w:sz w:val="20"/>
          <w:szCs w:val="20"/>
        </w:rPr>
        <w:t>almost</w:t>
      </w:r>
      <w:r w:rsidR="00930171" w:rsidRPr="006C7B74">
        <w:rPr>
          <w:rFonts w:cstheme="minorHAnsi"/>
          <w:sz w:val="20"/>
          <w:szCs w:val="20"/>
        </w:rPr>
        <w:t xml:space="preserve"> 3,7</w:t>
      </w:r>
      <w:r w:rsidR="006D101C" w:rsidRPr="006C7B74">
        <w:rPr>
          <w:rFonts w:cstheme="minorHAnsi"/>
          <w:sz w:val="20"/>
          <w:szCs w:val="20"/>
        </w:rPr>
        <w:t>20</w:t>
      </w:r>
      <w:r w:rsidR="00930171" w:rsidRPr="006C7B74">
        <w:rPr>
          <w:rFonts w:cstheme="minorHAnsi"/>
          <w:sz w:val="20"/>
          <w:szCs w:val="20"/>
        </w:rPr>
        <w:t xml:space="preserve"> hectares is currently occupied and just over </w:t>
      </w:r>
      <w:r w:rsidR="006D07FA" w:rsidRPr="006C7B74">
        <w:rPr>
          <w:rFonts w:cstheme="minorHAnsi"/>
          <w:sz w:val="20"/>
          <w:szCs w:val="20"/>
        </w:rPr>
        <w:t>1,240</w:t>
      </w:r>
      <w:r w:rsidR="003A2A4D" w:rsidRPr="006C7B74">
        <w:rPr>
          <w:rFonts w:cstheme="minorHAnsi"/>
          <w:sz w:val="20"/>
          <w:szCs w:val="20"/>
        </w:rPr>
        <w:t xml:space="preserve"> </w:t>
      </w:r>
      <w:r w:rsidR="00930171" w:rsidRPr="006C7B74">
        <w:rPr>
          <w:rFonts w:cstheme="minorHAnsi"/>
          <w:sz w:val="20"/>
          <w:szCs w:val="20"/>
        </w:rPr>
        <w:t xml:space="preserve">hectares is currently zoned for industrial purposes and vacant. An additional </w:t>
      </w:r>
      <w:r w:rsidR="007528EA" w:rsidRPr="006C7B74">
        <w:rPr>
          <w:rFonts w:cstheme="minorHAnsi"/>
          <w:sz w:val="20"/>
          <w:szCs w:val="20"/>
        </w:rPr>
        <w:t>2,8</w:t>
      </w:r>
      <w:r w:rsidR="004D0F60" w:rsidRPr="006C7B74">
        <w:rPr>
          <w:rFonts w:cstheme="minorHAnsi"/>
          <w:sz w:val="20"/>
          <w:szCs w:val="20"/>
        </w:rPr>
        <w:t>67</w:t>
      </w:r>
      <w:r w:rsidR="003A2A4D" w:rsidRPr="006C7B74">
        <w:rPr>
          <w:rFonts w:cstheme="minorHAnsi"/>
          <w:sz w:val="20"/>
          <w:szCs w:val="20"/>
        </w:rPr>
        <w:t xml:space="preserve"> </w:t>
      </w:r>
      <w:r w:rsidR="00930171" w:rsidRPr="006C7B74">
        <w:rPr>
          <w:rFonts w:cstheme="minorHAnsi"/>
          <w:sz w:val="20"/>
          <w:szCs w:val="20"/>
        </w:rPr>
        <w:t xml:space="preserve">hectares of land has been identified for future industrial purposes that </w:t>
      </w:r>
      <w:r w:rsidR="00D206C0" w:rsidRPr="006C7B74">
        <w:rPr>
          <w:rFonts w:cstheme="minorHAnsi"/>
          <w:sz w:val="20"/>
          <w:szCs w:val="20"/>
        </w:rPr>
        <w:t>are</w:t>
      </w:r>
      <w:r w:rsidR="00930171" w:rsidRPr="006C7B74">
        <w:rPr>
          <w:rFonts w:cstheme="minorHAnsi"/>
          <w:sz w:val="20"/>
          <w:szCs w:val="20"/>
        </w:rPr>
        <w:t xml:space="preserve"> yet to be </w:t>
      </w:r>
      <w:r w:rsidR="00D206C0" w:rsidRPr="006C7B74">
        <w:rPr>
          <w:rFonts w:cstheme="minorHAnsi"/>
          <w:sz w:val="20"/>
          <w:szCs w:val="20"/>
        </w:rPr>
        <w:t>re-</w:t>
      </w:r>
      <w:r w:rsidR="00930171" w:rsidRPr="006C7B74">
        <w:rPr>
          <w:rFonts w:cstheme="minorHAnsi"/>
          <w:sz w:val="20"/>
          <w:szCs w:val="20"/>
        </w:rPr>
        <w:t>zoned.</w:t>
      </w:r>
    </w:p>
    <w:p w14:paraId="21BCC0B3" w14:textId="4971930B" w:rsidR="00C07423" w:rsidRPr="006C7B74" w:rsidRDefault="00C07423" w:rsidP="00C07423">
      <w:pPr>
        <w:spacing w:after="120"/>
        <w:rPr>
          <w:rFonts w:cstheme="minorHAnsi"/>
          <w:sz w:val="20"/>
          <w:szCs w:val="20"/>
        </w:rPr>
      </w:pPr>
      <w:r w:rsidRPr="006C7B74">
        <w:rPr>
          <w:rFonts w:cstheme="minorHAnsi"/>
          <w:sz w:val="20"/>
          <w:szCs w:val="20"/>
        </w:rPr>
        <w:t xml:space="preserve">Approximately </w:t>
      </w:r>
      <w:r w:rsidR="007528EA" w:rsidRPr="006C7B74">
        <w:rPr>
          <w:rFonts w:cstheme="minorHAnsi"/>
          <w:sz w:val="20"/>
          <w:szCs w:val="20"/>
        </w:rPr>
        <w:t>5,7</w:t>
      </w:r>
      <w:r w:rsidR="00B6413F" w:rsidRPr="006C7B74">
        <w:rPr>
          <w:rFonts w:cstheme="minorHAnsi"/>
          <w:sz w:val="20"/>
          <w:szCs w:val="20"/>
        </w:rPr>
        <w:t>73</w:t>
      </w:r>
      <w:r w:rsidRPr="006C7B74">
        <w:rPr>
          <w:rFonts w:cstheme="minorHAnsi"/>
          <w:sz w:val="20"/>
          <w:szCs w:val="20"/>
        </w:rPr>
        <w:t xml:space="preserve"> hectares of</w:t>
      </w:r>
      <w:r w:rsidR="0078373D" w:rsidRPr="006C7B74">
        <w:rPr>
          <w:rFonts w:cstheme="minorHAnsi"/>
          <w:sz w:val="20"/>
          <w:szCs w:val="20"/>
        </w:rPr>
        <w:t xml:space="preserve"> all</w:t>
      </w:r>
      <w:r w:rsidRPr="006C7B74">
        <w:rPr>
          <w:rFonts w:cstheme="minorHAnsi"/>
          <w:sz w:val="20"/>
          <w:szCs w:val="20"/>
        </w:rPr>
        <w:t xml:space="preserve"> industrial land </w:t>
      </w:r>
      <w:r w:rsidR="0078373D" w:rsidRPr="006C7B74">
        <w:rPr>
          <w:rFonts w:cstheme="minorHAnsi"/>
          <w:sz w:val="20"/>
          <w:szCs w:val="20"/>
        </w:rPr>
        <w:t xml:space="preserve">in the region </w:t>
      </w:r>
      <w:r w:rsidRPr="006C7B74">
        <w:rPr>
          <w:rFonts w:cstheme="minorHAnsi"/>
          <w:sz w:val="20"/>
          <w:szCs w:val="20"/>
        </w:rPr>
        <w:t xml:space="preserve">is located within the Northern SSIP. </w:t>
      </w:r>
    </w:p>
    <w:p w14:paraId="1A48E1E3" w14:textId="44FEDF70" w:rsidR="006F69E9" w:rsidRPr="006C7B74" w:rsidRDefault="00C07423" w:rsidP="00C07423">
      <w:pPr>
        <w:spacing w:after="120"/>
        <w:rPr>
          <w:rFonts w:cstheme="minorHAnsi"/>
          <w:sz w:val="20"/>
          <w:szCs w:val="20"/>
        </w:rPr>
      </w:pPr>
      <w:r w:rsidRPr="006C7B74">
        <w:rPr>
          <w:rFonts w:cstheme="minorHAnsi"/>
          <w:sz w:val="20"/>
          <w:szCs w:val="20"/>
        </w:rPr>
        <w:t xml:space="preserve">Across the region there are </w:t>
      </w:r>
      <w:r w:rsidR="00623B58" w:rsidRPr="006C7B74">
        <w:rPr>
          <w:rFonts w:cstheme="minorHAnsi"/>
          <w:sz w:val="20"/>
          <w:szCs w:val="20"/>
        </w:rPr>
        <w:t>4,1</w:t>
      </w:r>
      <w:r w:rsidR="00B6413F" w:rsidRPr="006C7B74">
        <w:rPr>
          <w:rFonts w:cstheme="minorHAnsi"/>
          <w:sz w:val="20"/>
          <w:szCs w:val="20"/>
        </w:rPr>
        <w:t>08</w:t>
      </w:r>
      <w:r w:rsidRPr="006C7B74">
        <w:rPr>
          <w:rFonts w:cstheme="minorHAnsi"/>
          <w:sz w:val="20"/>
          <w:szCs w:val="20"/>
        </w:rPr>
        <w:t xml:space="preserve"> hectares of vacant zoned and unzoned industrial land available for development, of which </w:t>
      </w:r>
      <w:r w:rsidR="00623B58" w:rsidRPr="006C7B74">
        <w:rPr>
          <w:rFonts w:cstheme="minorHAnsi"/>
          <w:sz w:val="20"/>
          <w:szCs w:val="20"/>
        </w:rPr>
        <w:t>3,3</w:t>
      </w:r>
      <w:r w:rsidR="00BF3D1B" w:rsidRPr="006C7B74">
        <w:rPr>
          <w:rFonts w:cstheme="minorHAnsi"/>
          <w:sz w:val="20"/>
          <w:szCs w:val="20"/>
        </w:rPr>
        <w:t>72</w:t>
      </w:r>
      <w:r w:rsidRPr="006C7B74">
        <w:rPr>
          <w:rFonts w:cstheme="minorHAnsi"/>
          <w:sz w:val="20"/>
          <w:szCs w:val="20"/>
        </w:rPr>
        <w:t xml:space="preserve"> hectares is located within the Northern SSIP. </w:t>
      </w:r>
      <w:r w:rsidR="00D654EA" w:rsidRPr="006C7B74">
        <w:rPr>
          <w:rFonts w:cstheme="minorHAnsi"/>
          <w:sz w:val="20"/>
          <w:szCs w:val="20"/>
        </w:rPr>
        <w:t xml:space="preserve">A portion of </w:t>
      </w:r>
      <w:r w:rsidR="00D654EA" w:rsidRPr="006C7B74">
        <w:rPr>
          <w:sz w:val="20"/>
        </w:rPr>
        <w:t xml:space="preserve">this land </w:t>
      </w:r>
      <w:r w:rsidR="00D654EA" w:rsidRPr="006C7B74">
        <w:rPr>
          <w:rFonts w:cstheme="minorHAnsi"/>
          <w:sz w:val="20"/>
          <w:szCs w:val="20"/>
        </w:rPr>
        <w:t>will be required to accommodate the proposed</w:t>
      </w:r>
      <w:r w:rsidR="00D654EA" w:rsidRPr="006C7B74">
        <w:rPr>
          <w:sz w:val="20"/>
        </w:rPr>
        <w:t xml:space="preserve"> BIFT</w:t>
      </w:r>
      <w:r w:rsidR="00D654EA" w:rsidRPr="006C7B74">
        <w:rPr>
          <w:rFonts w:cstheme="minorHAnsi"/>
          <w:sz w:val="20"/>
          <w:szCs w:val="20"/>
        </w:rPr>
        <w:t xml:space="preserve"> and ancillary uses.  </w:t>
      </w:r>
    </w:p>
    <w:p w14:paraId="61395915" w14:textId="376C9D8F" w:rsidR="00C07423" w:rsidRPr="006C7B74" w:rsidRDefault="00C07423" w:rsidP="00C07423">
      <w:pPr>
        <w:spacing w:after="120"/>
        <w:rPr>
          <w:rFonts w:cstheme="minorHAnsi"/>
          <w:sz w:val="20"/>
          <w:szCs w:val="20"/>
        </w:rPr>
      </w:pPr>
      <w:r w:rsidRPr="006C7B74">
        <w:rPr>
          <w:rFonts w:cstheme="minorHAnsi"/>
          <w:sz w:val="20"/>
          <w:szCs w:val="20"/>
        </w:rPr>
        <w:lastRenderedPageBreak/>
        <w:t xml:space="preserve">Of the remaining </w:t>
      </w:r>
      <w:r w:rsidR="008363FE" w:rsidRPr="006C7B74">
        <w:rPr>
          <w:rFonts w:cstheme="minorHAnsi"/>
          <w:sz w:val="20"/>
          <w:szCs w:val="20"/>
        </w:rPr>
        <w:t xml:space="preserve">736 </w:t>
      </w:r>
      <w:r w:rsidRPr="006C7B74">
        <w:rPr>
          <w:rFonts w:cstheme="minorHAnsi"/>
          <w:sz w:val="20"/>
          <w:szCs w:val="20"/>
        </w:rPr>
        <w:t xml:space="preserve">hectares of available land, approximately </w:t>
      </w:r>
      <w:r w:rsidR="008363FE" w:rsidRPr="006C7B74">
        <w:rPr>
          <w:rFonts w:cstheme="minorHAnsi"/>
          <w:sz w:val="20"/>
          <w:szCs w:val="20"/>
        </w:rPr>
        <w:t xml:space="preserve">473 </w:t>
      </w:r>
      <w:r w:rsidRPr="006C7B74">
        <w:rPr>
          <w:rFonts w:cstheme="minorHAnsi"/>
          <w:sz w:val="20"/>
          <w:szCs w:val="20"/>
        </w:rPr>
        <w:t xml:space="preserve">hectares are </w:t>
      </w:r>
      <w:r w:rsidR="00CA46CF" w:rsidRPr="006C7B74">
        <w:rPr>
          <w:rFonts w:cstheme="minorHAnsi"/>
          <w:sz w:val="20"/>
          <w:szCs w:val="20"/>
        </w:rPr>
        <w:t xml:space="preserve">unzoned </w:t>
      </w:r>
      <w:r w:rsidRPr="006C7B74">
        <w:rPr>
          <w:rFonts w:cstheme="minorHAnsi"/>
          <w:sz w:val="20"/>
          <w:szCs w:val="20"/>
        </w:rPr>
        <w:t xml:space="preserve">within key future industrial </w:t>
      </w:r>
      <w:r w:rsidR="00CA46CF" w:rsidRPr="006C7B74">
        <w:rPr>
          <w:rFonts w:cstheme="minorHAnsi"/>
          <w:sz w:val="20"/>
          <w:szCs w:val="20"/>
        </w:rPr>
        <w:t>precincts in growth areas</w:t>
      </w:r>
      <w:r w:rsidRPr="006C7B74">
        <w:rPr>
          <w:rFonts w:cstheme="minorHAnsi"/>
          <w:sz w:val="20"/>
          <w:szCs w:val="20"/>
        </w:rPr>
        <w:t xml:space="preserve">. </w:t>
      </w:r>
    </w:p>
    <w:p w14:paraId="5EAB3F49" w14:textId="77777777" w:rsidR="00CA46CF" w:rsidRPr="006C7B74" w:rsidRDefault="00CA46CF" w:rsidP="00652302">
      <w:pPr>
        <w:spacing w:after="120"/>
      </w:pPr>
    </w:p>
    <w:p w14:paraId="17DEA75B" w14:textId="5FD8D0F6" w:rsidR="0075498A" w:rsidRPr="006C7B74" w:rsidRDefault="0075498A" w:rsidP="00507CA9">
      <w:pPr>
        <w:pStyle w:val="Heading5"/>
      </w:pPr>
      <w:r w:rsidRPr="006C7B74">
        <w:t xml:space="preserve">Table </w:t>
      </w:r>
      <w:r w:rsidR="00452DF6" w:rsidRPr="006C7B74">
        <w:t>18</w:t>
      </w:r>
      <w:r w:rsidRPr="006C7B74">
        <w:t>: Industrial land supply</w:t>
      </w:r>
      <w:r w:rsidR="00916DA6" w:rsidRPr="006C7B74">
        <w:t xml:space="preserve">, </w:t>
      </w:r>
      <w:r w:rsidR="00B62239" w:rsidRPr="006C7B74">
        <w:t>Northern Region</w:t>
      </w:r>
    </w:p>
    <w:tbl>
      <w:tblPr>
        <w:tblW w:w="5000" w:type="pct"/>
        <w:tblLook w:val="04A0" w:firstRow="1" w:lastRow="0" w:firstColumn="1" w:lastColumn="0" w:noHBand="0" w:noVBand="1"/>
      </w:tblPr>
      <w:tblGrid>
        <w:gridCol w:w="3241"/>
        <w:gridCol w:w="1097"/>
        <w:gridCol w:w="1272"/>
        <w:gridCol w:w="1265"/>
        <w:gridCol w:w="2145"/>
      </w:tblGrid>
      <w:tr w:rsidR="00652302" w:rsidRPr="006C7B74" w14:paraId="5366C738" w14:textId="77777777" w:rsidTr="00955914">
        <w:trPr>
          <w:trHeight w:val="735"/>
        </w:trPr>
        <w:tc>
          <w:tcPr>
            <w:tcW w:w="1797" w:type="pct"/>
            <w:tcBorders>
              <w:top w:val="nil"/>
              <w:left w:val="nil"/>
              <w:bottom w:val="single" w:sz="8" w:space="0" w:color="4D446C"/>
              <w:right w:val="nil"/>
            </w:tcBorders>
            <w:shd w:val="clear" w:color="000000" w:fill="4D446C"/>
            <w:noWrap/>
            <w:vAlign w:val="center"/>
            <w:hideMark/>
          </w:tcPr>
          <w:p w14:paraId="2B57F13E" w14:textId="77777777" w:rsidR="00235A2F" w:rsidRPr="008D088F" w:rsidRDefault="00235A2F" w:rsidP="008D088F">
            <w:pPr>
              <w:pStyle w:val="TableHeaderRow"/>
            </w:pPr>
            <w:r w:rsidRPr="008D088F">
              <w:t>Council / SSIP</w:t>
            </w:r>
          </w:p>
        </w:tc>
        <w:tc>
          <w:tcPr>
            <w:tcW w:w="608" w:type="pct"/>
            <w:tcBorders>
              <w:top w:val="nil"/>
              <w:left w:val="nil"/>
              <w:bottom w:val="single" w:sz="8" w:space="0" w:color="4D446C"/>
              <w:right w:val="nil"/>
            </w:tcBorders>
            <w:shd w:val="clear" w:color="000000" w:fill="4D446C"/>
            <w:vAlign w:val="center"/>
            <w:hideMark/>
          </w:tcPr>
          <w:p w14:paraId="67CEA213" w14:textId="77777777" w:rsidR="00235A2F" w:rsidRPr="008D088F" w:rsidRDefault="00235A2F" w:rsidP="008D088F">
            <w:pPr>
              <w:pStyle w:val="TableHeaderRow"/>
              <w:jc w:val="center"/>
            </w:pPr>
            <w:r w:rsidRPr="008D088F">
              <w:t>Zoned occupied (ha)</w:t>
            </w:r>
          </w:p>
        </w:tc>
        <w:tc>
          <w:tcPr>
            <w:tcW w:w="705" w:type="pct"/>
            <w:tcBorders>
              <w:top w:val="nil"/>
              <w:left w:val="nil"/>
              <w:bottom w:val="single" w:sz="8" w:space="0" w:color="4D446C"/>
              <w:right w:val="nil"/>
            </w:tcBorders>
            <w:shd w:val="clear" w:color="000000" w:fill="4D446C"/>
            <w:vAlign w:val="center"/>
            <w:hideMark/>
          </w:tcPr>
          <w:p w14:paraId="7D2CA8D6" w14:textId="77777777" w:rsidR="00235A2F" w:rsidRPr="008D088F" w:rsidRDefault="00235A2F" w:rsidP="008D088F">
            <w:pPr>
              <w:pStyle w:val="TableHeaderRow"/>
              <w:jc w:val="center"/>
            </w:pPr>
            <w:r w:rsidRPr="008D088F">
              <w:t>Zoned vacant (ha)</w:t>
            </w:r>
          </w:p>
        </w:tc>
        <w:tc>
          <w:tcPr>
            <w:tcW w:w="701" w:type="pct"/>
            <w:tcBorders>
              <w:top w:val="nil"/>
              <w:left w:val="nil"/>
              <w:bottom w:val="single" w:sz="8" w:space="0" w:color="4D446C"/>
              <w:right w:val="nil"/>
            </w:tcBorders>
            <w:shd w:val="clear" w:color="000000" w:fill="4D446C"/>
            <w:vAlign w:val="center"/>
            <w:hideMark/>
          </w:tcPr>
          <w:p w14:paraId="35561633" w14:textId="77777777" w:rsidR="00235A2F" w:rsidRPr="008D088F" w:rsidRDefault="00235A2F" w:rsidP="008D088F">
            <w:pPr>
              <w:pStyle w:val="TableHeaderRow"/>
              <w:jc w:val="center"/>
            </w:pPr>
            <w:r w:rsidRPr="008D088F">
              <w:t>Future supply (ha)</w:t>
            </w:r>
          </w:p>
        </w:tc>
        <w:tc>
          <w:tcPr>
            <w:tcW w:w="1189" w:type="pct"/>
            <w:tcBorders>
              <w:top w:val="nil"/>
              <w:left w:val="nil"/>
              <w:bottom w:val="single" w:sz="8" w:space="0" w:color="4D446C"/>
              <w:right w:val="nil"/>
            </w:tcBorders>
            <w:shd w:val="clear" w:color="000000" w:fill="4D446C"/>
            <w:vAlign w:val="center"/>
            <w:hideMark/>
          </w:tcPr>
          <w:p w14:paraId="429E7121" w14:textId="77777777" w:rsidR="00235A2F" w:rsidRPr="008D088F" w:rsidRDefault="00235A2F" w:rsidP="008D088F">
            <w:pPr>
              <w:pStyle w:val="TableHeaderRow"/>
              <w:jc w:val="center"/>
            </w:pPr>
            <w:r w:rsidRPr="008D088F">
              <w:t>Total available supply (ha)</w:t>
            </w:r>
          </w:p>
        </w:tc>
      </w:tr>
      <w:tr w:rsidR="00955914" w:rsidRPr="006C7B74" w14:paraId="696B5A69" w14:textId="77777777" w:rsidTr="006C7B74">
        <w:trPr>
          <w:trHeight w:val="315"/>
        </w:trPr>
        <w:tc>
          <w:tcPr>
            <w:tcW w:w="1797" w:type="pct"/>
            <w:tcBorders>
              <w:top w:val="nil"/>
              <w:left w:val="nil"/>
              <w:bottom w:val="single" w:sz="8" w:space="0" w:color="4D446C"/>
              <w:right w:val="nil"/>
            </w:tcBorders>
            <w:shd w:val="clear" w:color="auto" w:fill="auto"/>
            <w:noWrap/>
            <w:vAlign w:val="center"/>
            <w:hideMark/>
          </w:tcPr>
          <w:p w14:paraId="28F58D15" w14:textId="77777777" w:rsidR="00955914" w:rsidRPr="006C7B74" w:rsidRDefault="00955914" w:rsidP="00955914">
            <w:pPr>
              <w:rPr>
                <w:rFonts w:cstheme="minorHAnsi"/>
                <w:color w:val="000000"/>
                <w:sz w:val="18"/>
                <w:szCs w:val="18"/>
                <w:lang w:eastAsia="en-AU"/>
              </w:rPr>
            </w:pPr>
            <w:r w:rsidRPr="006C7B74">
              <w:rPr>
                <w:rFonts w:cstheme="minorHAnsi"/>
                <w:color w:val="000000"/>
                <w:sz w:val="18"/>
                <w:szCs w:val="18"/>
                <w:lang w:eastAsia="en-AU"/>
              </w:rPr>
              <w:t>Banyule</w:t>
            </w:r>
          </w:p>
        </w:tc>
        <w:tc>
          <w:tcPr>
            <w:tcW w:w="608" w:type="pct"/>
            <w:tcBorders>
              <w:top w:val="nil"/>
              <w:left w:val="nil"/>
              <w:bottom w:val="single" w:sz="8" w:space="0" w:color="4D446C"/>
              <w:right w:val="nil"/>
            </w:tcBorders>
            <w:shd w:val="clear" w:color="auto" w:fill="auto"/>
            <w:noWrap/>
            <w:hideMark/>
          </w:tcPr>
          <w:p w14:paraId="6F321B05" w14:textId="643DD83E" w:rsidR="00955914" w:rsidRPr="006C7B74" w:rsidRDefault="00955914" w:rsidP="00955914">
            <w:pPr>
              <w:jc w:val="center"/>
              <w:rPr>
                <w:rFonts w:cstheme="minorHAnsi"/>
                <w:color w:val="363534"/>
                <w:sz w:val="18"/>
                <w:szCs w:val="18"/>
                <w:lang w:eastAsia="en-AU"/>
              </w:rPr>
            </w:pPr>
            <w:r w:rsidRPr="006C7B74">
              <w:rPr>
                <w:sz w:val="18"/>
                <w:szCs w:val="18"/>
              </w:rPr>
              <w:t>116.5</w:t>
            </w:r>
          </w:p>
        </w:tc>
        <w:tc>
          <w:tcPr>
            <w:tcW w:w="705" w:type="pct"/>
            <w:tcBorders>
              <w:top w:val="nil"/>
              <w:left w:val="nil"/>
              <w:bottom w:val="single" w:sz="8" w:space="0" w:color="4D446C"/>
              <w:right w:val="nil"/>
            </w:tcBorders>
            <w:shd w:val="clear" w:color="auto" w:fill="auto"/>
            <w:noWrap/>
            <w:hideMark/>
          </w:tcPr>
          <w:p w14:paraId="70437817" w14:textId="339DBF94" w:rsidR="00955914" w:rsidRPr="006C7B74" w:rsidRDefault="00955914" w:rsidP="00955914">
            <w:pPr>
              <w:jc w:val="center"/>
              <w:rPr>
                <w:rFonts w:cstheme="minorHAnsi"/>
                <w:color w:val="363534"/>
                <w:sz w:val="18"/>
                <w:szCs w:val="18"/>
                <w:lang w:eastAsia="en-AU"/>
              </w:rPr>
            </w:pPr>
            <w:r w:rsidRPr="006C7B74">
              <w:rPr>
                <w:sz w:val="18"/>
                <w:szCs w:val="18"/>
              </w:rPr>
              <w:t>1.4</w:t>
            </w:r>
          </w:p>
        </w:tc>
        <w:tc>
          <w:tcPr>
            <w:tcW w:w="701" w:type="pct"/>
            <w:tcBorders>
              <w:top w:val="nil"/>
              <w:left w:val="nil"/>
              <w:bottom w:val="single" w:sz="8" w:space="0" w:color="4D446C"/>
              <w:right w:val="nil"/>
            </w:tcBorders>
            <w:shd w:val="clear" w:color="auto" w:fill="auto"/>
            <w:noWrap/>
            <w:hideMark/>
          </w:tcPr>
          <w:p w14:paraId="6762EC23" w14:textId="45CB70AC" w:rsidR="00955914" w:rsidRPr="006C7B74" w:rsidRDefault="00955914" w:rsidP="00955914">
            <w:pPr>
              <w:jc w:val="center"/>
              <w:rPr>
                <w:rFonts w:cstheme="minorHAnsi"/>
                <w:color w:val="363534"/>
                <w:sz w:val="18"/>
                <w:szCs w:val="18"/>
                <w:lang w:eastAsia="en-AU"/>
              </w:rPr>
            </w:pPr>
            <w:r w:rsidRPr="006C7B74">
              <w:rPr>
                <w:sz w:val="18"/>
                <w:szCs w:val="18"/>
              </w:rPr>
              <w:t>0.0</w:t>
            </w:r>
          </w:p>
        </w:tc>
        <w:tc>
          <w:tcPr>
            <w:tcW w:w="1189" w:type="pct"/>
            <w:tcBorders>
              <w:top w:val="nil"/>
              <w:left w:val="nil"/>
              <w:bottom w:val="single" w:sz="8" w:space="0" w:color="4D446C"/>
              <w:right w:val="nil"/>
            </w:tcBorders>
            <w:shd w:val="clear" w:color="auto" w:fill="auto"/>
            <w:noWrap/>
            <w:hideMark/>
          </w:tcPr>
          <w:p w14:paraId="5909D633" w14:textId="28AE6382" w:rsidR="00955914" w:rsidRPr="006C7B74" w:rsidRDefault="00955914" w:rsidP="00955914">
            <w:pPr>
              <w:jc w:val="center"/>
              <w:rPr>
                <w:rFonts w:cstheme="minorHAnsi"/>
                <w:color w:val="363534"/>
                <w:sz w:val="18"/>
                <w:szCs w:val="18"/>
                <w:lang w:eastAsia="en-AU"/>
              </w:rPr>
            </w:pPr>
            <w:r w:rsidRPr="006C7B74">
              <w:rPr>
                <w:sz w:val="18"/>
                <w:szCs w:val="18"/>
              </w:rPr>
              <w:t>1.4</w:t>
            </w:r>
          </w:p>
        </w:tc>
      </w:tr>
      <w:tr w:rsidR="00955914" w:rsidRPr="006C7B74" w14:paraId="28AF56D4" w14:textId="77777777" w:rsidTr="006C7B74">
        <w:trPr>
          <w:trHeight w:val="315"/>
        </w:trPr>
        <w:tc>
          <w:tcPr>
            <w:tcW w:w="1797" w:type="pct"/>
            <w:tcBorders>
              <w:top w:val="nil"/>
              <w:left w:val="nil"/>
              <w:bottom w:val="single" w:sz="8" w:space="0" w:color="4D446C"/>
              <w:right w:val="nil"/>
            </w:tcBorders>
            <w:shd w:val="clear" w:color="auto" w:fill="auto"/>
            <w:noWrap/>
            <w:vAlign w:val="center"/>
            <w:hideMark/>
          </w:tcPr>
          <w:p w14:paraId="56785FF6" w14:textId="77777777" w:rsidR="00955914" w:rsidRPr="006C7B74" w:rsidRDefault="00955914" w:rsidP="00955914">
            <w:pPr>
              <w:rPr>
                <w:rFonts w:cstheme="minorHAnsi"/>
                <w:color w:val="000000"/>
                <w:sz w:val="18"/>
                <w:szCs w:val="18"/>
                <w:lang w:eastAsia="en-AU"/>
              </w:rPr>
            </w:pPr>
            <w:r w:rsidRPr="006C7B74">
              <w:rPr>
                <w:rFonts w:cstheme="minorHAnsi"/>
                <w:color w:val="000000"/>
                <w:sz w:val="18"/>
                <w:szCs w:val="18"/>
                <w:lang w:eastAsia="en-AU"/>
              </w:rPr>
              <w:t>Darebin</w:t>
            </w:r>
          </w:p>
        </w:tc>
        <w:tc>
          <w:tcPr>
            <w:tcW w:w="608" w:type="pct"/>
            <w:tcBorders>
              <w:top w:val="nil"/>
              <w:left w:val="nil"/>
              <w:bottom w:val="single" w:sz="8" w:space="0" w:color="4D446C"/>
              <w:right w:val="nil"/>
            </w:tcBorders>
            <w:shd w:val="clear" w:color="auto" w:fill="auto"/>
            <w:noWrap/>
            <w:hideMark/>
          </w:tcPr>
          <w:p w14:paraId="630636D5" w14:textId="452C30B7" w:rsidR="00955914" w:rsidRPr="006C7B74" w:rsidRDefault="00955914" w:rsidP="00955914">
            <w:pPr>
              <w:jc w:val="center"/>
              <w:rPr>
                <w:rFonts w:cstheme="minorHAnsi"/>
                <w:color w:val="363534"/>
                <w:sz w:val="18"/>
                <w:szCs w:val="18"/>
                <w:lang w:eastAsia="en-AU"/>
              </w:rPr>
            </w:pPr>
            <w:r w:rsidRPr="006C7B74">
              <w:rPr>
                <w:sz w:val="18"/>
                <w:szCs w:val="18"/>
              </w:rPr>
              <w:t>288.6</w:t>
            </w:r>
          </w:p>
        </w:tc>
        <w:tc>
          <w:tcPr>
            <w:tcW w:w="705" w:type="pct"/>
            <w:tcBorders>
              <w:top w:val="nil"/>
              <w:left w:val="nil"/>
              <w:bottom w:val="single" w:sz="8" w:space="0" w:color="4D446C"/>
              <w:right w:val="nil"/>
            </w:tcBorders>
            <w:shd w:val="clear" w:color="auto" w:fill="auto"/>
            <w:noWrap/>
            <w:hideMark/>
          </w:tcPr>
          <w:p w14:paraId="00727AC0" w14:textId="4B55C90D" w:rsidR="00955914" w:rsidRPr="006C7B74" w:rsidRDefault="00955914" w:rsidP="00955914">
            <w:pPr>
              <w:jc w:val="center"/>
              <w:rPr>
                <w:rFonts w:cstheme="minorHAnsi"/>
                <w:color w:val="363534"/>
                <w:sz w:val="18"/>
                <w:szCs w:val="18"/>
                <w:lang w:eastAsia="en-AU"/>
              </w:rPr>
            </w:pPr>
            <w:r w:rsidRPr="006C7B74">
              <w:rPr>
                <w:sz w:val="18"/>
                <w:szCs w:val="18"/>
              </w:rPr>
              <w:t>16.0</w:t>
            </w:r>
          </w:p>
        </w:tc>
        <w:tc>
          <w:tcPr>
            <w:tcW w:w="701" w:type="pct"/>
            <w:tcBorders>
              <w:top w:val="nil"/>
              <w:left w:val="nil"/>
              <w:bottom w:val="single" w:sz="8" w:space="0" w:color="4D446C"/>
              <w:right w:val="nil"/>
            </w:tcBorders>
            <w:shd w:val="clear" w:color="auto" w:fill="auto"/>
            <w:noWrap/>
            <w:hideMark/>
          </w:tcPr>
          <w:p w14:paraId="42DBC468" w14:textId="350ED921" w:rsidR="00955914" w:rsidRPr="006C7B74" w:rsidRDefault="00955914" w:rsidP="00955914">
            <w:pPr>
              <w:jc w:val="center"/>
              <w:rPr>
                <w:rFonts w:cstheme="minorHAnsi"/>
                <w:color w:val="363534"/>
                <w:sz w:val="18"/>
                <w:szCs w:val="18"/>
                <w:lang w:eastAsia="en-AU"/>
              </w:rPr>
            </w:pPr>
            <w:r w:rsidRPr="006C7B74">
              <w:rPr>
                <w:sz w:val="18"/>
                <w:szCs w:val="18"/>
              </w:rPr>
              <w:t>0.0</w:t>
            </w:r>
          </w:p>
        </w:tc>
        <w:tc>
          <w:tcPr>
            <w:tcW w:w="1189" w:type="pct"/>
            <w:tcBorders>
              <w:top w:val="nil"/>
              <w:left w:val="nil"/>
              <w:bottom w:val="single" w:sz="8" w:space="0" w:color="4D446C"/>
              <w:right w:val="nil"/>
            </w:tcBorders>
            <w:shd w:val="clear" w:color="auto" w:fill="auto"/>
            <w:noWrap/>
            <w:hideMark/>
          </w:tcPr>
          <w:p w14:paraId="040AAD84" w14:textId="15ACA5ED" w:rsidR="00955914" w:rsidRPr="006C7B74" w:rsidRDefault="00955914" w:rsidP="00955914">
            <w:pPr>
              <w:jc w:val="center"/>
              <w:rPr>
                <w:rFonts w:cstheme="minorHAnsi"/>
                <w:color w:val="363534"/>
                <w:sz w:val="18"/>
                <w:szCs w:val="18"/>
                <w:lang w:eastAsia="en-AU"/>
              </w:rPr>
            </w:pPr>
            <w:r w:rsidRPr="006C7B74">
              <w:rPr>
                <w:sz w:val="18"/>
                <w:szCs w:val="18"/>
              </w:rPr>
              <w:t>16.0</w:t>
            </w:r>
          </w:p>
        </w:tc>
      </w:tr>
      <w:tr w:rsidR="00955914" w:rsidRPr="006C7B74" w14:paraId="0149ABEF" w14:textId="77777777" w:rsidTr="006C7B74">
        <w:trPr>
          <w:trHeight w:val="315"/>
        </w:trPr>
        <w:tc>
          <w:tcPr>
            <w:tcW w:w="1797" w:type="pct"/>
            <w:tcBorders>
              <w:top w:val="nil"/>
              <w:left w:val="nil"/>
              <w:bottom w:val="single" w:sz="8" w:space="0" w:color="4D446C"/>
              <w:right w:val="nil"/>
            </w:tcBorders>
            <w:shd w:val="clear" w:color="auto" w:fill="auto"/>
            <w:noWrap/>
            <w:vAlign w:val="center"/>
            <w:hideMark/>
          </w:tcPr>
          <w:p w14:paraId="69A2CD7E" w14:textId="77777777" w:rsidR="00955914" w:rsidRPr="006C7B74" w:rsidRDefault="00955914" w:rsidP="00955914">
            <w:pPr>
              <w:rPr>
                <w:rFonts w:cstheme="minorHAnsi"/>
                <w:color w:val="000000"/>
                <w:sz w:val="18"/>
                <w:szCs w:val="18"/>
                <w:lang w:eastAsia="en-AU"/>
              </w:rPr>
            </w:pPr>
            <w:r w:rsidRPr="006C7B74">
              <w:rPr>
                <w:rFonts w:cstheme="minorHAnsi"/>
                <w:color w:val="000000"/>
                <w:sz w:val="18"/>
                <w:szCs w:val="18"/>
                <w:lang w:eastAsia="en-AU"/>
              </w:rPr>
              <w:t>Hume</w:t>
            </w:r>
          </w:p>
        </w:tc>
        <w:tc>
          <w:tcPr>
            <w:tcW w:w="608" w:type="pct"/>
            <w:tcBorders>
              <w:top w:val="nil"/>
              <w:left w:val="nil"/>
              <w:bottom w:val="single" w:sz="8" w:space="0" w:color="4D446C"/>
              <w:right w:val="nil"/>
            </w:tcBorders>
            <w:shd w:val="clear" w:color="auto" w:fill="auto"/>
            <w:noWrap/>
            <w:hideMark/>
          </w:tcPr>
          <w:p w14:paraId="25B249BF" w14:textId="1B662DE5" w:rsidR="00955914" w:rsidRPr="006C7B74" w:rsidRDefault="00955914" w:rsidP="00955914">
            <w:pPr>
              <w:jc w:val="center"/>
              <w:rPr>
                <w:rFonts w:cstheme="minorHAnsi"/>
                <w:color w:val="363534"/>
                <w:sz w:val="18"/>
                <w:szCs w:val="18"/>
                <w:lang w:eastAsia="en-AU"/>
              </w:rPr>
            </w:pPr>
            <w:r w:rsidRPr="006C7B74">
              <w:rPr>
                <w:sz w:val="18"/>
                <w:szCs w:val="18"/>
              </w:rPr>
              <w:t>2,141.9</w:t>
            </w:r>
          </w:p>
        </w:tc>
        <w:tc>
          <w:tcPr>
            <w:tcW w:w="705" w:type="pct"/>
            <w:tcBorders>
              <w:top w:val="nil"/>
              <w:left w:val="nil"/>
              <w:bottom w:val="single" w:sz="8" w:space="0" w:color="4D446C"/>
              <w:right w:val="nil"/>
            </w:tcBorders>
            <w:shd w:val="clear" w:color="auto" w:fill="auto"/>
            <w:noWrap/>
            <w:hideMark/>
          </w:tcPr>
          <w:p w14:paraId="43C3D83D" w14:textId="39FB77E5" w:rsidR="00955914" w:rsidRPr="006C7B74" w:rsidRDefault="00955914" w:rsidP="00955914">
            <w:pPr>
              <w:jc w:val="center"/>
              <w:rPr>
                <w:rFonts w:cstheme="minorHAnsi"/>
                <w:color w:val="363534"/>
                <w:sz w:val="18"/>
                <w:szCs w:val="18"/>
                <w:lang w:eastAsia="en-AU"/>
              </w:rPr>
            </w:pPr>
            <w:r w:rsidRPr="006C7B74">
              <w:rPr>
                <w:sz w:val="18"/>
                <w:szCs w:val="18"/>
              </w:rPr>
              <w:t>859.0</w:t>
            </w:r>
          </w:p>
        </w:tc>
        <w:tc>
          <w:tcPr>
            <w:tcW w:w="701" w:type="pct"/>
            <w:tcBorders>
              <w:top w:val="nil"/>
              <w:left w:val="nil"/>
              <w:bottom w:val="single" w:sz="8" w:space="0" w:color="4D446C"/>
              <w:right w:val="nil"/>
            </w:tcBorders>
            <w:shd w:val="clear" w:color="auto" w:fill="auto"/>
            <w:noWrap/>
            <w:hideMark/>
          </w:tcPr>
          <w:p w14:paraId="4B4B6A4F" w14:textId="7F334D86" w:rsidR="00955914" w:rsidRPr="006C7B74" w:rsidRDefault="00BF3D1B" w:rsidP="00955914">
            <w:pPr>
              <w:jc w:val="center"/>
              <w:rPr>
                <w:rFonts w:cstheme="minorHAnsi"/>
                <w:color w:val="363534"/>
                <w:sz w:val="18"/>
                <w:szCs w:val="18"/>
                <w:lang w:eastAsia="en-AU"/>
              </w:rPr>
            </w:pPr>
            <w:r w:rsidRPr="006C7B74">
              <w:rPr>
                <w:sz w:val="18"/>
                <w:szCs w:val="18"/>
              </w:rPr>
              <w:t>490.1</w:t>
            </w:r>
          </w:p>
        </w:tc>
        <w:tc>
          <w:tcPr>
            <w:tcW w:w="1189" w:type="pct"/>
            <w:tcBorders>
              <w:top w:val="nil"/>
              <w:left w:val="nil"/>
              <w:bottom w:val="single" w:sz="8" w:space="0" w:color="4D446C"/>
              <w:right w:val="nil"/>
            </w:tcBorders>
            <w:shd w:val="clear" w:color="auto" w:fill="auto"/>
            <w:noWrap/>
            <w:hideMark/>
          </w:tcPr>
          <w:p w14:paraId="273A43D9" w14:textId="6E321CDD" w:rsidR="00955914" w:rsidRPr="006C7B74" w:rsidRDefault="00955914" w:rsidP="00955914">
            <w:pPr>
              <w:jc w:val="center"/>
              <w:rPr>
                <w:rFonts w:cstheme="minorHAnsi"/>
                <w:color w:val="363534"/>
                <w:sz w:val="18"/>
                <w:szCs w:val="18"/>
                <w:lang w:eastAsia="en-AU"/>
              </w:rPr>
            </w:pPr>
            <w:r w:rsidRPr="006C7B74">
              <w:rPr>
                <w:sz w:val="18"/>
                <w:szCs w:val="18"/>
              </w:rPr>
              <w:t>1,3</w:t>
            </w:r>
            <w:r w:rsidR="00BF3D1B" w:rsidRPr="006C7B74">
              <w:rPr>
                <w:sz w:val="18"/>
                <w:szCs w:val="18"/>
              </w:rPr>
              <w:t>49</w:t>
            </w:r>
            <w:r w:rsidRPr="006C7B74">
              <w:rPr>
                <w:sz w:val="18"/>
                <w:szCs w:val="18"/>
              </w:rPr>
              <w:t>.</w:t>
            </w:r>
            <w:r w:rsidR="00BF3D1B" w:rsidRPr="006C7B74">
              <w:rPr>
                <w:sz w:val="18"/>
                <w:szCs w:val="18"/>
              </w:rPr>
              <w:t>1</w:t>
            </w:r>
          </w:p>
        </w:tc>
      </w:tr>
      <w:tr w:rsidR="00955914" w:rsidRPr="006C7B74" w14:paraId="1D450CA8" w14:textId="77777777" w:rsidTr="006C7B74">
        <w:trPr>
          <w:trHeight w:val="315"/>
        </w:trPr>
        <w:tc>
          <w:tcPr>
            <w:tcW w:w="1797" w:type="pct"/>
            <w:tcBorders>
              <w:top w:val="nil"/>
              <w:left w:val="nil"/>
              <w:bottom w:val="single" w:sz="8" w:space="0" w:color="4D446C"/>
              <w:right w:val="nil"/>
            </w:tcBorders>
            <w:shd w:val="clear" w:color="auto" w:fill="auto"/>
            <w:noWrap/>
            <w:vAlign w:val="center"/>
            <w:hideMark/>
          </w:tcPr>
          <w:p w14:paraId="0255A9F9" w14:textId="77777777" w:rsidR="00955914" w:rsidRPr="006C7B74" w:rsidRDefault="00955914" w:rsidP="00955914">
            <w:pPr>
              <w:rPr>
                <w:rFonts w:cstheme="minorHAnsi"/>
                <w:color w:val="000000"/>
                <w:sz w:val="18"/>
                <w:szCs w:val="18"/>
                <w:lang w:eastAsia="en-AU"/>
              </w:rPr>
            </w:pPr>
            <w:r w:rsidRPr="006C7B74">
              <w:rPr>
                <w:rFonts w:cstheme="minorHAnsi"/>
                <w:color w:val="000000"/>
                <w:sz w:val="18"/>
                <w:szCs w:val="18"/>
                <w:lang w:eastAsia="en-AU"/>
              </w:rPr>
              <w:t>Moreland</w:t>
            </w:r>
          </w:p>
        </w:tc>
        <w:tc>
          <w:tcPr>
            <w:tcW w:w="608" w:type="pct"/>
            <w:tcBorders>
              <w:top w:val="nil"/>
              <w:left w:val="nil"/>
              <w:bottom w:val="single" w:sz="8" w:space="0" w:color="4D446C"/>
              <w:right w:val="nil"/>
            </w:tcBorders>
            <w:shd w:val="clear" w:color="auto" w:fill="auto"/>
            <w:noWrap/>
            <w:hideMark/>
          </w:tcPr>
          <w:p w14:paraId="2B666723" w14:textId="138A4EFC" w:rsidR="00955914" w:rsidRPr="006C7B74" w:rsidRDefault="00955914" w:rsidP="00955914">
            <w:pPr>
              <w:jc w:val="center"/>
              <w:rPr>
                <w:rFonts w:cstheme="minorHAnsi"/>
                <w:color w:val="363534"/>
                <w:sz w:val="18"/>
                <w:szCs w:val="18"/>
                <w:lang w:eastAsia="en-AU"/>
              </w:rPr>
            </w:pPr>
            <w:r w:rsidRPr="006C7B74">
              <w:rPr>
                <w:sz w:val="18"/>
                <w:szCs w:val="18"/>
              </w:rPr>
              <w:t>246.7</w:t>
            </w:r>
          </w:p>
        </w:tc>
        <w:tc>
          <w:tcPr>
            <w:tcW w:w="705" w:type="pct"/>
            <w:tcBorders>
              <w:top w:val="nil"/>
              <w:left w:val="nil"/>
              <w:bottom w:val="single" w:sz="8" w:space="0" w:color="4D446C"/>
              <w:right w:val="nil"/>
            </w:tcBorders>
            <w:shd w:val="clear" w:color="auto" w:fill="auto"/>
            <w:noWrap/>
            <w:hideMark/>
          </w:tcPr>
          <w:p w14:paraId="128F791A" w14:textId="3C04E766" w:rsidR="00955914" w:rsidRPr="006C7B74" w:rsidRDefault="00955914" w:rsidP="00955914">
            <w:pPr>
              <w:jc w:val="center"/>
              <w:rPr>
                <w:rFonts w:cstheme="minorHAnsi"/>
                <w:color w:val="363534"/>
                <w:sz w:val="18"/>
                <w:szCs w:val="18"/>
                <w:lang w:eastAsia="en-AU"/>
              </w:rPr>
            </w:pPr>
            <w:r w:rsidRPr="006C7B74">
              <w:rPr>
                <w:sz w:val="18"/>
                <w:szCs w:val="18"/>
              </w:rPr>
              <w:t>13.2</w:t>
            </w:r>
          </w:p>
        </w:tc>
        <w:tc>
          <w:tcPr>
            <w:tcW w:w="701" w:type="pct"/>
            <w:tcBorders>
              <w:top w:val="nil"/>
              <w:left w:val="nil"/>
              <w:bottom w:val="single" w:sz="8" w:space="0" w:color="4D446C"/>
              <w:right w:val="nil"/>
            </w:tcBorders>
            <w:shd w:val="clear" w:color="auto" w:fill="auto"/>
            <w:noWrap/>
            <w:hideMark/>
          </w:tcPr>
          <w:p w14:paraId="25259B4C" w14:textId="232E0355" w:rsidR="00955914" w:rsidRPr="006C7B74" w:rsidRDefault="00955914" w:rsidP="00955914">
            <w:pPr>
              <w:jc w:val="center"/>
              <w:rPr>
                <w:rFonts w:cstheme="minorHAnsi"/>
                <w:color w:val="363534"/>
                <w:sz w:val="18"/>
                <w:szCs w:val="18"/>
                <w:lang w:eastAsia="en-AU"/>
              </w:rPr>
            </w:pPr>
            <w:r w:rsidRPr="006C7B74">
              <w:rPr>
                <w:sz w:val="18"/>
                <w:szCs w:val="18"/>
              </w:rPr>
              <w:t>0.0</w:t>
            </w:r>
          </w:p>
        </w:tc>
        <w:tc>
          <w:tcPr>
            <w:tcW w:w="1189" w:type="pct"/>
            <w:tcBorders>
              <w:top w:val="nil"/>
              <w:left w:val="nil"/>
              <w:bottom w:val="single" w:sz="8" w:space="0" w:color="4D446C"/>
              <w:right w:val="nil"/>
            </w:tcBorders>
            <w:shd w:val="clear" w:color="auto" w:fill="auto"/>
            <w:noWrap/>
            <w:hideMark/>
          </w:tcPr>
          <w:p w14:paraId="2EC38153" w14:textId="37428E19" w:rsidR="00955914" w:rsidRPr="006C7B74" w:rsidRDefault="00955914" w:rsidP="00955914">
            <w:pPr>
              <w:jc w:val="center"/>
              <w:rPr>
                <w:rFonts w:cstheme="minorHAnsi"/>
                <w:color w:val="363534"/>
                <w:sz w:val="18"/>
                <w:szCs w:val="18"/>
                <w:lang w:eastAsia="en-AU"/>
              </w:rPr>
            </w:pPr>
            <w:r w:rsidRPr="006C7B74">
              <w:rPr>
                <w:sz w:val="18"/>
                <w:szCs w:val="18"/>
              </w:rPr>
              <w:t>13.2</w:t>
            </w:r>
          </w:p>
        </w:tc>
      </w:tr>
      <w:tr w:rsidR="00955914" w:rsidRPr="006C7B74" w14:paraId="27530129" w14:textId="77777777" w:rsidTr="006C7B74">
        <w:trPr>
          <w:trHeight w:val="315"/>
        </w:trPr>
        <w:tc>
          <w:tcPr>
            <w:tcW w:w="1797" w:type="pct"/>
            <w:tcBorders>
              <w:top w:val="nil"/>
              <w:left w:val="nil"/>
              <w:bottom w:val="single" w:sz="8" w:space="0" w:color="4D446C"/>
              <w:right w:val="nil"/>
            </w:tcBorders>
            <w:shd w:val="clear" w:color="auto" w:fill="auto"/>
            <w:noWrap/>
            <w:vAlign w:val="center"/>
            <w:hideMark/>
          </w:tcPr>
          <w:p w14:paraId="7D034D66" w14:textId="77777777" w:rsidR="00955914" w:rsidRPr="006C7B74" w:rsidRDefault="00955914" w:rsidP="00955914">
            <w:pPr>
              <w:rPr>
                <w:rFonts w:cstheme="minorHAnsi"/>
                <w:color w:val="000000"/>
                <w:sz w:val="18"/>
                <w:szCs w:val="18"/>
                <w:lang w:eastAsia="en-AU"/>
              </w:rPr>
            </w:pPr>
            <w:r w:rsidRPr="006C7B74">
              <w:rPr>
                <w:rFonts w:cstheme="minorHAnsi"/>
                <w:color w:val="000000"/>
                <w:sz w:val="18"/>
                <w:szCs w:val="18"/>
                <w:lang w:eastAsia="en-AU"/>
              </w:rPr>
              <w:t>Nillumbik</w:t>
            </w:r>
          </w:p>
        </w:tc>
        <w:tc>
          <w:tcPr>
            <w:tcW w:w="608" w:type="pct"/>
            <w:tcBorders>
              <w:top w:val="nil"/>
              <w:left w:val="nil"/>
              <w:bottom w:val="single" w:sz="8" w:space="0" w:color="4D446C"/>
              <w:right w:val="nil"/>
            </w:tcBorders>
            <w:shd w:val="clear" w:color="auto" w:fill="auto"/>
            <w:noWrap/>
            <w:hideMark/>
          </w:tcPr>
          <w:p w14:paraId="02BD4BBD" w14:textId="0F523418" w:rsidR="00955914" w:rsidRPr="006C7B74" w:rsidRDefault="00955914" w:rsidP="00955914">
            <w:pPr>
              <w:jc w:val="center"/>
              <w:rPr>
                <w:rFonts w:cstheme="minorHAnsi"/>
                <w:color w:val="363534"/>
                <w:sz w:val="18"/>
                <w:szCs w:val="18"/>
                <w:lang w:eastAsia="en-AU"/>
              </w:rPr>
            </w:pPr>
            <w:r w:rsidRPr="006C7B74">
              <w:rPr>
                <w:sz w:val="18"/>
                <w:szCs w:val="18"/>
              </w:rPr>
              <w:t>29.2</w:t>
            </w:r>
          </w:p>
        </w:tc>
        <w:tc>
          <w:tcPr>
            <w:tcW w:w="705" w:type="pct"/>
            <w:tcBorders>
              <w:top w:val="nil"/>
              <w:left w:val="nil"/>
              <w:bottom w:val="single" w:sz="8" w:space="0" w:color="4D446C"/>
              <w:right w:val="nil"/>
            </w:tcBorders>
            <w:shd w:val="clear" w:color="auto" w:fill="auto"/>
            <w:noWrap/>
            <w:hideMark/>
          </w:tcPr>
          <w:p w14:paraId="330F4F54" w14:textId="5FA53C7B" w:rsidR="00955914" w:rsidRPr="006C7B74" w:rsidRDefault="00955914" w:rsidP="00955914">
            <w:pPr>
              <w:jc w:val="center"/>
              <w:rPr>
                <w:rFonts w:cstheme="minorHAnsi"/>
                <w:color w:val="363534"/>
                <w:sz w:val="18"/>
                <w:szCs w:val="18"/>
                <w:lang w:eastAsia="en-AU"/>
              </w:rPr>
            </w:pPr>
            <w:r w:rsidRPr="006C7B74">
              <w:rPr>
                <w:sz w:val="18"/>
                <w:szCs w:val="18"/>
              </w:rPr>
              <w:t>0.1</w:t>
            </w:r>
          </w:p>
        </w:tc>
        <w:tc>
          <w:tcPr>
            <w:tcW w:w="701" w:type="pct"/>
            <w:tcBorders>
              <w:top w:val="nil"/>
              <w:left w:val="nil"/>
              <w:bottom w:val="single" w:sz="8" w:space="0" w:color="4D446C"/>
              <w:right w:val="nil"/>
            </w:tcBorders>
            <w:shd w:val="clear" w:color="auto" w:fill="auto"/>
            <w:noWrap/>
            <w:hideMark/>
          </w:tcPr>
          <w:p w14:paraId="6D630FCC" w14:textId="610E2AA0" w:rsidR="00955914" w:rsidRPr="006C7B74" w:rsidRDefault="00955914" w:rsidP="00955914">
            <w:pPr>
              <w:jc w:val="center"/>
              <w:rPr>
                <w:rFonts w:cstheme="minorHAnsi"/>
                <w:color w:val="363534"/>
                <w:sz w:val="18"/>
                <w:szCs w:val="18"/>
                <w:lang w:eastAsia="en-AU"/>
              </w:rPr>
            </w:pPr>
            <w:r w:rsidRPr="006C7B74">
              <w:rPr>
                <w:sz w:val="18"/>
                <w:szCs w:val="18"/>
              </w:rPr>
              <w:t>0.0</w:t>
            </w:r>
          </w:p>
        </w:tc>
        <w:tc>
          <w:tcPr>
            <w:tcW w:w="1189" w:type="pct"/>
            <w:tcBorders>
              <w:top w:val="nil"/>
              <w:left w:val="nil"/>
              <w:bottom w:val="single" w:sz="8" w:space="0" w:color="4D446C"/>
              <w:right w:val="nil"/>
            </w:tcBorders>
            <w:shd w:val="clear" w:color="auto" w:fill="auto"/>
            <w:noWrap/>
            <w:hideMark/>
          </w:tcPr>
          <w:p w14:paraId="0C62047E" w14:textId="77862433" w:rsidR="00955914" w:rsidRPr="006C7B74" w:rsidRDefault="00955914" w:rsidP="00955914">
            <w:pPr>
              <w:jc w:val="center"/>
              <w:rPr>
                <w:rFonts w:cstheme="minorHAnsi"/>
                <w:color w:val="363534"/>
                <w:sz w:val="18"/>
                <w:szCs w:val="18"/>
                <w:lang w:eastAsia="en-AU"/>
              </w:rPr>
            </w:pPr>
            <w:r w:rsidRPr="006C7B74">
              <w:rPr>
                <w:sz w:val="18"/>
                <w:szCs w:val="18"/>
              </w:rPr>
              <w:t>0.1</w:t>
            </w:r>
          </w:p>
        </w:tc>
      </w:tr>
      <w:tr w:rsidR="00955914" w:rsidRPr="006C7B74" w14:paraId="5BF1DED0" w14:textId="77777777" w:rsidTr="006C7B74">
        <w:trPr>
          <w:trHeight w:val="315"/>
        </w:trPr>
        <w:tc>
          <w:tcPr>
            <w:tcW w:w="1797" w:type="pct"/>
            <w:tcBorders>
              <w:top w:val="nil"/>
              <w:left w:val="nil"/>
              <w:bottom w:val="single" w:sz="8" w:space="0" w:color="4D446C"/>
              <w:right w:val="nil"/>
            </w:tcBorders>
            <w:shd w:val="clear" w:color="auto" w:fill="auto"/>
            <w:noWrap/>
            <w:vAlign w:val="center"/>
            <w:hideMark/>
          </w:tcPr>
          <w:p w14:paraId="36603BE4" w14:textId="77777777" w:rsidR="00955914" w:rsidRPr="006C7B74" w:rsidRDefault="00955914" w:rsidP="00955914">
            <w:pPr>
              <w:rPr>
                <w:rFonts w:cstheme="minorHAnsi"/>
                <w:color w:val="000000"/>
                <w:sz w:val="18"/>
                <w:szCs w:val="18"/>
                <w:lang w:eastAsia="en-AU"/>
              </w:rPr>
            </w:pPr>
            <w:r w:rsidRPr="006C7B74">
              <w:rPr>
                <w:rFonts w:cstheme="minorHAnsi"/>
                <w:color w:val="000000"/>
                <w:sz w:val="18"/>
                <w:szCs w:val="18"/>
                <w:lang w:eastAsia="en-AU"/>
              </w:rPr>
              <w:t>Whittlesea</w:t>
            </w:r>
          </w:p>
        </w:tc>
        <w:tc>
          <w:tcPr>
            <w:tcW w:w="608" w:type="pct"/>
            <w:tcBorders>
              <w:top w:val="nil"/>
              <w:left w:val="nil"/>
              <w:bottom w:val="single" w:sz="8" w:space="0" w:color="4D446C"/>
              <w:right w:val="nil"/>
            </w:tcBorders>
            <w:shd w:val="clear" w:color="auto" w:fill="auto"/>
            <w:noWrap/>
            <w:hideMark/>
          </w:tcPr>
          <w:p w14:paraId="24E663EF" w14:textId="70279DD4" w:rsidR="00955914" w:rsidRPr="006C7B74" w:rsidRDefault="00955914" w:rsidP="00955914">
            <w:pPr>
              <w:jc w:val="center"/>
              <w:rPr>
                <w:rFonts w:cstheme="minorHAnsi"/>
                <w:color w:val="363534"/>
                <w:sz w:val="18"/>
                <w:szCs w:val="18"/>
                <w:lang w:eastAsia="en-AU"/>
              </w:rPr>
            </w:pPr>
            <w:r w:rsidRPr="006C7B74">
              <w:rPr>
                <w:sz w:val="18"/>
                <w:szCs w:val="18"/>
              </w:rPr>
              <w:t>889.7</w:t>
            </w:r>
          </w:p>
        </w:tc>
        <w:tc>
          <w:tcPr>
            <w:tcW w:w="705" w:type="pct"/>
            <w:tcBorders>
              <w:top w:val="nil"/>
              <w:left w:val="nil"/>
              <w:bottom w:val="single" w:sz="8" w:space="0" w:color="4D446C"/>
              <w:right w:val="nil"/>
            </w:tcBorders>
            <w:shd w:val="clear" w:color="auto" w:fill="auto"/>
            <w:noWrap/>
            <w:hideMark/>
          </w:tcPr>
          <w:p w14:paraId="359493F4" w14:textId="3ADEBE09" w:rsidR="00955914" w:rsidRPr="006C7B74" w:rsidRDefault="00955914" w:rsidP="00955914">
            <w:pPr>
              <w:jc w:val="center"/>
              <w:rPr>
                <w:rFonts w:cstheme="minorHAnsi"/>
                <w:color w:val="363534"/>
                <w:sz w:val="18"/>
                <w:szCs w:val="18"/>
                <w:lang w:eastAsia="en-AU"/>
              </w:rPr>
            </w:pPr>
            <w:r w:rsidRPr="006C7B74">
              <w:rPr>
                <w:sz w:val="18"/>
                <w:szCs w:val="18"/>
              </w:rPr>
              <w:t>328.1</w:t>
            </w:r>
          </w:p>
        </w:tc>
        <w:tc>
          <w:tcPr>
            <w:tcW w:w="701" w:type="pct"/>
            <w:tcBorders>
              <w:top w:val="nil"/>
              <w:left w:val="nil"/>
              <w:bottom w:val="single" w:sz="8" w:space="0" w:color="4D446C"/>
              <w:right w:val="nil"/>
            </w:tcBorders>
            <w:shd w:val="clear" w:color="auto" w:fill="auto"/>
            <w:noWrap/>
            <w:hideMark/>
          </w:tcPr>
          <w:p w14:paraId="1FFCC019" w14:textId="0E2D2807" w:rsidR="00955914" w:rsidRPr="006C7B74" w:rsidRDefault="00955914" w:rsidP="00955914">
            <w:pPr>
              <w:jc w:val="center"/>
              <w:rPr>
                <w:rFonts w:cstheme="minorHAnsi"/>
                <w:color w:val="363534"/>
                <w:sz w:val="18"/>
                <w:szCs w:val="18"/>
                <w:lang w:eastAsia="en-AU"/>
              </w:rPr>
            </w:pPr>
            <w:r w:rsidRPr="006C7B74">
              <w:rPr>
                <w:sz w:val="18"/>
                <w:szCs w:val="18"/>
              </w:rPr>
              <w:t>1,642.3</w:t>
            </w:r>
          </w:p>
        </w:tc>
        <w:tc>
          <w:tcPr>
            <w:tcW w:w="1189" w:type="pct"/>
            <w:tcBorders>
              <w:top w:val="nil"/>
              <w:left w:val="nil"/>
              <w:bottom w:val="single" w:sz="8" w:space="0" w:color="4D446C"/>
              <w:right w:val="nil"/>
            </w:tcBorders>
            <w:shd w:val="clear" w:color="auto" w:fill="auto"/>
            <w:noWrap/>
            <w:hideMark/>
          </w:tcPr>
          <w:p w14:paraId="3E624B5C" w14:textId="75655654" w:rsidR="00955914" w:rsidRPr="006C7B74" w:rsidRDefault="00955914" w:rsidP="00955914">
            <w:pPr>
              <w:jc w:val="center"/>
              <w:rPr>
                <w:rFonts w:cstheme="minorHAnsi"/>
                <w:color w:val="363534"/>
                <w:sz w:val="18"/>
                <w:szCs w:val="18"/>
                <w:lang w:eastAsia="en-AU"/>
              </w:rPr>
            </w:pPr>
            <w:r w:rsidRPr="006C7B74">
              <w:rPr>
                <w:sz w:val="18"/>
                <w:szCs w:val="18"/>
              </w:rPr>
              <w:t>1,970.4</w:t>
            </w:r>
          </w:p>
        </w:tc>
      </w:tr>
      <w:tr w:rsidR="00955914" w:rsidRPr="006C7B74" w14:paraId="015D09B0" w14:textId="77777777" w:rsidTr="006C7B74">
        <w:trPr>
          <w:trHeight w:val="315"/>
        </w:trPr>
        <w:tc>
          <w:tcPr>
            <w:tcW w:w="1797" w:type="pct"/>
            <w:tcBorders>
              <w:top w:val="nil"/>
              <w:left w:val="nil"/>
              <w:bottom w:val="single" w:sz="8" w:space="0" w:color="4D446C"/>
              <w:right w:val="nil"/>
            </w:tcBorders>
            <w:shd w:val="clear" w:color="auto" w:fill="auto"/>
            <w:noWrap/>
            <w:vAlign w:val="center"/>
            <w:hideMark/>
          </w:tcPr>
          <w:p w14:paraId="68FDBBF5" w14:textId="77777777" w:rsidR="00955914" w:rsidRPr="006C7B74" w:rsidRDefault="00955914" w:rsidP="00955914">
            <w:pPr>
              <w:rPr>
                <w:rFonts w:cstheme="minorHAnsi"/>
                <w:color w:val="000000"/>
                <w:sz w:val="18"/>
                <w:szCs w:val="18"/>
                <w:lang w:eastAsia="en-AU"/>
              </w:rPr>
            </w:pPr>
            <w:r w:rsidRPr="006C7B74">
              <w:rPr>
                <w:rFonts w:cstheme="minorHAnsi"/>
                <w:color w:val="000000"/>
                <w:sz w:val="18"/>
                <w:szCs w:val="18"/>
                <w:lang w:eastAsia="en-AU"/>
              </w:rPr>
              <w:t>Wallan (within UGB)</w:t>
            </w:r>
          </w:p>
        </w:tc>
        <w:tc>
          <w:tcPr>
            <w:tcW w:w="608" w:type="pct"/>
            <w:tcBorders>
              <w:top w:val="nil"/>
              <w:left w:val="nil"/>
              <w:bottom w:val="single" w:sz="8" w:space="0" w:color="4D446C"/>
              <w:right w:val="nil"/>
            </w:tcBorders>
            <w:shd w:val="clear" w:color="auto" w:fill="auto"/>
            <w:noWrap/>
            <w:hideMark/>
          </w:tcPr>
          <w:p w14:paraId="6920A382" w14:textId="4BADC0C9" w:rsidR="00955914" w:rsidRPr="006C7B74" w:rsidRDefault="00955914" w:rsidP="00955914">
            <w:pPr>
              <w:jc w:val="center"/>
              <w:rPr>
                <w:rFonts w:cstheme="minorHAnsi"/>
                <w:color w:val="363534"/>
                <w:sz w:val="18"/>
                <w:szCs w:val="18"/>
                <w:lang w:eastAsia="en-AU"/>
              </w:rPr>
            </w:pPr>
            <w:r w:rsidRPr="006C7B74">
              <w:rPr>
                <w:sz w:val="18"/>
                <w:szCs w:val="18"/>
              </w:rPr>
              <w:t>6.0</w:t>
            </w:r>
          </w:p>
        </w:tc>
        <w:tc>
          <w:tcPr>
            <w:tcW w:w="705" w:type="pct"/>
            <w:tcBorders>
              <w:top w:val="nil"/>
              <w:left w:val="nil"/>
              <w:bottom w:val="single" w:sz="8" w:space="0" w:color="4D446C"/>
              <w:right w:val="nil"/>
            </w:tcBorders>
            <w:shd w:val="clear" w:color="auto" w:fill="auto"/>
            <w:noWrap/>
            <w:hideMark/>
          </w:tcPr>
          <w:p w14:paraId="242D9595" w14:textId="63C9CAFD" w:rsidR="00955914" w:rsidRPr="006C7B74" w:rsidRDefault="00955914" w:rsidP="00955914">
            <w:pPr>
              <w:jc w:val="center"/>
              <w:rPr>
                <w:rFonts w:cstheme="minorHAnsi"/>
                <w:color w:val="363534"/>
                <w:sz w:val="18"/>
                <w:szCs w:val="18"/>
                <w:lang w:eastAsia="en-AU"/>
              </w:rPr>
            </w:pPr>
            <w:r w:rsidRPr="006C7B74">
              <w:rPr>
                <w:sz w:val="18"/>
                <w:szCs w:val="18"/>
              </w:rPr>
              <w:t>23.4</w:t>
            </w:r>
          </w:p>
        </w:tc>
        <w:tc>
          <w:tcPr>
            <w:tcW w:w="701" w:type="pct"/>
            <w:tcBorders>
              <w:top w:val="nil"/>
              <w:left w:val="nil"/>
              <w:bottom w:val="single" w:sz="8" w:space="0" w:color="4D446C"/>
              <w:right w:val="nil"/>
            </w:tcBorders>
            <w:shd w:val="clear" w:color="auto" w:fill="auto"/>
            <w:noWrap/>
            <w:hideMark/>
          </w:tcPr>
          <w:p w14:paraId="03D0496D" w14:textId="4F7D424C" w:rsidR="00955914" w:rsidRPr="006C7B74" w:rsidRDefault="00955914" w:rsidP="00955914">
            <w:pPr>
              <w:jc w:val="center"/>
              <w:rPr>
                <w:rFonts w:cstheme="minorHAnsi"/>
                <w:color w:val="363534"/>
                <w:sz w:val="18"/>
                <w:szCs w:val="18"/>
                <w:lang w:eastAsia="en-AU"/>
              </w:rPr>
            </w:pPr>
            <w:r w:rsidRPr="006C7B74">
              <w:rPr>
                <w:sz w:val="18"/>
                <w:szCs w:val="18"/>
              </w:rPr>
              <w:t>734.5</w:t>
            </w:r>
          </w:p>
        </w:tc>
        <w:tc>
          <w:tcPr>
            <w:tcW w:w="1189" w:type="pct"/>
            <w:tcBorders>
              <w:top w:val="nil"/>
              <w:left w:val="nil"/>
              <w:bottom w:val="single" w:sz="8" w:space="0" w:color="4D446C"/>
              <w:right w:val="nil"/>
            </w:tcBorders>
            <w:shd w:val="clear" w:color="auto" w:fill="auto"/>
            <w:noWrap/>
            <w:hideMark/>
          </w:tcPr>
          <w:p w14:paraId="689D9B55" w14:textId="13653727" w:rsidR="00955914" w:rsidRPr="006C7B74" w:rsidRDefault="00955914" w:rsidP="00955914">
            <w:pPr>
              <w:jc w:val="center"/>
              <w:rPr>
                <w:rFonts w:cstheme="minorHAnsi"/>
                <w:color w:val="363534"/>
                <w:sz w:val="18"/>
                <w:szCs w:val="18"/>
                <w:lang w:eastAsia="en-AU"/>
              </w:rPr>
            </w:pPr>
            <w:r w:rsidRPr="006C7B74">
              <w:rPr>
                <w:sz w:val="18"/>
                <w:szCs w:val="18"/>
              </w:rPr>
              <w:t>757.9</w:t>
            </w:r>
          </w:p>
        </w:tc>
      </w:tr>
      <w:tr w:rsidR="00955914" w:rsidRPr="006C7B74" w14:paraId="00A73062" w14:textId="77777777" w:rsidTr="006C7B74">
        <w:trPr>
          <w:trHeight w:val="315"/>
        </w:trPr>
        <w:tc>
          <w:tcPr>
            <w:tcW w:w="1797" w:type="pct"/>
            <w:tcBorders>
              <w:top w:val="nil"/>
              <w:left w:val="nil"/>
              <w:bottom w:val="single" w:sz="8" w:space="0" w:color="4D446C"/>
              <w:right w:val="nil"/>
            </w:tcBorders>
            <w:shd w:val="clear" w:color="auto" w:fill="auto"/>
            <w:noWrap/>
            <w:vAlign w:val="center"/>
            <w:hideMark/>
          </w:tcPr>
          <w:p w14:paraId="69495770" w14:textId="77777777" w:rsidR="00955914" w:rsidRPr="006C7B74" w:rsidRDefault="00955914" w:rsidP="00955914">
            <w:pPr>
              <w:rPr>
                <w:rFonts w:cstheme="minorHAnsi"/>
                <w:b/>
                <w:bCs/>
                <w:color w:val="000000"/>
                <w:sz w:val="18"/>
                <w:szCs w:val="18"/>
                <w:lang w:eastAsia="en-AU"/>
              </w:rPr>
            </w:pPr>
            <w:r w:rsidRPr="006C7B74">
              <w:rPr>
                <w:rFonts w:cstheme="minorHAnsi"/>
                <w:b/>
                <w:bCs/>
                <w:color w:val="000000"/>
                <w:sz w:val="18"/>
                <w:szCs w:val="18"/>
                <w:lang w:eastAsia="en-AU"/>
              </w:rPr>
              <w:t>Northern Region</w:t>
            </w:r>
          </w:p>
        </w:tc>
        <w:tc>
          <w:tcPr>
            <w:tcW w:w="608" w:type="pct"/>
            <w:tcBorders>
              <w:top w:val="nil"/>
              <w:left w:val="nil"/>
              <w:bottom w:val="single" w:sz="8" w:space="0" w:color="4D446C"/>
              <w:right w:val="nil"/>
            </w:tcBorders>
            <w:shd w:val="clear" w:color="auto" w:fill="auto"/>
            <w:noWrap/>
            <w:hideMark/>
          </w:tcPr>
          <w:p w14:paraId="3DAC4DDD" w14:textId="2D0188F8" w:rsidR="00955914" w:rsidRPr="006C7B74" w:rsidRDefault="00955914" w:rsidP="00955914">
            <w:pPr>
              <w:jc w:val="center"/>
              <w:rPr>
                <w:rFonts w:cstheme="minorHAnsi"/>
                <w:b/>
                <w:color w:val="363534"/>
                <w:sz w:val="18"/>
                <w:szCs w:val="18"/>
                <w:lang w:eastAsia="en-AU"/>
              </w:rPr>
            </w:pPr>
            <w:r w:rsidRPr="006C7B74">
              <w:rPr>
                <w:b/>
                <w:sz w:val="18"/>
                <w:szCs w:val="18"/>
              </w:rPr>
              <w:t>3,718.6</w:t>
            </w:r>
          </w:p>
        </w:tc>
        <w:tc>
          <w:tcPr>
            <w:tcW w:w="705" w:type="pct"/>
            <w:tcBorders>
              <w:top w:val="nil"/>
              <w:left w:val="nil"/>
              <w:bottom w:val="single" w:sz="8" w:space="0" w:color="4D446C"/>
              <w:right w:val="nil"/>
            </w:tcBorders>
            <w:shd w:val="clear" w:color="auto" w:fill="auto"/>
            <w:noWrap/>
            <w:hideMark/>
          </w:tcPr>
          <w:p w14:paraId="1633E4FD" w14:textId="2EF0559B" w:rsidR="00955914" w:rsidRPr="006C7B74" w:rsidRDefault="00955914" w:rsidP="00955914">
            <w:pPr>
              <w:jc w:val="center"/>
              <w:rPr>
                <w:rFonts w:cstheme="minorHAnsi"/>
                <w:b/>
                <w:color w:val="363534"/>
                <w:sz w:val="18"/>
                <w:szCs w:val="18"/>
                <w:lang w:eastAsia="en-AU"/>
              </w:rPr>
            </w:pPr>
            <w:r w:rsidRPr="006C7B74">
              <w:rPr>
                <w:b/>
                <w:sz w:val="18"/>
                <w:szCs w:val="18"/>
              </w:rPr>
              <w:t>1,241.2</w:t>
            </w:r>
          </w:p>
        </w:tc>
        <w:tc>
          <w:tcPr>
            <w:tcW w:w="701" w:type="pct"/>
            <w:tcBorders>
              <w:top w:val="nil"/>
              <w:left w:val="nil"/>
              <w:bottom w:val="single" w:sz="8" w:space="0" w:color="4D446C"/>
              <w:right w:val="nil"/>
            </w:tcBorders>
            <w:shd w:val="clear" w:color="auto" w:fill="auto"/>
            <w:noWrap/>
            <w:hideMark/>
          </w:tcPr>
          <w:p w14:paraId="5FE47F3F" w14:textId="5510E809" w:rsidR="00955914" w:rsidRPr="006C7B74" w:rsidRDefault="00955914" w:rsidP="00955914">
            <w:pPr>
              <w:jc w:val="center"/>
              <w:rPr>
                <w:rFonts w:cstheme="minorHAnsi"/>
                <w:b/>
                <w:color w:val="363534"/>
                <w:sz w:val="18"/>
                <w:szCs w:val="18"/>
                <w:lang w:eastAsia="en-AU"/>
              </w:rPr>
            </w:pPr>
            <w:r w:rsidRPr="006C7B74">
              <w:rPr>
                <w:b/>
                <w:sz w:val="18"/>
                <w:szCs w:val="18"/>
              </w:rPr>
              <w:t>2,8</w:t>
            </w:r>
            <w:r w:rsidR="007B7B52" w:rsidRPr="006C7B74">
              <w:rPr>
                <w:b/>
                <w:sz w:val="18"/>
                <w:szCs w:val="18"/>
              </w:rPr>
              <w:t>66</w:t>
            </w:r>
            <w:r w:rsidRPr="006C7B74">
              <w:rPr>
                <w:b/>
                <w:sz w:val="18"/>
                <w:szCs w:val="18"/>
              </w:rPr>
              <w:t>.</w:t>
            </w:r>
            <w:r w:rsidR="007B7B52" w:rsidRPr="006C7B74">
              <w:rPr>
                <w:b/>
                <w:sz w:val="18"/>
                <w:szCs w:val="18"/>
              </w:rPr>
              <w:t>9</w:t>
            </w:r>
          </w:p>
        </w:tc>
        <w:tc>
          <w:tcPr>
            <w:tcW w:w="1189" w:type="pct"/>
            <w:tcBorders>
              <w:top w:val="nil"/>
              <w:left w:val="nil"/>
              <w:bottom w:val="single" w:sz="8" w:space="0" w:color="4D446C"/>
              <w:right w:val="nil"/>
            </w:tcBorders>
            <w:shd w:val="clear" w:color="auto" w:fill="auto"/>
            <w:noWrap/>
            <w:hideMark/>
          </w:tcPr>
          <w:p w14:paraId="5BF27CB6" w14:textId="04A27B1D" w:rsidR="00955914" w:rsidRPr="006C7B74" w:rsidRDefault="00955914" w:rsidP="00955914">
            <w:pPr>
              <w:jc w:val="center"/>
              <w:rPr>
                <w:rFonts w:cstheme="minorHAnsi"/>
                <w:b/>
                <w:color w:val="363534"/>
                <w:sz w:val="18"/>
                <w:szCs w:val="18"/>
                <w:lang w:eastAsia="en-AU"/>
              </w:rPr>
            </w:pPr>
            <w:r w:rsidRPr="006C7B74">
              <w:rPr>
                <w:b/>
                <w:sz w:val="18"/>
                <w:szCs w:val="18"/>
              </w:rPr>
              <w:t>4,1</w:t>
            </w:r>
            <w:r w:rsidR="007B7B52" w:rsidRPr="006C7B74">
              <w:rPr>
                <w:b/>
                <w:sz w:val="18"/>
                <w:szCs w:val="18"/>
              </w:rPr>
              <w:t>08</w:t>
            </w:r>
            <w:r w:rsidRPr="006C7B74">
              <w:rPr>
                <w:b/>
                <w:sz w:val="18"/>
                <w:szCs w:val="18"/>
              </w:rPr>
              <w:t>.</w:t>
            </w:r>
            <w:r w:rsidR="007B7B52" w:rsidRPr="006C7B74">
              <w:rPr>
                <w:b/>
                <w:sz w:val="18"/>
                <w:szCs w:val="18"/>
              </w:rPr>
              <w:t>1</w:t>
            </w:r>
          </w:p>
        </w:tc>
      </w:tr>
      <w:tr w:rsidR="00955914" w:rsidRPr="006C7B74" w14:paraId="7159B818" w14:textId="77777777" w:rsidTr="006C7B74">
        <w:trPr>
          <w:trHeight w:val="315"/>
        </w:trPr>
        <w:tc>
          <w:tcPr>
            <w:tcW w:w="1797" w:type="pct"/>
            <w:tcBorders>
              <w:top w:val="nil"/>
              <w:left w:val="nil"/>
              <w:bottom w:val="single" w:sz="12" w:space="0" w:color="4D446C"/>
              <w:right w:val="nil"/>
            </w:tcBorders>
            <w:shd w:val="clear" w:color="auto" w:fill="auto"/>
            <w:noWrap/>
            <w:vAlign w:val="center"/>
            <w:hideMark/>
          </w:tcPr>
          <w:p w14:paraId="28F7C00C" w14:textId="77777777" w:rsidR="00955914" w:rsidRPr="006C7B74" w:rsidRDefault="00955914" w:rsidP="00955914">
            <w:pPr>
              <w:rPr>
                <w:rFonts w:cstheme="minorHAnsi"/>
                <w:i/>
                <w:iCs/>
                <w:color w:val="000000"/>
                <w:sz w:val="18"/>
                <w:szCs w:val="18"/>
                <w:lang w:eastAsia="en-AU"/>
              </w:rPr>
            </w:pPr>
            <w:r w:rsidRPr="006C7B74">
              <w:rPr>
                <w:rFonts w:cstheme="minorHAnsi"/>
                <w:i/>
                <w:iCs/>
                <w:color w:val="000000"/>
                <w:sz w:val="18"/>
                <w:szCs w:val="18"/>
                <w:lang w:eastAsia="en-AU"/>
              </w:rPr>
              <w:t>Northern SSIP</w:t>
            </w:r>
          </w:p>
        </w:tc>
        <w:tc>
          <w:tcPr>
            <w:tcW w:w="608" w:type="pct"/>
            <w:tcBorders>
              <w:top w:val="nil"/>
              <w:left w:val="nil"/>
              <w:bottom w:val="single" w:sz="12" w:space="0" w:color="4D446C"/>
              <w:right w:val="nil"/>
            </w:tcBorders>
            <w:shd w:val="clear" w:color="auto" w:fill="auto"/>
            <w:noWrap/>
            <w:hideMark/>
          </w:tcPr>
          <w:p w14:paraId="438F58CA" w14:textId="6859B2D7" w:rsidR="00955914" w:rsidRPr="006C7B74" w:rsidRDefault="00955914" w:rsidP="00955914">
            <w:pPr>
              <w:jc w:val="center"/>
              <w:rPr>
                <w:rFonts w:cstheme="minorHAnsi"/>
                <w:i/>
                <w:color w:val="000000"/>
                <w:sz w:val="18"/>
                <w:szCs w:val="18"/>
                <w:lang w:eastAsia="en-AU"/>
              </w:rPr>
            </w:pPr>
            <w:r w:rsidRPr="006C7B74">
              <w:rPr>
                <w:i/>
                <w:sz w:val="18"/>
                <w:szCs w:val="18"/>
              </w:rPr>
              <w:t>2,400.7</w:t>
            </w:r>
          </w:p>
        </w:tc>
        <w:tc>
          <w:tcPr>
            <w:tcW w:w="705" w:type="pct"/>
            <w:tcBorders>
              <w:top w:val="nil"/>
              <w:left w:val="nil"/>
              <w:bottom w:val="single" w:sz="12" w:space="0" w:color="4D446C"/>
              <w:right w:val="nil"/>
            </w:tcBorders>
            <w:shd w:val="clear" w:color="auto" w:fill="auto"/>
            <w:noWrap/>
            <w:hideMark/>
          </w:tcPr>
          <w:p w14:paraId="6D4E06D9" w14:textId="542EE1DB" w:rsidR="00955914" w:rsidRPr="006C7B74" w:rsidRDefault="00955914" w:rsidP="00955914">
            <w:pPr>
              <w:jc w:val="center"/>
              <w:rPr>
                <w:i/>
                <w:color w:val="363534"/>
                <w:sz w:val="18"/>
                <w:szCs w:val="18"/>
              </w:rPr>
            </w:pPr>
            <w:r w:rsidRPr="006C7B74">
              <w:rPr>
                <w:i/>
                <w:sz w:val="18"/>
                <w:szCs w:val="18"/>
              </w:rPr>
              <w:t>978.2</w:t>
            </w:r>
          </w:p>
        </w:tc>
        <w:tc>
          <w:tcPr>
            <w:tcW w:w="701" w:type="pct"/>
            <w:tcBorders>
              <w:top w:val="nil"/>
              <w:left w:val="nil"/>
              <w:bottom w:val="single" w:sz="12" w:space="0" w:color="4D446C"/>
              <w:right w:val="nil"/>
            </w:tcBorders>
            <w:shd w:val="clear" w:color="auto" w:fill="auto"/>
            <w:noWrap/>
            <w:hideMark/>
          </w:tcPr>
          <w:p w14:paraId="6569A3AC" w14:textId="5A03148E" w:rsidR="00955914" w:rsidRPr="006C7B74" w:rsidRDefault="00955914" w:rsidP="00955914">
            <w:pPr>
              <w:jc w:val="center"/>
              <w:rPr>
                <w:i/>
                <w:color w:val="363534"/>
                <w:sz w:val="18"/>
                <w:szCs w:val="18"/>
              </w:rPr>
            </w:pPr>
            <w:r w:rsidRPr="006C7B74">
              <w:rPr>
                <w:i/>
                <w:sz w:val="18"/>
                <w:szCs w:val="18"/>
              </w:rPr>
              <w:t>2,</w:t>
            </w:r>
            <w:r w:rsidR="007B7B52" w:rsidRPr="006C7B74">
              <w:rPr>
                <w:i/>
                <w:sz w:val="18"/>
                <w:szCs w:val="18"/>
              </w:rPr>
              <w:t>393.7</w:t>
            </w:r>
          </w:p>
        </w:tc>
        <w:tc>
          <w:tcPr>
            <w:tcW w:w="1189" w:type="pct"/>
            <w:tcBorders>
              <w:top w:val="nil"/>
              <w:left w:val="nil"/>
              <w:bottom w:val="single" w:sz="12" w:space="0" w:color="4D446C"/>
              <w:right w:val="nil"/>
            </w:tcBorders>
            <w:shd w:val="clear" w:color="auto" w:fill="auto"/>
            <w:noWrap/>
            <w:hideMark/>
          </w:tcPr>
          <w:p w14:paraId="20B8EC9B" w14:textId="6943CDFA" w:rsidR="00955914" w:rsidRPr="006C7B74" w:rsidRDefault="00955914" w:rsidP="00955914">
            <w:pPr>
              <w:jc w:val="center"/>
              <w:rPr>
                <w:i/>
                <w:color w:val="363534"/>
                <w:sz w:val="18"/>
                <w:szCs w:val="18"/>
              </w:rPr>
            </w:pPr>
            <w:r w:rsidRPr="006C7B74">
              <w:rPr>
                <w:i/>
                <w:sz w:val="18"/>
                <w:szCs w:val="18"/>
              </w:rPr>
              <w:t>3,</w:t>
            </w:r>
            <w:r w:rsidR="007B7B52" w:rsidRPr="006C7B74">
              <w:rPr>
                <w:i/>
                <w:sz w:val="18"/>
                <w:szCs w:val="18"/>
              </w:rPr>
              <w:t>371.9</w:t>
            </w:r>
          </w:p>
        </w:tc>
      </w:tr>
    </w:tbl>
    <w:p w14:paraId="53C71F48" w14:textId="78391A1C" w:rsidR="0075498A" w:rsidRPr="006C7B74" w:rsidRDefault="00F2501F" w:rsidP="00F2501F">
      <w:pPr>
        <w:pStyle w:val="Quote"/>
        <w:rPr>
          <w:rFonts w:cstheme="minorHAnsi"/>
          <w:sz w:val="20"/>
          <w:szCs w:val="20"/>
        </w:rPr>
      </w:pPr>
      <w:r w:rsidRPr="006C7B74">
        <w:t>Source: Department of Environment, Land, Water and Planning, Urban Development Program – Melbourne Metropolitan Industrial 2018</w:t>
      </w:r>
      <w:r w:rsidR="00113508" w:rsidRPr="006C7B74">
        <w:t xml:space="preserve"> and internal analysis</w:t>
      </w:r>
    </w:p>
    <w:p w14:paraId="3EC17C91" w14:textId="405AC8A2" w:rsidR="00F51E1B" w:rsidRPr="006C7B74" w:rsidRDefault="0075498A" w:rsidP="00F51E1B">
      <w:pPr>
        <w:spacing w:after="120"/>
        <w:rPr>
          <w:rFonts w:cstheme="minorHAnsi"/>
          <w:sz w:val="20"/>
          <w:szCs w:val="20"/>
        </w:rPr>
      </w:pPr>
      <w:r w:rsidRPr="006C7B74">
        <w:rPr>
          <w:rFonts w:cstheme="minorHAnsi"/>
          <w:sz w:val="20"/>
          <w:szCs w:val="20"/>
        </w:rPr>
        <w:t>Demand for industrial land in the Northern Region has been variable in recent years</w:t>
      </w:r>
      <w:r w:rsidR="00031E57" w:rsidRPr="006C7B74">
        <w:rPr>
          <w:rFonts w:cstheme="minorHAnsi"/>
          <w:sz w:val="20"/>
          <w:szCs w:val="20"/>
        </w:rPr>
        <w:t xml:space="preserve"> but has steadily increased</w:t>
      </w:r>
      <w:r w:rsidR="007101D9" w:rsidRPr="006C7B74">
        <w:rPr>
          <w:rFonts w:cstheme="minorHAnsi"/>
          <w:sz w:val="20"/>
          <w:szCs w:val="20"/>
        </w:rPr>
        <w:t>,</w:t>
      </w:r>
      <w:r w:rsidR="00F51E1B" w:rsidRPr="006C7B74">
        <w:rPr>
          <w:rFonts w:cstheme="minorHAnsi"/>
          <w:sz w:val="20"/>
          <w:szCs w:val="20"/>
        </w:rPr>
        <w:t xml:space="preserve"> with the region continuing to be an important location for the manufacturing sector. This sector accounted for approximately 33 per cent of </w:t>
      </w:r>
      <w:proofErr w:type="gramStart"/>
      <w:r w:rsidR="00F51E1B" w:rsidRPr="006C7B74">
        <w:rPr>
          <w:rFonts w:cstheme="minorHAnsi"/>
          <w:sz w:val="20"/>
          <w:szCs w:val="20"/>
        </w:rPr>
        <w:t>work places</w:t>
      </w:r>
      <w:proofErr w:type="gramEnd"/>
      <w:r w:rsidR="00F51E1B" w:rsidRPr="006C7B74">
        <w:rPr>
          <w:rFonts w:cstheme="minorHAnsi"/>
          <w:sz w:val="20"/>
          <w:szCs w:val="20"/>
        </w:rPr>
        <w:t xml:space="preserve"> in the Northern SSIP in 201</w:t>
      </w:r>
      <w:r w:rsidR="009E0ABB" w:rsidRPr="006C7B74">
        <w:rPr>
          <w:rFonts w:cstheme="minorHAnsi"/>
          <w:sz w:val="20"/>
          <w:szCs w:val="20"/>
        </w:rPr>
        <w:t>6</w:t>
      </w:r>
      <w:r w:rsidR="00F51E1B" w:rsidRPr="006C7B74">
        <w:rPr>
          <w:rFonts w:cstheme="minorHAnsi"/>
          <w:sz w:val="20"/>
          <w:szCs w:val="20"/>
        </w:rPr>
        <w:t>-1</w:t>
      </w:r>
      <w:r w:rsidR="009E0ABB" w:rsidRPr="006C7B74">
        <w:rPr>
          <w:rFonts w:cstheme="minorHAnsi"/>
          <w:sz w:val="20"/>
          <w:szCs w:val="20"/>
        </w:rPr>
        <w:t>7</w:t>
      </w:r>
      <w:r w:rsidR="00F51E1B" w:rsidRPr="006C7B74">
        <w:rPr>
          <w:rFonts w:cstheme="minorHAnsi"/>
          <w:sz w:val="20"/>
          <w:szCs w:val="20"/>
        </w:rPr>
        <w:t xml:space="preserve"> compared to 22 per cent of work places for Melbourne as a whole. These operations are likely to continue to drive demand for land within the region</w:t>
      </w:r>
      <w:r w:rsidR="00EB7B3A" w:rsidRPr="006C7B74">
        <w:rPr>
          <w:rFonts w:cstheme="minorHAnsi"/>
          <w:sz w:val="20"/>
          <w:szCs w:val="20"/>
        </w:rPr>
        <w:t>,</w:t>
      </w:r>
      <w:r w:rsidR="00F51E1B" w:rsidRPr="006C7B74">
        <w:rPr>
          <w:rFonts w:cstheme="minorHAnsi"/>
          <w:sz w:val="20"/>
          <w:szCs w:val="20"/>
        </w:rPr>
        <w:t xml:space="preserve"> given easy access to major road</w:t>
      </w:r>
      <w:r w:rsidR="00EB7B3A" w:rsidRPr="006C7B74">
        <w:rPr>
          <w:rFonts w:cstheme="minorHAnsi"/>
          <w:sz w:val="20"/>
          <w:szCs w:val="20"/>
        </w:rPr>
        <w:t>,</w:t>
      </w:r>
      <w:r w:rsidR="00F51E1B" w:rsidRPr="006C7B74">
        <w:rPr>
          <w:rFonts w:cstheme="minorHAnsi"/>
          <w:sz w:val="20"/>
          <w:szCs w:val="20"/>
        </w:rPr>
        <w:t xml:space="preserve"> rail and transport gateways at Melbourne and Essendon Airports.</w:t>
      </w:r>
    </w:p>
    <w:p w14:paraId="3E9177F4" w14:textId="3045F4D4" w:rsidR="00F51E1B" w:rsidRPr="006C7B74" w:rsidRDefault="00F51E1B" w:rsidP="00F51E1B">
      <w:pPr>
        <w:spacing w:after="120"/>
        <w:rPr>
          <w:rFonts w:cstheme="minorHAnsi"/>
          <w:sz w:val="20"/>
          <w:szCs w:val="20"/>
        </w:rPr>
      </w:pPr>
      <w:r w:rsidRPr="006C7B74">
        <w:rPr>
          <w:rFonts w:cstheme="minorHAnsi"/>
          <w:sz w:val="20"/>
          <w:szCs w:val="20"/>
        </w:rPr>
        <w:t>There is also future opportunity for the region to expand in the freight and logistics sector</w:t>
      </w:r>
      <w:r w:rsidR="00EB7B3A" w:rsidRPr="006C7B74">
        <w:rPr>
          <w:rFonts w:cstheme="minorHAnsi"/>
          <w:sz w:val="20"/>
          <w:szCs w:val="20"/>
        </w:rPr>
        <w:t>,</w:t>
      </w:r>
      <w:r w:rsidRPr="006C7B74">
        <w:rPr>
          <w:rFonts w:cstheme="minorHAnsi"/>
          <w:sz w:val="20"/>
          <w:szCs w:val="20"/>
        </w:rPr>
        <w:t xml:space="preserve"> given the proposed development of the </w:t>
      </w:r>
      <w:r w:rsidR="00365C4E" w:rsidRPr="006C7B74">
        <w:rPr>
          <w:rFonts w:cstheme="minorHAnsi"/>
          <w:sz w:val="20"/>
          <w:szCs w:val="20"/>
        </w:rPr>
        <w:t>BIFT</w:t>
      </w:r>
      <w:r w:rsidRPr="006C7B74">
        <w:rPr>
          <w:rFonts w:cstheme="minorHAnsi"/>
          <w:sz w:val="20"/>
          <w:szCs w:val="20"/>
        </w:rPr>
        <w:t xml:space="preserve"> adjacent to the Hume Freeway and interstate rail.</w:t>
      </w:r>
    </w:p>
    <w:p w14:paraId="6F2FB152" w14:textId="77777777" w:rsidR="0075498A" w:rsidRPr="006C7B74" w:rsidRDefault="0075498A" w:rsidP="00934C4D">
      <w:pPr>
        <w:spacing w:after="120"/>
        <w:rPr>
          <w:rFonts w:cstheme="minorHAnsi"/>
          <w:sz w:val="20"/>
          <w:szCs w:val="20"/>
        </w:rPr>
      </w:pPr>
    </w:p>
    <w:p w14:paraId="13B28550" w14:textId="30DC4942" w:rsidR="0075498A" w:rsidRPr="006C7B74" w:rsidRDefault="0075498A" w:rsidP="00474F30">
      <w:pPr>
        <w:pStyle w:val="Heading5"/>
      </w:pPr>
      <w:r w:rsidRPr="006C7B74">
        <w:t xml:space="preserve">Table </w:t>
      </w:r>
      <w:r w:rsidR="00452DF6" w:rsidRPr="006C7B74">
        <w:t>19</w:t>
      </w:r>
      <w:r w:rsidRPr="006C7B74">
        <w:t xml:space="preserve">: Industrial </w:t>
      </w:r>
      <w:r w:rsidR="00AA1D74" w:rsidRPr="006C7B74">
        <w:t>l</w:t>
      </w:r>
      <w:r w:rsidRPr="006C7B74">
        <w:t xml:space="preserve">and </w:t>
      </w:r>
      <w:r w:rsidR="00AA1D74" w:rsidRPr="006C7B74">
        <w:t>c</w:t>
      </w:r>
      <w:r w:rsidRPr="006C7B74">
        <w:t>onsumption</w:t>
      </w:r>
      <w:r w:rsidR="00D26FAC" w:rsidRPr="006C7B74">
        <w:t xml:space="preserve">, </w:t>
      </w:r>
      <w:r w:rsidR="00B62239" w:rsidRPr="006C7B74">
        <w:t>Northern Region, 20</w:t>
      </w:r>
      <w:r w:rsidR="00220551" w:rsidRPr="006C7B74">
        <w:t>15-</w:t>
      </w:r>
      <w:r w:rsidR="00B62239" w:rsidRPr="006C7B74">
        <w:t>16 to 20</w:t>
      </w:r>
      <w:r w:rsidR="00220551" w:rsidRPr="006C7B74">
        <w:t>17-</w:t>
      </w:r>
      <w:r w:rsidR="00B62239" w:rsidRPr="006C7B74">
        <w:t xml:space="preserve">18 </w:t>
      </w:r>
    </w:p>
    <w:tbl>
      <w:tblPr>
        <w:tblW w:w="5000" w:type="pct"/>
        <w:tblCellMar>
          <w:left w:w="0" w:type="dxa"/>
          <w:right w:w="0" w:type="dxa"/>
        </w:tblCellMar>
        <w:tblLook w:val="04A0" w:firstRow="1" w:lastRow="0" w:firstColumn="1" w:lastColumn="0" w:noHBand="0" w:noVBand="1"/>
      </w:tblPr>
      <w:tblGrid>
        <w:gridCol w:w="3874"/>
        <w:gridCol w:w="1716"/>
        <w:gridCol w:w="1716"/>
        <w:gridCol w:w="1714"/>
      </w:tblGrid>
      <w:tr w:rsidR="00490F9E" w:rsidRPr="006C7B74" w14:paraId="67545029" w14:textId="77777777" w:rsidTr="00490F9E">
        <w:trPr>
          <w:trHeight w:val="283"/>
        </w:trPr>
        <w:tc>
          <w:tcPr>
            <w:tcW w:w="2147" w:type="pct"/>
            <w:tcBorders>
              <w:top w:val="nil"/>
              <w:left w:val="nil"/>
              <w:bottom w:val="single" w:sz="8" w:space="0" w:color="4D446C"/>
              <w:right w:val="nil"/>
            </w:tcBorders>
            <w:shd w:val="clear" w:color="000000" w:fill="4D446C"/>
            <w:noWrap/>
            <w:tcMar>
              <w:top w:w="15" w:type="dxa"/>
              <w:left w:w="15" w:type="dxa"/>
              <w:bottom w:w="0" w:type="dxa"/>
              <w:right w:w="15" w:type="dxa"/>
            </w:tcMar>
            <w:vAlign w:val="center"/>
            <w:hideMark/>
          </w:tcPr>
          <w:p w14:paraId="58455EDD" w14:textId="77777777" w:rsidR="00490F9E" w:rsidRPr="006C7B74" w:rsidRDefault="00490F9E" w:rsidP="008D088F">
            <w:pPr>
              <w:pStyle w:val="TableHeaderRow"/>
            </w:pPr>
            <w:r w:rsidRPr="006C7B74">
              <w:t>Council / SSIP</w:t>
            </w:r>
          </w:p>
        </w:tc>
        <w:tc>
          <w:tcPr>
            <w:tcW w:w="951" w:type="pct"/>
            <w:tcBorders>
              <w:top w:val="nil"/>
              <w:left w:val="nil"/>
              <w:bottom w:val="single" w:sz="8" w:space="0" w:color="4D446C"/>
              <w:right w:val="nil"/>
            </w:tcBorders>
            <w:shd w:val="clear" w:color="000000" w:fill="4D446C"/>
            <w:tcMar>
              <w:top w:w="15" w:type="dxa"/>
              <w:left w:w="15" w:type="dxa"/>
              <w:bottom w:w="0" w:type="dxa"/>
              <w:right w:w="15" w:type="dxa"/>
            </w:tcMar>
            <w:vAlign w:val="center"/>
            <w:hideMark/>
          </w:tcPr>
          <w:p w14:paraId="7855234B" w14:textId="5132C4F5" w:rsidR="00490F9E" w:rsidRPr="006C7B74" w:rsidRDefault="00490F9E" w:rsidP="008D088F">
            <w:pPr>
              <w:pStyle w:val="TableHeaderRow"/>
              <w:jc w:val="center"/>
            </w:pPr>
            <w:r w:rsidRPr="006C7B74">
              <w:t>2015-16</w:t>
            </w:r>
            <w:r w:rsidR="00620CA9" w:rsidRPr="006C7B74">
              <w:t xml:space="preserve"> (ha)</w:t>
            </w:r>
          </w:p>
        </w:tc>
        <w:tc>
          <w:tcPr>
            <w:tcW w:w="951" w:type="pct"/>
            <w:tcBorders>
              <w:top w:val="nil"/>
              <w:left w:val="nil"/>
              <w:bottom w:val="single" w:sz="8" w:space="0" w:color="4D446C"/>
              <w:right w:val="nil"/>
            </w:tcBorders>
            <w:shd w:val="clear" w:color="000000" w:fill="4D446C"/>
            <w:tcMar>
              <w:top w:w="15" w:type="dxa"/>
              <w:left w:w="15" w:type="dxa"/>
              <w:bottom w:w="0" w:type="dxa"/>
              <w:right w:w="15" w:type="dxa"/>
            </w:tcMar>
            <w:vAlign w:val="center"/>
            <w:hideMark/>
          </w:tcPr>
          <w:p w14:paraId="7537DA5F" w14:textId="3CD9F29A" w:rsidR="00490F9E" w:rsidRPr="006C7B74" w:rsidRDefault="00490F9E" w:rsidP="008D088F">
            <w:pPr>
              <w:pStyle w:val="TableHeaderRow"/>
              <w:jc w:val="center"/>
            </w:pPr>
            <w:r w:rsidRPr="006C7B74">
              <w:t>2016-17</w:t>
            </w:r>
            <w:r w:rsidR="00620CA9" w:rsidRPr="006C7B74">
              <w:t xml:space="preserve"> (ha)</w:t>
            </w:r>
          </w:p>
        </w:tc>
        <w:tc>
          <w:tcPr>
            <w:tcW w:w="950" w:type="pct"/>
            <w:tcBorders>
              <w:top w:val="nil"/>
              <w:left w:val="nil"/>
              <w:bottom w:val="single" w:sz="8" w:space="0" w:color="4D446C"/>
              <w:right w:val="nil"/>
            </w:tcBorders>
            <w:shd w:val="clear" w:color="000000" w:fill="4D446C"/>
            <w:tcMar>
              <w:top w:w="15" w:type="dxa"/>
              <w:left w:w="15" w:type="dxa"/>
              <w:bottom w:w="0" w:type="dxa"/>
              <w:right w:w="15" w:type="dxa"/>
            </w:tcMar>
            <w:vAlign w:val="center"/>
            <w:hideMark/>
          </w:tcPr>
          <w:p w14:paraId="7AC15E87" w14:textId="0A3D3F8A" w:rsidR="00490F9E" w:rsidRPr="006C7B74" w:rsidRDefault="00490F9E" w:rsidP="008D088F">
            <w:pPr>
              <w:pStyle w:val="TableHeaderRow"/>
              <w:jc w:val="center"/>
            </w:pPr>
            <w:r w:rsidRPr="006C7B74">
              <w:t>2017-18</w:t>
            </w:r>
            <w:r w:rsidR="00620CA9" w:rsidRPr="006C7B74">
              <w:t xml:space="preserve"> (ha)</w:t>
            </w:r>
          </w:p>
        </w:tc>
      </w:tr>
      <w:tr w:rsidR="007C0AC4" w:rsidRPr="006C7B74" w14:paraId="21438108" w14:textId="77777777" w:rsidTr="00490F9E">
        <w:trPr>
          <w:trHeight w:val="283"/>
        </w:trPr>
        <w:tc>
          <w:tcPr>
            <w:tcW w:w="214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28941D1F" w14:textId="77777777" w:rsidR="007C0AC4" w:rsidRPr="006C7B74" w:rsidRDefault="007C0AC4">
            <w:pPr>
              <w:rPr>
                <w:rFonts w:ascii="Calibri" w:hAnsi="Calibri" w:cs="Calibri"/>
                <w:color w:val="000000"/>
                <w:sz w:val="18"/>
                <w:szCs w:val="18"/>
              </w:rPr>
            </w:pPr>
            <w:r w:rsidRPr="006C7B74">
              <w:rPr>
                <w:rFonts w:ascii="Calibri" w:hAnsi="Calibri" w:cs="Calibri"/>
                <w:color w:val="000000"/>
                <w:sz w:val="18"/>
                <w:szCs w:val="18"/>
              </w:rPr>
              <w:t>Banyule</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552DFB23" w14:textId="77777777" w:rsidR="007C0AC4" w:rsidRPr="006C7B74" w:rsidRDefault="007C0AC4">
            <w:pPr>
              <w:jc w:val="center"/>
              <w:rPr>
                <w:rFonts w:ascii="Calibri" w:hAnsi="Calibri" w:cs="Calibri"/>
                <w:color w:val="363534"/>
                <w:sz w:val="18"/>
                <w:szCs w:val="18"/>
              </w:rPr>
            </w:pPr>
            <w:r w:rsidRPr="006C7B74">
              <w:rPr>
                <w:rFonts w:ascii="Calibri" w:hAnsi="Calibri" w:cs="Calibri"/>
                <w:color w:val="363534"/>
                <w:sz w:val="18"/>
                <w:szCs w:val="18"/>
              </w:rPr>
              <w:t>1.6</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6008557D" w14:textId="77777777" w:rsidR="007C0AC4" w:rsidRPr="006C7B74" w:rsidRDefault="007C0AC4">
            <w:pPr>
              <w:jc w:val="center"/>
              <w:rPr>
                <w:rFonts w:ascii="Calibri" w:hAnsi="Calibri" w:cs="Calibri"/>
                <w:color w:val="363534"/>
                <w:sz w:val="18"/>
                <w:szCs w:val="18"/>
              </w:rPr>
            </w:pPr>
            <w:r w:rsidRPr="006C7B74">
              <w:rPr>
                <w:rFonts w:ascii="Calibri" w:hAnsi="Calibri" w:cs="Calibri"/>
                <w:color w:val="363534"/>
                <w:sz w:val="18"/>
                <w:szCs w:val="18"/>
              </w:rPr>
              <w:t>-0.1</w:t>
            </w:r>
          </w:p>
        </w:tc>
        <w:tc>
          <w:tcPr>
            <w:tcW w:w="950"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3AC48C34" w14:textId="77777777" w:rsidR="007C0AC4" w:rsidRPr="006C7B74" w:rsidRDefault="007C0AC4">
            <w:pPr>
              <w:jc w:val="center"/>
              <w:rPr>
                <w:rFonts w:ascii="Calibri" w:hAnsi="Calibri" w:cs="Calibri"/>
                <w:color w:val="363534"/>
                <w:sz w:val="18"/>
                <w:szCs w:val="18"/>
              </w:rPr>
            </w:pPr>
            <w:r w:rsidRPr="006C7B74">
              <w:rPr>
                <w:rFonts w:ascii="Calibri" w:hAnsi="Calibri" w:cs="Calibri"/>
                <w:color w:val="363534"/>
                <w:sz w:val="18"/>
                <w:szCs w:val="18"/>
              </w:rPr>
              <w:t>-0.1</w:t>
            </w:r>
          </w:p>
        </w:tc>
      </w:tr>
      <w:tr w:rsidR="007C0AC4" w:rsidRPr="006C7B74" w14:paraId="571681C0" w14:textId="77777777" w:rsidTr="00490F9E">
        <w:trPr>
          <w:trHeight w:val="283"/>
        </w:trPr>
        <w:tc>
          <w:tcPr>
            <w:tcW w:w="214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35B9D717" w14:textId="77777777" w:rsidR="007C0AC4" w:rsidRPr="006C7B74" w:rsidRDefault="007C0AC4">
            <w:pPr>
              <w:rPr>
                <w:rFonts w:ascii="Calibri" w:hAnsi="Calibri" w:cs="Calibri"/>
                <w:color w:val="000000"/>
                <w:sz w:val="18"/>
                <w:szCs w:val="18"/>
              </w:rPr>
            </w:pPr>
            <w:r w:rsidRPr="006C7B74">
              <w:rPr>
                <w:rFonts w:ascii="Calibri" w:hAnsi="Calibri" w:cs="Calibri"/>
                <w:color w:val="000000"/>
                <w:sz w:val="18"/>
                <w:szCs w:val="18"/>
              </w:rPr>
              <w:t>Darebin</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357D5643" w14:textId="77777777" w:rsidR="007C0AC4" w:rsidRPr="006C7B74" w:rsidRDefault="007C0AC4">
            <w:pPr>
              <w:jc w:val="center"/>
              <w:rPr>
                <w:rFonts w:ascii="Calibri" w:hAnsi="Calibri" w:cs="Calibri"/>
                <w:color w:val="363534"/>
                <w:sz w:val="18"/>
                <w:szCs w:val="18"/>
              </w:rPr>
            </w:pPr>
            <w:r w:rsidRPr="006C7B74">
              <w:rPr>
                <w:rFonts w:ascii="Calibri" w:hAnsi="Calibri" w:cs="Calibri"/>
                <w:color w:val="363534"/>
                <w:sz w:val="18"/>
                <w:szCs w:val="18"/>
              </w:rPr>
              <w:t>0.0</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24631811" w14:textId="77777777" w:rsidR="007C0AC4" w:rsidRPr="006C7B74" w:rsidRDefault="007C0AC4">
            <w:pPr>
              <w:jc w:val="center"/>
              <w:rPr>
                <w:rFonts w:ascii="Calibri" w:hAnsi="Calibri" w:cs="Calibri"/>
                <w:color w:val="363534"/>
                <w:sz w:val="18"/>
                <w:szCs w:val="18"/>
              </w:rPr>
            </w:pPr>
            <w:r w:rsidRPr="006C7B74">
              <w:rPr>
                <w:rFonts w:ascii="Calibri" w:hAnsi="Calibri" w:cs="Calibri"/>
                <w:color w:val="363534"/>
                <w:sz w:val="18"/>
                <w:szCs w:val="18"/>
              </w:rPr>
              <w:t>0.0</w:t>
            </w:r>
          </w:p>
        </w:tc>
        <w:tc>
          <w:tcPr>
            <w:tcW w:w="950"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089F01D8" w14:textId="77777777" w:rsidR="007C0AC4" w:rsidRPr="006C7B74" w:rsidRDefault="007C0AC4">
            <w:pPr>
              <w:jc w:val="center"/>
              <w:rPr>
                <w:rFonts w:ascii="Calibri" w:hAnsi="Calibri" w:cs="Calibri"/>
                <w:color w:val="363534"/>
                <w:sz w:val="18"/>
                <w:szCs w:val="18"/>
              </w:rPr>
            </w:pPr>
            <w:r w:rsidRPr="006C7B74">
              <w:rPr>
                <w:rFonts w:ascii="Calibri" w:hAnsi="Calibri" w:cs="Calibri"/>
                <w:color w:val="363534"/>
                <w:sz w:val="18"/>
                <w:szCs w:val="18"/>
              </w:rPr>
              <w:t>0.1</w:t>
            </w:r>
          </w:p>
        </w:tc>
      </w:tr>
      <w:tr w:rsidR="007C0AC4" w:rsidRPr="006C7B74" w14:paraId="4D59FC8F" w14:textId="77777777" w:rsidTr="00490F9E">
        <w:trPr>
          <w:trHeight w:val="283"/>
        </w:trPr>
        <w:tc>
          <w:tcPr>
            <w:tcW w:w="214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157C8B21" w14:textId="77777777" w:rsidR="007C0AC4" w:rsidRPr="006C7B74" w:rsidRDefault="007C0AC4">
            <w:pPr>
              <w:rPr>
                <w:rFonts w:ascii="Calibri" w:hAnsi="Calibri" w:cs="Calibri"/>
                <w:color w:val="000000"/>
                <w:sz w:val="18"/>
                <w:szCs w:val="18"/>
              </w:rPr>
            </w:pPr>
            <w:r w:rsidRPr="006C7B74">
              <w:rPr>
                <w:rFonts w:ascii="Calibri" w:hAnsi="Calibri" w:cs="Calibri"/>
                <w:color w:val="000000"/>
                <w:sz w:val="18"/>
                <w:szCs w:val="18"/>
              </w:rPr>
              <w:t>Hume</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65F22570" w14:textId="77777777" w:rsidR="007C0AC4" w:rsidRPr="006C7B74" w:rsidRDefault="007C0AC4">
            <w:pPr>
              <w:jc w:val="center"/>
              <w:rPr>
                <w:rFonts w:ascii="Calibri" w:hAnsi="Calibri" w:cs="Calibri"/>
                <w:color w:val="363534"/>
                <w:sz w:val="18"/>
                <w:szCs w:val="18"/>
              </w:rPr>
            </w:pPr>
            <w:r w:rsidRPr="006C7B74">
              <w:rPr>
                <w:rFonts w:ascii="Calibri" w:hAnsi="Calibri" w:cs="Calibri"/>
                <w:color w:val="363534"/>
                <w:sz w:val="18"/>
                <w:szCs w:val="18"/>
              </w:rPr>
              <w:t>20.4</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15931939" w14:textId="77777777" w:rsidR="007C0AC4" w:rsidRPr="006C7B74" w:rsidRDefault="007C0AC4">
            <w:pPr>
              <w:jc w:val="center"/>
              <w:rPr>
                <w:rFonts w:ascii="Calibri" w:hAnsi="Calibri" w:cs="Calibri"/>
                <w:color w:val="363534"/>
                <w:sz w:val="18"/>
                <w:szCs w:val="18"/>
              </w:rPr>
            </w:pPr>
            <w:r w:rsidRPr="006C7B74">
              <w:rPr>
                <w:rFonts w:ascii="Calibri" w:hAnsi="Calibri" w:cs="Calibri"/>
                <w:color w:val="363534"/>
                <w:sz w:val="18"/>
                <w:szCs w:val="18"/>
              </w:rPr>
              <w:t>24.5</w:t>
            </w:r>
          </w:p>
        </w:tc>
        <w:tc>
          <w:tcPr>
            <w:tcW w:w="950"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473B69E3" w14:textId="77777777" w:rsidR="007C0AC4" w:rsidRPr="006C7B74" w:rsidRDefault="007C0AC4">
            <w:pPr>
              <w:jc w:val="center"/>
              <w:rPr>
                <w:rFonts w:ascii="Calibri" w:hAnsi="Calibri" w:cs="Calibri"/>
                <w:color w:val="363534"/>
                <w:sz w:val="18"/>
                <w:szCs w:val="18"/>
              </w:rPr>
            </w:pPr>
            <w:r w:rsidRPr="006C7B74">
              <w:rPr>
                <w:rFonts w:ascii="Calibri" w:hAnsi="Calibri" w:cs="Calibri"/>
                <w:color w:val="363534"/>
                <w:sz w:val="18"/>
                <w:szCs w:val="18"/>
              </w:rPr>
              <w:t>28.5</w:t>
            </w:r>
          </w:p>
        </w:tc>
      </w:tr>
      <w:tr w:rsidR="007C0AC4" w:rsidRPr="006C7B74" w14:paraId="2D2EC6A3" w14:textId="77777777" w:rsidTr="00490F9E">
        <w:trPr>
          <w:trHeight w:val="283"/>
        </w:trPr>
        <w:tc>
          <w:tcPr>
            <w:tcW w:w="214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103AE4A6" w14:textId="77777777" w:rsidR="007C0AC4" w:rsidRPr="006C7B74" w:rsidRDefault="007C0AC4">
            <w:pPr>
              <w:rPr>
                <w:rFonts w:ascii="Calibri" w:hAnsi="Calibri" w:cs="Calibri"/>
                <w:color w:val="000000"/>
                <w:sz w:val="18"/>
                <w:szCs w:val="18"/>
              </w:rPr>
            </w:pPr>
            <w:r w:rsidRPr="006C7B74">
              <w:rPr>
                <w:rFonts w:ascii="Calibri" w:hAnsi="Calibri" w:cs="Calibri"/>
                <w:color w:val="000000"/>
                <w:sz w:val="18"/>
                <w:szCs w:val="18"/>
              </w:rPr>
              <w:t>Moreland</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3E6280F5" w14:textId="77777777" w:rsidR="007C0AC4" w:rsidRPr="006C7B74" w:rsidRDefault="007C0AC4">
            <w:pPr>
              <w:jc w:val="center"/>
              <w:rPr>
                <w:rFonts w:ascii="Calibri" w:hAnsi="Calibri" w:cs="Calibri"/>
                <w:color w:val="363534"/>
                <w:sz w:val="18"/>
                <w:szCs w:val="18"/>
              </w:rPr>
            </w:pPr>
            <w:r w:rsidRPr="006C7B74">
              <w:rPr>
                <w:rFonts w:ascii="Calibri" w:hAnsi="Calibri" w:cs="Calibri"/>
                <w:color w:val="363534"/>
                <w:sz w:val="18"/>
                <w:szCs w:val="18"/>
              </w:rPr>
              <w:t>0.8</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63FA09DF" w14:textId="77777777" w:rsidR="007C0AC4" w:rsidRPr="006C7B74" w:rsidRDefault="007C0AC4">
            <w:pPr>
              <w:jc w:val="center"/>
              <w:rPr>
                <w:rFonts w:ascii="Calibri" w:hAnsi="Calibri" w:cs="Calibri"/>
                <w:color w:val="363534"/>
                <w:sz w:val="18"/>
                <w:szCs w:val="18"/>
              </w:rPr>
            </w:pPr>
            <w:r w:rsidRPr="006C7B74">
              <w:rPr>
                <w:rFonts w:ascii="Calibri" w:hAnsi="Calibri" w:cs="Calibri"/>
                <w:color w:val="363534"/>
                <w:sz w:val="18"/>
                <w:szCs w:val="18"/>
              </w:rPr>
              <w:t>1.5</w:t>
            </w:r>
          </w:p>
        </w:tc>
        <w:tc>
          <w:tcPr>
            <w:tcW w:w="950"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0A59AC2C" w14:textId="77777777" w:rsidR="007C0AC4" w:rsidRPr="006C7B74" w:rsidRDefault="007C0AC4">
            <w:pPr>
              <w:jc w:val="center"/>
              <w:rPr>
                <w:rFonts w:ascii="Calibri" w:hAnsi="Calibri" w:cs="Calibri"/>
                <w:color w:val="363534"/>
                <w:sz w:val="18"/>
                <w:szCs w:val="18"/>
              </w:rPr>
            </w:pPr>
            <w:r w:rsidRPr="006C7B74">
              <w:rPr>
                <w:rFonts w:ascii="Calibri" w:hAnsi="Calibri" w:cs="Calibri"/>
                <w:color w:val="363534"/>
                <w:sz w:val="18"/>
                <w:szCs w:val="18"/>
              </w:rPr>
              <w:t>0.0</w:t>
            </w:r>
          </w:p>
        </w:tc>
      </w:tr>
      <w:tr w:rsidR="007C0AC4" w:rsidRPr="006C7B74" w14:paraId="5481390E" w14:textId="77777777" w:rsidTr="00490F9E">
        <w:trPr>
          <w:trHeight w:val="283"/>
        </w:trPr>
        <w:tc>
          <w:tcPr>
            <w:tcW w:w="214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76872CF5" w14:textId="77777777" w:rsidR="007C0AC4" w:rsidRPr="006C7B74" w:rsidRDefault="007C0AC4">
            <w:pPr>
              <w:rPr>
                <w:rFonts w:ascii="Calibri" w:hAnsi="Calibri" w:cs="Calibri"/>
                <w:color w:val="000000"/>
                <w:sz w:val="18"/>
                <w:szCs w:val="18"/>
              </w:rPr>
            </w:pPr>
            <w:r w:rsidRPr="006C7B74">
              <w:rPr>
                <w:rFonts w:ascii="Calibri" w:hAnsi="Calibri" w:cs="Calibri"/>
                <w:color w:val="000000"/>
                <w:sz w:val="18"/>
                <w:szCs w:val="18"/>
              </w:rPr>
              <w:t>Nillumbik</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3AD4B9BA" w14:textId="77777777" w:rsidR="007C0AC4" w:rsidRPr="006C7B74" w:rsidRDefault="007C0AC4">
            <w:pPr>
              <w:jc w:val="center"/>
              <w:rPr>
                <w:rFonts w:ascii="Calibri" w:hAnsi="Calibri" w:cs="Calibri"/>
                <w:color w:val="363534"/>
                <w:sz w:val="18"/>
                <w:szCs w:val="18"/>
              </w:rPr>
            </w:pPr>
            <w:r w:rsidRPr="006C7B74">
              <w:rPr>
                <w:rFonts w:ascii="Calibri" w:hAnsi="Calibri" w:cs="Calibri"/>
                <w:color w:val="363534"/>
                <w:sz w:val="18"/>
                <w:szCs w:val="18"/>
              </w:rPr>
              <w:t>0.0</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0DE5DED4" w14:textId="77777777" w:rsidR="007C0AC4" w:rsidRPr="006C7B74" w:rsidRDefault="007C0AC4">
            <w:pPr>
              <w:jc w:val="center"/>
              <w:rPr>
                <w:rFonts w:ascii="Calibri" w:hAnsi="Calibri" w:cs="Calibri"/>
                <w:color w:val="363534"/>
                <w:sz w:val="18"/>
                <w:szCs w:val="18"/>
              </w:rPr>
            </w:pPr>
            <w:r w:rsidRPr="006C7B74">
              <w:rPr>
                <w:rFonts w:ascii="Calibri" w:hAnsi="Calibri" w:cs="Calibri"/>
                <w:color w:val="363534"/>
                <w:sz w:val="18"/>
                <w:szCs w:val="18"/>
              </w:rPr>
              <w:t>-0.1</w:t>
            </w:r>
          </w:p>
        </w:tc>
        <w:tc>
          <w:tcPr>
            <w:tcW w:w="950"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46A21EB7" w14:textId="77777777" w:rsidR="007C0AC4" w:rsidRPr="006C7B74" w:rsidRDefault="007C0AC4">
            <w:pPr>
              <w:jc w:val="center"/>
              <w:rPr>
                <w:rFonts w:ascii="Calibri" w:hAnsi="Calibri" w:cs="Calibri"/>
                <w:color w:val="363534"/>
                <w:sz w:val="18"/>
                <w:szCs w:val="18"/>
              </w:rPr>
            </w:pPr>
            <w:r w:rsidRPr="006C7B74">
              <w:rPr>
                <w:rFonts w:ascii="Calibri" w:hAnsi="Calibri" w:cs="Calibri"/>
                <w:color w:val="363534"/>
                <w:sz w:val="18"/>
                <w:szCs w:val="18"/>
              </w:rPr>
              <w:t>0.0</w:t>
            </w:r>
          </w:p>
        </w:tc>
      </w:tr>
      <w:tr w:rsidR="007C0AC4" w:rsidRPr="006C7B74" w14:paraId="696BECD9" w14:textId="77777777" w:rsidTr="00490F9E">
        <w:trPr>
          <w:trHeight w:val="283"/>
        </w:trPr>
        <w:tc>
          <w:tcPr>
            <w:tcW w:w="214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7C76C179" w14:textId="77777777" w:rsidR="007C0AC4" w:rsidRPr="006C7B74" w:rsidRDefault="007C0AC4">
            <w:pPr>
              <w:rPr>
                <w:rFonts w:ascii="Calibri" w:hAnsi="Calibri" w:cs="Calibri"/>
                <w:color w:val="000000"/>
                <w:sz w:val="18"/>
                <w:szCs w:val="18"/>
              </w:rPr>
            </w:pPr>
            <w:r w:rsidRPr="006C7B74">
              <w:rPr>
                <w:rFonts w:ascii="Calibri" w:hAnsi="Calibri" w:cs="Calibri"/>
                <w:color w:val="000000"/>
                <w:sz w:val="18"/>
                <w:szCs w:val="18"/>
              </w:rPr>
              <w:t>Whittlesea</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72E934AB" w14:textId="77777777" w:rsidR="007C0AC4" w:rsidRPr="006C7B74" w:rsidRDefault="007C0AC4">
            <w:pPr>
              <w:jc w:val="center"/>
              <w:rPr>
                <w:rFonts w:ascii="Calibri" w:hAnsi="Calibri" w:cs="Calibri"/>
                <w:color w:val="363534"/>
                <w:sz w:val="18"/>
                <w:szCs w:val="18"/>
              </w:rPr>
            </w:pPr>
            <w:r w:rsidRPr="006C7B74">
              <w:rPr>
                <w:rFonts w:ascii="Calibri" w:hAnsi="Calibri" w:cs="Calibri"/>
                <w:color w:val="363534"/>
                <w:sz w:val="18"/>
                <w:szCs w:val="18"/>
              </w:rPr>
              <w:t>1.5</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77966BBE" w14:textId="77777777" w:rsidR="007C0AC4" w:rsidRPr="006C7B74" w:rsidRDefault="007C0AC4">
            <w:pPr>
              <w:jc w:val="center"/>
              <w:rPr>
                <w:rFonts w:ascii="Calibri" w:hAnsi="Calibri" w:cs="Calibri"/>
                <w:color w:val="363534"/>
                <w:sz w:val="18"/>
                <w:szCs w:val="18"/>
              </w:rPr>
            </w:pPr>
            <w:r w:rsidRPr="006C7B74">
              <w:rPr>
                <w:rFonts w:ascii="Calibri" w:hAnsi="Calibri" w:cs="Calibri"/>
                <w:color w:val="363534"/>
                <w:sz w:val="18"/>
                <w:szCs w:val="18"/>
              </w:rPr>
              <w:t>8.6</w:t>
            </w:r>
          </w:p>
        </w:tc>
        <w:tc>
          <w:tcPr>
            <w:tcW w:w="950"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60B06051" w14:textId="77777777" w:rsidR="007C0AC4" w:rsidRPr="006C7B74" w:rsidRDefault="007C0AC4">
            <w:pPr>
              <w:jc w:val="center"/>
              <w:rPr>
                <w:rFonts w:ascii="Calibri" w:hAnsi="Calibri" w:cs="Calibri"/>
                <w:color w:val="363534"/>
                <w:sz w:val="18"/>
                <w:szCs w:val="18"/>
              </w:rPr>
            </w:pPr>
            <w:r w:rsidRPr="006C7B74">
              <w:rPr>
                <w:rFonts w:ascii="Calibri" w:hAnsi="Calibri" w:cs="Calibri"/>
                <w:color w:val="363534"/>
                <w:sz w:val="18"/>
                <w:szCs w:val="18"/>
              </w:rPr>
              <w:t>23.5</w:t>
            </w:r>
          </w:p>
        </w:tc>
      </w:tr>
      <w:tr w:rsidR="007C0AC4" w:rsidRPr="006C7B74" w14:paraId="164A8364" w14:textId="77777777" w:rsidTr="00490F9E">
        <w:trPr>
          <w:trHeight w:val="283"/>
        </w:trPr>
        <w:tc>
          <w:tcPr>
            <w:tcW w:w="214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6C6A3079" w14:textId="77777777" w:rsidR="007C0AC4" w:rsidRPr="006C7B74" w:rsidRDefault="007C0AC4">
            <w:pPr>
              <w:rPr>
                <w:rFonts w:ascii="Calibri" w:hAnsi="Calibri" w:cs="Calibri"/>
                <w:color w:val="000000"/>
                <w:sz w:val="18"/>
                <w:szCs w:val="18"/>
              </w:rPr>
            </w:pPr>
            <w:r w:rsidRPr="006C7B74">
              <w:rPr>
                <w:rFonts w:ascii="Calibri" w:hAnsi="Calibri" w:cs="Calibri"/>
                <w:color w:val="000000"/>
                <w:sz w:val="18"/>
                <w:szCs w:val="18"/>
              </w:rPr>
              <w:t>Wallan (within UGB)</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40D28486" w14:textId="77777777" w:rsidR="007C0AC4" w:rsidRPr="006C7B74" w:rsidRDefault="007C0AC4">
            <w:pPr>
              <w:jc w:val="center"/>
              <w:rPr>
                <w:rFonts w:ascii="Calibri" w:hAnsi="Calibri" w:cs="Calibri"/>
                <w:color w:val="363534"/>
                <w:sz w:val="18"/>
                <w:szCs w:val="18"/>
              </w:rPr>
            </w:pPr>
            <w:r w:rsidRPr="006C7B74">
              <w:rPr>
                <w:rFonts w:ascii="Calibri" w:hAnsi="Calibri" w:cs="Calibri"/>
                <w:color w:val="363534"/>
                <w:sz w:val="18"/>
                <w:szCs w:val="18"/>
              </w:rPr>
              <w:t>N/A</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6732D82D" w14:textId="77777777" w:rsidR="007C0AC4" w:rsidRPr="006C7B74" w:rsidRDefault="007C0AC4">
            <w:pPr>
              <w:jc w:val="center"/>
              <w:rPr>
                <w:rFonts w:ascii="Calibri" w:hAnsi="Calibri" w:cs="Calibri"/>
                <w:color w:val="363534"/>
                <w:sz w:val="18"/>
                <w:szCs w:val="18"/>
              </w:rPr>
            </w:pPr>
            <w:r w:rsidRPr="006C7B74">
              <w:rPr>
                <w:rFonts w:ascii="Calibri" w:hAnsi="Calibri" w:cs="Calibri"/>
                <w:color w:val="363534"/>
                <w:sz w:val="18"/>
                <w:szCs w:val="18"/>
              </w:rPr>
              <w:t>N/A</w:t>
            </w:r>
          </w:p>
        </w:tc>
        <w:tc>
          <w:tcPr>
            <w:tcW w:w="950"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249C2BD6" w14:textId="77777777" w:rsidR="007C0AC4" w:rsidRPr="006C7B74" w:rsidRDefault="007C0AC4">
            <w:pPr>
              <w:jc w:val="center"/>
              <w:rPr>
                <w:rFonts w:ascii="Calibri" w:hAnsi="Calibri" w:cs="Calibri"/>
                <w:color w:val="363534"/>
                <w:sz w:val="18"/>
                <w:szCs w:val="18"/>
              </w:rPr>
            </w:pPr>
            <w:r w:rsidRPr="006C7B74">
              <w:rPr>
                <w:rFonts w:ascii="Calibri" w:hAnsi="Calibri" w:cs="Calibri"/>
                <w:color w:val="363534"/>
                <w:sz w:val="18"/>
                <w:szCs w:val="18"/>
              </w:rPr>
              <w:t>N/A</w:t>
            </w:r>
          </w:p>
        </w:tc>
      </w:tr>
      <w:tr w:rsidR="007C0AC4" w:rsidRPr="006C7B74" w14:paraId="1E109601" w14:textId="77777777" w:rsidTr="00490F9E">
        <w:trPr>
          <w:trHeight w:val="283"/>
        </w:trPr>
        <w:tc>
          <w:tcPr>
            <w:tcW w:w="214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439F5437" w14:textId="77777777" w:rsidR="007C0AC4" w:rsidRPr="006C7B74" w:rsidRDefault="007C0AC4">
            <w:pPr>
              <w:rPr>
                <w:rFonts w:ascii="Calibri" w:hAnsi="Calibri" w:cs="Calibri"/>
                <w:b/>
                <w:bCs/>
                <w:color w:val="000000"/>
                <w:sz w:val="18"/>
                <w:szCs w:val="18"/>
              </w:rPr>
            </w:pPr>
            <w:r w:rsidRPr="006C7B74">
              <w:rPr>
                <w:rFonts w:ascii="Calibri" w:hAnsi="Calibri" w:cs="Calibri"/>
                <w:b/>
                <w:bCs/>
                <w:color w:val="000000"/>
                <w:sz w:val="18"/>
                <w:szCs w:val="18"/>
              </w:rPr>
              <w:t>Northern Region</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526EA75C" w14:textId="77777777" w:rsidR="007C0AC4" w:rsidRPr="006C7B74" w:rsidRDefault="007C0AC4">
            <w:pPr>
              <w:jc w:val="center"/>
              <w:rPr>
                <w:rFonts w:ascii="Calibri" w:hAnsi="Calibri" w:cs="Calibri"/>
                <w:b/>
                <w:bCs/>
                <w:color w:val="363534"/>
                <w:sz w:val="18"/>
                <w:szCs w:val="18"/>
              </w:rPr>
            </w:pPr>
            <w:r w:rsidRPr="006C7B74">
              <w:rPr>
                <w:rFonts w:ascii="Calibri" w:hAnsi="Calibri" w:cs="Calibri"/>
                <w:b/>
                <w:bCs/>
                <w:color w:val="363534"/>
                <w:sz w:val="18"/>
                <w:szCs w:val="18"/>
              </w:rPr>
              <w:t>24.3</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7A17450B" w14:textId="77777777" w:rsidR="007C0AC4" w:rsidRPr="006C7B74" w:rsidRDefault="007C0AC4">
            <w:pPr>
              <w:jc w:val="center"/>
              <w:rPr>
                <w:rFonts w:ascii="Calibri" w:hAnsi="Calibri" w:cs="Calibri"/>
                <w:b/>
                <w:bCs/>
                <w:color w:val="363534"/>
                <w:sz w:val="18"/>
                <w:szCs w:val="18"/>
              </w:rPr>
            </w:pPr>
            <w:r w:rsidRPr="006C7B74">
              <w:rPr>
                <w:rFonts w:ascii="Calibri" w:hAnsi="Calibri" w:cs="Calibri"/>
                <w:b/>
                <w:bCs/>
                <w:color w:val="363534"/>
                <w:sz w:val="18"/>
                <w:szCs w:val="18"/>
              </w:rPr>
              <w:t>34.4</w:t>
            </w:r>
          </w:p>
        </w:tc>
        <w:tc>
          <w:tcPr>
            <w:tcW w:w="950"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69C0A1EB" w14:textId="77777777" w:rsidR="007C0AC4" w:rsidRPr="006C7B74" w:rsidRDefault="007C0AC4">
            <w:pPr>
              <w:jc w:val="center"/>
              <w:rPr>
                <w:rFonts w:ascii="Calibri" w:hAnsi="Calibri" w:cs="Calibri"/>
                <w:b/>
                <w:bCs/>
                <w:color w:val="363534"/>
                <w:sz w:val="18"/>
                <w:szCs w:val="18"/>
              </w:rPr>
            </w:pPr>
            <w:r w:rsidRPr="006C7B74">
              <w:rPr>
                <w:rFonts w:ascii="Calibri" w:hAnsi="Calibri" w:cs="Calibri"/>
                <w:b/>
                <w:bCs/>
                <w:color w:val="363534"/>
                <w:sz w:val="18"/>
                <w:szCs w:val="18"/>
              </w:rPr>
              <w:t>52.0</w:t>
            </w:r>
          </w:p>
        </w:tc>
      </w:tr>
      <w:tr w:rsidR="007C0AC4" w:rsidRPr="006C7B74" w14:paraId="11A4DD29" w14:textId="77777777" w:rsidTr="00490F9E">
        <w:trPr>
          <w:trHeight w:val="283"/>
        </w:trPr>
        <w:tc>
          <w:tcPr>
            <w:tcW w:w="214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7D5771D6" w14:textId="77777777" w:rsidR="007C0AC4" w:rsidRPr="006C7B74" w:rsidRDefault="007C0AC4">
            <w:pPr>
              <w:rPr>
                <w:rFonts w:ascii="Calibri" w:hAnsi="Calibri" w:cs="Calibri"/>
                <w:i/>
                <w:iCs/>
                <w:color w:val="000000"/>
                <w:sz w:val="18"/>
                <w:szCs w:val="18"/>
              </w:rPr>
            </w:pPr>
            <w:r w:rsidRPr="006C7B74">
              <w:rPr>
                <w:rFonts w:ascii="Calibri" w:hAnsi="Calibri" w:cs="Calibri"/>
                <w:i/>
                <w:iCs/>
                <w:color w:val="000000"/>
                <w:sz w:val="18"/>
                <w:szCs w:val="18"/>
              </w:rPr>
              <w:t>Northern SSIP</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1EB717E7" w14:textId="77777777" w:rsidR="007C0AC4" w:rsidRPr="006C7B74" w:rsidRDefault="007C0AC4">
            <w:pPr>
              <w:jc w:val="center"/>
              <w:rPr>
                <w:rFonts w:ascii="Calibri" w:hAnsi="Calibri" w:cs="Calibri"/>
                <w:i/>
                <w:iCs/>
                <w:color w:val="363534"/>
                <w:sz w:val="18"/>
                <w:szCs w:val="18"/>
              </w:rPr>
            </w:pPr>
            <w:r w:rsidRPr="006C7B74">
              <w:rPr>
                <w:rFonts w:ascii="Calibri" w:hAnsi="Calibri" w:cs="Calibri"/>
                <w:i/>
                <w:iCs/>
                <w:color w:val="363534"/>
                <w:sz w:val="18"/>
                <w:szCs w:val="18"/>
              </w:rPr>
              <w:t>15.8</w:t>
            </w:r>
          </w:p>
        </w:tc>
        <w:tc>
          <w:tcPr>
            <w:tcW w:w="951"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711CC7D1" w14:textId="77777777" w:rsidR="007C0AC4" w:rsidRPr="006C7B74" w:rsidRDefault="007C0AC4">
            <w:pPr>
              <w:jc w:val="center"/>
              <w:rPr>
                <w:rFonts w:ascii="Calibri" w:hAnsi="Calibri" w:cs="Calibri"/>
                <w:i/>
                <w:iCs/>
                <w:color w:val="363534"/>
                <w:sz w:val="18"/>
                <w:szCs w:val="18"/>
              </w:rPr>
            </w:pPr>
            <w:r w:rsidRPr="006C7B74">
              <w:rPr>
                <w:rFonts w:ascii="Calibri" w:hAnsi="Calibri" w:cs="Calibri"/>
                <w:i/>
                <w:iCs/>
                <w:color w:val="363534"/>
                <w:sz w:val="18"/>
                <w:szCs w:val="18"/>
              </w:rPr>
              <w:t>26.2</w:t>
            </w:r>
          </w:p>
        </w:tc>
        <w:tc>
          <w:tcPr>
            <w:tcW w:w="950"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782A8107" w14:textId="77777777" w:rsidR="007C0AC4" w:rsidRPr="006C7B74" w:rsidRDefault="007C0AC4">
            <w:pPr>
              <w:jc w:val="center"/>
              <w:rPr>
                <w:rFonts w:ascii="Calibri" w:hAnsi="Calibri" w:cs="Calibri"/>
                <w:i/>
                <w:iCs/>
                <w:color w:val="363534"/>
                <w:sz w:val="18"/>
                <w:szCs w:val="18"/>
              </w:rPr>
            </w:pPr>
            <w:r w:rsidRPr="006C7B74">
              <w:rPr>
                <w:rFonts w:ascii="Calibri" w:hAnsi="Calibri" w:cs="Calibri"/>
                <w:i/>
                <w:iCs/>
                <w:color w:val="363534"/>
                <w:sz w:val="18"/>
                <w:szCs w:val="18"/>
              </w:rPr>
              <w:t>43.3</w:t>
            </w:r>
          </w:p>
        </w:tc>
      </w:tr>
    </w:tbl>
    <w:p w14:paraId="7E10B1FA" w14:textId="39BBA857" w:rsidR="008E0E77" w:rsidRPr="006C7B74" w:rsidRDefault="00DC580D" w:rsidP="00934C4D">
      <w:pPr>
        <w:spacing w:after="120"/>
        <w:rPr>
          <w:rFonts w:cstheme="minorHAnsi"/>
          <w:i/>
          <w:sz w:val="18"/>
          <w:szCs w:val="20"/>
        </w:rPr>
      </w:pPr>
      <w:r w:rsidRPr="006C7B74">
        <w:rPr>
          <w:rFonts w:cstheme="minorHAnsi"/>
          <w:i/>
          <w:sz w:val="18"/>
          <w:szCs w:val="20"/>
        </w:rPr>
        <w:t>Source: Department of Environment, Land, Water and Planning, Urban Development Program – Melbourne Metropolitan Industrial 2018</w:t>
      </w:r>
    </w:p>
    <w:p w14:paraId="05FE6A52" w14:textId="77777777" w:rsidR="0075498A" w:rsidRPr="006C7B74" w:rsidRDefault="0075498A" w:rsidP="00934C4D">
      <w:pPr>
        <w:spacing w:after="120"/>
        <w:rPr>
          <w:rFonts w:cstheme="minorHAnsi"/>
          <w:sz w:val="20"/>
          <w:szCs w:val="20"/>
        </w:rPr>
      </w:pPr>
    </w:p>
    <w:p w14:paraId="7AF99C9A" w14:textId="2D5A0C8E" w:rsidR="00920D65" w:rsidRPr="006C7B74" w:rsidRDefault="00F51E1B" w:rsidP="00F51E1B">
      <w:pPr>
        <w:spacing w:after="120"/>
        <w:rPr>
          <w:rFonts w:cstheme="minorHAnsi"/>
          <w:sz w:val="20"/>
          <w:szCs w:val="20"/>
        </w:rPr>
      </w:pPr>
      <w:r w:rsidRPr="006C7B74">
        <w:rPr>
          <w:rFonts w:cstheme="minorHAnsi"/>
          <w:sz w:val="20"/>
          <w:szCs w:val="20"/>
        </w:rPr>
        <w:t>Over the last three years the average rate of consumption of industrial land in the region has been around 37 hectare</w:t>
      </w:r>
      <w:r w:rsidR="00E62D15" w:rsidRPr="006C7B74">
        <w:rPr>
          <w:rFonts w:cstheme="minorHAnsi"/>
          <w:sz w:val="20"/>
          <w:szCs w:val="20"/>
        </w:rPr>
        <w:t>s</w:t>
      </w:r>
      <w:r w:rsidRPr="006C7B74">
        <w:rPr>
          <w:rFonts w:cstheme="minorHAnsi"/>
          <w:sz w:val="20"/>
          <w:szCs w:val="20"/>
        </w:rPr>
        <w:t xml:space="preserve"> per annum. If </w:t>
      </w:r>
      <w:r w:rsidR="00920D65" w:rsidRPr="006C7B74">
        <w:rPr>
          <w:rFonts w:cstheme="minorHAnsi"/>
          <w:sz w:val="20"/>
          <w:szCs w:val="20"/>
        </w:rPr>
        <w:t xml:space="preserve">average annual </w:t>
      </w:r>
      <w:r w:rsidRPr="006C7B74">
        <w:rPr>
          <w:rFonts w:cstheme="minorHAnsi"/>
          <w:sz w:val="20"/>
          <w:szCs w:val="20"/>
        </w:rPr>
        <w:t xml:space="preserve">consumption rates </w:t>
      </w:r>
      <w:r w:rsidR="00920D65" w:rsidRPr="006C7B74">
        <w:rPr>
          <w:rFonts w:cstheme="minorHAnsi"/>
          <w:sz w:val="20"/>
          <w:szCs w:val="20"/>
        </w:rPr>
        <w:t xml:space="preserve">continue </w:t>
      </w:r>
      <w:r w:rsidRPr="006C7B74">
        <w:rPr>
          <w:rFonts w:cstheme="minorHAnsi"/>
          <w:sz w:val="20"/>
          <w:szCs w:val="20"/>
        </w:rPr>
        <w:t xml:space="preserve">at </w:t>
      </w:r>
      <w:r w:rsidR="00920D65" w:rsidRPr="006C7B74">
        <w:rPr>
          <w:rFonts w:cstheme="minorHAnsi"/>
          <w:sz w:val="20"/>
          <w:szCs w:val="20"/>
        </w:rPr>
        <w:t>these</w:t>
      </w:r>
      <w:r w:rsidR="004B5C2F" w:rsidRPr="006C7B74">
        <w:rPr>
          <w:rFonts w:cstheme="minorHAnsi"/>
          <w:sz w:val="20"/>
          <w:szCs w:val="20"/>
        </w:rPr>
        <w:t xml:space="preserve"> </w:t>
      </w:r>
      <w:r w:rsidRPr="006C7B74">
        <w:rPr>
          <w:rFonts w:cstheme="minorHAnsi"/>
          <w:sz w:val="20"/>
          <w:szCs w:val="20"/>
        </w:rPr>
        <w:t xml:space="preserve">levels, </w:t>
      </w:r>
      <w:r w:rsidR="004B5C2F" w:rsidRPr="006C7B74">
        <w:rPr>
          <w:rFonts w:cstheme="minorHAnsi"/>
          <w:sz w:val="20"/>
          <w:szCs w:val="20"/>
        </w:rPr>
        <w:t>then</w:t>
      </w:r>
      <w:r w:rsidRPr="006C7B74">
        <w:rPr>
          <w:rFonts w:cstheme="minorHAnsi"/>
          <w:sz w:val="20"/>
          <w:szCs w:val="20"/>
        </w:rPr>
        <w:t xml:space="preserve"> the region as a whole has approximately </w:t>
      </w:r>
      <w:r w:rsidR="00942B0B" w:rsidRPr="006C7B74">
        <w:rPr>
          <w:rFonts w:cstheme="minorHAnsi"/>
          <w:sz w:val="20"/>
          <w:szCs w:val="20"/>
        </w:rPr>
        <w:t xml:space="preserve">34 </w:t>
      </w:r>
      <w:r w:rsidRPr="006C7B74">
        <w:rPr>
          <w:rFonts w:cstheme="minorHAnsi"/>
          <w:sz w:val="20"/>
          <w:szCs w:val="20"/>
        </w:rPr>
        <w:t xml:space="preserve">years supply of zoned industrial land. Unzoned areas identified for future industrial purposes could provide another </w:t>
      </w:r>
      <w:r w:rsidR="00942B0B" w:rsidRPr="006C7B74">
        <w:rPr>
          <w:rFonts w:cstheme="minorHAnsi"/>
          <w:sz w:val="20"/>
          <w:szCs w:val="20"/>
        </w:rPr>
        <w:t xml:space="preserve">53 </w:t>
      </w:r>
      <w:r w:rsidRPr="006C7B74">
        <w:rPr>
          <w:rFonts w:cstheme="minorHAnsi"/>
          <w:sz w:val="20"/>
          <w:szCs w:val="20"/>
        </w:rPr>
        <w:t>years of supply</w:t>
      </w:r>
      <w:r w:rsidR="00476FF5" w:rsidRPr="006C7B74">
        <w:rPr>
          <w:rFonts w:cstheme="minorHAnsi"/>
          <w:sz w:val="20"/>
          <w:szCs w:val="20"/>
        </w:rPr>
        <w:t xml:space="preserve">, but this is dependent on future planning for these areas as part of the </w:t>
      </w:r>
      <w:r w:rsidR="00AA2681" w:rsidRPr="006C7B74">
        <w:rPr>
          <w:rFonts w:cstheme="minorHAnsi"/>
          <w:sz w:val="20"/>
          <w:szCs w:val="20"/>
        </w:rPr>
        <w:t>PSP</w:t>
      </w:r>
      <w:r w:rsidR="00476FF5" w:rsidRPr="006C7B74">
        <w:rPr>
          <w:rFonts w:cstheme="minorHAnsi"/>
          <w:sz w:val="20"/>
          <w:szCs w:val="20"/>
        </w:rPr>
        <w:t xml:space="preserve"> process.</w:t>
      </w:r>
      <w:r w:rsidR="00920D65" w:rsidRPr="006C7B74">
        <w:rPr>
          <w:rFonts w:cstheme="minorHAnsi"/>
          <w:sz w:val="20"/>
          <w:szCs w:val="20"/>
        </w:rPr>
        <w:t xml:space="preserve"> The vast majority of industrial land supply and consumption</w:t>
      </w:r>
      <w:r w:rsidR="00476FF5" w:rsidRPr="006C7B74">
        <w:rPr>
          <w:rFonts w:cstheme="minorHAnsi"/>
          <w:sz w:val="20"/>
          <w:szCs w:val="20"/>
        </w:rPr>
        <w:t xml:space="preserve"> for the region</w:t>
      </w:r>
      <w:r w:rsidR="00920D65" w:rsidRPr="006C7B74">
        <w:rPr>
          <w:rFonts w:cstheme="minorHAnsi"/>
          <w:sz w:val="20"/>
          <w:szCs w:val="20"/>
        </w:rPr>
        <w:t xml:space="preserve"> </w:t>
      </w:r>
      <w:r w:rsidR="00476FF5" w:rsidRPr="006C7B74">
        <w:rPr>
          <w:rFonts w:cstheme="minorHAnsi"/>
          <w:sz w:val="20"/>
          <w:szCs w:val="20"/>
        </w:rPr>
        <w:t xml:space="preserve">is </w:t>
      </w:r>
      <w:r w:rsidR="00920D65" w:rsidRPr="006C7B74">
        <w:rPr>
          <w:rFonts w:cstheme="minorHAnsi"/>
          <w:sz w:val="20"/>
          <w:szCs w:val="20"/>
        </w:rPr>
        <w:t xml:space="preserve">within </w:t>
      </w:r>
      <w:r w:rsidR="00920D65" w:rsidRPr="006C7B74">
        <w:rPr>
          <w:rFonts w:cstheme="minorHAnsi"/>
          <w:sz w:val="20"/>
          <w:szCs w:val="20"/>
        </w:rPr>
        <w:lastRenderedPageBreak/>
        <w:t xml:space="preserve">the Northern SSIP. Based on average consumption rates over the last three years there </w:t>
      </w:r>
      <w:r w:rsidR="007101D9" w:rsidRPr="006C7B74">
        <w:rPr>
          <w:rFonts w:cstheme="minorHAnsi"/>
          <w:sz w:val="20"/>
          <w:szCs w:val="20"/>
        </w:rPr>
        <w:t>are</w:t>
      </w:r>
      <w:r w:rsidR="00920D65" w:rsidRPr="006C7B74">
        <w:rPr>
          <w:rFonts w:cstheme="minorHAnsi"/>
          <w:sz w:val="20"/>
          <w:szCs w:val="20"/>
        </w:rPr>
        <w:t xml:space="preserve"> approximately </w:t>
      </w:r>
      <w:r w:rsidR="00FE20D8" w:rsidRPr="006C7B74">
        <w:rPr>
          <w:rFonts w:cstheme="minorHAnsi"/>
          <w:sz w:val="20"/>
          <w:szCs w:val="20"/>
        </w:rPr>
        <w:t xml:space="preserve">26 </w:t>
      </w:r>
      <w:r w:rsidR="00920D65" w:rsidRPr="006C7B74">
        <w:rPr>
          <w:rFonts w:cstheme="minorHAnsi"/>
          <w:sz w:val="20"/>
          <w:szCs w:val="20"/>
        </w:rPr>
        <w:t xml:space="preserve">years supply of zoned land and around </w:t>
      </w:r>
      <w:r w:rsidR="00C35B96" w:rsidRPr="006C7B74">
        <w:rPr>
          <w:rFonts w:cstheme="minorHAnsi"/>
          <w:sz w:val="20"/>
          <w:szCs w:val="20"/>
        </w:rPr>
        <w:t xml:space="preserve">44 </w:t>
      </w:r>
      <w:r w:rsidR="00920D65" w:rsidRPr="006C7B74">
        <w:rPr>
          <w:rFonts w:cstheme="minorHAnsi"/>
          <w:sz w:val="20"/>
          <w:szCs w:val="20"/>
        </w:rPr>
        <w:t>years supply of unzoned land</w:t>
      </w:r>
      <w:r w:rsidR="007F640C" w:rsidRPr="006C7B74">
        <w:rPr>
          <w:rFonts w:cstheme="minorHAnsi"/>
          <w:sz w:val="20"/>
          <w:szCs w:val="20"/>
        </w:rPr>
        <w:t xml:space="preserve"> within the</w:t>
      </w:r>
      <w:r w:rsidR="00B70408" w:rsidRPr="006C7B74">
        <w:rPr>
          <w:rFonts w:cstheme="minorHAnsi"/>
          <w:sz w:val="20"/>
          <w:szCs w:val="20"/>
        </w:rPr>
        <w:t xml:space="preserve"> Northern</w:t>
      </w:r>
      <w:r w:rsidR="007F640C" w:rsidRPr="006C7B74">
        <w:rPr>
          <w:rFonts w:cstheme="minorHAnsi"/>
          <w:sz w:val="20"/>
          <w:szCs w:val="20"/>
        </w:rPr>
        <w:t xml:space="preserve"> SSIP</w:t>
      </w:r>
      <w:r w:rsidR="00920D65" w:rsidRPr="006C7B74">
        <w:rPr>
          <w:rFonts w:cstheme="minorHAnsi"/>
          <w:sz w:val="20"/>
          <w:szCs w:val="20"/>
        </w:rPr>
        <w:t>.</w:t>
      </w:r>
    </w:p>
    <w:p w14:paraId="0542DA15" w14:textId="38BAA8C1" w:rsidR="00E07D7D" w:rsidRPr="006C7B74" w:rsidRDefault="00920D65" w:rsidP="00920D65">
      <w:pPr>
        <w:spacing w:after="120"/>
        <w:rPr>
          <w:rFonts w:cstheme="minorHAnsi"/>
          <w:sz w:val="20"/>
          <w:szCs w:val="20"/>
        </w:rPr>
      </w:pPr>
      <w:r w:rsidRPr="006C7B74">
        <w:rPr>
          <w:rFonts w:cstheme="minorHAnsi"/>
          <w:sz w:val="20"/>
          <w:szCs w:val="20"/>
        </w:rPr>
        <w:t xml:space="preserve">However, consumption rates have increased significantly </w:t>
      </w:r>
      <w:r w:rsidR="00DF2FB1" w:rsidRPr="006C7B74">
        <w:rPr>
          <w:rFonts w:cstheme="minorHAnsi"/>
          <w:sz w:val="20"/>
          <w:szCs w:val="20"/>
        </w:rPr>
        <w:t>in the Northern Region. I</w:t>
      </w:r>
      <w:r w:rsidRPr="006C7B74">
        <w:rPr>
          <w:rFonts w:cstheme="minorHAnsi"/>
          <w:sz w:val="20"/>
          <w:szCs w:val="20"/>
        </w:rPr>
        <w:t xml:space="preserve">n 2017-18 </w:t>
      </w:r>
      <w:r w:rsidR="00DF2FB1" w:rsidRPr="006C7B74">
        <w:rPr>
          <w:rFonts w:cstheme="minorHAnsi"/>
          <w:sz w:val="20"/>
          <w:szCs w:val="20"/>
        </w:rPr>
        <w:t xml:space="preserve">the rate of consumption </w:t>
      </w:r>
      <w:r w:rsidRPr="006C7B74">
        <w:rPr>
          <w:rFonts w:cstheme="minorHAnsi"/>
          <w:sz w:val="20"/>
          <w:szCs w:val="20"/>
        </w:rPr>
        <w:t xml:space="preserve">was 52 hectares for the region as a whole and 43 hectares in the Northern SSIP. Based on these consumption rates, it is estimated that there is approximately </w:t>
      </w:r>
      <w:r w:rsidR="004D2D05" w:rsidRPr="006C7B74">
        <w:rPr>
          <w:rFonts w:cstheme="minorHAnsi"/>
          <w:sz w:val="20"/>
          <w:szCs w:val="20"/>
        </w:rPr>
        <w:t xml:space="preserve">24 </w:t>
      </w:r>
      <w:r w:rsidR="00476FF5" w:rsidRPr="006C7B74">
        <w:rPr>
          <w:rFonts w:cstheme="minorHAnsi"/>
          <w:sz w:val="20"/>
          <w:szCs w:val="20"/>
        </w:rPr>
        <w:t xml:space="preserve">years of zoned land supply </w:t>
      </w:r>
      <w:r w:rsidR="00DF2FB1" w:rsidRPr="006C7B74">
        <w:rPr>
          <w:rFonts w:cstheme="minorHAnsi"/>
          <w:sz w:val="20"/>
          <w:szCs w:val="20"/>
        </w:rPr>
        <w:t xml:space="preserve">in the region </w:t>
      </w:r>
      <w:r w:rsidR="00476FF5" w:rsidRPr="006C7B74">
        <w:rPr>
          <w:rFonts w:cstheme="minorHAnsi"/>
          <w:sz w:val="20"/>
          <w:szCs w:val="20"/>
        </w:rPr>
        <w:t>overall</w:t>
      </w:r>
      <w:r w:rsidR="00E07D7D" w:rsidRPr="006C7B74">
        <w:rPr>
          <w:rFonts w:cstheme="minorHAnsi"/>
          <w:sz w:val="20"/>
          <w:szCs w:val="20"/>
        </w:rPr>
        <w:t xml:space="preserve">. Unzoned land could provide for </w:t>
      </w:r>
      <w:r w:rsidR="00DF2FB1" w:rsidRPr="006C7B74">
        <w:rPr>
          <w:rFonts w:cstheme="minorHAnsi"/>
          <w:sz w:val="20"/>
          <w:szCs w:val="20"/>
        </w:rPr>
        <w:t>approximately</w:t>
      </w:r>
      <w:r w:rsidR="00E07D7D" w:rsidRPr="006C7B74">
        <w:rPr>
          <w:rFonts w:cstheme="minorHAnsi"/>
          <w:sz w:val="20"/>
          <w:szCs w:val="20"/>
        </w:rPr>
        <w:t xml:space="preserve"> </w:t>
      </w:r>
      <w:r w:rsidR="004D2D05" w:rsidRPr="006C7B74">
        <w:rPr>
          <w:rFonts w:cstheme="minorHAnsi"/>
          <w:sz w:val="20"/>
          <w:szCs w:val="20"/>
        </w:rPr>
        <w:t>3</w:t>
      </w:r>
      <w:r w:rsidR="00987BB0" w:rsidRPr="006C7B74">
        <w:rPr>
          <w:rFonts w:cstheme="minorHAnsi"/>
          <w:sz w:val="20"/>
          <w:szCs w:val="20"/>
        </w:rPr>
        <w:t>7</w:t>
      </w:r>
      <w:r w:rsidR="004D2D05" w:rsidRPr="006C7B74">
        <w:rPr>
          <w:rFonts w:cstheme="minorHAnsi"/>
          <w:sz w:val="20"/>
          <w:szCs w:val="20"/>
        </w:rPr>
        <w:t xml:space="preserve"> </w:t>
      </w:r>
      <w:r w:rsidR="00E07D7D" w:rsidRPr="006C7B74">
        <w:rPr>
          <w:rFonts w:cstheme="minorHAnsi"/>
          <w:sz w:val="20"/>
          <w:szCs w:val="20"/>
        </w:rPr>
        <w:t>years</w:t>
      </w:r>
      <w:r w:rsidR="00DF2FB1" w:rsidRPr="006C7B74">
        <w:rPr>
          <w:rFonts w:cstheme="minorHAnsi"/>
          <w:sz w:val="20"/>
          <w:szCs w:val="20"/>
        </w:rPr>
        <w:t xml:space="preserve"> of additional</w:t>
      </w:r>
      <w:r w:rsidR="00E07D7D" w:rsidRPr="006C7B74">
        <w:rPr>
          <w:rFonts w:cstheme="minorHAnsi"/>
          <w:sz w:val="20"/>
          <w:szCs w:val="20"/>
        </w:rPr>
        <w:t xml:space="preserve"> supply, however if the future land set aside for the </w:t>
      </w:r>
      <w:r w:rsidR="001C139B" w:rsidRPr="006C7B74">
        <w:rPr>
          <w:rFonts w:cstheme="minorHAnsi"/>
          <w:sz w:val="20"/>
          <w:szCs w:val="20"/>
        </w:rPr>
        <w:t>proposed</w:t>
      </w:r>
      <w:r w:rsidR="00E07D7D" w:rsidRPr="006C7B74">
        <w:rPr>
          <w:rFonts w:cstheme="minorHAnsi"/>
          <w:sz w:val="20"/>
          <w:szCs w:val="20"/>
        </w:rPr>
        <w:t xml:space="preserve"> BIFT is removed from the future supply, then there would only be around </w:t>
      </w:r>
      <w:r w:rsidR="0067077B" w:rsidRPr="006C7B74">
        <w:rPr>
          <w:rFonts w:cstheme="minorHAnsi"/>
          <w:sz w:val="20"/>
          <w:szCs w:val="20"/>
        </w:rPr>
        <w:t xml:space="preserve">12 </w:t>
      </w:r>
      <w:r w:rsidR="00E07D7D" w:rsidRPr="006C7B74">
        <w:rPr>
          <w:rFonts w:cstheme="minorHAnsi"/>
          <w:sz w:val="20"/>
          <w:szCs w:val="20"/>
        </w:rPr>
        <w:t>years of unzoned future industrial land supply</w:t>
      </w:r>
      <w:r w:rsidR="00DF2FB1" w:rsidRPr="006C7B74">
        <w:rPr>
          <w:rFonts w:cstheme="minorHAnsi"/>
          <w:sz w:val="20"/>
          <w:szCs w:val="20"/>
        </w:rPr>
        <w:t xml:space="preserve"> available in the region</w:t>
      </w:r>
      <w:r w:rsidR="00E07D7D" w:rsidRPr="006C7B74">
        <w:rPr>
          <w:rFonts w:cstheme="minorHAnsi"/>
          <w:sz w:val="20"/>
          <w:szCs w:val="20"/>
        </w:rPr>
        <w:t>.</w:t>
      </w:r>
    </w:p>
    <w:p w14:paraId="448DF6A9" w14:textId="21D5F702" w:rsidR="00A22C33" w:rsidRPr="006C7B74" w:rsidRDefault="00A22C33" w:rsidP="00A22C33">
      <w:pPr>
        <w:spacing w:after="120"/>
        <w:rPr>
          <w:rFonts w:cstheme="minorHAnsi"/>
          <w:sz w:val="20"/>
          <w:szCs w:val="20"/>
        </w:rPr>
      </w:pPr>
      <w:r w:rsidRPr="006C7B74">
        <w:rPr>
          <w:rFonts w:cstheme="minorHAnsi"/>
          <w:sz w:val="20"/>
          <w:szCs w:val="20"/>
        </w:rPr>
        <w:t xml:space="preserve">Of the total zoned and unzoned supply of vacant land, </w:t>
      </w:r>
      <w:r w:rsidR="00853196" w:rsidRPr="006C7B74">
        <w:rPr>
          <w:rFonts w:cstheme="minorHAnsi"/>
          <w:sz w:val="20"/>
          <w:szCs w:val="20"/>
        </w:rPr>
        <w:t xml:space="preserve">over </w:t>
      </w:r>
      <w:r w:rsidR="0067077B" w:rsidRPr="006C7B74">
        <w:rPr>
          <w:rFonts w:cstheme="minorHAnsi"/>
          <w:sz w:val="20"/>
          <w:szCs w:val="20"/>
        </w:rPr>
        <w:t xml:space="preserve">82 </w:t>
      </w:r>
      <w:r w:rsidRPr="006C7B74">
        <w:rPr>
          <w:rFonts w:cstheme="minorHAnsi"/>
          <w:sz w:val="20"/>
          <w:szCs w:val="20"/>
        </w:rPr>
        <w:t>per cent is within the Northern SSIP. If consumption rates in the Northern SSIP remain at around 4</w:t>
      </w:r>
      <w:r w:rsidR="00E07D7D" w:rsidRPr="006C7B74">
        <w:rPr>
          <w:rFonts w:cstheme="minorHAnsi"/>
          <w:sz w:val="20"/>
          <w:szCs w:val="20"/>
        </w:rPr>
        <w:t>3</w:t>
      </w:r>
      <w:r w:rsidRPr="006C7B74">
        <w:rPr>
          <w:rFonts w:cstheme="minorHAnsi"/>
          <w:sz w:val="20"/>
          <w:szCs w:val="20"/>
        </w:rPr>
        <w:t xml:space="preserve"> hectares per </w:t>
      </w:r>
      <w:r w:rsidR="009F1397" w:rsidRPr="006C7B74">
        <w:rPr>
          <w:rFonts w:cstheme="minorHAnsi"/>
          <w:sz w:val="20"/>
          <w:szCs w:val="20"/>
        </w:rPr>
        <w:t>annum,</w:t>
      </w:r>
      <w:r w:rsidRPr="006C7B74">
        <w:rPr>
          <w:rFonts w:cstheme="minorHAnsi"/>
          <w:sz w:val="20"/>
          <w:szCs w:val="20"/>
        </w:rPr>
        <w:t xml:space="preserve"> then this would provide around 2</w:t>
      </w:r>
      <w:r w:rsidR="00E07D7D" w:rsidRPr="006C7B74">
        <w:rPr>
          <w:rFonts w:cstheme="minorHAnsi"/>
          <w:sz w:val="20"/>
          <w:szCs w:val="20"/>
        </w:rPr>
        <w:t>3</w:t>
      </w:r>
      <w:r w:rsidRPr="006C7B74">
        <w:rPr>
          <w:rFonts w:cstheme="minorHAnsi"/>
          <w:sz w:val="20"/>
          <w:szCs w:val="20"/>
        </w:rPr>
        <w:t xml:space="preserve"> years of zoned supply and almost </w:t>
      </w:r>
      <w:r w:rsidR="005146A5" w:rsidRPr="006C7B74">
        <w:rPr>
          <w:rFonts w:cstheme="minorHAnsi"/>
          <w:sz w:val="20"/>
          <w:szCs w:val="20"/>
        </w:rPr>
        <w:t>38</w:t>
      </w:r>
      <w:r w:rsidRPr="006C7B74">
        <w:rPr>
          <w:rFonts w:cstheme="minorHAnsi"/>
          <w:sz w:val="20"/>
          <w:szCs w:val="20"/>
        </w:rPr>
        <w:t xml:space="preserve"> years of unzoned supply. </w:t>
      </w:r>
      <w:r w:rsidR="00EE281A" w:rsidRPr="006C7B74">
        <w:rPr>
          <w:rFonts w:cstheme="minorHAnsi"/>
          <w:sz w:val="20"/>
          <w:szCs w:val="20"/>
        </w:rPr>
        <w:t xml:space="preserve">If </w:t>
      </w:r>
      <w:r w:rsidR="00252506" w:rsidRPr="006C7B74">
        <w:rPr>
          <w:rFonts w:cstheme="minorHAnsi"/>
          <w:sz w:val="20"/>
          <w:szCs w:val="20"/>
        </w:rPr>
        <w:t>land for the proposed</w:t>
      </w:r>
      <w:r w:rsidR="00EE281A" w:rsidRPr="006C7B74">
        <w:rPr>
          <w:rFonts w:cstheme="minorHAnsi"/>
          <w:sz w:val="20"/>
          <w:szCs w:val="20"/>
        </w:rPr>
        <w:t xml:space="preserve"> BIFT is removed from the </w:t>
      </w:r>
      <w:r w:rsidR="009041B8" w:rsidRPr="006C7B74">
        <w:rPr>
          <w:rFonts w:cstheme="minorHAnsi"/>
          <w:sz w:val="20"/>
          <w:szCs w:val="20"/>
        </w:rPr>
        <w:t>unzoned</w:t>
      </w:r>
      <w:r w:rsidR="00EE281A" w:rsidRPr="006C7B74">
        <w:rPr>
          <w:rFonts w:cstheme="minorHAnsi"/>
          <w:sz w:val="20"/>
          <w:szCs w:val="20"/>
        </w:rPr>
        <w:t xml:space="preserve"> supply, then there would only be around </w:t>
      </w:r>
      <w:r w:rsidR="00D071EA" w:rsidRPr="006C7B74">
        <w:rPr>
          <w:rFonts w:cstheme="minorHAnsi"/>
          <w:sz w:val="20"/>
          <w:szCs w:val="20"/>
        </w:rPr>
        <w:t>14</w:t>
      </w:r>
      <w:r w:rsidR="00EE281A" w:rsidRPr="006C7B74">
        <w:rPr>
          <w:rFonts w:cstheme="minorHAnsi"/>
          <w:sz w:val="20"/>
          <w:szCs w:val="20"/>
        </w:rPr>
        <w:t xml:space="preserve"> years of unzoned future industrial land supply available in the </w:t>
      </w:r>
      <w:r w:rsidR="00EC6BF3" w:rsidRPr="006C7B74">
        <w:rPr>
          <w:rFonts w:cstheme="minorHAnsi"/>
          <w:sz w:val="20"/>
          <w:szCs w:val="20"/>
        </w:rPr>
        <w:t xml:space="preserve">Northern </w:t>
      </w:r>
      <w:r w:rsidR="00EE281A" w:rsidRPr="006C7B74">
        <w:rPr>
          <w:rFonts w:cstheme="minorHAnsi"/>
          <w:sz w:val="20"/>
          <w:szCs w:val="20"/>
        </w:rPr>
        <w:t xml:space="preserve">SSIP. </w:t>
      </w:r>
      <w:r w:rsidRPr="006C7B74">
        <w:rPr>
          <w:rFonts w:cstheme="minorHAnsi"/>
          <w:sz w:val="20"/>
          <w:szCs w:val="20"/>
        </w:rPr>
        <w:t xml:space="preserve">If consumption rates in the </w:t>
      </w:r>
      <w:r w:rsidR="00EC6BF3" w:rsidRPr="006C7B74">
        <w:rPr>
          <w:rFonts w:cstheme="minorHAnsi"/>
          <w:sz w:val="20"/>
          <w:szCs w:val="20"/>
        </w:rPr>
        <w:t xml:space="preserve">Northern </w:t>
      </w:r>
      <w:r w:rsidRPr="006C7B74">
        <w:rPr>
          <w:rFonts w:cstheme="minorHAnsi"/>
          <w:sz w:val="20"/>
          <w:szCs w:val="20"/>
        </w:rPr>
        <w:t xml:space="preserve">SSIP </w:t>
      </w:r>
      <w:r w:rsidR="00DF2FB1" w:rsidRPr="006C7B74">
        <w:rPr>
          <w:rFonts w:cstheme="minorHAnsi"/>
          <w:sz w:val="20"/>
          <w:szCs w:val="20"/>
        </w:rPr>
        <w:t xml:space="preserve">were to </w:t>
      </w:r>
      <w:r w:rsidRPr="006C7B74">
        <w:rPr>
          <w:rFonts w:cstheme="minorHAnsi"/>
          <w:sz w:val="20"/>
          <w:szCs w:val="20"/>
        </w:rPr>
        <w:t xml:space="preserve">increase </w:t>
      </w:r>
      <w:r w:rsidR="00EE281A" w:rsidRPr="006C7B74">
        <w:rPr>
          <w:rFonts w:cstheme="minorHAnsi"/>
          <w:sz w:val="20"/>
          <w:szCs w:val="20"/>
        </w:rPr>
        <w:t>further</w:t>
      </w:r>
      <w:r w:rsidRPr="006C7B74">
        <w:rPr>
          <w:rFonts w:cstheme="minorHAnsi"/>
          <w:sz w:val="20"/>
          <w:szCs w:val="20"/>
        </w:rPr>
        <w:t xml:space="preserve">, then supply would </w:t>
      </w:r>
      <w:r w:rsidR="00DF2FB1" w:rsidRPr="006C7B74">
        <w:rPr>
          <w:rFonts w:cstheme="minorHAnsi"/>
          <w:sz w:val="20"/>
          <w:szCs w:val="20"/>
        </w:rPr>
        <w:t xml:space="preserve">be exhausted more quickly. </w:t>
      </w:r>
    </w:p>
    <w:p w14:paraId="5A381495" w14:textId="77777777" w:rsidR="00A22C33" w:rsidRPr="006C7B74" w:rsidRDefault="00A22C33" w:rsidP="00A22C33">
      <w:pPr>
        <w:spacing w:after="120"/>
        <w:rPr>
          <w:rFonts w:cstheme="minorHAnsi"/>
          <w:sz w:val="20"/>
          <w:szCs w:val="20"/>
        </w:rPr>
      </w:pPr>
    </w:p>
    <w:p w14:paraId="57002651" w14:textId="2871DBF3" w:rsidR="00A22C33" w:rsidRPr="006C7B74" w:rsidRDefault="00A22C33" w:rsidP="008D088F">
      <w:pPr>
        <w:pStyle w:val="Heading5"/>
      </w:pPr>
      <w:r w:rsidRPr="006C7B74">
        <w:t>Figure 2</w:t>
      </w:r>
      <w:r w:rsidR="00DC23D3" w:rsidRPr="006C7B74">
        <w:t>1</w:t>
      </w:r>
      <w:r w:rsidRPr="006C7B74">
        <w:t>: Change</w:t>
      </w:r>
      <w:r w:rsidR="006A5D02" w:rsidRPr="006C7B74">
        <w:t xml:space="preserve"> of</w:t>
      </w:r>
      <w:r w:rsidRPr="006C7B74">
        <w:t xml:space="preserve"> zoned industrial land, Northern Region, 2000-01 to 2017-18</w:t>
      </w:r>
    </w:p>
    <w:p w14:paraId="3BCAD1DC" w14:textId="16A3D2AC" w:rsidR="00A22C33" w:rsidRPr="006C7B74" w:rsidRDefault="003D3C38" w:rsidP="00A22C33">
      <w:pPr>
        <w:spacing w:after="120"/>
        <w:rPr>
          <w:rFonts w:cstheme="minorHAnsi"/>
          <w:sz w:val="20"/>
          <w:szCs w:val="20"/>
        </w:rPr>
      </w:pPr>
      <w:r w:rsidRPr="006C7B74">
        <w:rPr>
          <w:noProof/>
        </w:rPr>
        <w:drawing>
          <wp:inline distT="0" distB="0" distL="0" distR="0" wp14:anchorId="25D5DB0A" wp14:editId="53836FF2">
            <wp:extent cx="5727700" cy="3997960"/>
            <wp:effectExtent l="0" t="0" r="6350" b="2540"/>
            <wp:docPr id="1984355089" name="Picture 1984355089" descr="Map showing change of zoned industrial land, Northern Region, 2000-01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27700" cy="3997960"/>
                    </a:xfrm>
                    <a:prstGeom prst="rect">
                      <a:avLst/>
                    </a:prstGeom>
                  </pic:spPr>
                </pic:pic>
              </a:graphicData>
            </a:graphic>
          </wp:inline>
        </w:drawing>
      </w:r>
    </w:p>
    <w:p w14:paraId="640FBFA4" w14:textId="5FC2D8DA" w:rsidR="00A22C33" w:rsidRPr="006C7B74" w:rsidRDefault="00DC580D" w:rsidP="00A22C33">
      <w:pPr>
        <w:spacing w:after="120"/>
        <w:rPr>
          <w:rFonts w:cstheme="minorHAnsi"/>
          <w:sz w:val="20"/>
          <w:szCs w:val="20"/>
        </w:rPr>
      </w:pPr>
      <w:r w:rsidRPr="008D088F">
        <w:rPr>
          <w:rStyle w:val="QuoteChar"/>
        </w:rPr>
        <w:t>Source: Department of Environment</w:t>
      </w:r>
      <w:r w:rsidRPr="006C7B74">
        <w:rPr>
          <w:rFonts w:cstheme="minorHAnsi"/>
          <w:i/>
          <w:sz w:val="18"/>
          <w:szCs w:val="20"/>
        </w:rPr>
        <w:t>, Land, Water and Planning, Urban Development Program – Melbourne Metropolitan Industrial 2018</w:t>
      </w:r>
    </w:p>
    <w:p w14:paraId="33D1B750" w14:textId="77777777" w:rsidR="005864FD" w:rsidRDefault="005864FD" w:rsidP="00CF7A94">
      <w:pPr>
        <w:spacing w:after="120"/>
        <w:rPr>
          <w:rFonts w:cstheme="minorHAnsi"/>
          <w:sz w:val="20"/>
          <w:szCs w:val="20"/>
        </w:rPr>
      </w:pPr>
    </w:p>
    <w:p w14:paraId="6841D616" w14:textId="0046B671" w:rsidR="00A22C33" w:rsidRPr="006C7B74" w:rsidRDefault="00CF7A94" w:rsidP="00CF7A94">
      <w:pPr>
        <w:spacing w:after="120"/>
        <w:rPr>
          <w:rFonts w:cstheme="minorHAnsi"/>
          <w:sz w:val="20"/>
          <w:szCs w:val="20"/>
        </w:rPr>
      </w:pPr>
      <w:r w:rsidRPr="006C7B74">
        <w:rPr>
          <w:rFonts w:cstheme="minorHAnsi"/>
          <w:sz w:val="20"/>
          <w:szCs w:val="20"/>
        </w:rPr>
        <w:t xml:space="preserve">Between 2000-01 and 2017-18 a total of </w:t>
      </w:r>
      <w:r w:rsidR="00D13919" w:rsidRPr="006C7B74">
        <w:rPr>
          <w:rFonts w:cstheme="minorHAnsi"/>
          <w:sz w:val="20"/>
          <w:szCs w:val="20"/>
        </w:rPr>
        <w:t>66</w:t>
      </w:r>
      <w:r w:rsidR="00AB6E21" w:rsidRPr="006C7B74">
        <w:rPr>
          <w:rFonts w:cstheme="minorHAnsi"/>
          <w:sz w:val="20"/>
          <w:szCs w:val="20"/>
        </w:rPr>
        <w:t>9</w:t>
      </w:r>
      <w:r w:rsidRPr="006C7B74">
        <w:rPr>
          <w:rFonts w:cstheme="minorHAnsi"/>
          <w:sz w:val="20"/>
          <w:szCs w:val="20"/>
        </w:rPr>
        <w:t xml:space="preserve"> </w:t>
      </w:r>
      <w:r w:rsidR="00D13919" w:rsidRPr="006C7B74">
        <w:rPr>
          <w:rFonts w:cstheme="minorHAnsi"/>
          <w:sz w:val="20"/>
          <w:szCs w:val="20"/>
        </w:rPr>
        <w:t>hectare</w:t>
      </w:r>
      <w:r w:rsidR="00CA7042" w:rsidRPr="006C7B74">
        <w:rPr>
          <w:rFonts w:cstheme="minorHAnsi"/>
          <w:sz w:val="20"/>
          <w:szCs w:val="20"/>
        </w:rPr>
        <w:t>s</w:t>
      </w:r>
      <w:r w:rsidR="00D13919" w:rsidRPr="006C7B74">
        <w:rPr>
          <w:rFonts w:cstheme="minorHAnsi"/>
          <w:sz w:val="20"/>
          <w:szCs w:val="20"/>
        </w:rPr>
        <w:t xml:space="preserve"> </w:t>
      </w:r>
      <w:r w:rsidRPr="006C7B74">
        <w:rPr>
          <w:rFonts w:cstheme="minorHAnsi"/>
          <w:sz w:val="20"/>
          <w:szCs w:val="20"/>
        </w:rPr>
        <w:t xml:space="preserve">of industrial land was rezoned across the region for other non-industrial uses. </w:t>
      </w:r>
    </w:p>
    <w:p w14:paraId="500D8551" w14:textId="723CE8A5" w:rsidR="00CF7A94" w:rsidRPr="006C7B74" w:rsidRDefault="00CF7A94" w:rsidP="00CF7A94">
      <w:pPr>
        <w:spacing w:after="120"/>
        <w:rPr>
          <w:rFonts w:cstheme="minorHAnsi"/>
          <w:sz w:val="20"/>
          <w:szCs w:val="20"/>
        </w:rPr>
      </w:pPr>
      <w:r w:rsidRPr="006C7B74">
        <w:rPr>
          <w:rFonts w:cstheme="minorHAnsi"/>
          <w:sz w:val="20"/>
          <w:szCs w:val="20"/>
        </w:rPr>
        <w:t xml:space="preserve">The largest </w:t>
      </w:r>
      <w:r w:rsidR="000A7577" w:rsidRPr="006C7B74">
        <w:rPr>
          <w:rFonts w:cstheme="minorHAnsi"/>
          <w:sz w:val="20"/>
          <w:szCs w:val="20"/>
        </w:rPr>
        <w:t xml:space="preserve">single </w:t>
      </w:r>
      <w:r w:rsidRPr="006C7B74">
        <w:rPr>
          <w:rFonts w:cstheme="minorHAnsi"/>
          <w:sz w:val="20"/>
          <w:szCs w:val="20"/>
        </w:rPr>
        <w:t xml:space="preserve">loss of industrial land over this period was within </w:t>
      </w:r>
      <w:r w:rsidR="007C0F31" w:rsidRPr="006C7B74">
        <w:rPr>
          <w:rFonts w:cstheme="minorHAnsi"/>
          <w:sz w:val="20"/>
          <w:szCs w:val="20"/>
        </w:rPr>
        <w:t>Hum</w:t>
      </w:r>
      <w:r w:rsidR="00AB6E21" w:rsidRPr="006C7B74">
        <w:rPr>
          <w:rFonts w:cstheme="minorHAnsi"/>
          <w:sz w:val="20"/>
          <w:szCs w:val="20"/>
        </w:rPr>
        <w:t>e</w:t>
      </w:r>
      <w:r w:rsidR="004B15C6" w:rsidRPr="006C7B74">
        <w:rPr>
          <w:rFonts w:cstheme="minorHAnsi"/>
          <w:sz w:val="20"/>
          <w:szCs w:val="20"/>
        </w:rPr>
        <w:t>,</w:t>
      </w:r>
      <w:r w:rsidR="00AB6E21" w:rsidRPr="006C7B74">
        <w:rPr>
          <w:rFonts w:cstheme="minorHAnsi"/>
          <w:sz w:val="20"/>
          <w:szCs w:val="20"/>
        </w:rPr>
        <w:t xml:space="preserve"> </w:t>
      </w:r>
      <w:r w:rsidR="00040770" w:rsidRPr="006C7B74">
        <w:rPr>
          <w:rFonts w:cstheme="minorHAnsi"/>
          <w:sz w:val="20"/>
          <w:szCs w:val="20"/>
        </w:rPr>
        <w:t xml:space="preserve">where </w:t>
      </w:r>
      <w:r w:rsidR="00A22C33" w:rsidRPr="006C7B74">
        <w:rPr>
          <w:rFonts w:cstheme="minorHAnsi"/>
          <w:sz w:val="20"/>
          <w:szCs w:val="20"/>
        </w:rPr>
        <w:t>almost 145</w:t>
      </w:r>
      <w:r w:rsidR="00040770" w:rsidRPr="006C7B74">
        <w:rPr>
          <w:rFonts w:cstheme="minorHAnsi"/>
          <w:sz w:val="20"/>
          <w:szCs w:val="20"/>
        </w:rPr>
        <w:t xml:space="preserve"> hectares </w:t>
      </w:r>
      <w:r w:rsidR="00A22C33" w:rsidRPr="006C7B74">
        <w:rPr>
          <w:rFonts w:cstheme="minorHAnsi"/>
          <w:sz w:val="20"/>
          <w:szCs w:val="20"/>
        </w:rPr>
        <w:t xml:space="preserve">of land was rezoned </w:t>
      </w:r>
      <w:r w:rsidR="00AB7648" w:rsidRPr="006C7B74">
        <w:rPr>
          <w:rFonts w:cstheme="minorHAnsi"/>
          <w:sz w:val="20"/>
          <w:szCs w:val="20"/>
        </w:rPr>
        <w:t xml:space="preserve">as </w:t>
      </w:r>
      <w:r w:rsidR="00A22C33" w:rsidRPr="006C7B74">
        <w:rPr>
          <w:rFonts w:cstheme="minorHAnsi"/>
          <w:sz w:val="20"/>
          <w:szCs w:val="20"/>
        </w:rPr>
        <w:t>Commonwealth Land</w:t>
      </w:r>
      <w:r w:rsidR="00735B06" w:rsidRPr="006C7B74">
        <w:rPr>
          <w:rFonts w:cstheme="minorHAnsi"/>
          <w:sz w:val="20"/>
          <w:szCs w:val="20"/>
        </w:rPr>
        <w:t xml:space="preserve"> </w:t>
      </w:r>
      <w:r w:rsidR="00AB7648" w:rsidRPr="006C7B74">
        <w:rPr>
          <w:rFonts w:cstheme="minorHAnsi"/>
          <w:sz w:val="20"/>
          <w:szCs w:val="20"/>
        </w:rPr>
        <w:t xml:space="preserve">for the </w:t>
      </w:r>
      <w:r w:rsidR="00A55DF0" w:rsidRPr="006C7B74">
        <w:rPr>
          <w:rFonts w:cstheme="minorHAnsi"/>
          <w:sz w:val="20"/>
          <w:szCs w:val="20"/>
        </w:rPr>
        <w:t>Post-Entry Quarantine Facility in Mickleham</w:t>
      </w:r>
      <w:r w:rsidR="004B15C6" w:rsidRPr="006C7B74">
        <w:rPr>
          <w:rFonts w:cstheme="minorHAnsi"/>
          <w:sz w:val="20"/>
          <w:szCs w:val="20"/>
        </w:rPr>
        <w:t>.</w:t>
      </w:r>
      <w:r w:rsidR="00B847B9" w:rsidRPr="006C7B74">
        <w:rPr>
          <w:rFonts w:cstheme="minorHAnsi"/>
          <w:sz w:val="20"/>
          <w:szCs w:val="20"/>
        </w:rPr>
        <w:t xml:space="preserve"> </w:t>
      </w:r>
      <w:r w:rsidRPr="006C7B74">
        <w:rPr>
          <w:rFonts w:cstheme="minorHAnsi"/>
          <w:sz w:val="20"/>
          <w:szCs w:val="20"/>
        </w:rPr>
        <w:t xml:space="preserve">Of the remaining </w:t>
      </w:r>
      <w:proofErr w:type="spellStart"/>
      <w:r w:rsidRPr="006C7B74">
        <w:rPr>
          <w:rFonts w:cstheme="minorHAnsi"/>
          <w:sz w:val="20"/>
          <w:szCs w:val="20"/>
        </w:rPr>
        <w:t>rezonings</w:t>
      </w:r>
      <w:proofErr w:type="spellEnd"/>
      <w:r w:rsidRPr="006C7B74">
        <w:rPr>
          <w:rFonts w:cstheme="minorHAnsi"/>
          <w:sz w:val="20"/>
          <w:szCs w:val="20"/>
        </w:rPr>
        <w:t xml:space="preserve"> that occurred over this period</w:t>
      </w:r>
      <w:r w:rsidR="00735B06" w:rsidRPr="006C7B74">
        <w:rPr>
          <w:rFonts w:cstheme="minorHAnsi"/>
          <w:sz w:val="20"/>
          <w:szCs w:val="20"/>
        </w:rPr>
        <w:t xml:space="preserve"> in the region</w:t>
      </w:r>
      <w:r w:rsidRPr="006C7B74">
        <w:rPr>
          <w:rFonts w:cstheme="minorHAnsi"/>
          <w:sz w:val="20"/>
          <w:szCs w:val="20"/>
        </w:rPr>
        <w:t xml:space="preserve">, approximately </w:t>
      </w:r>
      <w:r w:rsidR="008E706D" w:rsidRPr="006C7B74">
        <w:rPr>
          <w:rFonts w:cstheme="minorHAnsi"/>
          <w:sz w:val="20"/>
          <w:szCs w:val="20"/>
        </w:rPr>
        <w:t>72</w:t>
      </w:r>
      <w:r w:rsidRPr="006C7B74">
        <w:rPr>
          <w:rFonts w:cstheme="minorHAnsi"/>
          <w:sz w:val="20"/>
          <w:szCs w:val="20"/>
        </w:rPr>
        <w:t xml:space="preserve"> per cent </w:t>
      </w:r>
      <w:r w:rsidR="00E313EA" w:rsidRPr="006C7B74">
        <w:rPr>
          <w:rFonts w:cstheme="minorHAnsi"/>
          <w:sz w:val="20"/>
          <w:szCs w:val="20"/>
        </w:rPr>
        <w:t>involved</w:t>
      </w:r>
      <w:r w:rsidR="00735B06" w:rsidRPr="006C7B74">
        <w:rPr>
          <w:rFonts w:cstheme="minorHAnsi"/>
          <w:sz w:val="20"/>
          <w:szCs w:val="20"/>
        </w:rPr>
        <w:t xml:space="preserve"> sites of </w:t>
      </w:r>
      <w:r w:rsidRPr="006C7B74">
        <w:rPr>
          <w:rFonts w:cstheme="minorHAnsi"/>
          <w:sz w:val="20"/>
          <w:szCs w:val="20"/>
        </w:rPr>
        <w:t>less than 2 h</w:t>
      </w:r>
      <w:r w:rsidR="00B847B9" w:rsidRPr="006C7B74">
        <w:rPr>
          <w:rFonts w:cstheme="minorHAnsi"/>
          <w:sz w:val="20"/>
          <w:szCs w:val="20"/>
        </w:rPr>
        <w:t>ect</w:t>
      </w:r>
      <w:r w:rsidRPr="006C7B74">
        <w:rPr>
          <w:rFonts w:cstheme="minorHAnsi"/>
          <w:sz w:val="20"/>
          <w:szCs w:val="20"/>
        </w:rPr>
        <w:t>a</w:t>
      </w:r>
      <w:r w:rsidR="00B847B9" w:rsidRPr="006C7B74">
        <w:rPr>
          <w:rFonts w:cstheme="minorHAnsi"/>
          <w:sz w:val="20"/>
          <w:szCs w:val="20"/>
        </w:rPr>
        <w:t>res</w:t>
      </w:r>
      <w:r w:rsidR="00735B06" w:rsidRPr="006C7B74">
        <w:rPr>
          <w:rFonts w:cstheme="minorHAnsi"/>
          <w:sz w:val="20"/>
          <w:szCs w:val="20"/>
        </w:rPr>
        <w:t xml:space="preserve"> in size</w:t>
      </w:r>
      <w:r w:rsidR="002A2C03" w:rsidRPr="006C7B74">
        <w:rPr>
          <w:rFonts w:cstheme="minorHAnsi"/>
          <w:sz w:val="20"/>
          <w:szCs w:val="20"/>
        </w:rPr>
        <w:t>.</w:t>
      </w:r>
    </w:p>
    <w:p w14:paraId="37617225" w14:textId="1A7B8BAC" w:rsidR="00735B06" w:rsidRPr="006C7B74" w:rsidRDefault="00735B06" w:rsidP="00CF7A94">
      <w:pPr>
        <w:spacing w:after="120"/>
        <w:rPr>
          <w:rFonts w:cstheme="minorHAnsi"/>
          <w:sz w:val="20"/>
          <w:szCs w:val="20"/>
        </w:rPr>
      </w:pPr>
      <w:r w:rsidRPr="006C7B74">
        <w:rPr>
          <w:rFonts w:cstheme="minorHAnsi"/>
          <w:sz w:val="20"/>
          <w:szCs w:val="20"/>
        </w:rPr>
        <w:lastRenderedPageBreak/>
        <w:t>Of all the industrial land rezoned over the period, around 28 per cent was rezoned to allow for mixed</w:t>
      </w:r>
      <w:r w:rsidR="00784E6C" w:rsidRPr="006C7B74">
        <w:rPr>
          <w:rFonts w:cstheme="minorHAnsi"/>
          <w:sz w:val="20"/>
          <w:szCs w:val="20"/>
        </w:rPr>
        <w:t>-</w:t>
      </w:r>
      <w:r w:rsidRPr="006C7B74">
        <w:rPr>
          <w:rFonts w:cstheme="minorHAnsi"/>
          <w:sz w:val="20"/>
          <w:szCs w:val="20"/>
        </w:rPr>
        <w:t xml:space="preserve">use or residential development. While this is the lowest </w:t>
      </w:r>
      <w:r w:rsidR="00183014" w:rsidRPr="006C7B74">
        <w:rPr>
          <w:rFonts w:cstheme="minorHAnsi"/>
          <w:sz w:val="20"/>
          <w:szCs w:val="20"/>
        </w:rPr>
        <w:t xml:space="preserve">overall </w:t>
      </w:r>
      <w:r w:rsidRPr="006C7B74">
        <w:rPr>
          <w:rFonts w:cstheme="minorHAnsi"/>
          <w:sz w:val="20"/>
          <w:szCs w:val="20"/>
        </w:rPr>
        <w:t>percentage of a</w:t>
      </w:r>
      <w:r w:rsidR="004B15C6" w:rsidRPr="006C7B74">
        <w:rPr>
          <w:rFonts w:cstheme="minorHAnsi"/>
          <w:sz w:val="20"/>
          <w:szCs w:val="20"/>
        </w:rPr>
        <w:t>ll</w:t>
      </w:r>
      <w:r w:rsidRPr="006C7B74">
        <w:rPr>
          <w:rFonts w:cstheme="minorHAnsi"/>
          <w:sz w:val="20"/>
          <w:szCs w:val="20"/>
        </w:rPr>
        <w:t xml:space="preserve"> metropolitan regions, there </w:t>
      </w:r>
      <w:r w:rsidR="00183014" w:rsidRPr="006C7B74">
        <w:rPr>
          <w:rFonts w:cstheme="minorHAnsi"/>
          <w:sz w:val="20"/>
          <w:szCs w:val="20"/>
        </w:rPr>
        <w:t xml:space="preserve">are </w:t>
      </w:r>
      <w:r w:rsidRPr="006C7B74">
        <w:rPr>
          <w:rFonts w:cstheme="minorHAnsi"/>
          <w:sz w:val="20"/>
          <w:szCs w:val="20"/>
        </w:rPr>
        <w:t xml:space="preserve">great </w:t>
      </w:r>
      <w:r w:rsidR="00183014" w:rsidRPr="006C7B74">
        <w:rPr>
          <w:rFonts w:cstheme="minorHAnsi"/>
          <w:sz w:val="20"/>
          <w:szCs w:val="20"/>
        </w:rPr>
        <w:t>variances</w:t>
      </w:r>
      <w:r w:rsidRPr="006C7B74">
        <w:rPr>
          <w:rFonts w:cstheme="minorHAnsi"/>
          <w:sz w:val="20"/>
          <w:szCs w:val="20"/>
        </w:rPr>
        <w:t xml:space="preserve"> across the region</w:t>
      </w:r>
      <w:r w:rsidR="00183014" w:rsidRPr="006C7B74">
        <w:rPr>
          <w:rFonts w:cstheme="minorHAnsi"/>
          <w:sz w:val="20"/>
          <w:szCs w:val="20"/>
        </w:rPr>
        <w:t xml:space="preserve"> with over 60 per cent of industrial land rezoned in Moreland allowing for mixed</w:t>
      </w:r>
      <w:r w:rsidR="00784E6C" w:rsidRPr="006C7B74">
        <w:rPr>
          <w:rFonts w:cstheme="minorHAnsi"/>
          <w:sz w:val="20"/>
          <w:szCs w:val="20"/>
        </w:rPr>
        <w:t>-</w:t>
      </w:r>
      <w:r w:rsidR="00183014" w:rsidRPr="006C7B74">
        <w:rPr>
          <w:rFonts w:cstheme="minorHAnsi"/>
          <w:sz w:val="20"/>
          <w:szCs w:val="20"/>
        </w:rPr>
        <w:t>use or residential development.</w:t>
      </w:r>
    </w:p>
    <w:p w14:paraId="31C05383" w14:textId="77777777" w:rsidR="00CF7A94" w:rsidRPr="006C7B74" w:rsidRDefault="00CF7A94" w:rsidP="00CF7A94">
      <w:pPr>
        <w:spacing w:after="120"/>
        <w:rPr>
          <w:rFonts w:cstheme="minorHAnsi"/>
          <w:sz w:val="20"/>
          <w:szCs w:val="20"/>
        </w:rPr>
      </w:pPr>
    </w:p>
    <w:p w14:paraId="61F34298" w14:textId="77777777" w:rsidR="0075498A" w:rsidRPr="006C7B74" w:rsidRDefault="0075498A" w:rsidP="00934C4D">
      <w:pPr>
        <w:pStyle w:val="Heading3"/>
        <w:spacing w:before="0" w:after="120"/>
      </w:pPr>
      <w:r w:rsidRPr="006C7B74">
        <w:t>Commercial land</w:t>
      </w:r>
    </w:p>
    <w:p w14:paraId="4C4EA09A" w14:textId="7C54AEEB" w:rsidR="0075498A" w:rsidRPr="006C7B74" w:rsidRDefault="0075498A" w:rsidP="00934C4D">
      <w:pPr>
        <w:spacing w:after="120"/>
        <w:rPr>
          <w:rFonts w:cstheme="minorHAnsi"/>
          <w:sz w:val="20"/>
          <w:szCs w:val="20"/>
        </w:rPr>
      </w:pPr>
      <w:r w:rsidRPr="006C7B74">
        <w:rPr>
          <w:rFonts w:cstheme="minorHAnsi"/>
          <w:sz w:val="20"/>
          <w:szCs w:val="20"/>
        </w:rPr>
        <w:t xml:space="preserve">Currently across the region there is a total of </w:t>
      </w:r>
      <w:r w:rsidR="00CC380D" w:rsidRPr="006C7B74">
        <w:rPr>
          <w:rFonts w:cstheme="minorHAnsi"/>
          <w:sz w:val="20"/>
          <w:szCs w:val="20"/>
        </w:rPr>
        <w:t xml:space="preserve">1,086 </w:t>
      </w:r>
      <w:r w:rsidRPr="006C7B74">
        <w:rPr>
          <w:rFonts w:cstheme="minorHAnsi"/>
          <w:sz w:val="20"/>
          <w:szCs w:val="20"/>
        </w:rPr>
        <w:t xml:space="preserve">hectares of land </w:t>
      </w:r>
      <w:r w:rsidR="00183014" w:rsidRPr="006C7B74">
        <w:rPr>
          <w:rFonts w:cstheme="minorHAnsi"/>
          <w:sz w:val="20"/>
          <w:szCs w:val="20"/>
        </w:rPr>
        <w:t xml:space="preserve">that has been identified as being </w:t>
      </w:r>
      <w:r w:rsidRPr="006C7B74">
        <w:rPr>
          <w:rFonts w:cstheme="minorHAnsi"/>
          <w:sz w:val="20"/>
          <w:szCs w:val="20"/>
        </w:rPr>
        <w:t xml:space="preserve">zoned for commercial purposes. </w:t>
      </w:r>
      <w:r w:rsidR="00183014" w:rsidRPr="006C7B74">
        <w:rPr>
          <w:rFonts w:cstheme="minorHAnsi"/>
          <w:sz w:val="20"/>
          <w:szCs w:val="20"/>
        </w:rPr>
        <w:t>It is</w:t>
      </w:r>
      <w:r w:rsidRPr="006C7B74">
        <w:rPr>
          <w:rFonts w:cstheme="minorHAnsi"/>
          <w:sz w:val="20"/>
          <w:szCs w:val="20"/>
        </w:rPr>
        <w:t xml:space="preserve"> estimated </w:t>
      </w:r>
      <w:r w:rsidR="00183014" w:rsidRPr="006C7B74">
        <w:rPr>
          <w:rFonts w:cstheme="minorHAnsi"/>
          <w:sz w:val="20"/>
          <w:szCs w:val="20"/>
        </w:rPr>
        <w:t>that there is approximately</w:t>
      </w:r>
      <w:r w:rsidRPr="006C7B74">
        <w:rPr>
          <w:rFonts w:cstheme="minorHAnsi"/>
          <w:sz w:val="20"/>
          <w:szCs w:val="20"/>
        </w:rPr>
        <w:t xml:space="preserve"> 3.2 million square metres of floorspace used or available for commercial purposes</w:t>
      </w:r>
      <w:r w:rsidR="00183014" w:rsidRPr="006C7B74">
        <w:rPr>
          <w:rFonts w:cstheme="minorHAnsi"/>
          <w:sz w:val="20"/>
          <w:szCs w:val="20"/>
        </w:rPr>
        <w:t xml:space="preserve"> on this land</w:t>
      </w:r>
      <w:r w:rsidR="00367837" w:rsidRPr="006C7B74">
        <w:rPr>
          <w:rFonts w:cstheme="minorHAnsi"/>
          <w:sz w:val="20"/>
          <w:szCs w:val="20"/>
        </w:rPr>
        <w:t>.</w:t>
      </w:r>
      <w:r w:rsidRPr="006C7B74">
        <w:rPr>
          <w:rFonts w:cstheme="minorHAnsi"/>
          <w:sz w:val="20"/>
          <w:szCs w:val="20"/>
        </w:rPr>
        <w:t xml:space="preserve"> </w:t>
      </w:r>
      <w:r w:rsidR="00183014" w:rsidRPr="006C7B74">
        <w:rPr>
          <w:rFonts w:cstheme="minorHAnsi"/>
          <w:sz w:val="20"/>
          <w:szCs w:val="20"/>
        </w:rPr>
        <w:t>Just under 5</w:t>
      </w:r>
      <w:r w:rsidRPr="006C7B74">
        <w:rPr>
          <w:rFonts w:cstheme="minorHAnsi"/>
          <w:sz w:val="20"/>
          <w:szCs w:val="20"/>
        </w:rPr>
        <w:t>0 per cent of all existing floorspace supply is located within the municipalities of Darebin</w:t>
      </w:r>
      <w:r w:rsidR="00183014" w:rsidRPr="006C7B74">
        <w:rPr>
          <w:rFonts w:cstheme="minorHAnsi"/>
          <w:sz w:val="20"/>
          <w:szCs w:val="20"/>
        </w:rPr>
        <w:t xml:space="preserve"> and</w:t>
      </w:r>
      <w:r w:rsidRPr="006C7B74">
        <w:rPr>
          <w:rFonts w:cstheme="minorHAnsi"/>
          <w:sz w:val="20"/>
          <w:szCs w:val="20"/>
        </w:rPr>
        <w:t xml:space="preserve"> Moreland.</w:t>
      </w:r>
    </w:p>
    <w:p w14:paraId="7BF32C1F" w14:textId="15C22D22" w:rsidR="00183014" w:rsidRPr="006C7B74" w:rsidRDefault="0075498A" w:rsidP="00934C4D">
      <w:pPr>
        <w:spacing w:after="120"/>
        <w:rPr>
          <w:rFonts w:cstheme="minorHAnsi"/>
          <w:sz w:val="20"/>
          <w:szCs w:val="20"/>
        </w:rPr>
      </w:pPr>
      <w:r w:rsidRPr="006C7B74">
        <w:rPr>
          <w:rFonts w:cstheme="minorHAnsi"/>
          <w:sz w:val="20"/>
          <w:szCs w:val="20"/>
        </w:rPr>
        <w:t>Across the region</w:t>
      </w:r>
      <w:r w:rsidR="00D36738" w:rsidRPr="006C7B74">
        <w:rPr>
          <w:rFonts w:cstheme="minorHAnsi"/>
          <w:sz w:val="20"/>
          <w:szCs w:val="20"/>
        </w:rPr>
        <w:t xml:space="preserve"> </w:t>
      </w:r>
      <w:r w:rsidR="00183014" w:rsidRPr="006C7B74">
        <w:rPr>
          <w:rFonts w:cstheme="minorHAnsi"/>
          <w:sz w:val="20"/>
          <w:szCs w:val="20"/>
        </w:rPr>
        <w:t>a total of</w:t>
      </w:r>
      <w:r w:rsidRPr="006C7B74">
        <w:rPr>
          <w:rFonts w:cstheme="minorHAnsi"/>
          <w:sz w:val="20"/>
          <w:szCs w:val="20"/>
        </w:rPr>
        <w:t xml:space="preserve"> 23</w:t>
      </w:r>
      <w:r w:rsidR="00323488" w:rsidRPr="006C7B74">
        <w:rPr>
          <w:rFonts w:cstheme="minorHAnsi"/>
          <w:sz w:val="20"/>
          <w:szCs w:val="20"/>
        </w:rPr>
        <w:t>8</w:t>
      </w:r>
      <w:r w:rsidRPr="006C7B74">
        <w:rPr>
          <w:rFonts w:cstheme="minorHAnsi"/>
          <w:sz w:val="20"/>
          <w:szCs w:val="20"/>
        </w:rPr>
        <w:t xml:space="preserve"> commercial areas or centres</w:t>
      </w:r>
      <w:r w:rsidR="00183014" w:rsidRPr="006C7B74">
        <w:rPr>
          <w:rFonts w:cstheme="minorHAnsi"/>
          <w:sz w:val="20"/>
          <w:szCs w:val="20"/>
        </w:rPr>
        <w:t xml:space="preserve"> have been identified</w:t>
      </w:r>
      <w:r w:rsidR="00D36738" w:rsidRPr="006C7B74">
        <w:rPr>
          <w:rFonts w:cstheme="minorHAnsi"/>
          <w:sz w:val="20"/>
          <w:szCs w:val="20"/>
        </w:rPr>
        <w:t>.</w:t>
      </w:r>
      <w:r w:rsidRPr="006C7B74">
        <w:rPr>
          <w:rFonts w:cstheme="minorHAnsi"/>
          <w:sz w:val="20"/>
          <w:szCs w:val="20"/>
        </w:rPr>
        <w:t xml:space="preserve"> Of these</w:t>
      </w:r>
      <w:r w:rsidR="00183014" w:rsidRPr="006C7B74">
        <w:rPr>
          <w:rFonts w:cstheme="minorHAnsi"/>
          <w:sz w:val="20"/>
          <w:szCs w:val="20"/>
        </w:rPr>
        <w:t>,</w:t>
      </w:r>
      <w:r w:rsidR="00D36738" w:rsidRPr="006C7B74">
        <w:rPr>
          <w:rFonts w:cstheme="minorHAnsi"/>
          <w:sz w:val="20"/>
          <w:szCs w:val="20"/>
        </w:rPr>
        <w:t xml:space="preserve"> </w:t>
      </w:r>
      <w:r w:rsidRPr="006C7B74">
        <w:rPr>
          <w:rFonts w:cstheme="minorHAnsi"/>
          <w:sz w:val="20"/>
          <w:szCs w:val="20"/>
        </w:rPr>
        <w:t>1</w:t>
      </w:r>
      <w:r w:rsidR="00183014" w:rsidRPr="006C7B74">
        <w:rPr>
          <w:rFonts w:cstheme="minorHAnsi"/>
          <w:sz w:val="20"/>
          <w:szCs w:val="20"/>
        </w:rPr>
        <w:t>90</w:t>
      </w:r>
      <w:r w:rsidRPr="006C7B74">
        <w:rPr>
          <w:rFonts w:cstheme="minorHAnsi"/>
          <w:sz w:val="20"/>
          <w:szCs w:val="20"/>
        </w:rPr>
        <w:t xml:space="preserve"> have less than 10,000 square metres of floorspace. </w:t>
      </w:r>
    </w:p>
    <w:p w14:paraId="013A221A" w14:textId="188DDCCC" w:rsidR="008F7D32" w:rsidRPr="006C7B74" w:rsidRDefault="00514553" w:rsidP="00934C4D">
      <w:pPr>
        <w:spacing w:after="120"/>
        <w:rPr>
          <w:rFonts w:cstheme="minorHAnsi"/>
          <w:sz w:val="20"/>
          <w:szCs w:val="20"/>
        </w:rPr>
      </w:pPr>
      <w:r w:rsidRPr="006C7B74">
        <w:rPr>
          <w:rFonts w:cstheme="minorHAnsi"/>
          <w:sz w:val="20"/>
          <w:szCs w:val="20"/>
        </w:rPr>
        <w:t>Eleven</w:t>
      </w:r>
      <w:r w:rsidR="0075498A" w:rsidRPr="006C7B74">
        <w:rPr>
          <w:rFonts w:cstheme="minorHAnsi"/>
          <w:sz w:val="20"/>
          <w:szCs w:val="20"/>
        </w:rPr>
        <w:t xml:space="preserve"> centres have more than 100,000 square metres of floorspace</w:t>
      </w:r>
      <w:r w:rsidR="00EC0FC5" w:rsidRPr="006C7B74">
        <w:rPr>
          <w:rFonts w:cstheme="minorHAnsi"/>
          <w:sz w:val="20"/>
          <w:szCs w:val="20"/>
        </w:rPr>
        <w:t>. This includes free-standing shopping centres like Northland and Epping and strip-based centres such as Brunswick</w:t>
      </w:r>
      <w:r w:rsidR="00E53036" w:rsidRPr="006C7B74">
        <w:rPr>
          <w:rFonts w:cstheme="minorHAnsi"/>
          <w:sz w:val="20"/>
          <w:szCs w:val="20"/>
        </w:rPr>
        <w:t>.</w:t>
      </w:r>
      <w:r w:rsidR="00EC0FC5" w:rsidRPr="006C7B74">
        <w:rPr>
          <w:rFonts w:cstheme="minorHAnsi"/>
          <w:sz w:val="20"/>
          <w:szCs w:val="20"/>
        </w:rPr>
        <w:t xml:space="preserve"> Combined</w:t>
      </w:r>
      <w:r w:rsidR="0075498A" w:rsidRPr="006C7B74">
        <w:rPr>
          <w:rFonts w:cstheme="minorHAnsi"/>
          <w:sz w:val="20"/>
          <w:szCs w:val="20"/>
        </w:rPr>
        <w:t xml:space="preserve"> these centres account for over half of the region’s total existing commercial floorspace. </w:t>
      </w:r>
    </w:p>
    <w:p w14:paraId="2391FA90" w14:textId="0B43631D" w:rsidR="0075498A" w:rsidRPr="006C7B74" w:rsidRDefault="00B93958" w:rsidP="00934C4D">
      <w:pPr>
        <w:spacing w:after="120"/>
        <w:rPr>
          <w:rFonts w:cstheme="minorHAnsi"/>
          <w:sz w:val="20"/>
          <w:szCs w:val="20"/>
        </w:rPr>
      </w:pPr>
      <w:r w:rsidRPr="006C7B74">
        <w:rPr>
          <w:rFonts w:cstheme="minorHAnsi"/>
          <w:sz w:val="20"/>
          <w:szCs w:val="20"/>
        </w:rPr>
        <w:t>Darebin</w:t>
      </w:r>
      <w:r w:rsidR="0075498A" w:rsidRPr="006C7B74">
        <w:rPr>
          <w:rFonts w:cstheme="minorHAnsi"/>
          <w:sz w:val="20"/>
          <w:szCs w:val="20"/>
        </w:rPr>
        <w:t xml:space="preserve"> has the largest number of centres (</w:t>
      </w:r>
      <w:r w:rsidR="006E3A3E" w:rsidRPr="006C7B74">
        <w:rPr>
          <w:rFonts w:cstheme="minorHAnsi"/>
          <w:sz w:val="20"/>
          <w:szCs w:val="20"/>
        </w:rPr>
        <w:t>60</w:t>
      </w:r>
      <w:r w:rsidR="0075498A" w:rsidRPr="006C7B74">
        <w:rPr>
          <w:rFonts w:cstheme="minorHAnsi"/>
          <w:sz w:val="20"/>
          <w:szCs w:val="20"/>
        </w:rPr>
        <w:t xml:space="preserve">) and </w:t>
      </w:r>
      <w:r w:rsidR="008F7D32" w:rsidRPr="006C7B74">
        <w:rPr>
          <w:rFonts w:cstheme="minorHAnsi"/>
          <w:sz w:val="20"/>
          <w:szCs w:val="20"/>
        </w:rPr>
        <w:t xml:space="preserve">Nillumbik (8) and </w:t>
      </w:r>
      <w:r w:rsidR="006E3A3E" w:rsidRPr="006C7B74">
        <w:rPr>
          <w:rFonts w:cstheme="minorHAnsi"/>
          <w:sz w:val="20"/>
          <w:szCs w:val="20"/>
        </w:rPr>
        <w:t xml:space="preserve">Mitchell </w:t>
      </w:r>
      <w:r w:rsidR="008F7D32" w:rsidRPr="006C7B74">
        <w:rPr>
          <w:rFonts w:cstheme="minorHAnsi"/>
          <w:sz w:val="20"/>
          <w:szCs w:val="20"/>
        </w:rPr>
        <w:t xml:space="preserve">(2) </w:t>
      </w:r>
      <w:r w:rsidR="0075498A" w:rsidRPr="006C7B74">
        <w:rPr>
          <w:rFonts w:cstheme="minorHAnsi"/>
          <w:sz w:val="20"/>
          <w:szCs w:val="20"/>
        </w:rPr>
        <w:t xml:space="preserve">the fewest. </w:t>
      </w:r>
    </w:p>
    <w:p w14:paraId="324629F9" w14:textId="77777777" w:rsidR="0075498A" w:rsidRPr="006C7B74" w:rsidRDefault="0075498A" w:rsidP="00934C4D">
      <w:pPr>
        <w:spacing w:after="120"/>
        <w:rPr>
          <w:rFonts w:cstheme="minorHAnsi"/>
          <w:sz w:val="20"/>
          <w:szCs w:val="20"/>
        </w:rPr>
      </w:pPr>
    </w:p>
    <w:p w14:paraId="5D4AE1E9" w14:textId="0087567A" w:rsidR="0075498A" w:rsidRPr="006C7B74" w:rsidRDefault="0075498A" w:rsidP="009F1021">
      <w:pPr>
        <w:pStyle w:val="Heading5"/>
      </w:pPr>
      <w:r w:rsidRPr="006C7B74">
        <w:t xml:space="preserve">Table </w:t>
      </w:r>
      <w:r w:rsidR="009E6466" w:rsidRPr="006C7B74">
        <w:t>20</w:t>
      </w:r>
      <w:r w:rsidRPr="006C7B74">
        <w:t>: Existing commercial floorspace by centre size,</w:t>
      </w:r>
      <w:r w:rsidR="004C382E" w:rsidRPr="006C7B74">
        <w:t xml:space="preserve"> Northern Region</w:t>
      </w:r>
    </w:p>
    <w:tbl>
      <w:tblPr>
        <w:tblW w:w="5024" w:type="pct"/>
        <w:tblLook w:val="04A0" w:firstRow="1" w:lastRow="0" w:firstColumn="1" w:lastColumn="0" w:noHBand="0" w:noVBand="1"/>
      </w:tblPr>
      <w:tblGrid>
        <w:gridCol w:w="922"/>
        <w:gridCol w:w="711"/>
        <w:gridCol w:w="843"/>
        <w:gridCol w:w="640"/>
        <w:gridCol w:w="849"/>
        <w:gridCol w:w="729"/>
        <w:gridCol w:w="912"/>
        <w:gridCol w:w="696"/>
        <w:gridCol w:w="945"/>
        <w:gridCol w:w="808"/>
        <w:gridCol w:w="1143"/>
      </w:tblGrid>
      <w:tr w:rsidR="00F238F9" w:rsidRPr="006C7B74" w14:paraId="7A1E8C01" w14:textId="77777777" w:rsidTr="009F1021">
        <w:trPr>
          <w:trHeight w:val="255"/>
        </w:trPr>
        <w:tc>
          <w:tcPr>
            <w:tcW w:w="532" w:type="pct"/>
            <w:tcBorders>
              <w:top w:val="nil"/>
              <w:left w:val="nil"/>
              <w:bottom w:val="nil"/>
              <w:right w:val="nil"/>
            </w:tcBorders>
            <w:shd w:val="clear" w:color="000000" w:fill="4D446C"/>
            <w:noWrap/>
            <w:vAlign w:val="center"/>
            <w:hideMark/>
          </w:tcPr>
          <w:p w14:paraId="2A70153D" w14:textId="77777777" w:rsidR="00F238F9" w:rsidRPr="006C7B74" w:rsidRDefault="00F238F9" w:rsidP="00F238F9">
            <w:pPr>
              <w:rPr>
                <w:rFonts w:cstheme="minorHAnsi"/>
                <w:b/>
                <w:bCs/>
                <w:color w:val="FFFFFF"/>
                <w:sz w:val="16"/>
                <w:szCs w:val="16"/>
                <w:lang w:eastAsia="en-AU"/>
              </w:rPr>
            </w:pPr>
            <w:r w:rsidRPr="006C7B74">
              <w:rPr>
                <w:rFonts w:cstheme="minorHAnsi"/>
                <w:b/>
                <w:bCs/>
                <w:color w:val="FFFFFF"/>
                <w:sz w:val="16"/>
                <w:szCs w:val="16"/>
                <w:lang w:eastAsia="en-AU"/>
              </w:rPr>
              <w:t>Council</w:t>
            </w:r>
          </w:p>
        </w:tc>
        <w:tc>
          <w:tcPr>
            <w:tcW w:w="831" w:type="pct"/>
            <w:gridSpan w:val="2"/>
            <w:tcBorders>
              <w:top w:val="single" w:sz="4" w:space="0" w:color="auto"/>
              <w:left w:val="nil"/>
              <w:bottom w:val="nil"/>
              <w:right w:val="nil"/>
            </w:tcBorders>
            <w:shd w:val="clear" w:color="000000" w:fill="4D446C"/>
            <w:noWrap/>
            <w:vAlign w:val="center"/>
            <w:hideMark/>
          </w:tcPr>
          <w:p w14:paraId="28EB7C75" w14:textId="688D1F8B" w:rsidR="00F238F9" w:rsidRPr="006C7B74" w:rsidRDefault="00F238F9" w:rsidP="00F238F9">
            <w:pPr>
              <w:jc w:val="center"/>
              <w:rPr>
                <w:rFonts w:cstheme="minorHAnsi"/>
                <w:b/>
                <w:bCs/>
                <w:color w:val="FFFFFF"/>
                <w:sz w:val="16"/>
                <w:szCs w:val="16"/>
                <w:lang w:eastAsia="en-AU"/>
              </w:rPr>
            </w:pPr>
            <w:r w:rsidRPr="006C7B74">
              <w:rPr>
                <w:rFonts w:cstheme="minorHAnsi"/>
                <w:b/>
                <w:bCs/>
                <w:color w:val="FFFFFF"/>
                <w:sz w:val="16"/>
                <w:szCs w:val="16"/>
                <w:lang w:eastAsia="en-AU"/>
              </w:rPr>
              <w:t>Less than 2</w:t>
            </w:r>
            <w:r w:rsidR="00CF52E2" w:rsidRPr="006C7B74">
              <w:rPr>
                <w:rFonts w:cstheme="minorHAnsi"/>
                <w:b/>
                <w:bCs/>
                <w:color w:val="FFFFFF"/>
                <w:sz w:val="16"/>
                <w:szCs w:val="16"/>
                <w:lang w:eastAsia="en-AU"/>
              </w:rPr>
              <w:t>,</w:t>
            </w:r>
            <w:r w:rsidRPr="006C7B74">
              <w:rPr>
                <w:rFonts w:cstheme="minorHAnsi"/>
                <w:b/>
                <w:bCs/>
                <w:color w:val="FFFFFF"/>
                <w:sz w:val="16"/>
                <w:szCs w:val="16"/>
                <w:lang w:eastAsia="en-AU"/>
              </w:rPr>
              <w:t>000 (m</w:t>
            </w:r>
            <w:r w:rsidRPr="006C7B74">
              <w:rPr>
                <w:rFonts w:cstheme="minorHAnsi"/>
                <w:b/>
                <w:bCs/>
                <w:color w:val="FFFFFF"/>
                <w:sz w:val="16"/>
                <w:szCs w:val="16"/>
                <w:vertAlign w:val="superscript"/>
                <w:lang w:eastAsia="en-AU"/>
              </w:rPr>
              <w:t>2</w:t>
            </w:r>
            <w:r w:rsidRPr="006C7B74">
              <w:rPr>
                <w:rFonts w:cstheme="minorHAnsi"/>
                <w:b/>
                <w:bCs/>
                <w:color w:val="FFFFFF"/>
                <w:sz w:val="16"/>
                <w:szCs w:val="16"/>
                <w:lang w:eastAsia="en-AU"/>
              </w:rPr>
              <w:t>)</w:t>
            </w:r>
          </w:p>
        </w:tc>
        <w:tc>
          <w:tcPr>
            <w:tcW w:w="812" w:type="pct"/>
            <w:gridSpan w:val="2"/>
            <w:tcBorders>
              <w:top w:val="single" w:sz="4" w:space="0" w:color="auto"/>
              <w:left w:val="nil"/>
              <w:bottom w:val="nil"/>
              <w:right w:val="nil"/>
            </w:tcBorders>
            <w:shd w:val="clear" w:color="000000" w:fill="4D446C"/>
            <w:noWrap/>
            <w:vAlign w:val="center"/>
            <w:hideMark/>
          </w:tcPr>
          <w:p w14:paraId="6D12704A" w14:textId="77777777" w:rsidR="00F238F9" w:rsidRPr="006C7B74" w:rsidRDefault="00F238F9" w:rsidP="00F238F9">
            <w:pPr>
              <w:jc w:val="center"/>
              <w:rPr>
                <w:rFonts w:cstheme="minorHAnsi"/>
                <w:b/>
                <w:bCs/>
                <w:color w:val="FFFFFF"/>
                <w:sz w:val="16"/>
                <w:szCs w:val="16"/>
                <w:lang w:eastAsia="en-AU"/>
              </w:rPr>
            </w:pPr>
            <w:r w:rsidRPr="006C7B74">
              <w:rPr>
                <w:rFonts w:cstheme="minorHAnsi"/>
                <w:b/>
                <w:bCs/>
                <w:color w:val="FFFFFF"/>
                <w:sz w:val="16"/>
                <w:szCs w:val="16"/>
                <w:lang w:eastAsia="en-AU"/>
              </w:rPr>
              <w:t>2,000 to 9,999 (m</w:t>
            </w:r>
            <w:r w:rsidRPr="006C7B74">
              <w:rPr>
                <w:rFonts w:cstheme="minorHAnsi"/>
                <w:b/>
                <w:bCs/>
                <w:color w:val="FFFFFF"/>
                <w:sz w:val="16"/>
                <w:szCs w:val="16"/>
                <w:vertAlign w:val="superscript"/>
                <w:lang w:eastAsia="en-AU"/>
              </w:rPr>
              <w:t>2</w:t>
            </w:r>
            <w:r w:rsidRPr="006C7B74">
              <w:rPr>
                <w:rFonts w:cstheme="minorHAnsi"/>
                <w:b/>
                <w:bCs/>
                <w:color w:val="FFFFFF"/>
                <w:sz w:val="16"/>
                <w:szCs w:val="16"/>
                <w:lang w:eastAsia="en-AU"/>
              </w:rPr>
              <w:t>)</w:t>
            </w:r>
          </w:p>
        </w:tc>
        <w:tc>
          <w:tcPr>
            <w:tcW w:w="887" w:type="pct"/>
            <w:gridSpan w:val="2"/>
            <w:tcBorders>
              <w:top w:val="single" w:sz="4" w:space="0" w:color="auto"/>
              <w:left w:val="nil"/>
              <w:bottom w:val="nil"/>
              <w:right w:val="nil"/>
            </w:tcBorders>
            <w:shd w:val="clear" w:color="000000" w:fill="4D446C"/>
            <w:noWrap/>
            <w:vAlign w:val="center"/>
            <w:hideMark/>
          </w:tcPr>
          <w:p w14:paraId="776AB446" w14:textId="77777777" w:rsidR="00F238F9" w:rsidRPr="006C7B74" w:rsidRDefault="00F238F9" w:rsidP="00F238F9">
            <w:pPr>
              <w:jc w:val="center"/>
              <w:rPr>
                <w:rFonts w:cstheme="minorHAnsi"/>
                <w:b/>
                <w:bCs/>
                <w:color w:val="FFFFFF"/>
                <w:sz w:val="16"/>
                <w:szCs w:val="16"/>
                <w:lang w:eastAsia="en-AU"/>
              </w:rPr>
            </w:pPr>
            <w:r w:rsidRPr="006C7B74">
              <w:rPr>
                <w:rFonts w:cstheme="minorHAnsi"/>
                <w:b/>
                <w:bCs/>
                <w:color w:val="FFFFFF"/>
                <w:sz w:val="16"/>
                <w:szCs w:val="16"/>
                <w:lang w:eastAsia="en-AU"/>
              </w:rPr>
              <w:t>10,000 to 49,999 (m</w:t>
            </w:r>
            <w:r w:rsidRPr="006C7B74">
              <w:rPr>
                <w:rFonts w:cstheme="minorHAnsi"/>
                <w:b/>
                <w:bCs/>
                <w:color w:val="FFFFFF"/>
                <w:sz w:val="16"/>
                <w:szCs w:val="16"/>
                <w:vertAlign w:val="superscript"/>
                <w:lang w:eastAsia="en-AU"/>
              </w:rPr>
              <w:t>2</w:t>
            </w:r>
            <w:r w:rsidRPr="006C7B74">
              <w:rPr>
                <w:rFonts w:cstheme="minorHAnsi"/>
                <w:b/>
                <w:bCs/>
                <w:color w:val="FFFFFF"/>
                <w:sz w:val="16"/>
                <w:szCs w:val="16"/>
                <w:lang w:eastAsia="en-AU"/>
              </w:rPr>
              <w:t>)</w:t>
            </w:r>
          </w:p>
        </w:tc>
        <w:tc>
          <w:tcPr>
            <w:tcW w:w="886" w:type="pct"/>
            <w:gridSpan w:val="2"/>
            <w:tcBorders>
              <w:top w:val="single" w:sz="4" w:space="0" w:color="auto"/>
              <w:left w:val="nil"/>
              <w:bottom w:val="nil"/>
              <w:right w:val="nil"/>
            </w:tcBorders>
            <w:shd w:val="clear" w:color="000000" w:fill="4D446C"/>
            <w:noWrap/>
            <w:vAlign w:val="center"/>
            <w:hideMark/>
          </w:tcPr>
          <w:p w14:paraId="5392E920" w14:textId="77777777" w:rsidR="00F238F9" w:rsidRPr="006C7B74" w:rsidRDefault="00F238F9" w:rsidP="00F238F9">
            <w:pPr>
              <w:jc w:val="center"/>
              <w:rPr>
                <w:rFonts w:cstheme="minorHAnsi"/>
                <w:b/>
                <w:bCs/>
                <w:color w:val="FFFFFF"/>
                <w:sz w:val="16"/>
                <w:szCs w:val="16"/>
                <w:lang w:eastAsia="en-AU"/>
              </w:rPr>
            </w:pPr>
            <w:r w:rsidRPr="006C7B74">
              <w:rPr>
                <w:rFonts w:cstheme="minorHAnsi"/>
                <w:b/>
                <w:bCs/>
                <w:color w:val="FFFFFF"/>
                <w:sz w:val="16"/>
                <w:szCs w:val="16"/>
                <w:lang w:eastAsia="en-AU"/>
              </w:rPr>
              <w:t>50,000 to 99,999 (m</w:t>
            </w:r>
            <w:r w:rsidRPr="006C7B74">
              <w:rPr>
                <w:rFonts w:cstheme="minorHAnsi"/>
                <w:b/>
                <w:bCs/>
                <w:color w:val="FFFFFF"/>
                <w:sz w:val="16"/>
                <w:szCs w:val="16"/>
                <w:vertAlign w:val="superscript"/>
                <w:lang w:eastAsia="en-AU"/>
              </w:rPr>
              <w:t>2</w:t>
            </w:r>
            <w:r w:rsidRPr="006C7B74">
              <w:rPr>
                <w:rFonts w:cstheme="minorHAnsi"/>
                <w:b/>
                <w:bCs/>
                <w:color w:val="FFFFFF"/>
                <w:sz w:val="16"/>
                <w:szCs w:val="16"/>
                <w:lang w:eastAsia="en-AU"/>
              </w:rPr>
              <w:t>)</w:t>
            </w:r>
          </w:p>
        </w:tc>
        <w:tc>
          <w:tcPr>
            <w:tcW w:w="1053" w:type="pct"/>
            <w:gridSpan w:val="2"/>
            <w:tcBorders>
              <w:top w:val="single" w:sz="4" w:space="0" w:color="auto"/>
              <w:left w:val="nil"/>
              <w:bottom w:val="nil"/>
              <w:right w:val="nil"/>
            </w:tcBorders>
            <w:shd w:val="clear" w:color="000000" w:fill="4D446C"/>
            <w:noWrap/>
            <w:vAlign w:val="center"/>
            <w:hideMark/>
          </w:tcPr>
          <w:p w14:paraId="460648AA" w14:textId="77777777" w:rsidR="00F238F9" w:rsidRPr="006C7B74" w:rsidRDefault="00F238F9" w:rsidP="00F238F9">
            <w:pPr>
              <w:jc w:val="center"/>
              <w:rPr>
                <w:rFonts w:cstheme="minorHAnsi"/>
                <w:b/>
                <w:bCs/>
                <w:color w:val="FFFFFF"/>
                <w:sz w:val="16"/>
                <w:szCs w:val="16"/>
                <w:lang w:eastAsia="en-AU"/>
              </w:rPr>
            </w:pPr>
            <w:r w:rsidRPr="006C7B74">
              <w:rPr>
                <w:rFonts w:cstheme="minorHAnsi"/>
                <w:b/>
                <w:bCs/>
                <w:color w:val="FFFFFF"/>
                <w:sz w:val="16"/>
                <w:szCs w:val="16"/>
                <w:lang w:eastAsia="en-AU"/>
              </w:rPr>
              <w:t>Greater than 100,000 (m</w:t>
            </w:r>
            <w:r w:rsidRPr="006C7B74">
              <w:rPr>
                <w:rFonts w:cstheme="minorHAnsi"/>
                <w:b/>
                <w:bCs/>
                <w:color w:val="FFFFFF"/>
                <w:sz w:val="16"/>
                <w:szCs w:val="16"/>
                <w:vertAlign w:val="superscript"/>
                <w:lang w:eastAsia="en-AU"/>
              </w:rPr>
              <w:t>2</w:t>
            </w:r>
            <w:r w:rsidRPr="006C7B74">
              <w:rPr>
                <w:rFonts w:cstheme="minorHAnsi"/>
                <w:b/>
                <w:bCs/>
                <w:color w:val="FFFFFF"/>
                <w:sz w:val="16"/>
                <w:szCs w:val="16"/>
                <w:lang w:eastAsia="en-AU"/>
              </w:rPr>
              <w:t>)</w:t>
            </w:r>
          </w:p>
        </w:tc>
      </w:tr>
      <w:tr w:rsidR="00F238F9" w:rsidRPr="006C7B74" w14:paraId="294F90F3" w14:textId="77777777" w:rsidTr="00664CAD">
        <w:trPr>
          <w:trHeight w:val="473"/>
        </w:trPr>
        <w:tc>
          <w:tcPr>
            <w:tcW w:w="532" w:type="pct"/>
            <w:tcBorders>
              <w:top w:val="nil"/>
              <w:left w:val="nil"/>
              <w:bottom w:val="single" w:sz="8" w:space="0" w:color="44546A"/>
              <w:right w:val="nil"/>
            </w:tcBorders>
            <w:shd w:val="clear" w:color="auto" w:fill="auto"/>
            <w:vAlign w:val="center"/>
            <w:hideMark/>
          </w:tcPr>
          <w:p w14:paraId="00EDF1F0" w14:textId="77777777" w:rsidR="00F238F9" w:rsidRPr="006C7B74" w:rsidRDefault="00F238F9" w:rsidP="00F238F9">
            <w:pPr>
              <w:rPr>
                <w:rFonts w:cstheme="minorHAnsi"/>
                <w:b/>
                <w:bCs/>
                <w:color w:val="000000"/>
                <w:sz w:val="16"/>
                <w:szCs w:val="16"/>
                <w:lang w:eastAsia="en-AU"/>
              </w:rPr>
            </w:pPr>
            <w:r w:rsidRPr="006C7B74">
              <w:rPr>
                <w:rFonts w:cstheme="minorHAnsi"/>
                <w:b/>
                <w:bCs/>
                <w:color w:val="000000"/>
                <w:sz w:val="16"/>
                <w:szCs w:val="16"/>
                <w:lang w:eastAsia="en-AU"/>
              </w:rPr>
              <w:t> </w:t>
            </w:r>
          </w:p>
        </w:tc>
        <w:tc>
          <w:tcPr>
            <w:tcW w:w="380" w:type="pct"/>
            <w:tcBorders>
              <w:top w:val="nil"/>
              <w:left w:val="nil"/>
              <w:bottom w:val="single" w:sz="8" w:space="0" w:color="44546A"/>
              <w:right w:val="nil"/>
            </w:tcBorders>
            <w:shd w:val="clear" w:color="auto" w:fill="auto"/>
            <w:vAlign w:val="center"/>
            <w:hideMark/>
          </w:tcPr>
          <w:p w14:paraId="43672322" w14:textId="77777777" w:rsidR="00F238F9" w:rsidRPr="006C7B74" w:rsidRDefault="00F238F9" w:rsidP="00F238F9">
            <w:pPr>
              <w:jc w:val="center"/>
              <w:rPr>
                <w:rFonts w:cstheme="minorHAnsi"/>
                <w:color w:val="000000"/>
                <w:sz w:val="14"/>
                <w:szCs w:val="16"/>
                <w:lang w:eastAsia="en-AU"/>
              </w:rPr>
            </w:pPr>
            <w:r w:rsidRPr="006C7B74">
              <w:rPr>
                <w:rFonts w:cstheme="minorHAnsi"/>
                <w:color w:val="000000"/>
                <w:sz w:val="14"/>
                <w:szCs w:val="16"/>
                <w:lang w:eastAsia="en-AU"/>
              </w:rPr>
              <w:t>No. of centres</w:t>
            </w:r>
          </w:p>
        </w:tc>
        <w:tc>
          <w:tcPr>
            <w:tcW w:w="451" w:type="pct"/>
            <w:tcBorders>
              <w:top w:val="nil"/>
              <w:left w:val="nil"/>
              <w:bottom w:val="single" w:sz="8" w:space="0" w:color="44546A"/>
              <w:right w:val="nil"/>
            </w:tcBorders>
            <w:shd w:val="clear" w:color="auto" w:fill="auto"/>
            <w:vAlign w:val="center"/>
            <w:hideMark/>
          </w:tcPr>
          <w:p w14:paraId="66BBA9DD" w14:textId="77777777" w:rsidR="00F238F9" w:rsidRPr="006C7B74" w:rsidRDefault="00F238F9" w:rsidP="00F238F9">
            <w:pPr>
              <w:jc w:val="center"/>
              <w:rPr>
                <w:rFonts w:cstheme="minorHAnsi"/>
                <w:color w:val="000000"/>
                <w:sz w:val="14"/>
                <w:szCs w:val="16"/>
                <w:lang w:eastAsia="en-AU"/>
              </w:rPr>
            </w:pPr>
            <w:r w:rsidRPr="006C7B74">
              <w:rPr>
                <w:rFonts w:cstheme="minorHAnsi"/>
                <w:color w:val="000000"/>
                <w:sz w:val="14"/>
                <w:szCs w:val="16"/>
                <w:lang w:eastAsia="en-AU"/>
              </w:rPr>
              <w:t>Floorspace (m</w:t>
            </w:r>
            <w:r w:rsidRPr="006C7B74">
              <w:rPr>
                <w:rFonts w:cstheme="minorHAnsi"/>
                <w:color w:val="000000"/>
                <w:sz w:val="14"/>
                <w:szCs w:val="16"/>
                <w:vertAlign w:val="superscript"/>
                <w:lang w:eastAsia="en-AU"/>
              </w:rPr>
              <w:t>2</w:t>
            </w:r>
            <w:r w:rsidRPr="006C7B74">
              <w:rPr>
                <w:rFonts w:cstheme="minorHAnsi"/>
                <w:color w:val="000000"/>
                <w:sz w:val="14"/>
                <w:szCs w:val="16"/>
                <w:lang w:eastAsia="en-AU"/>
              </w:rPr>
              <w:t>)</w:t>
            </w:r>
          </w:p>
        </w:tc>
        <w:tc>
          <w:tcPr>
            <w:tcW w:w="346" w:type="pct"/>
            <w:tcBorders>
              <w:top w:val="nil"/>
              <w:left w:val="nil"/>
              <w:bottom w:val="single" w:sz="8" w:space="0" w:color="44546A"/>
              <w:right w:val="nil"/>
            </w:tcBorders>
            <w:shd w:val="clear" w:color="auto" w:fill="auto"/>
            <w:vAlign w:val="center"/>
            <w:hideMark/>
          </w:tcPr>
          <w:p w14:paraId="487078C6" w14:textId="77777777" w:rsidR="00F238F9" w:rsidRPr="006C7B74" w:rsidRDefault="00F238F9" w:rsidP="00F238F9">
            <w:pPr>
              <w:jc w:val="center"/>
              <w:rPr>
                <w:rFonts w:cstheme="minorHAnsi"/>
                <w:color w:val="000000"/>
                <w:sz w:val="14"/>
                <w:szCs w:val="16"/>
                <w:lang w:eastAsia="en-AU"/>
              </w:rPr>
            </w:pPr>
            <w:r w:rsidRPr="006C7B74">
              <w:rPr>
                <w:rFonts w:cstheme="minorHAnsi"/>
                <w:color w:val="000000"/>
                <w:sz w:val="14"/>
                <w:szCs w:val="16"/>
                <w:lang w:eastAsia="en-AU"/>
              </w:rPr>
              <w:t>No. of centres</w:t>
            </w:r>
          </w:p>
        </w:tc>
        <w:tc>
          <w:tcPr>
            <w:tcW w:w="466" w:type="pct"/>
            <w:tcBorders>
              <w:top w:val="nil"/>
              <w:left w:val="nil"/>
              <w:bottom w:val="single" w:sz="8" w:space="0" w:color="44546A"/>
              <w:right w:val="nil"/>
            </w:tcBorders>
            <w:shd w:val="clear" w:color="auto" w:fill="auto"/>
            <w:vAlign w:val="center"/>
            <w:hideMark/>
          </w:tcPr>
          <w:p w14:paraId="1DD61694" w14:textId="77777777" w:rsidR="00F238F9" w:rsidRPr="006C7B74" w:rsidRDefault="00F238F9" w:rsidP="00F238F9">
            <w:pPr>
              <w:jc w:val="center"/>
              <w:rPr>
                <w:rFonts w:cstheme="minorHAnsi"/>
                <w:color w:val="000000"/>
                <w:sz w:val="14"/>
                <w:szCs w:val="16"/>
                <w:lang w:eastAsia="en-AU"/>
              </w:rPr>
            </w:pPr>
            <w:r w:rsidRPr="006C7B74">
              <w:rPr>
                <w:rFonts w:cstheme="minorHAnsi"/>
                <w:color w:val="000000"/>
                <w:sz w:val="14"/>
                <w:szCs w:val="16"/>
                <w:lang w:eastAsia="en-AU"/>
              </w:rPr>
              <w:t>Floorspace (m</w:t>
            </w:r>
            <w:r w:rsidRPr="006C7B74">
              <w:rPr>
                <w:rFonts w:cstheme="minorHAnsi"/>
                <w:color w:val="000000"/>
                <w:sz w:val="14"/>
                <w:szCs w:val="16"/>
                <w:vertAlign w:val="superscript"/>
                <w:lang w:eastAsia="en-AU"/>
              </w:rPr>
              <w:t>2</w:t>
            </w:r>
            <w:r w:rsidRPr="006C7B74">
              <w:rPr>
                <w:rFonts w:cstheme="minorHAnsi"/>
                <w:color w:val="000000"/>
                <w:sz w:val="14"/>
                <w:szCs w:val="16"/>
                <w:lang w:eastAsia="en-AU"/>
              </w:rPr>
              <w:t>)</w:t>
            </w:r>
          </w:p>
        </w:tc>
        <w:tc>
          <w:tcPr>
            <w:tcW w:w="394" w:type="pct"/>
            <w:tcBorders>
              <w:top w:val="nil"/>
              <w:left w:val="nil"/>
              <w:bottom w:val="single" w:sz="8" w:space="0" w:color="44546A"/>
              <w:right w:val="nil"/>
            </w:tcBorders>
            <w:shd w:val="clear" w:color="auto" w:fill="auto"/>
            <w:vAlign w:val="center"/>
            <w:hideMark/>
          </w:tcPr>
          <w:p w14:paraId="392CECA7" w14:textId="77777777" w:rsidR="00F238F9" w:rsidRPr="006C7B74" w:rsidRDefault="00F238F9" w:rsidP="00F238F9">
            <w:pPr>
              <w:jc w:val="center"/>
              <w:rPr>
                <w:rFonts w:cstheme="minorHAnsi"/>
                <w:color w:val="000000"/>
                <w:sz w:val="14"/>
                <w:szCs w:val="16"/>
                <w:lang w:eastAsia="en-AU"/>
              </w:rPr>
            </w:pPr>
            <w:r w:rsidRPr="006C7B74">
              <w:rPr>
                <w:rFonts w:cstheme="minorHAnsi"/>
                <w:color w:val="000000"/>
                <w:sz w:val="14"/>
                <w:szCs w:val="16"/>
                <w:lang w:eastAsia="en-AU"/>
              </w:rPr>
              <w:t>No. of centres</w:t>
            </w:r>
          </w:p>
        </w:tc>
        <w:tc>
          <w:tcPr>
            <w:tcW w:w="493" w:type="pct"/>
            <w:tcBorders>
              <w:top w:val="nil"/>
              <w:left w:val="nil"/>
              <w:bottom w:val="single" w:sz="8" w:space="0" w:color="44546A"/>
              <w:right w:val="nil"/>
            </w:tcBorders>
            <w:shd w:val="clear" w:color="auto" w:fill="auto"/>
            <w:vAlign w:val="center"/>
            <w:hideMark/>
          </w:tcPr>
          <w:p w14:paraId="0B7FA80D" w14:textId="77777777" w:rsidR="00F238F9" w:rsidRPr="006C7B74" w:rsidRDefault="00F238F9" w:rsidP="00F238F9">
            <w:pPr>
              <w:jc w:val="center"/>
              <w:rPr>
                <w:rFonts w:cstheme="minorHAnsi"/>
                <w:color w:val="000000"/>
                <w:sz w:val="14"/>
                <w:szCs w:val="16"/>
                <w:lang w:eastAsia="en-AU"/>
              </w:rPr>
            </w:pPr>
            <w:r w:rsidRPr="006C7B74">
              <w:rPr>
                <w:rFonts w:cstheme="minorHAnsi"/>
                <w:color w:val="000000"/>
                <w:sz w:val="14"/>
                <w:szCs w:val="16"/>
                <w:lang w:eastAsia="en-AU"/>
              </w:rPr>
              <w:t>Floorspace (m</w:t>
            </w:r>
            <w:r w:rsidRPr="006C7B74">
              <w:rPr>
                <w:rFonts w:cstheme="minorHAnsi"/>
                <w:color w:val="000000"/>
                <w:sz w:val="14"/>
                <w:szCs w:val="16"/>
                <w:vertAlign w:val="superscript"/>
                <w:lang w:eastAsia="en-AU"/>
              </w:rPr>
              <w:t>2</w:t>
            </w:r>
            <w:r w:rsidRPr="006C7B74">
              <w:rPr>
                <w:rFonts w:cstheme="minorHAnsi"/>
                <w:color w:val="000000"/>
                <w:sz w:val="14"/>
                <w:szCs w:val="16"/>
                <w:lang w:eastAsia="en-AU"/>
              </w:rPr>
              <w:t>)</w:t>
            </w:r>
          </w:p>
        </w:tc>
        <w:tc>
          <w:tcPr>
            <w:tcW w:w="376" w:type="pct"/>
            <w:tcBorders>
              <w:top w:val="nil"/>
              <w:left w:val="nil"/>
              <w:bottom w:val="single" w:sz="8" w:space="0" w:color="44546A"/>
              <w:right w:val="nil"/>
            </w:tcBorders>
            <w:shd w:val="clear" w:color="auto" w:fill="auto"/>
            <w:vAlign w:val="center"/>
            <w:hideMark/>
          </w:tcPr>
          <w:p w14:paraId="3B5EA4FC" w14:textId="77777777" w:rsidR="00F238F9" w:rsidRPr="006C7B74" w:rsidRDefault="00F238F9" w:rsidP="00F238F9">
            <w:pPr>
              <w:jc w:val="center"/>
              <w:rPr>
                <w:rFonts w:cstheme="minorHAnsi"/>
                <w:color w:val="000000"/>
                <w:sz w:val="14"/>
                <w:szCs w:val="16"/>
                <w:lang w:eastAsia="en-AU"/>
              </w:rPr>
            </w:pPr>
            <w:r w:rsidRPr="006C7B74">
              <w:rPr>
                <w:rFonts w:cstheme="minorHAnsi"/>
                <w:color w:val="000000"/>
                <w:sz w:val="14"/>
                <w:szCs w:val="16"/>
                <w:lang w:eastAsia="en-AU"/>
              </w:rPr>
              <w:t>No. of centres</w:t>
            </w:r>
          </w:p>
        </w:tc>
        <w:tc>
          <w:tcPr>
            <w:tcW w:w="510" w:type="pct"/>
            <w:tcBorders>
              <w:top w:val="nil"/>
              <w:left w:val="nil"/>
              <w:bottom w:val="single" w:sz="8" w:space="0" w:color="44546A"/>
              <w:right w:val="nil"/>
            </w:tcBorders>
            <w:shd w:val="clear" w:color="auto" w:fill="auto"/>
            <w:vAlign w:val="center"/>
            <w:hideMark/>
          </w:tcPr>
          <w:p w14:paraId="38EC1C1B" w14:textId="77777777" w:rsidR="00F238F9" w:rsidRPr="006C7B74" w:rsidRDefault="00F238F9" w:rsidP="00F238F9">
            <w:pPr>
              <w:jc w:val="center"/>
              <w:rPr>
                <w:rFonts w:cstheme="minorHAnsi"/>
                <w:color w:val="000000"/>
                <w:sz w:val="14"/>
                <w:szCs w:val="16"/>
                <w:lang w:eastAsia="en-AU"/>
              </w:rPr>
            </w:pPr>
            <w:r w:rsidRPr="006C7B74">
              <w:rPr>
                <w:rFonts w:cstheme="minorHAnsi"/>
                <w:color w:val="000000"/>
                <w:sz w:val="14"/>
                <w:szCs w:val="16"/>
                <w:lang w:eastAsia="en-AU"/>
              </w:rPr>
              <w:t>Floorspace (m</w:t>
            </w:r>
            <w:r w:rsidRPr="006C7B74">
              <w:rPr>
                <w:rFonts w:cstheme="minorHAnsi"/>
                <w:color w:val="000000"/>
                <w:sz w:val="14"/>
                <w:szCs w:val="16"/>
                <w:vertAlign w:val="superscript"/>
                <w:lang w:eastAsia="en-AU"/>
              </w:rPr>
              <w:t>2</w:t>
            </w:r>
            <w:r w:rsidRPr="006C7B74">
              <w:rPr>
                <w:rFonts w:cstheme="minorHAnsi"/>
                <w:color w:val="000000"/>
                <w:sz w:val="14"/>
                <w:szCs w:val="16"/>
                <w:lang w:eastAsia="en-AU"/>
              </w:rPr>
              <w:t>)</w:t>
            </w:r>
          </w:p>
        </w:tc>
        <w:tc>
          <w:tcPr>
            <w:tcW w:w="436" w:type="pct"/>
            <w:tcBorders>
              <w:top w:val="nil"/>
              <w:left w:val="nil"/>
              <w:bottom w:val="single" w:sz="8" w:space="0" w:color="44546A"/>
              <w:right w:val="nil"/>
            </w:tcBorders>
            <w:shd w:val="clear" w:color="auto" w:fill="auto"/>
            <w:vAlign w:val="center"/>
            <w:hideMark/>
          </w:tcPr>
          <w:p w14:paraId="54FF195D" w14:textId="77777777" w:rsidR="00F238F9" w:rsidRPr="006C7B74" w:rsidRDefault="00F238F9" w:rsidP="00F238F9">
            <w:pPr>
              <w:jc w:val="center"/>
              <w:rPr>
                <w:rFonts w:cstheme="minorHAnsi"/>
                <w:color w:val="000000"/>
                <w:sz w:val="14"/>
                <w:szCs w:val="16"/>
                <w:lang w:eastAsia="en-AU"/>
              </w:rPr>
            </w:pPr>
            <w:r w:rsidRPr="006C7B74">
              <w:rPr>
                <w:rFonts w:cstheme="minorHAnsi"/>
                <w:color w:val="000000"/>
                <w:sz w:val="14"/>
                <w:szCs w:val="16"/>
                <w:lang w:eastAsia="en-AU"/>
              </w:rPr>
              <w:t>No. of centres</w:t>
            </w:r>
          </w:p>
        </w:tc>
        <w:tc>
          <w:tcPr>
            <w:tcW w:w="616" w:type="pct"/>
            <w:tcBorders>
              <w:top w:val="nil"/>
              <w:left w:val="nil"/>
              <w:bottom w:val="single" w:sz="8" w:space="0" w:color="44546A"/>
              <w:right w:val="nil"/>
            </w:tcBorders>
            <w:shd w:val="clear" w:color="auto" w:fill="auto"/>
            <w:vAlign w:val="center"/>
            <w:hideMark/>
          </w:tcPr>
          <w:p w14:paraId="597CF1A8" w14:textId="77777777" w:rsidR="00F238F9" w:rsidRPr="006C7B74" w:rsidRDefault="00F238F9" w:rsidP="00F238F9">
            <w:pPr>
              <w:jc w:val="center"/>
              <w:rPr>
                <w:rFonts w:cstheme="minorHAnsi"/>
                <w:color w:val="000000"/>
                <w:sz w:val="14"/>
                <w:szCs w:val="16"/>
                <w:lang w:eastAsia="en-AU"/>
              </w:rPr>
            </w:pPr>
            <w:r w:rsidRPr="006C7B74">
              <w:rPr>
                <w:rFonts w:cstheme="minorHAnsi"/>
                <w:color w:val="000000"/>
                <w:sz w:val="14"/>
                <w:szCs w:val="16"/>
                <w:lang w:eastAsia="en-AU"/>
              </w:rPr>
              <w:t>Floorspace (m</w:t>
            </w:r>
            <w:r w:rsidRPr="006C7B74">
              <w:rPr>
                <w:rFonts w:cstheme="minorHAnsi"/>
                <w:color w:val="000000"/>
                <w:sz w:val="14"/>
                <w:szCs w:val="16"/>
                <w:vertAlign w:val="superscript"/>
                <w:lang w:eastAsia="en-AU"/>
              </w:rPr>
              <w:t>2</w:t>
            </w:r>
            <w:r w:rsidRPr="006C7B74">
              <w:rPr>
                <w:rFonts w:cstheme="minorHAnsi"/>
                <w:color w:val="000000"/>
                <w:sz w:val="14"/>
                <w:szCs w:val="16"/>
                <w:lang w:eastAsia="en-AU"/>
              </w:rPr>
              <w:t>)</w:t>
            </w:r>
          </w:p>
        </w:tc>
      </w:tr>
      <w:tr w:rsidR="00F238F9" w:rsidRPr="006C7B74" w14:paraId="1E8C2CB2" w14:textId="77777777" w:rsidTr="009F1021">
        <w:trPr>
          <w:trHeight w:val="240"/>
        </w:trPr>
        <w:tc>
          <w:tcPr>
            <w:tcW w:w="532" w:type="pct"/>
            <w:tcBorders>
              <w:top w:val="nil"/>
              <w:left w:val="nil"/>
              <w:bottom w:val="single" w:sz="8" w:space="0" w:color="44546A"/>
              <w:right w:val="nil"/>
            </w:tcBorders>
            <w:shd w:val="clear" w:color="auto" w:fill="auto"/>
            <w:vAlign w:val="center"/>
            <w:hideMark/>
          </w:tcPr>
          <w:p w14:paraId="6C7888BA" w14:textId="77777777" w:rsidR="00F238F9" w:rsidRPr="006C7B74" w:rsidRDefault="00F238F9" w:rsidP="00F238F9">
            <w:pPr>
              <w:rPr>
                <w:rFonts w:cstheme="minorHAnsi"/>
                <w:color w:val="000000"/>
                <w:sz w:val="16"/>
                <w:szCs w:val="16"/>
                <w:lang w:eastAsia="en-AU"/>
              </w:rPr>
            </w:pPr>
            <w:r w:rsidRPr="006C7B74">
              <w:rPr>
                <w:rFonts w:cstheme="minorHAnsi"/>
                <w:color w:val="000000"/>
                <w:sz w:val="16"/>
                <w:szCs w:val="16"/>
                <w:lang w:eastAsia="en-AU"/>
              </w:rPr>
              <w:t>Banyule</w:t>
            </w:r>
          </w:p>
        </w:tc>
        <w:tc>
          <w:tcPr>
            <w:tcW w:w="380" w:type="pct"/>
            <w:tcBorders>
              <w:top w:val="nil"/>
              <w:left w:val="nil"/>
              <w:bottom w:val="single" w:sz="8" w:space="0" w:color="44546A"/>
              <w:right w:val="nil"/>
            </w:tcBorders>
            <w:shd w:val="clear" w:color="auto" w:fill="auto"/>
            <w:vAlign w:val="center"/>
            <w:hideMark/>
          </w:tcPr>
          <w:p w14:paraId="6722283A"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21</w:t>
            </w:r>
          </w:p>
        </w:tc>
        <w:tc>
          <w:tcPr>
            <w:tcW w:w="451" w:type="pct"/>
            <w:tcBorders>
              <w:top w:val="nil"/>
              <w:left w:val="nil"/>
              <w:bottom w:val="single" w:sz="8" w:space="0" w:color="44546A"/>
              <w:right w:val="nil"/>
            </w:tcBorders>
            <w:shd w:val="clear" w:color="auto" w:fill="auto"/>
            <w:vAlign w:val="center"/>
            <w:hideMark/>
          </w:tcPr>
          <w:p w14:paraId="246E1F33"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23,300</w:t>
            </w:r>
          </w:p>
        </w:tc>
        <w:tc>
          <w:tcPr>
            <w:tcW w:w="346" w:type="pct"/>
            <w:tcBorders>
              <w:top w:val="nil"/>
              <w:left w:val="nil"/>
              <w:bottom w:val="single" w:sz="8" w:space="0" w:color="44546A"/>
              <w:right w:val="nil"/>
            </w:tcBorders>
            <w:shd w:val="clear" w:color="auto" w:fill="auto"/>
            <w:vAlign w:val="center"/>
            <w:hideMark/>
          </w:tcPr>
          <w:p w14:paraId="2FAFB11C"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12</w:t>
            </w:r>
          </w:p>
        </w:tc>
        <w:tc>
          <w:tcPr>
            <w:tcW w:w="466" w:type="pct"/>
            <w:tcBorders>
              <w:top w:val="nil"/>
              <w:left w:val="nil"/>
              <w:bottom w:val="single" w:sz="8" w:space="0" w:color="44546A"/>
              <w:right w:val="nil"/>
            </w:tcBorders>
            <w:shd w:val="clear" w:color="auto" w:fill="auto"/>
            <w:vAlign w:val="center"/>
            <w:hideMark/>
          </w:tcPr>
          <w:p w14:paraId="022A40E3"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50,300</w:t>
            </w:r>
          </w:p>
        </w:tc>
        <w:tc>
          <w:tcPr>
            <w:tcW w:w="394" w:type="pct"/>
            <w:tcBorders>
              <w:top w:val="nil"/>
              <w:left w:val="nil"/>
              <w:bottom w:val="single" w:sz="8" w:space="0" w:color="44546A"/>
              <w:right w:val="nil"/>
            </w:tcBorders>
            <w:shd w:val="clear" w:color="auto" w:fill="auto"/>
            <w:vAlign w:val="center"/>
            <w:hideMark/>
          </w:tcPr>
          <w:p w14:paraId="2A080368"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3</w:t>
            </w:r>
          </w:p>
        </w:tc>
        <w:tc>
          <w:tcPr>
            <w:tcW w:w="493" w:type="pct"/>
            <w:tcBorders>
              <w:top w:val="nil"/>
              <w:left w:val="nil"/>
              <w:bottom w:val="single" w:sz="8" w:space="0" w:color="44546A"/>
              <w:right w:val="nil"/>
            </w:tcBorders>
            <w:shd w:val="clear" w:color="auto" w:fill="auto"/>
            <w:vAlign w:val="center"/>
            <w:hideMark/>
          </w:tcPr>
          <w:p w14:paraId="10777671"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43,950</w:t>
            </w:r>
          </w:p>
        </w:tc>
        <w:tc>
          <w:tcPr>
            <w:tcW w:w="376" w:type="pct"/>
            <w:tcBorders>
              <w:top w:val="nil"/>
              <w:left w:val="nil"/>
              <w:bottom w:val="single" w:sz="8" w:space="0" w:color="44546A"/>
              <w:right w:val="nil"/>
            </w:tcBorders>
            <w:shd w:val="clear" w:color="auto" w:fill="auto"/>
            <w:vAlign w:val="center"/>
            <w:hideMark/>
          </w:tcPr>
          <w:p w14:paraId="5207865F"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1</w:t>
            </w:r>
          </w:p>
        </w:tc>
        <w:tc>
          <w:tcPr>
            <w:tcW w:w="510" w:type="pct"/>
            <w:tcBorders>
              <w:top w:val="nil"/>
              <w:left w:val="nil"/>
              <w:bottom w:val="single" w:sz="8" w:space="0" w:color="44546A"/>
              <w:right w:val="nil"/>
            </w:tcBorders>
            <w:shd w:val="clear" w:color="auto" w:fill="auto"/>
            <w:vAlign w:val="center"/>
            <w:hideMark/>
          </w:tcPr>
          <w:p w14:paraId="05BAC2A2"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50,750</w:t>
            </w:r>
          </w:p>
        </w:tc>
        <w:tc>
          <w:tcPr>
            <w:tcW w:w="436" w:type="pct"/>
            <w:tcBorders>
              <w:top w:val="nil"/>
              <w:left w:val="nil"/>
              <w:bottom w:val="single" w:sz="8" w:space="0" w:color="44546A"/>
              <w:right w:val="nil"/>
            </w:tcBorders>
            <w:shd w:val="clear" w:color="auto" w:fill="auto"/>
            <w:vAlign w:val="center"/>
            <w:hideMark/>
          </w:tcPr>
          <w:p w14:paraId="68C96557"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2</w:t>
            </w:r>
          </w:p>
        </w:tc>
        <w:tc>
          <w:tcPr>
            <w:tcW w:w="616" w:type="pct"/>
            <w:tcBorders>
              <w:top w:val="nil"/>
              <w:left w:val="nil"/>
              <w:bottom w:val="single" w:sz="8" w:space="0" w:color="44546A"/>
              <w:right w:val="nil"/>
            </w:tcBorders>
            <w:shd w:val="clear" w:color="auto" w:fill="auto"/>
            <w:vAlign w:val="center"/>
            <w:hideMark/>
          </w:tcPr>
          <w:p w14:paraId="1141A60E"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212,550</w:t>
            </w:r>
          </w:p>
        </w:tc>
      </w:tr>
      <w:tr w:rsidR="00F238F9" w:rsidRPr="006C7B74" w14:paraId="09EDA68E" w14:textId="77777777" w:rsidTr="009F1021">
        <w:trPr>
          <w:trHeight w:val="240"/>
        </w:trPr>
        <w:tc>
          <w:tcPr>
            <w:tcW w:w="532" w:type="pct"/>
            <w:tcBorders>
              <w:top w:val="nil"/>
              <w:left w:val="nil"/>
              <w:bottom w:val="single" w:sz="8" w:space="0" w:color="44546A"/>
              <w:right w:val="nil"/>
            </w:tcBorders>
            <w:shd w:val="clear" w:color="auto" w:fill="auto"/>
            <w:vAlign w:val="center"/>
            <w:hideMark/>
          </w:tcPr>
          <w:p w14:paraId="029B78B1" w14:textId="77777777" w:rsidR="00F238F9" w:rsidRPr="006C7B74" w:rsidRDefault="00F238F9" w:rsidP="00F238F9">
            <w:pPr>
              <w:rPr>
                <w:rFonts w:cstheme="minorHAnsi"/>
                <w:color w:val="000000"/>
                <w:sz w:val="16"/>
                <w:szCs w:val="16"/>
                <w:lang w:eastAsia="en-AU"/>
              </w:rPr>
            </w:pPr>
            <w:r w:rsidRPr="006C7B74">
              <w:rPr>
                <w:rFonts w:cstheme="minorHAnsi"/>
                <w:color w:val="000000"/>
                <w:sz w:val="16"/>
                <w:szCs w:val="16"/>
                <w:lang w:eastAsia="en-AU"/>
              </w:rPr>
              <w:t>Darebin</w:t>
            </w:r>
          </w:p>
        </w:tc>
        <w:tc>
          <w:tcPr>
            <w:tcW w:w="380" w:type="pct"/>
            <w:tcBorders>
              <w:top w:val="nil"/>
              <w:left w:val="nil"/>
              <w:bottom w:val="single" w:sz="8" w:space="0" w:color="44546A"/>
              <w:right w:val="nil"/>
            </w:tcBorders>
            <w:shd w:val="clear" w:color="auto" w:fill="auto"/>
            <w:vAlign w:val="center"/>
            <w:hideMark/>
          </w:tcPr>
          <w:p w14:paraId="2171D17B"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29</w:t>
            </w:r>
          </w:p>
        </w:tc>
        <w:tc>
          <w:tcPr>
            <w:tcW w:w="451" w:type="pct"/>
            <w:tcBorders>
              <w:top w:val="nil"/>
              <w:left w:val="nil"/>
              <w:bottom w:val="single" w:sz="8" w:space="0" w:color="44546A"/>
              <w:right w:val="nil"/>
            </w:tcBorders>
            <w:shd w:val="clear" w:color="auto" w:fill="auto"/>
            <w:vAlign w:val="center"/>
            <w:hideMark/>
          </w:tcPr>
          <w:p w14:paraId="267E117D"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31,450</w:t>
            </w:r>
          </w:p>
        </w:tc>
        <w:tc>
          <w:tcPr>
            <w:tcW w:w="346" w:type="pct"/>
            <w:tcBorders>
              <w:top w:val="nil"/>
              <w:left w:val="nil"/>
              <w:bottom w:val="single" w:sz="8" w:space="0" w:color="44546A"/>
              <w:right w:val="nil"/>
            </w:tcBorders>
            <w:shd w:val="clear" w:color="auto" w:fill="auto"/>
            <w:vAlign w:val="center"/>
            <w:hideMark/>
          </w:tcPr>
          <w:p w14:paraId="4D719C8F"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17</w:t>
            </w:r>
          </w:p>
        </w:tc>
        <w:tc>
          <w:tcPr>
            <w:tcW w:w="466" w:type="pct"/>
            <w:tcBorders>
              <w:top w:val="nil"/>
              <w:left w:val="nil"/>
              <w:bottom w:val="single" w:sz="8" w:space="0" w:color="44546A"/>
              <w:right w:val="nil"/>
            </w:tcBorders>
            <w:shd w:val="clear" w:color="auto" w:fill="auto"/>
            <w:vAlign w:val="center"/>
            <w:hideMark/>
          </w:tcPr>
          <w:p w14:paraId="1A9003FA"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72,800</w:t>
            </w:r>
          </w:p>
        </w:tc>
        <w:tc>
          <w:tcPr>
            <w:tcW w:w="394" w:type="pct"/>
            <w:tcBorders>
              <w:top w:val="nil"/>
              <w:left w:val="nil"/>
              <w:bottom w:val="single" w:sz="8" w:space="0" w:color="44546A"/>
              <w:right w:val="nil"/>
            </w:tcBorders>
            <w:shd w:val="clear" w:color="auto" w:fill="auto"/>
            <w:vAlign w:val="center"/>
            <w:hideMark/>
          </w:tcPr>
          <w:p w14:paraId="21F5421F"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8</w:t>
            </w:r>
          </w:p>
        </w:tc>
        <w:tc>
          <w:tcPr>
            <w:tcW w:w="493" w:type="pct"/>
            <w:tcBorders>
              <w:top w:val="nil"/>
              <w:left w:val="nil"/>
              <w:bottom w:val="single" w:sz="8" w:space="0" w:color="44546A"/>
              <w:right w:val="nil"/>
            </w:tcBorders>
            <w:shd w:val="clear" w:color="auto" w:fill="auto"/>
            <w:vAlign w:val="center"/>
            <w:hideMark/>
          </w:tcPr>
          <w:p w14:paraId="58F670DC"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156,650</w:t>
            </w:r>
          </w:p>
        </w:tc>
        <w:tc>
          <w:tcPr>
            <w:tcW w:w="376" w:type="pct"/>
            <w:tcBorders>
              <w:top w:val="nil"/>
              <w:left w:val="nil"/>
              <w:bottom w:val="single" w:sz="8" w:space="0" w:color="44546A"/>
              <w:right w:val="nil"/>
            </w:tcBorders>
            <w:shd w:val="clear" w:color="auto" w:fill="auto"/>
            <w:vAlign w:val="center"/>
            <w:hideMark/>
          </w:tcPr>
          <w:p w14:paraId="01547A59"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3</w:t>
            </w:r>
          </w:p>
        </w:tc>
        <w:tc>
          <w:tcPr>
            <w:tcW w:w="510" w:type="pct"/>
            <w:tcBorders>
              <w:top w:val="nil"/>
              <w:left w:val="nil"/>
              <w:bottom w:val="single" w:sz="8" w:space="0" w:color="44546A"/>
              <w:right w:val="nil"/>
            </w:tcBorders>
            <w:shd w:val="clear" w:color="auto" w:fill="auto"/>
            <w:vAlign w:val="center"/>
            <w:hideMark/>
          </w:tcPr>
          <w:p w14:paraId="20E65451"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194,050</w:t>
            </w:r>
          </w:p>
        </w:tc>
        <w:tc>
          <w:tcPr>
            <w:tcW w:w="436" w:type="pct"/>
            <w:tcBorders>
              <w:top w:val="nil"/>
              <w:left w:val="nil"/>
              <w:bottom w:val="single" w:sz="8" w:space="0" w:color="44546A"/>
              <w:right w:val="nil"/>
            </w:tcBorders>
            <w:shd w:val="clear" w:color="auto" w:fill="auto"/>
            <w:vAlign w:val="center"/>
            <w:hideMark/>
          </w:tcPr>
          <w:p w14:paraId="3F3D72CE"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3</w:t>
            </w:r>
          </w:p>
        </w:tc>
        <w:tc>
          <w:tcPr>
            <w:tcW w:w="616" w:type="pct"/>
            <w:tcBorders>
              <w:top w:val="nil"/>
              <w:left w:val="nil"/>
              <w:bottom w:val="single" w:sz="8" w:space="0" w:color="44546A"/>
              <w:right w:val="nil"/>
            </w:tcBorders>
            <w:shd w:val="clear" w:color="auto" w:fill="auto"/>
            <w:vAlign w:val="center"/>
            <w:hideMark/>
          </w:tcPr>
          <w:p w14:paraId="336A23D6"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357,600</w:t>
            </w:r>
          </w:p>
        </w:tc>
      </w:tr>
      <w:tr w:rsidR="00F238F9" w:rsidRPr="006C7B74" w14:paraId="493C5A3E" w14:textId="77777777" w:rsidTr="009F1021">
        <w:trPr>
          <w:trHeight w:val="240"/>
        </w:trPr>
        <w:tc>
          <w:tcPr>
            <w:tcW w:w="532" w:type="pct"/>
            <w:tcBorders>
              <w:top w:val="nil"/>
              <w:left w:val="nil"/>
              <w:bottom w:val="single" w:sz="8" w:space="0" w:color="44546A"/>
              <w:right w:val="nil"/>
            </w:tcBorders>
            <w:shd w:val="clear" w:color="auto" w:fill="auto"/>
            <w:vAlign w:val="center"/>
            <w:hideMark/>
          </w:tcPr>
          <w:p w14:paraId="7D1B58F1" w14:textId="77777777" w:rsidR="00F238F9" w:rsidRPr="006C7B74" w:rsidRDefault="00F238F9" w:rsidP="00F238F9">
            <w:pPr>
              <w:rPr>
                <w:rFonts w:cstheme="minorHAnsi"/>
                <w:color w:val="000000"/>
                <w:sz w:val="16"/>
                <w:szCs w:val="16"/>
                <w:lang w:eastAsia="en-AU"/>
              </w:rPr>
            </w:pPr>
            <w:r w:rsidRPr="006C7B74">
              <w:rPr>
                <w:rFonts w:cstheme="minorHAnsi"/>
                <w:color w:val="000000"/>
                <w:sz w:val="16"/>
                <w:szCs w:val="16"/>
                <w:lang w:eastAsia="en-AU"/>
              </w:rPr>
              <w:t>Hume</w:t>
            </w:r>
          </w:p>
        </w:tc>
        <w:tc>
          <w:tcPr>
            <w:tcW w:w="380" w:type="pct"/>
            <w:tcBorders>
              <w:top w:val="nil"/>
              <w:left w:val="nil"/>
              <w:bottom w:val="single" w:sz="8" w:space="0" w:color="44546A"/>
              <w:right w:val="nil"/>
            </w:tcBorders>
            <w:shd w:val="clear" w:color="auto" w:fill="auto"/>
            <w:vAlign w:val="center"/>
            <w:hideMark/>
          </w:tcPr>
          <w:p w14:paraId="1D302112"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23</w:t>
            </w:r>
          </w:p>
        </w:tc>
        <w:tc>
          <w:tcPr>
            <w:tcW w:w="451" w:type="pct"/>
            <w:tcBorders>
              <w:top w:val="nil"/>
              <w:left w:val="nil"/>
              <w:bottom w:val="single" w:sz="8" w:space="0" w:color="44546A"/>
              <w:right w:val="nil"/>
            </w:tcBorders>
            <w:shd w:val="clear" w:color="auto" w:fill="auto"/>
            <w:vAlign w:val="center"/>
            <w:hideMark/>
          </w:tcPr>
          <w:p w14:paraId="5A716B68"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15,800</w:t>
            </w:r>
          </w:p>
        </w:tc>
        <w:tc>
          <w:tcPr>
            <w:tcW w:w="346" w:type="pct"/>
            <w:tcBorders>
              <w:top w:val="nil"/>
              <w:left w:val="nil"/>
              <w:bottom w:val="single" w:sz="8" w:space="0" w:color="44546A"/>
              <w:right w:val="nil"/>
            </w:tcBorders>
            <w:shd w:val="clear" w:color="auto" w:fill="auto"/>
            <w:vAlign w:val="center"/>
            <w:hideMark/>
          </w:tcPr>
          <w:p w14:paraId="4C3253A4"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10</w:t>
            </w:r>
          </w:p>
        </w:tc>
        <w:tc>
          <w:tcPr>
            <w:tcW w:w="466" w:type="pct"/>
            <w:tcBorders>
              <w:top w:val="nil"/>
              <w:left w:val="nil"/>
              <w:bottom w:val="single" w:sz="8" w:space="0" w:color="44546A"/>
              <w:right w:val="nil"/>
            </w:tcBorders>
            <w:shd w:val="clear" w:color="auto" w:fill="auto"/>
            <w:vAlign w:val="center"/>
            <w:hideMark/>
          </w:tcPr>
          <w:p w14:paraId="41BF92C5"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59,150</w:t>
            </w:r>
          </w:p>
        </w:tc>
        <w:tc>
          <w:tcPr>
            <w:tcW w:w="394" w:type="pct"/>
            <w:tcBorders>
              <w:top w:val="nil"/>
              <w:left w:val="nil"/>
              <w:bottom w:val="single" w:sz="8" w:space="0" w:color="44546A"/>
              <w:right w:val="nil"/>
            </w:tcBorders>
            <w:shd w:val="clear" w:color="auto" w:fill="auto"/>
            <w:vAlign w:val="center"/>
            <w:hideMark/>
          </w:tcPr>
          <w:p w14:paraId="6D6E6163"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4</w:t>
            </w:r>
          </w:p>
        </w:tc>
        <w:tc>
          <w:tcPr>
            <w:tcW w:w="493" w:type="pct"/>
            <w:tcBorders>
              <w:top w:val="nil"/>
              <w:left w:val="nil"/>
              <w:bottom w:val="single" w:sz="8" w:space="0" w:color="44546A"/>
              <w:right w:val="nil"/>
            </w:tcBorders>
            <w:shd w:val="clear" w:color="auto" w:fill="auto"/>
            <w:vAlign w:val="center"/>
            <w:hideMark/>
          </w:tcPr>
          <w:p w14:paraId="3E9AFA4B"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96,900</w:t>
            </w:r>
          </w:p>
        </w:tc>
        <w:tc>
          <w:tcPr>
            <w:tcW w:w="376" w:type="pct"/>
            <w:tcBorders>
              <w:top w:val="nil"/>
              <w:left w:val="nil"/>
              <w:bottom w:val="single" w:sz="8" w:space="0" w:color="44546A"/>
              <w:right w:val="nil"/>
            </w:tcBorders>
            <w:shd w:val="clear" w:color="auto" w:fill="auto"/>
            <w:vAlign w:val="center"/>
            <w:hideMark/>
          </w:tcPr>
          <w:p w14:paraId="5A80D54E"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2</w:t>
            </w:r>
          </w:p>
        </w:tc>
        <w:tc>
          <w:tcPr>
            <w:tcW w:w="510" w:type="pct"/>
            <w:tcBorders>
              <w:top w:val="nil"/>
              <w:left w:val="nil"/>
              <w:bottom w:val="single" w:sz="8" w:space="0" w:color="44546A"/>
              <w:right w:val="nil"/>
            </w:tcBorders>
            <w:shd w:val="clear" w:color="auto" w:fill="auto"/>
            <w:vAlign w:val="center"/>
            <w:hideMark/>
          </w:tcPr>
          <w:p w14:paraId="1B83E4CF"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149,400</w:t>
            </w:r>
          </w:p>
        </w:tc>
        <w:tc>
          <w:tcPr>
            <w:tcW w:w="436" w:type="pct"/>
            <w:tcBorders>
              <w:top w:val="nil"/>
              <w:left w:val="nil"/>
              <w:bottom w:val="single" w:sz="8" w:space="0" w:color="44546A"/>
              <w:right w:val="nil"/>
            </w:tcBorders>
            <w:shd w:val="clear" w:color="auto" w:fill="auto"/>
            <w:vAlign w:val="center"/>
            <w:hideMark/>
          </w:tcPr>
          <w:p w14:paraId="2DED9A03"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1</w:t>
            </w:r>
          </w:p>
        </w:tc>
        <w:tc>
          <w:tcPr>
            <w:tcW w:w="616" w:type="pct"/>
            <w:tcBorders>
              <w:top w:val="nil"/>
              <w:left w:val="nil"/>
              <w:bottom w:val="single" w:sz="8" w:space="0" w:color="44546A"/>
              <w:right w:val="nil"/>
            </w:tcBorders>
            <w:shd w:val="clear" w:color="auto" w:fill="auto"/>
            <w:vAlign w:val="center"/>
            <w:hideMark/>
          </w:tcPr>
          <w:p w14:paraId="0F3A4381"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198,700</w:t>
            </w:r>
          </w:p>
        </w:tc>
      </w:tr>
      <w:tr w:rsidR="00F238F9" w:rsidRPr="006C7B74" w14:paraId="605E7B8B" w14:textId="77777777" w:rsidTr="009F1021">
        <w:trPr>
          <w:trHeight w:val="240"/>
        </w:trPr>
        <w:tc>
          <w:tcPr>
            <w:tcW w:w="532" w:type="pct"/>
            <w:tcBorders>
              <w:top w:val="nil"/>
              <w:left w:val="nil"/>
              <w:bottom w:val="single" w:sz="8" w:space="0" w:color="44546A"/>
              <w:right w:val="nil"/>
            </w:tcBorders>
            <w:shd w:val="clear" w:color="auto" w:fill="auto"/>
            <w:vAlign w:val="center"/>
            <w:hideMark/>
          </w:tcPr>
          <w:p w14:paraId="2B5EE713" w14:textId="77777777" w:rsidR="00F238F9" w:rsidRPr="006C7B74" w:rsidRDefault="00F238F9" w:rsidP="00F238F9">
            <w:pPr>
              <w:rPr>
                <w:rFonts w:cstheme="minorHAnsi"/>
                <w:color w:val="000000"/>
                <w:sz w:val="16"/>
                <w:szCs w:val="16"/>
                <w:lang w:eastAsia="en-AU"/>
              </w:rPr>
            </w:pPr>
            <w:r w:rsidRPr="006C7B74">
              <w:rPr>
                <w:rFonts w:cstheme="minorHAnsi"/>
                <w:color w:val="000000"/>
                <w:sz w:val="16"/>
                <w:szCs w:val="16"/>
                <w:lang w:eastAsia="en-AU"/>
              </w:rPr>
              <w:t>Moreland</w:t>
            </w:r>
          </w:p>
        </w:tc>
        <w:tc>
          <w:tcPr>
            <w:tcW w:w="380" w:type="pct"/>
            <w:tcBorders>
              <w:top w:val="nil"/>
              <w:left w:val="nil"/>
              <w:bottom w:val="single" w:sz="8" w:space="0" w:color="44546A"/>
              <w:right w:val="nil"/>
            </w:tcBorders>
            <w:shd w:val="clear" w:color="auto" w:fill="auto"/>
            <w:vAlign w:val="center"/>
            <w:hideMark/>
          </w:tcPr>
          <w:p w14:paraId="72D3829D"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21</w:t>
            </w:r>
          </w:p>
        </w:tc>
        <w:tc>
          <w:tcPr>
            <w:tcW w:w="451" w:type="pct"/>
            <w:tcBorders>
              <w:top w:val="nil"/>
              <w:left w:val="nil"/>
              <w:bottom w:val="single" w:sz="8" w:space="0" w:color="44546A"/>
              <w:right w:val="nil"/>
            </w:tcBorders>
            <w:shd w:val="clear" w:color="auto" w:fill="auto"/>
            <w:vAlign w:val="center"/>
            <w:hideMark/>
          </w:tcPr>
          <w:p w14:paraId="3746C283"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23,300</w:t>
            </w:r>
          </w:p>
        </w:tc>
        <w:tc>
          <w:tcPr>
            <w:tcW w:w="346" w:type="pct"/>
            <w:tcBorders>
              <w:top w:val="nil"/>
              <w:left w:val="nil"/>
              <w:bottom w:val="single" w:sz="8" w:space="0" w:color="44546A"/>
              <w:right w:val="nil"/>
            </w:tcBorders>
            <w:shd w:val="clear" w:color="auto" w:fill="auto"/>
            <w:vAlign w:val="center"/>
            <w:hideMark/>
          </w:tcPr>
          <w:p w14:paraId="30A0F0A2"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30</w:t>
            </w:r>
          </w:p>
        </w:tc>
        <w:tc>
          <w:tcPr>
            <w:tcW w:w="466" w:type="pct"/>
            <w:tcBorders>
              <w:top w:val="nil"/>
              <w:left w:val="nil"/>
              <w:bottom w:val="single" w:sz="8" w:space="0" w:color="44546A"/>
              <w:right w:val="nil"/>
            </w:tcBorders>
            <w:shd w:val="clear" w:color="auto" w:fill="auto"/>
            <w:vAlign w:val="center"/>
            <w:hideMark/>
          </w:tcPr>
          <w:p w14:paraId="293C56E9"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121,400</w:t>
            </w:r>
          </w:p>
        </w:tc>
        <w:tc>
          <w:tcPr>
            <w:tcW w:w="394" w:type="pct"/>
            <w:tcBorders>
              <w:top w:val="nil"/>
              <w:left w:val="nil"/>
              <w:bottom w:val="single" w:sz="8" w:space="0" w:color="44546A"/>
              <w:right w:val="nil"/>
            </w:tcBorders>
            <w:shd w:val="clear" w:color="auto" w:fill="auto"/>
            <w:vAlign w:val="center"/>
            <w:hideMark/>
          </w:tcPr>
          <w:p w14:paraId="0ADEFD3E"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5</w:t>
            </w:r>
          </w:p>
        </w:tc>
        <w:tc>
          <w:tcPr>
            <w:tcW w:w="493" w:type="pct"/>
            <w:tcBorders>
              <w:top w:val="nil"/>
              <w:left w:val="nil"/>
              <w:bottom w:val="single" w:sz="8" w:space="0" w:color="44546A"/>
              <w:right w:val="nil"/>
            </w:tcBorders>
            <w:shd w:val="clear" w:color="auto" w:fill="auto"/>
            <w:vAlign w:val="center"/>
            <w:hideMark/>
          </w:tcPr>
          <w:p w14:paraId="27A5E9C6"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116,300</w:t>
            </w:r>
          </w:p>
        </w:tc>
        <w:tc>
          <w:tcPr>
            <w:tcW w:w="376" w:type="pct"/>
            <w:tcBorders>
              <w:top w:val="nil"/>
              <w:left w:val="nil"/>
              <w:bottom w:val="single" w:sz="8" w:space="0" w:color="44546A"/>
              <w:right w:val="nil"/>
            </w:tcBorders>
            <w:shd w:val="clear" w:color="auto" w:fill="auto"/>
            <w:vAlign w:val="center"/>
            <w:hideMark/>
          </w:tcPr>
          <w:p w14:paraId="230617E4"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1</w:t>
            </w:r>
          </w:p>
        </w:tc>
        <w:tc>
          <w:tcPr>
            <w:tcW w:w="510" w:type="pct"/>
            <w:tcBorders>
              <w:top w:val="nil"/>
              <w:left w:val="nil"/>
              <w:bottom w:val="single" w:sz="8" w:space="0" w:color="44546A"/>
              <w:right w:val="nil"/>
            </w:tcBorders>
            <w:shd w:val="clear" w:color="auto" w:fill="auto"/>
            <w:vAlign w:val="center"/>
            <w:hideMark/>
          </w:tcPr>
          <w:p w14:paraId="3BCF39D4"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92,450</w:t>
            </w:r>
          </w:p>
        </w:tc>
        <w:tc>
          <w:tcPr>
            <w:tcW w:w="436" w:type="pct"/>
            <w:tcBorders>
              <w:top w:val="nil"/>
              <w:left w:val="nil"/>
              <w:bottom w:val="single" w:sz="8" w:space="0" w:color="44546A"/>
              <w:right w:val="nil"/>
            </w:tcBorders>
            <w:shd w:val="clear" w:color="auto" w:fill="auto"/>
            <w:vAlign w:val="center"/>
            <w:hideMark/>
          </w:tcPr>
          <w:p w14:paraId="17EA561B"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2</w:t>
            </w:r>
          </w:p>
        </w:tc>
        <w:tc>
          <w:tcPr>
            <w:tcW w:w="616" w:type="pct"/>
            <w:tcBorders>
              <w:top w:val="nil"/>
              <w:left w:val="nil"/>
              <w:bottom w:val="single" w:sz="8" w:space="0" w:color="44546A"/>
              <w:right w:val="nil"/>
            </w:tcBorders>
            <w:shd w:val="clear" w:color="auto" w:fill="auto"/>
            <w:vAlign w:val="center"/>
            <w:hideMark/>
          </w:tcPr>
          <w:p w14:paraId="13F6065B"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409,300</w:t>
            </w:r>
          </w:p>
        </w:tc>
      </w:tr>
      <w:tr w:rsidR="00F238F9" w:rsidRPr="006C7B74" w14:paraId="6DCCBF19" w14:textId="77777777" w:rsidTr="009F1021">
        <w:trPr>
          <w:trHeight w:val="240"/>
        </w:trPr>
        <w:tc>
          <w:tcPr>
            <w:tcW w:w="532" w:type="pct"/>
            <w:tcBorders>
              <w:top w:val="nil"/>
              <w:left w:val="nil"/>
              <w:bottom w:val="single" w:sz="8" w:space="0" w:color="44546A"/>
              <w:right w:val="nil"/>
            </w:tcBorders>
            <w:shd w:val="clear" w:color="auto" w:fill="auto"/>
            <w:vAlign w:val="center"/>
            <w:hideMark/>
          </w:tcPr>
          <w:p w14:paraId="23B65CF6" w14:textId="77777777" w:rsidR="00F238F9" w:rsidRPr="006C7B74" w:rsidRDefault="00F238F9" w:rsidP="00F238F9">
            <w:pPr>
              <w:rPr>
                <w:rFonts w:cstheme="minorHAnsi"/>
                <w:color w:val="000000"/>
                <w:sz w:val="16"/>
                <w:szCs w:val="16"/>
                <w:lang w:eastAsia="en-AU"/>
              </w:rPr>
            </w:pPr>
            <w:r w:rsidRPr="006C7B74">
              <w:rPr>
                <w:rFonts w:cstheme="minorHAnsi"/>
                <w:color w:val="000000"/>
                <w:sz w:val="16"/>
                <w:szCs w:val="16"/>
                <w:lang w:eastAsia="en-AU"/>
              </w:rPr>
              <w:t xml:space="preserve">Nillumbik </w:t>
            </w:r>
          </w:p>
        </w:tc>
        <w:tc>
          <w:tcPr>
            <w:tcW w:w="380" w:type="pct"/>
            <w:tcBorders>
              <w:top w:val="nil"/>
              <w:left w:val="nil"/>
              <w:bottom w:val="single" w:sz="8" w:space="0" w:color="44546A"/>
              <w:right w:val="nil"/>
            </w:tcBorders>
            <w:shd w:val="clear" w:color="auto" w:fill="auto"/>
            <w:vAlign w:val="center"/>
            <w:hideMark/>
          </w:tcPr>
          <w:p w14:paraId="26191E90"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5</w:t>
            </w:r>
          </w:p>
        </w:tc>
        <w:tc>
          <w:tcPr>
            <w:tcW w:w="451" w:type="pct"/>
            <w:tcBorders>
              <w:top w:val="nil"/>
              <w:left w:val="nil"/>
              <w:bottom w:val="single" w:sz="8" w:space="0" w:color="44546A"/>
              <w:right w:val="nil"/>
            </w:tcBorders>
            <w:shd w:val="clear" w:color="auto" w:fill="auto"/>
            <w:vAlign w:val="center"/>
            <w:hideMark/>
          </w:tcPr>
          <w:p w14:paraId="2CB641F2"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5,700</w:t>
            </w:r>
          </w:p>
        </w:tc>
        <w:tc>
          <w:tcPr>
            <w:tcW w:w="346" w:type="pct"/>
            <w:tcBorders>
              <w:top w:val="nil"/>
              <w:left w:val="nil"/>
              <w:bottom w:val="single" w:sz="8" w:space="0" w:color="44546A"/>
              <w:right w:val="nil"/>
            </w:tcBorders>
            <w:shd w:val="clear" w:color="auto" w:fill="auto"/>
            <w:vAlign w:val="center"/>
            <w:hideMark/>
          </w:tcPr>
          <w:p w14:paraId="670CAD44"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1</w:t>
            </w:r>
          </w:p>
        </w:tc>
        <w:tc>
          <w:tcPr>
            <w:tcW w:w="466" w:type="pct"/>
            <w:tcBorders>
              <w:top w:val="nil"/>
              <w:left w:val="nil"/>
              <w:bottom w:val="single" w:sz="8" w:space="0" w:color="44546A"/>
              <w:right w:val="nil"/>
            </w:tcBorders>
            <w:shd w:val="clear" w:color="auto" w:fill="auto"/>
            <w:vAlign w:val="center"/>
            <w:hideMark/>
          </w:tcPr>
          <w:p w14:paraId="6C5FE710"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4,050</w:t>
            </w:r>
          </w:p>
        </w:tc>
        <w:tc>
          <w:tcPr>
            <w:tcW w:w="394" w:type="pct"/>
            <w:tcBorders>
              <w:top w:val="nil"/>
              <w:left w:val="nil"/>
              <w:bottom w:val="single" w:sz="8" w:space="0" w:color="44546A"/>
              <w:right w:val="nil"/>
            </w:tcBorders>
            <w:shd w:val="clear" w:color="auto" w:fill="auto"/>
            <w:vAlign w:val="center"/>
            <w:hideMark/>
          </w:tcPr>
          <w:p w14:paraId="36303717"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2</w:t>
            </w:r>
          </w:p>
        </w:tc>
        <w:tc>
          <w:tcPr>
            <w:tcW w:w="493" w:type="pct"/>
            <w:tcBorders>
              <w:top w:val="nil"/>
              <w:left w:val="nil"/>
              <w:bottom w:val="single" w:sz="8" w:space="0" w:color="44546A"/>
              <w:right w:val="nil"/>
            </w:tcBorders>
            <w:shd w:val="clear" w:color="auto" w:fill="auto"/>
            <w:vAlign w:val="center"/>
            <w:hideMark/>
          </w:tcPr>
          <w:p w14:paraId="72BE44F2"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51,600</w:t>
            </w:r>
          </w:p>
        </w:tc>
        <w:tc>
          <w:tcPr>
            <w:tcW w:w="376" w:type="pct"/>
            <w:tcBorders>
              <w:top w:val="nil"/>
              <w:left w:val="nil"/>
              <w:bottom w:val="single" w:sz="8" w:space="0" w:color="44546A"/>
              <w:right w:val="nil"/>
            </w:tcBorders>
            <w:shd w:val="clear" w:color="auto" w:fill="auto"/>
            <w:vAlign w:val="center"/>
            <w:hideMark/>
          </w:tcPr>
          <w:p w14:paraId="0867DEB8"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0</w:t>
            </w:r>
          </w:p>
        </w:tc>
        <w:tc>
          <w:tcPr>
            <w:tcW w:w="510" w:type="pct"/>
            <w:tcBorders>
              <w:top w:val="nil"/>
              <w:left w:val="nil"/>
              <w:bottom w:val="single" w:sz="8" w:space="0" w:color="44546A"/>
              <w:right w:val="nil"/>
            </w:tcBorders>
            <w:shd w:val="clear" w:color="auto" w:fill="auto"/>
            <w:vAlign w:val="center"/>
            <w:hideMark/>
          </w:tcPr>
          <w:p w14:paraId="13D7F46A"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0</w:t>
            </w:r>
          </w:p>
        </w:tc>
        <w:tc>
          <w:tcPr>
            <w:tcW w:w="436" w:type="pct"/>
            <w:tcBorders>
              <w:top w:val="nil"/>
              <w:left w:val="nil"/>
              <w:bottom w:val="single" w:sz="8" w:space="0" w:color="44546A"/>
              <w:right w:val="nil"/>
            </w:tcBorders>
            <w:shd w:val="clear" w:color="auto" w:fill="auto"/>
            <w:vAlign w:val="center"/>
            <w:hideMark/>
          </w:tcPr>
          <w:p w14:paraId="5EC8497E"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0</w:t>
            </w:r>
          </w:p>
        </w:tc>
        <w:tc>
          <w:tcPr>
            <w:tcW w:w="616" w:type="pct"/>
            <w:tcBorders>
              <w:top w:val="nil"/>
              <w:left w:val="nil"/>
              <w:bottom w:val="single" w:sz="8" w:space="0" w:color="44546A"/>
              <w:right w:val="nil"/>
            </w:tcBorders>
            <w:shd w:val="clear" w:color="auto" w:fill="auto"/>
            <w:vAlign w:val="center"/>
            <w:hideMark/>
          </w:tcPr>
          <w:p w14:paraId="44B84F73"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0</w:t>
            </w:r>
          </w:p>
        </w:tc>
      </w:tr>
      <w:tr w:rsidR="00F238F9" w:rsidRPr="006C7B74" w14:paraId="58A68089" w14:textId="77777777" w:rsidTr="009F1021">
        <w:trPr>
          <w:trHeight w:val="240"/>
        </w:trPr>
        <w:tc>
          <w:tcPr>
            <w:tcW w:w="532" w:type="pct"/>
            <w:tcBorders>
              <w:top w:val="nil"/>
              <w:left w:val="nil"/>
              <w:bottom w:val="single" w:sz="8" w:space="0" w:color="44546A"/>
              <w:right w:val="nil"/>
            </w:tcBorders>
            <w:shd w:val="clear" w:color="auto" w:fill="auto"/>
            <w:vAlign w:val="center"/>
            <w:hideMark/>
          </w:tcPr>
          <w:p w14:paraId="62CC177E" w14:textId="77777777" w:rsidR="00F238F9" w:rsidRPr="006C7B74" w:rsidRDefault="00F238F9" w:rsidP="00F238F9">
            <w:pPr>
              <w:rPr>
                <w:rFonts w:cstheme="minorHAnsi"/>
                <w:color w:val="000000"/>
                <w:sz w:val="16"/>
                <w:szCs w:val="16"/>
                <w:lang w:eastAsia="en-AU"/>
              </w:rPr>
            </w:pPr>
            <w:r w:rsidRPr="006C7B74">
              <w:rPr>
                <w:rFonts w:cstheme="minorHAnsi"/>
                <w:color w:val="000000"/>
                <w:sz w:val="16"/>
                <w:szCs w:val="16"/>
                <w:lang w:eastAsia="en-AU"/>
              </w:rPr>
              <w:t>Whittlesea</w:t>
            </w:r>
          </w:p>
        </w:tc>
        <w:tc>
          <w:tcPr>
            <w:tcW w:w="380" w:type="pct"/>
            <w:tcBorders>
              <w:top w:val="nil"/>
              <w:left w:val="nil"/>
              <w:bottom w:val="single" w:sz="8" w:space="0" w:color="44546A"/>
              <w:right w:val="nil"/>
            </w:tcBorders>
            <w:shd w:val="clear" w:color="auto" w:fill="auto"/>
            <w:vAlign w:val="center"/>
            <w:hideMark/>
          </w:tcPr>
          <w:p w14:paraId="4AAE2EE4"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11</w:t>
            </w:r>
          </w:p>
        </w:tc>
        <w:tc>
          <w:tcPr>
            <w:tcW w:w="451" w:type="pct"/>
            <w:tcBorders>
              <w:top w:val="nil"/>
              <w:left w:val="nil"/>
              <w:bottom w:val="single" w:sz="8" w:space="0" w:color="44546A"/>
              <w:right w:val="nil"/>
            </w:tcBorders>
            <w:shd w:val="clear" w:color="auto" w:fill="auto"/>
            <w:vAlign w:val="center"/>
            <w:hideMark/>
          </w:tcPr>
          <w:p w14:paraId="1749ACCF"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8,700</w:t>
            </w:r>
          </w:p>
        </w:tc>
        <w:tc>
          <w:tcPr>
            <w:tcW w:w="346" w:type="pct"/>
            <w:tcBorders>
              <w:top w:val="nil"/>
              <w:left w:val="nil"/>
              <w:bottom w:val="single" w:sz="8" w:space="0" w:color="44546A"/>
              <w:right w:val="nil"/>
            </w:tcBorders>
            <w:shd w:val="clear" w:color="auto" w:fill="auto"/>
            <w:vAlign w:val="center"/>
            <w:hideMark/>
          </w:tcPr>
          <w:p w14:paraId="00773BB9"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9</w:t>
            </w:r>
          </w:p>
        </w:tc>
        <w:tc>
          <w:tcPr>
            <w:tcW w:w="466" w:type="pct"/>
            <w:tcBorders>
              <w:top w:val="nil"/>
              <w:left w:val="nil"/>
              <w:bottom w:val="single" w:sz="8" w:space="0" w:color="44546A"/>
              <w:right w:val="nil"/>
            </w:tcBorders>
            <w:shd w:val="clear" w:color="auto" w:fill="auto"/>
            <w:vAlign w:val="center"/>
            <w:hideMark/>
          </w:tcPr>
          <w:p w14:paraId="793AD65C"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44,750</w:t>
            </w:r>
          </w:p>
        </w:tc>
        <w:tc>
          <w:tcPr>
            <w:tcW w:w="394" w:type="pct"/>
            <w:tcBorders>
              <w:top w:val="nil"/>
              <w:left w:val="nil"/>
              <w:bottom w:val="single" w:sz="8" w:space="0" w:color="44546A"/>
              <w:right w:val="nil"/>
            </w:tcBorders>
            <w:shd w:val="clear" w:color="auto" w:fill="auto"/>
            <w:vAlign w:val="center"/>
            <w:hideMark/>
          </w:tcPr>
          <w:p w14:paraId="613E836D"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7</w:t>
            </w:r>
          </w:p>
        </w:tc>
        <w:tc>
          <w:tcPr>
            <w:tcW w:w="493" w:type="pct"/>
            <w:tcBorders>
              <w:top w:val="nil"/>
              <w:left w:val="nil"/>
              <w:bottom w:val="single" w:sz="8" w:space="0" w:color="44546A"/>
              <w:right w:val="nil"/>
            </w:tcBorders>
            <w:shd w:val="clear" w:color="auto" w:fill="auto"/>
            <w:vAlign w:val="center"/>
            <w:hideMark/>
          </w:tcPr>
          <w:p w14:paraId="3644E9A7"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130,900</w:t>
            </w:r>
          </w:p>
        </w:tc>
        <w:tc>
          <w:tcPr>
            <w:tcW w:w="376" w:type="pct"/>
            <w:tcBorders>
              <w:top w:val="nil"/>
              <w:left w:val="nil"/>
              <w:bottom w:val="single" w:sz="8" w:space="0" w:color="44546A"/>
              <w:right w:val="nil"/>
            </w:tcBorders>
            <w:shd w:val="clear" w:color="auto" w:fill="auto"/>
            <w:vAlign w:val="center"/>
            <w:hideMark/>
          </w:tcPr>
          <w:p w14:paraId="0CC48B94"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0</w:t>
            </w:r>
          </w:p>
        </w:tc>
        <w:tc>
          <w:tcPr>
            <w:tcW w:w="510" w:type="pct"/>
            <w:tcBorders>
              <w:top w:val="nil"/>
              <w:left w:val="nil"/>
              <w:bottom w:val="single" w:sz="8" w:space="0" w:color="44546A"/>
              <w:right w:val="nil"/>
            </w:tcBorders>
            <w:shd w:val="clear" w:color="auto" w:fill="auto"/>
            <w:vAlign w:val="center"/>
            <w:hideMark/>
          </w:tcPr>
          <w:p w14:paraId="6B2B736C"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0</w:t>
            </w:r>
          </w:p>
        </w:tc>
        <w:tc>
          <w:tcPr>
            <w:tcW w:w="436" w:type="pct"/>
            <w:tcBorders>
              <w:top w:val="nil"/>
              <w:left w:val="nil"/>
              <w:bottom w:val="single" w:sz="8" w:space="0" w:color="44546A"/>
              <w:right w:val="nil"/>
            </w:tcBorders>
            <w:shd w:val="clear" w:color="auto" w:fill="auto"/>
            <w:vAlign w:val="center"/>
            <w:hideMark/>
          </w:tcPr>
          <w:p w14:paraId="7CF7DB16"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3</w:t>
            </w:r>
          </w:p>
        </w:tc>
        <w:tc>
          <w:tcPr>
            <w:tcW w:w="616" w:type="pct"/>
            <w:tcBorders>
              <w:top w:val="nil"/>
              <w:left w:val="nil"/>
              <w:bottom w:val="single" w:sz="8" w:space="0" w:color="44546A"/>
              <w:right w:val="nil"/>
            </w:tcBorders>
            <w:shd w:val="clear" w:color="auto" w:fill="auto"/>
            <w:vAlign w:val="center"/>
            <w:hideMark/>
          </w:tcPr>
          <w:p w14:paraId="4B9CC7B6"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494,500</w:t>
            </w:r>
          </w:p>
        </w:tc>
      </w:tr>
      <w:tr w:rsidR="00F238F9" w:rsidRPr="006C7B74" w14:paraId="15BD9A76" w14:textId="77777777" w:rsidTr="009F1021">
        <w:trPr>
          <w:trHeight w:val="240"/>
        </w:trPr>
        <w:tc>
          <w:tcPr>
            <w:tcW w:w="532" w:type="pct"/>
            <w:tcBorders>
              <w:top w:val="nil"/>
              <w:left w:val="nil"/>
              <w:bottom w:val="single" w:sz="8" w:space="0" w:color="44546A"/>
              <w:right w:val="nil"/>
            </w:tcBorders>
            <w:shd w:val="clear" w:color="auto" w:fill="auto"/>
            <w:vAlign w:val="center"/>
            <w:hideMark/>
          </w:tcPr>
          <w:p w14:paraId="069DE56F" w14:textId="65AD8E90" w:rsidR="00F238F9" w:rsidRPr="006C7B74" w:rsidRDefault="00F238F9" w:rsidP="00F238F9">
            <w:pPr>
              <w:rPr>
                <w:rFonts w:cstheme="minorHAnsi"/>
                <w:color w:val="000000"/>
                <w:sz w:val="16"/>
                <w:szCs w:val="16"/>
                <w:lang w:eastAsia="en-AU"/>
              </w:rPr>
            </w:pPr>
            <w:r w:rsidRPr="006C7B74">
              <w:rPr>
                <w:rFonts w:cstheme="minorHAnsi"/>
                <w:color w:val="000000"/>
                <w:sz w:val="16"/>
                <w:szCs w:val="16"/>
                <w:lang w:eastAsia="en-AU"/>
              </w:rPr>
              <w:t>Mitchell (</w:t>
            </w:r>
            <w:r w:rsidR="00921536" w:rsidRPr="006C7B74">
              <w:rPr>
                <w:rFonts w:cstheme="minorHAnsi"/>
                <w:color w:val="000000"/>
                <w:sz w:val="16"/>
                <w:szCs w:val="16"/>
                <w:lang w:eastAsia="en-AU"/>
              </w:rPr>
              <w:t>w</w:t>
            </w:r>
            <w:r w:rsidRPr="006C7B74">
              <w:rPr>
                <w:rFonts w:cstheme="minorHAnsi"/>
                <w:color w:val="000000"/>
                <w:sz w:val="16"/>
                <w:szCs w:val="16"/>
                <w:lang w:eastAsia="en-AU"/>
              </w:rPr>
              <w:t>ithin UGB)</w:t>
            </w:r>
          </w:p>
        </w:tc>
        <w:tc>
          <w:tcPr>
            <w:tcW w:w="380" w:type="pct"/>
            <w:tcBorders>
              <w:top w:val="nil"/>
              <w:left w:val="nil"/>
              <w:bottom w:val="single" w:sz="8" w:space="0" w:color="44546A"/>
              <w:right w:val="nil"/>
            </w:tcBorders>
            <w:shd w:val="clear" w:color="auto" w:fill="auto"/>
            <w:vAlign w:val="center"/>
            <w:hideMark/>
          </w:tcPr>
          <w:p w14:paraId="727788BF"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1</w:t>
            </w:r>
          </w:p>
        </w:tc>
        <w:tc>
          <w:tcPr>
            <w:tcW w:w="451" w:type="pct"/>
            <w:tcBorders>
              <w:top w:val="nil"/>
              <w:left w:val="nil"/>
              <w:bottom w:val="single" w:sz="8" w:space="0" w:color="44546A"/>
              <w:right w:val="nil"/>
            </w:tcBorders>
            <w:shd w:val="clear" w:color="auto" w:fill="auto"/>
            <w:vAlign w:val="center"/>
            <w:hideMark/>
          </w:tcPr>
          <w:p w14:paraId="6EC5F4C8"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600</w:t>
            </w:r>
          </w:p>
        </w:tc>
        <w:tc>
          <w:tcPr>
            <w:tcW w:w="346" w:type="pct"/>
            <w:tcBorders>
              <w:top w:val="nil"/>
              <w:left w:val="nil"/>
              <w:bottom w:val="single" w:sz="8" w:space="0" w:color="44546A"/>
              <w:right w:val="nil"/>
            </w:tcBorders>
            <w:shd w:val="clear" w:color="auto" w:fill="auto"/>
            <w:vAlign w:val="center"/>
            <w:hideMark/>
          </w:tcPr>
          <w:p w14:paraId="3B4C7DFD"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0</w:t>
            </w:r>
          </w:p>
        </w:tc>
        <w:tc>
          <w:tcPr>
            <w:tcW w:w="466" w:type="pct"/>
            <w:tcBorders>
              <w:top w:val="nil"/>
              <w:left w:val="nil"/>
              <w:bottom w:val="single" w:sz="8" w:space="0" w:color="44546A"/>
              <w:right w:val="nil"/>
            </w:tcBorders>
            <w:shd w:val="clear" w:color="auto" w:fill="auto"/>
            <w:vAlign w:val="center"/>
            <w:hideMark/>
          </w:tcPr>
          <w:p w14:paraId="008A2AF5"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0</w:t>
            </w:r>
          </w:p>
        </w:tc>
        <w:tc>
          <w:tcPr>
            <w:tcW w:w="394" w:type="pct"/>
            <w:tcBorders>
              <w:top w:val="nil"/>
              <w:left w:val="nil"/>
              <w:bottom w:val="single" w:sz="8" w:space="0" w:color="44546A"/>
              <w:right w:val="nil"/>
            </w:tcBorders>
            <w:shd w:val="clear" w:color="auto" w:fill="auto"/>
            <w:vAlign w:val="center"/>
            <w:hideMark/>
          </w:tcPr>
          <w:p w14:paraId="4F9E9686"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1</w:t>
            </w:r>
          </w:p>
        </w:tc>
        <w:tc>
          <w:tcPr>
            <w:tcW w:w="493" w:type="pct"/>
            <w:tcBorders>
              <w:top w:val="nil"/>
              <w:left w:val="nil"/>
              <w:bottom w:val="single" w:sz="8" w:space="0" w:color="44546A"/>
              <w:right w:val="nil"/>
            </w:tcBorders>
            <w:shd w:val="clear" w:color="auto" w:fill="auto"/>
            <w:vAlign w:val="center"/>
            <w:hideMark/>
          </w:tcPr>
          <w:p w14:paraId="12018241"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22,250</w:t>
            </w:r>
          </w:p>
        </w:tc>
        <w:tc>
          <w:tcPr>
            <w:tcW w:w="376" w:type="pct"/>
            <w:tcBorders>
              <w:top w:val="nil"/>
              <w:left w:val="nil"/>
              <w:bottom w:val="single" w:sz="8" w:space="0" w:color="44546A"/>
              <w:right w:val="nil"/>
            </w:tcBorders>
            <w:shd w:val="clear" w:color="auto" w:fill="auto"/>
            <w:vAlign w:val="center"/>
            <w:hideMark/>
          </w:tcPr>
          <w:p w14:paraId="5EEEA1F2"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0</w:t>
            </w:r>
          </w:p>
        </w:tc>
        <w:tc>
          <w:tcPr>
            <w:tcW w:w="510" w:type="pct"/>
            <w:tcBorders>
              <w:top w:val="nil"/>
              <w:left w:val="nil"/>
              <w:bottom w:val="single" w:sz="8" w:space="0" w:color="44546A"/>
              <w:right w:val="nil"/>
            </w:tcBorders>
            <w:shd w:val="clear" w:color="auto" w:fill="auto"/>
            <w:vAlign w:val="center"/>
            <w:hideMark/>
          </w:tcPr>
          <w:p w14:paraId="03C7B2CF"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0</w:t>
            </w:r>
          </w:p>
        </w:tc>
        <w:tc>
          <w:tcPr>
            <w:tcW w:w="436" w:type="pct"/>
            <w:tcBorders>
              <w:top w:val="nil"/>
              <w:left w:val="nil"/>
              <w:bottom w:val="single" w:sz="8" w:space="0" w:color="44546A"/>
              <w:right w:val="nil"/>
            </w:tcBorders>
            <w:shd w:val="clear" w:color="auto" w:fill="auto"/>
            <w:vAlign w:val="center"/>
            <w:hideMark/>
          </w:tcPr>
          <w:p w14:paraId="1F236646"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0</w:t>
            </w:r>
          </w:p>
        </w:tc>
        <w:tc>
          <w:tcPr>
            <w:tcW w:w="616" w:type="pct"/>
            <w:tcBorders>
              <w:top w:val="nil"/>
              <w:left w:val="nil"/>
              <w:bottom w:val="single" w:sz="8" w:space="0" w:color="44546A"/>
              <w:right w:val="nil"/>
            </w:tcBorders>
            <w:shd w:val="clear" w:color="auto" w:fill="auto"/>
            <w:vAlign w:val="center"/>
            <w:hideMark/>
          </w:tcPr>
          <w:p w14:paraId="2C175250" w14:textId="77777777" w:rsidR="00F238F9" w:rsidRPr="006C7B74" w:rsidRDefault="00F238F9" w:rsidP="00F238F9">
            <w:pPr>
              <w:jc w:val="center"/>
              <w:rPr>
                <w:rFonts w:cstheme="minorHAnsi"/>
                <w:color w:val="000000"/>
                <w:sz w:val="16"/>
                <w:szCs w:val="16"/>
                <w:lang w:eastAsia="en-AU"/>
              </w:rPr>
            </w:pPr>
            <w:r w:rsidRPr="006C7B74">
              <w:rPr>
                <w:rFonts w:cstheme="minorHAnsi"/>
                <w:color w:val="000000"/>
                <w:sz w:val="16"/>
                <w:szCs w:val="16"/>
                <w:lang w:eastAsia="en-AU"/>
              </w:rPr>
              <w:t>0</w:t>
            </w:r>
          </w:p>
        </w:tc>
      </w:tr>
      <w:tr w:rsidR="00F238F9" w:rsidRPr="006C7B74" w14:paraId="0E0C5A8B" w14:textId="77777777" w:rsidTr="009F1021">
        <w:trPr>
          <w:trHeight w:val="240"/>
        </w:trPr>
        <w:tc>
          <w:tcPr>
            <w:tcW w:w="532" w:type="pct"/>
            <w:tcBorders>
              <w:top w:val="nil"/>
              <w:left w:val="nil"/>
              <w:bottom w:val="single" w:sz="8" w:space="0" w:color="44546A"/>
              <w:right w:val="nil"/>
            </w:tcBorders>
            <w:shd w:val="clear" w:color="auto" w:fill="auto"/>
            <w:vAlign w:val="center"/>
            <w:hideMark/>
          </w:tcPr>
          <w:p w14:paraId="25DB5AB7" w14:textId="77777777" w:rsidR="00F238F9" w:rsidRPr="006C7B74" w:rsidRDefault="00F238F9" w:rsidP="00F238F9">
            <w:pPr>
              <w:rPr>
                <w:rFonts w:cstheme="minorHAnsi"/>
                <w:b/>
                <w:bCs/>
                <w:color w:val="000000"/>
                <w:sz w:val="16"/>
                <w:szCs w:val="16"/>
                <w:lang w:eastAsia="en-AU"/>
              </w:rPr>
            </w:pPr>
            <w:r w:rsidRPr="006C7B74">
              <w:rPr>
                <w:rFonts w:cstheme="minorHAnsi"/>
                <w:b/>
                <w:bCs/>
                <w:color w:val="000000"/>
                <w:sz w:val="16"/>
                <w:szCs w:val="16"/>
                <w:lang w:eastAsia="en-AU"/>
              </w:rPr>
              <w:t>Total</w:t>
            </w:r>
          </w:p>
        </w:tc>
        <w:tc>
          <w:tcPr>
            <w:tcW w:w="380" w:type="pct"/>
            <w:tcBorders>
              <w:top w:val="nil"/>
              <w:left w:val="nil"/>
              <w:bottom w:val="single" w:sz="8" w:space="0" w:color="44546A"/>
              <w:right w:val="nil"/>
            </w:tcBorders>
            <w:shd w:val="clear" w:color="auto" w:fill="auto"/>
            <w:vAlign w:val="center"/>
            <w:hideMark/>
          </w:tcPr>
          <w:p w14:paraId="6B33DAA5" w14:textId="77777777" w:rsidR="00F238F9" w:rsidRPr="006C7B74" w:rsidRDefault="00F238F9" w:rsidP="00F238F9">
            <w:pPr>
              <w:jc w:val="center"/>
              <w:rPr>
                <w:rFonts w:cstheme="minorHAnsi"/>
                <w:b/>
                <w:bCs/>
                <w:color w:val="000000"/>
                <w:sz w:val="16"/>
                <w:szCs w:val="16"/>
                <w:lang w:eastAsia="en-AU"/>
              </w:rPr>
            </w:pPr>
            <w:r w:rsidRPr="006C7B74">
              <w:rPr>
                <w:rFonts w:cstheme="minorHAnsi"/>
                <w:b/>
                <w:bCs/>
                <w:color w:val="000000"/>
                <w:sz w:val="16"/>
                <w:szCs w:val="16"/>
                <w:lang w:eastAsia="en-AU"/>
              </w:rPr>
              <w:t>111</w:t>
            </w:r>
          </w:p>
        </w:tc>
        <w:tc>
          <w:tcPr>
            <w:tcW w:w="451" w:type="pct"/>
            <w:tcBorders>
              <w:top w:val="nil"/>
              <w:left w:val="nil"/>
              <w:bottom w:val="single" w:sz="8" w:space="0" w:color="44546A"/>
              <w:right w:val="nil"/>
            </w:tcBorders>
            <w:shd w:val="clear" w:color="auto" w:fill="auto"/>
            <w:vAlign w:val="center"/>
            <w:hideMark/>
          </w:tcPr>
          <w:p w14:paraId="3F57E6AD" w14:textId="77777777" w:rsidR="00F238F9" w:rsidRPr="006C7B74" w:rsidRDefault="00F238F9" w:rsidP="00F238F9">
            <w:pPr>
              <w:jc w:val="center"/>
              <w:rPr>
                <w:rFonts w:cstheme="minorHAnsi"/>
                <w:b/>
                <w:bCs/>
                <w:color w:val="000000"/>
                <w:sz w:val="16"/>
                <w:szCs w:val="16"/>
                <w:lang w:eastAsia="en-AU"/>
              </w:rPr>
            </w:pPr>
            <w:r w:rsidRPr="006C7B74">
              <w:rPr>
                <w:rFonts w:cstheme="minorHAnsi"/>
                <w:b/>
                <w:bCs/>
                <w:color w:val="000000"/>
                <w:sz w:val="16"/>
                <w:szCs w:val="16"/>
                <w:lang w:eastAsia="en-AU"/>
              </w:rPr>
              <w:t>108,850</w:t>
            </w:r>
          </w:p>
        </w:tc>
        <w:tc>
          <w:tcPr>
            <w:tcW w:w="346" w:type="pct"/>
            <w:tcBorders>
              <w:top w:val="nil"/>
              <w:left w:val="nil"/>
              <w:bottom w:val="single" w:sz="8" w:space="0" w:color="44546A"/>
              <w:right w:val="nil"/>
            </w:tcBorders>
            <w:shd w:val="clear" w:color="auto" w:fill="auto"/>
            <w:vAlign w:val="center"/>
            <w:hideMark/>
          </w:tcPr>
          <w:p w14:paraId="2A3942B5" w14:textId="77777777" w:rsidR="00F238F9" w:rsidRPr="006C7B74" w:rsidRDefault="00F238F9" w:rsidP="00F238F9">
            <w:pPr>
              <w:jc w:val="center"/>
              <w:rPr>
                <w:rFonts w:cstheme="minorHAnsi"/>
                <w:b/>
                <w:bCs/>
                <w:color w:val="000000"/>
                <w:sz w:val="16"/>
                <w:szCs w:val="16"/>
                <w:lang w:eastAsia="en-AU"/>
              </w:rPr>
            </w:pPr>
            <w:r w:rsidRPr="006C7B74">
              <w:rPr>
                <w:rFonts w:cstheme="minorHAnsi"/>
                <w:b/>
                <w:bCs/>
                <w:color w:val="000000"/>
                <w:sz w:val="16"/>
                <w:szCs w:val="16"/>
                <w:lang w:eastAsia="en-AU"/>
              </w:rPr>
              <w:t>79</w:t>
            </w:r>
          </w:p>
        </w:tc>
        <w:tc>
          <w:tcPr>
            <w:tcW w:w="466" w:type="pct"/>
            <w:tcBorders>
              <w:top w:val="nil"/>
              <w:left w:val="nil"/>
              <w:bottom w:val="single" w:sz="8" w:space="0" w:color="44546A"/>
              <w:right w:val="nil"/>
            </w:tcBorders>
            <w:shd w:val="clear" w:color="auto" w:fill="auto"/>
            <w:vAlign w:val="center"/>
            <w:hideMark/>
          </w:tcPr>
          <w:p w14:paraId="71C0D4A5" w14:textId="77777777" w:rsidR="00F238F9" w:rsidRPr="006C7B74" w:rsidRDefault="00F238F9" w:rsidP="00F238F9">
            <w:pPr>
              <w:jc w:val="center"/>
              <w:rPr>
                <w:rFonts w:cstheme="minorHAnsi"/>
                <w:b/>
                <w:bCs/>
                <w:color w:val="000000"/>
                <w:sz w:val="16"/>
                <w:szCs w:val="16"/>
                <w:lang w:eastAsia="en-AU"/>
              </w:rPr>
            </w:pPr>
            <w:r w:rsidRPr="006C7B74">
              <w:rPr>
                <w:rFonts w:cstheme="minorHAnsi"/>
                <w:b/>
                <w:bCs/>
                <w:color w:val="000000"/>
                <w:sz w:val="16"/>
                <w:szCs w:val="16"/>
                <w:lang w:eastAsia="en-AU"/>
              </w:rPr>
              <w:t>352,450</w:t>
            </w:r>
          </w:p>
        </w:tc>
        <w:tc>
          <w:tcPr>
            <w:tcW w:w="394" w:type="pct"/>
            <w:tcBorders>
              <w:top w:val="nil"/>
              <w:left w:val="nil"/>
              <w:bottom w:val="single" w:sz="8" w:space="0" w:color="44546A"/>
              <w:right w:val="nil"/>
            </w:tcBorders>
            <w:shd w:val="clear" w:color="auto" w:fill="auto"/>
            <w:vAlign w:val="center"/>
            <w:hideMark/>
          </w:tcPr>
          <w:p w14:paraId="0DAAB54E" w14:textId="77777777" w:rsidR="00F238F9" w:rsidRPr="006C7B74" w:rsidRDefault="00F238F9" w:rsidP="00F238F9">
            <w:pPr>
              <w:jc w:val="center"/>
              <w:rPr>
                <w:rFonts w:cstheme="minorHAnsi"/>
                <w:b/>
                <w:bCs/>
                <w:color w:val="000000"/>
                <w:sz w:val="16"/>
                <w:szCs w:val="16"/>
                <w:lang w:eastAsia="en-AU"/>
              </w:rPr>
            </w:pPr>
            <w:r w:rsidRPr="006C7B74">
              <w:rPr>
                <w:rFonts w:cstheme="minorHAnsi"/>
                <w:b/>
                <w:bCs/>
                <w:color w:val="000000"/>
                <w:sz w:val="16"/>
                <w:szCs w:val="16"/>
                <w:lang w:eastAsia="en-AU"/>
              </w:rPr>
              <w:t>30</w:t>
            </w:r>
          </w:p>
        </w:tc>
        <w:tc>
          <w:tcPr>
            <w:tcW w:w="493" w:type="pct"/>
            <w:tcBorders>
              <w:top w:val="nil"/>
              <w:left w:val="nil"/>
              <w:bottom w:val="single" w:sz="8" w:space="0" w:color="44546A"/>
              <w:right w:val="nil"/>
            </w:tcBorders>
            <w:shd w:val="clear" w:color="auto" w:fill="auto"/>
            <w:vAlign w:val="center"/>
            <w:hideMark/>
          </w:tcPr>
          <w:p w14:paraId="68FA3272" w14:textId="77777777" w:rsidR="00F238F9" w:rsidRPr="006C7B74" w:rsidRDefault="00F238F9" w:rsidP="00F238F9">
            <w:pPr>
              <w:jc w:val="center"/>
              <w:rPr>
                <w:rFonts w:cstheme="minorHAnsi"/>
                <w:b/>
                <w:bCs/>
                <w:color w:val="000000"/>
                <w:sz w:val="16"/>
                <w:szCs w:val="16"/>
                <w:lang w:eastAsia="en-AU"/>
              </w:rPr>
            </w:pPr>
            <w:r w:rsidRPr="006C7B74">
              <w:rPr>
                <w:rFonts w:cstheme="minorHAnsi"/>
                <w:b/>
                <w:bCs/>
                <w:color w:val="000000"/>
                <w:sz w:val="16"/>
                <w:szCs w:val="16"/>
                <w:lang w:eastAsia="en-AU"/>
              </w:rPr>
              <w:t>618,550</w:t>
            </w:r>
          </w:p>
        </w:tc>
        <w:tc>
          <w:tcPr>
            <w:tcW w:w="376" w:type="pct"/>
            <w:tcBorders>
              <w:top w:val="nil"/>
              <w:left w:val="nil"/>
              <w:bottom w:val="single" w:sz="8" w:space="0" w:color="44546A"/>
              <w:right w:val="nil"/>
            </w:tcBorders>
            <w:shd w:val="clear" w:color="auto" w:fill="auto"/>
            <w:vAlign w:val="center"/>
            <w:hideMark/>
          </w:tcPr>
          <w:p w14:paraId="616E39B2" w14:textId="77777777" w:rsidR="00F238F9" w:rsidRPr="006C7B74" w:rsidRDefault="00F238F9" w:rsidP="00F238F9">
            <w:pPr>
              <w:jc w:val="center"/>
              <w:rPr>
                <w:rFonts w:cstheme="minorHAnsi"/>
                <w:b/>
                <w:bCs/>
                <w:color w:val="000000"/>
                <w:sz w:val="16"/>
                <w:szCs w:val="16"/>
                <w:lang w:eastAsia="en-AU"/>
              </w:rPr>
            </w:pPr>
            <w:r w:rsidRPr="006C7B74">
              <w:rPr>
                <w:rFonts w:cstheme="minorHAnsi"/>
                <w:b/>
                <w:bCs/>
                <w:color w:val="000000"/>
                <w:sz w:val="16"/>
                <w:szCs w:val="16"/>
                <w:lang w:eastAsia="en-AU"/>
              </w:rPr>
              <w:t>7</w:t>
            </w:r>
          </w:p>
        </w:tc>
        <w:tc>
          <w:tcPr>
            <w:tcW w:w="510" w:type="pct"/>
            <w:tcBorders>
              <w:top w:val="nil"/>
              <w:left w:val="nil"/>
              <w:bottom w:val="single" w:sz="8" w:space="0" w:color="44546A"/>
              <w:right w:val="nil"/>
            </w:tcBorders>
            <w:shd w:val="clear" w:color="auto" w:fill="auto"/>
            <w:vAlign w:val="center"/>
            <w:hideMark/>
          </w:tcPr>
          <w:p w14:paraId="5CA84C49" w14:textId="77777777" w:rsidR="00F238F9" w:rsidRPr="006C7B74" w:rsidRDefault="00F238F9" w:rsidP="00F238F9">
            <w:pPr>
              <w:jc w:val="center"/>
              <w:rPr>
                <w:rFonts w:cstheme="minorHAnsi"/>
                <w:b/>
                <w:bCs/>
                <w:color w:val="000000"/>
                <w:sz w:val="16"/>
                <w:szCs w:val="16"/>
                <w:lang w:eastAsia="en-AU"/>
              </w:rPr>
            </w:pPr>
            <w:r w:rsidRPr="006C7B74">
              <w:rPr>
                <w:rFonts w:cstheme="minorHAnsi"/>
                <w:b/>
                <w:bCs/>
                <w:color w:val="000000"/>
                <w:sz w:val="16"/>
                <w:szCs w:val="16"/>
                <w:lang w:eastAsia="en-AU"/>
              </w:rPr>
              <w:t>486,650</w:t>
            </w:r>
          </w:p>
        </w:tc>
        <w:tc>
          <w:tcPr>
            <w:tcW w:w="436" w:type="pct"/>
            <w:tcBorders>
              <w:top w:val="nil"/>
              <w:left w:val="nil"/>
              <w:bottom w:val="single" w:sz="8" w:space="0" w:color="44546A"/>
              <w:right w:val="nil"/>
            </w:tcBorders>
            <w:shd w:val="clear" w:color="auto" w:fill="auto"/>
            <w:vAlign w:val="center"/>
            <w:hideMark/>
          </w:tcPr>
          <w:p w14:paraId="3F837891" w14:textId="77777777" w:rsidR="00F238F9" w:rsidRPr="006C7B74" w:rsidRDefault="00F238F9" w:rsidP="00F238F9">
            <w:pPr>
              <w:jc w:val="center"/>
              <w:rPr>
                <w:rFonts w:cstheme="minorHAnsi"/>
                <w:b/>
                <w:bCs/>
                <w:color w:val="000000"/>
                <w:sz w:val="16"/>
                <w:szCs w:val="16"/>
                <w:lang w:eastAsia="en-AU"/>
              </w:rPr>
            </w:pPr>
            <w:r w:rsidRPr="006C7B74">
              <w:rPr>
                <w:rFonts w:cstheme="minorHAnsi"/>
                <w:b/>
                <w:bCs/>
                <w:color w:val="000000"/>
                <w:sz w:val="16"/>
                <w:szCs w:val="16"/>
                <w:lang w:eastAsia="en-AU"/>
              </w:rPr>
              <w:t>11</w:t>
            </w:r>
          </w:p>
        </w:tc>
        <w:tc>
          <w:tcPr>
            <w:tcW w:w="616" w:type="pct"/>
            <w:tcBorders>
              <w:top w:val="nil"/>
              <w:left w:val="nil"/>
              <w:bottom w:val="single" w:sz="8" w:space="0" w:color="44546A"/>
              <w:right w:val="nil"/>
            </w:tcBorders>
            <w:shd w:val="clear" w:color="auto" w:fill="auto"/>
            <w:vAlign w:val="center"/>
            <w:hideMark/>
          </w:tcPr>
          <w:p w14:paraId="31B529AB" w14:textId="77777777" w:rsidR="00F238F9" w:rsidRPr="006C7B74" w:rsidRDefault="00F238F9" w:rsidP="00F238F9">
            <w:pPr>
              <w:jc w:val="center"/>
              <w:rPr>
                <w:rFonts w:cstheme="minorHAnsi"/>
                <w:b/>
                <w:bCs/>
                <w:color w:val="000000"/>
                <w:sz w:val="16"/>
                <w:szCs w:val="16"/>
                <w:lang w:eastAsia="en-AU"/>
              </w:rPr>
            </w:pPr>
            <w:r w:rsidRPr="006C7B74">
              <w:rPr>
                <w:rFonts w:cstheme="minorHAnsi"/>
                <w:b/>
                <w:bCs/>
                <w:color w:val="000000"/>
                <w:sz w:val="16"/>
                <w:szCs w:val="16"/>
                <w:lang w:eastAsia="en-AU"/>
              </w:rPr>
              <w:t>1,672,650</w:t>
            </w:r>
          </w:p>
        </w:tc>
      </w:tr>
    </w:tbl>
    <w:p w14:paraId="07951EAC" w14:textId="630D42C9" w:rsidR="009F1021" w:rsidRPr="006C7B74" w:rsidRDefault="009F1021" w:rsidP="009F1021">
      <w:pPr>
        <w:pStyle w:val="Quote"/>
      </w:pPr>
      <w:r w:rsidRPr="006C7B74">
        <w:t>Source: Department of Environment, Land, Water and Planning, unpublished data (</w:t>
      </w:r>
      <w:r w:rsidR="00442701" w:rsidRPr="006C7B74">
        <w:t>20</w:t>
      </w:r>
      <w:r w:rsidR="00442701">
        <w:t>20</w:t>
      </w:r>
      <w:r w:rsidRPr="006C7B74">
        <w:t>)</w:t>
      </w:r>
    </w:p>
    <w:p w14:paraId="1AA15A73" w14:textId="77777777" w:rsidR="00DC580D" w:rsidRPr="006C7B74" w:rsidRDefault="00DC580D" w:rsidP="00934C4D">
      <w:pPr>
        <w:spacing w:after="120"/>
      </w:pPr>
    </w:p>
    <w:p w14:paraId="6E430DC2" w14:textId="79A3EBB9" w:rsidR="008D410D" w:rsidRPr="006C7B74" w:rsidRDefault="0075498A" w:rsidP="00934C4D">
      <w:pPr>
        <w:spacing w:after="120"/>
        <w:rPr>
          <w:rFonts w:cstheme="minorHAnsi"/>
          <w:sz w:val="20"/>
          <w:szCs w:val="20"/>
        </w:rPr>
      </w:pPr>
      <w:r w:rsidRPr="006C7B74">
        <w:rPr>
          <w:rFonts w:cstheme="minorHAnsi"/>
          <w:sz w:val="20"/>
          <w:szCs w:val="20"/>
        </w:rPr>
        <w:t xml:space="preserve">In addition to existing zoned commercial land, there </w:t>
      </w:r>
      <w:r w:rsidR="00367837" w:rsidRPr="006C7B74">
        <w:rPr>
          <w:rFonts w:cstheme="minorHAnsi"/>
          <w:sz w:val="20"/>
          <w:szCs w:val="20"/>
        </w:rPr>
        <w:t>are</w:t>
      </w:r>
      <w:r w:rsidR="004D0F3D" w:rsidRPr="006C7B74">
        <w:rPr>
          <w:rFonts w:cstheme="minorHAnsi"/>
          <w:sz w:val="20"/>
          <w:szCs w:val="20"/>
        </w:rPr>
        <w:t xml:space="preserve"> </w:t>
      </w:r>
      <w:r w:rsidRPr="006C7B74">
        <w:rPr>
          <w:rFonts w:cstheme="minorHAnsi"/>
          <w:sz w:val="20"/>
          <w:szCs w:val="20"/>
        </w:rPr>
        <w:t xml:space="preserve">approximately </w:t>
      </w:r>
      <w:r w:rsidR="00660864" w:rsidRPr="006C7B74">
        <w:rPr>
          <w:rFonts w:cstheme="minorHAnsi"/>
          <w:sz w:val="20"/>
          <w:szCs w:val="20"/>
        </w:rPr>
        <w:t xml:space="preserve">208 </w:t>
      </w:r>
      <w:r w:rsidRPr="006C7B74">
        <w:rPr>
          <w:rFonts w:cstheme="minorHAnsi"/>
          <w:sz w:val="20"/>
          <w:szCs w:val="20"/>
        </w:rPr>
        <w:t>hectares of land that ha</w:t>
      </w:r>
      <w:r w:rsidR="00CA424A" w:rsidRPr="006C7B74">
        <w:rPr>
          <w:rFonts w:cstheme="minorHAnsi"/>
          <w:sz w:val="20"/>
          <w:szCs w:val="20"/>
        </w:rPr>
        <w:t>ve</w:t>
      </w:r>
      <w:r w:rsidRPr="006C7B74">
        <w:rPr>
          <w:rFonts w:cstheme="minorHAnsi"/>
          <w:sz w:val="20"/>
          <w:szCs w:val="20"/>
        </w:rPr>
        <w:t xml:space="preserve"> been identified through other strategic plans such as Growth Corridor Plans and </w:t>
      </w:r>
      <w:r w:rsidR="007A7E18" w:rsidRPr="006C7B74">
        <w:rPr>
          <w:rFonts w:cstheme="minorHAnsi"/>
          <w:sz w:val="20"/>
          <w:szCs w:val="20"/>
        </w:rPr>
        <w:t>PSPs</w:t>
      </w:r>
      <w:r w:rsidRPr="006C7B74">
        <w:rPr>
          <w:rFonts w:cstheme="minorHAnsi"/>
          <w:sz w:val="20"/>
          <w:szCs w:val="20"/>
        </w:rPr>
        <w:t xml:space="preserve"> for future commercial purposes. </w:t>
      </w:r>
      <w:r w:rsidR="008D410D" w:rsidRPr="006C7B74">
        <w:rPr>
          <w:rFonts w:cstheme="minorHAnsi"/>
          <w:sz w:val="20"/>
          <w:szCs w:val="20"/>
        </w:rPr>
        <w:t xml:space="preserve">These areas are confined to Hume, Whittlesea and the area of Mitchell within the </w:t>
      </w:r>
      <w:r w:rsidR="00D757A6" w:rsidRPr="006C7B74">
        <w:rPr>
          <w:rFonts w:cstheme="minorHAnsi"/>
          <w:sz w:val="20"/>
          <w:szCs w:val="20"/>
        </w:rPr>
        <w:t>UGB</w:t>
      </w:r>
      <w:r w:rsidR="008D410D" w:rsidRPr="006C7B74">
        <w:rPr>
          <w:rFonts w:cstheme="minorHAnsi"/>
          <w:sz w:val="20"/>
          <w:szCs w:val="20"/>
        </w:rPr>
        <w:t>.</w:t>
      </w:r>
    </w:p>
    <w:p w14:paraId="3FB23370" w14:textId="736E5654" w:rsidR="008D410D" w:rsidRPr="006C7B74" w:rsidRDefault="008D410D" w:rsidP="00934C4D">
      <w:pPr>
        <w:spacing w:after="120"/>
        <w:rPr>
          <w:rFonts w:cstheme="minorHAnsi"/>
          <w:sz w:val="20"/>
          <w:szCs w:val="20"/>
        </w:rPr>
      </w:pPr>
      <w:r w:rsidRPr="006C7B74">
        <w:rPr>
          <w:rFonts w:cstheme="minorHAnsi"/>
          <w:sz w:val="20"/>
          <w:szCs w:val="20"/>
        </w:rPr>
        <w:t>The future Lockerbie Metropolitan Activity Centre will be a key location for future commercial development.</w:t>
      </w:r>
    </w:p>
    <w:p w14:paraId="796DFE7D" w14:textId="77777777" w:rsidR="0075498A" w:rsidRPr="006C7B74" w:rsidRDefault="0075498A" w:rsidP="00934C4D">
      <w:pPr>
        <w:spacing w:after="120"/>
        <w:rPr>
          <w:rFonts w:cstheme="minorHAnsi"/>
          <w:sz w:val="20"/>
          <w:szCs w:val="20"/>
        </w:rPr>
      </w:pPr>
    </w:p>
    <w:p w14:paraId="0BC909A2" w14:textId="4C6DD95D" w:rsidR="0075498A" w:rsidRPr="006C7B74" w:rsidRDefault="0075498A" w:rsidP="00F63C05">
      <w:pPr>
        <w:pStyle w:val="Heading5"/>
      </w:pPr>
      <w:r w:rsidRPr="006C7B74">
        <w:t xml:space="preserve">Table </w:t>
      </w:r>
      <w:r w:rsidR="009E6466" w:rsidRPr="006C7B74">
        <w:t>21</w:t>
      </w:r>
      <w:r w:rsidRPr="006C7B74">
        <w:t>: Future commercial land supply</w:t>
      </w:r>
      <w:r w:rsidR="006326CE" w:rsidRPr="006C7B74">
        <w:t xml:space="preserve">, </w:t>
      </w:r>
      <w:r w:rsidR="00C22AD6" w:rsidRPr="006C7B74">
        <w:t>Northern Region</w:t>
      </w:r>
    </w:p>
    <w:tbl>
      <w:tblPr>
        <w:tblStyle w:val="TableGrid"/>
        <w:tblW w:w="5000" w:type="pct"/>
        <w:tblLook w:val="04A0" w:firstRow="1" w:lastRow="0" w:firstColumn="1" w:lastColumn="0" w:noHBand="0" w:noVBand="1"/>
      </w:tblPr>
      <w:tblGrid>
        <w:gridCol w:w="2553"/>
        <w:gridCol w:w="2648"/>
        <w:gridCol w:w="3819"/>
      </w:tblGrid>
      <w:tr w:rsidR="000339FD" w:rsidRPr="006C7B74" w14:paraId="29576515" w14:textId="77777777" w:rsidTr="002808BF">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415" w:type="pct"/>
            <w:noWrap/>
            <w:hideMark/>
          </w:tcPr>
          <w:p w14:paraId="2ACCAD45" w14:textId="4A57681A" w:rsidR="000339FD" w:rsidRPr="008D088F" w:rsidRDefault="002808BF" w:rsidP="008D088F">
            <w:pPr>
              <w:pStyle w:val="TableHeaderRow"/>
            </w:pPr>
            <w:r w:rsidRPr="008D088F">
              <w:t>Council</w:t>
            </w:r>
          </w:p>
        </w:tc>
        <w:tc>
          <w:tcPr>
            <w:tcW w:w="1468" w:type="pct"/>
          </w:tcPr>
          <w:p w14:paraId="0920087C" w14:textId="05C42D81" w:rsidR="000339FD" w:rsidRPr="008D088F" w:rsidRDefault="00672D63" w:rsidP="008D088F">
            <w:pPr>
              <w:pStyle w:val="TableHeaderRow"/>
              <w:cnfStyle w:val="100000000000" w:firstRow="1" w:lastRow="0" w:firstColumn="0" w:lastColumn="0" w:oddVBand="0" w:evenVBand="0" w:oddHBand="0" w:evenHBand="0" w:firstRowFirstColumn="0" w:firstRowLastColumn="0" w:lastRowFirstColumn="0" w:lastRowLastColumn="0"/>
            </w:pPr>
            <w:r w:rsidRPr="008D088F">
              <w:t>Future commercial land (ha)</w:t>
            </w:r>
          </w:p>
        </w:tc>
        <w:tc>
          <w:tcPr>
            <w:tcW w:w="2117" w:type="pct"/>
          </w:tcPr>
          <w:p w14:paraId="596EBC2F" w14:textId="741BF27E" w:rsidR="000339FD" w:rsidRPr="008D088F" w:rsidRDefault="007810F3" w:rsidP="008D088F">
            <w:pPr>
              <w:pStyle w:val="TableHeaderRow"/>
              <w:cnfStyle w:val="100000000000" w:firstRow="1" w:lastRow="0" w:firstColumn="0" w:lastColumn="0" w:oddVBand="0" w:evenVBand="0" w:oddHBand="0" w:evenHBand="0" w:firstRowFirstColumn="0" w:firstRowLastColumn="0" w:lastRowFirstColumn="0" w:lastRowLastColumn="0"/>
            </w:pPr>
            <w:r w:rsidRPr="008D088F">
              <w:t xml:space="preserve">Share of </w:t>
            </w:r>
            <w:r w:rsidR="00C606A8" w:rsidRPr="008D088F">
              <w:t>m</w:t>
            </w:r>
            <w:r w:rsidRPr="008D088F">
              <w:t>etro</w:t>
            </w:r>
            <w:r w:rsidR="00A549D1" w:rsidRPr="008D088F">
              <w:t>politan Melbourne</w:t>
            </w:r>
          </w:p>
        </w:tc>
      </w:tr>
      <w:tr w:rsidR="005D4152" w:rsidRPr="006C7B74" w14:paraId="54635878" w14:textId="77777777" w:rsidTr="002808BF">
        <w:trPr>
          <w:trHeight w:val="300"/>
        </w:trPr>
        <w:tc>
          <w:tcPr>
            <w:cnfStyle w:val="001000000000" w:firstRow="0" w:lastRow="0" w:firstColumn="1" w:lastColumn="0" w:oddVBand="0" w:evenVBand="0" w:oddHBand="0" w:evenHBand="0" w:firstRowFirstColumn="0" w:firstRowLastColumn="0" w:lastRowFirstColumn="0" w:lastRowLastColumn="0"/>
            <w:tcW w:w="1415" w:type="pct"/>
            <w:noWrap/>
            <w:vAlign w:val="top"/>
            <w:hideMark/>
          </w:tcPr>
          <w:p w14:paraId="18CD96EC" w14:textId="3F42B8FE" w:rsidR="005D4152" w:rsidRPr="006C7B74" w:rsidRDefault="00EE4191" w:rsidP="005D4152">
            <w:pPr>
              <w:spacing w:before="0" w:after="120" w:line="240" w:lineRule="auto"/>
              <w:rPr>
                <w:rFonts w:cstheme="minorHAnsi"/>
                <w:color w:val="000000"/>
                <w:sz w:val="18"/>
                <w:szCs w:val="18"/>
              </w:rPr>
            </w:pPr>
            <w:r w:rsidRPr="006C7B74">
              <w:rPr>
                <w:sz w:val="18"/>
                <w:szCs w:val="18"/>
              </w:rPr>
              <w:t>Hume</w:t>
            </w:r>
          </w:p>
        </w:tc>
        <w:tc>
          <w:tcPr>
            <w:tcW w:w="1468" w:type="pct"/>
            <w:noWrap/>
            <w:vAlign w:val="top"/>
            <w:hideMark/>
          </w:tcPr>
          <w:p w14:paraId="2223895E" w14:textId="596908F8" w:rsidR="005D4152" w:rsidRPr="006C7B74" w:rsidRDefault="005D4152" w:rsidP="005D4152">
            <w:pPr>
              <w:spacing w:before="0" w:after="12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C7B74">
              <w:rPr>
                <w:sz w:val="18"/>
                <w:szCs w:val="18"/>
              </w:rPr>
              <w:t>92</w:t>
            </w:r>
          </w:p>
        </w:tc>
        <w:tc>
          <w:tcPr>
            <w:tcW w:w="2117" w:type="pct"/>
            <w:noWrap/>
            <w:vAlign w:val="top"/>
            <w:hideMark/>
          </w:tcPr>
          <w:p w14:paraId="4859A660" w14:textId="63F57DE2" w:rsidR="005D4152" w:rsidRPr="001C4EF5" w:rsidRDefault="000E15AE" w:rsidP="005D4152">
            <w:pPr>
              <w:spacing w:before="0" w:after="12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4EF5">
              <w:rPr>
                <w:sz w:val="18"/>
                <w:szCs w:val="18"/>
              </w:rPr>
              <w:t>7</w:t>
            </w:r>
            <w:r w:rsidR="005D4152" w:rsidRPr="001C4EF5">
              <w:rPr>
                <w:sz w:val="18"/>
                <w:szCs w:val="18"/>
              </w:rPr>
              <w:t>%</w:t>
            </w:r>
          </w:p>
        </w:tc>
      </w:tr>
      <w:tr w:rsidR="005D4152" w:rsidRPr="006C7B74" w14:paraId="7B28CF03" w14:textId="77777777" w:rsidTr="002808BF">
        <w:trPr>
          <w:trHeight w:val="300"/>
        </w:trPr>
        <w:tc>
          <w:tcPr>
            <w:cnfStyle w:val="001000000000" w:firstRow="0" w:lastRow="0" w:firstColumn="1" w:lastColumn="0" w:oddVBand="0" w:evenVBand="0" w:oddHBand="0" w:evenHBand="0" w:firstRowFirstColumn="0" w:firstRowLastColumn="0" w:lastRowFirstColumn="0" w:lastRowLastColumn="0"/>
            <w:tcW w:w="1415" w:type="pct"/>
            <w:noWrap/>
            <w:vAlign w:val="top"/>
          </w:tcPr>
          <w:p w14:paraId="338428FA" w14:textId="09CEDEEC" w:rsidR="005D4152" w:rsidRPr="006C7B74" w:rsidRDefault="005D4152" w:rsidP="005D4152">
            <w:pPr>
              <w:spacing w:before="0" w:after="120" w:line="240" w:lineRule="auto"/>
              <w:rPr>
                <w:rFonts w:cstheme="minorHAnsi"/>
                <w:sz w:val="18"/>
                <w:szCs w:val="18"/>
              </w:rPr>
            </w:pPr>
            <w:r w:rsidRPr="006C7B74">
              <w:rPr>
                <w:sz w:val="18"/>
                <w:szCs w:val="18"/>
              </w:rPr>
              <w:t>M</w:t>
            </w:r>
            <w:r w:rsidR="00EE4191" w:rsidRPr="006C7B74">
              <w:rPr>
                <w:sz w:val="18"/>
                <w:szCs w:val="18"/>
              </w:rPr>
              <w:t>itchell</w:t>
            </w:r>
            <w:r w:rsidR="00DA13CF" w:rsidRPr="006C7B74">
              <w:rPr>
                <w:sz w:val="18"/>
                <w:szCs w:val="18"/>
              </w:rPr>
              <w:t xml:space="preserve"> </w:t>
            </w:r>
            <w:r w:rsidR="00DA13CF" w:rsidRPr="006C7B74">
              <w:rPr>
                <w:rFonts w:cstheme="minorHAnsi"/>
                <w:color w:val="000000"/>
                <w:sz w:val="16"/>
                <w:szCs w:val="16"/>
              </w:rPr>
              <w:t>(</w:t>
            </w:r>
            <w:r w:rsidR="00FB2FC4" w:rsidRPr="006C7B74">
              <w:rPr>
                <w:rFonts w:cstheme="minorHAnsi"/>
                <w:color w:val="000000"/>
                <w:sz w:val="16"/>
                <w:szCs w:val="16"/>
              </w:rPr>
              <w:t>w</w:t>
            </w:r>
            <w:r w:rsidR="00DA13CF" w:rsidRPr="006C7B74">
              <w:rPr>
                <w:rFonts w:cstheme="minorHAnsi"/>
                <w:color w:val="000000"/>
                <w:sz w:val="16"/>
                <w:szCs w:val="16"/>
              </w:rPr>
              <w:t>ithin UGB)</w:t>
            </w:r>
          </w:p>
        </w:tc>
        <w:tc>
          <w:tcPr>
            <w:tcW w:w="1468" w:type="pct"/>
            <w:noWrap/>
            <w:vAlign w:val="top"/>
          </w:tcPr>
          <w:p w14:paraId="7024C088" w14:textId="20530237" w:rsidR="005D4152" w:rsidRPr="006C7B74" w:rsidRDefault="005D4152" w:rsidP="005D4152">
            <w:pPr>
              <w:spacing w:before="0" w:after="120" w:line="240" w:lineRule="auto"/>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C7B74">
              <w:rPr>
                <w:sz w:val="18"/>
                <w:szCs w:val="18"/>
              </w:rPr>
              <w:t>12</w:t>
            </w:r>
          </w:p>
        </w:tc>
        <w:tc>
          <w:tcPr>
            <w:tcW w:w="2117" w:type="pct"/>
            <w:noWrap/>
            <w:vAlign w:val="top"/>
          </w:tcPr>
          <w:p w14:paraId="4CFB06B5" w14:textId="39DDC2DC" w:rsidR="005D4152" w:rsidRPr="001C4EF5" w:rsidRDefault="005D4152" w:rsidP="005D4152">
            <w:pPr>
              <w:spacing w:before="0" w:after="120" w:line="240" w:lineRule="auto"/>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C4EF5">
              <w:rPr>
                <w:sz w:val="18"/>
                <w:szCs w:val="18"/>
              </w:rPr>
              <w:t>1%</w:t>
            </w:r>
          </w:p>
        </w:tc>
      </w:tr>
      <w:tr w:rsidR="005D4152" w:rsidRPr="006C7B74" w14:paraId="77F66DE4" w14:textId="77777777" w:rsidTr="002808BF">
        <w:trPr>
          <w:trHeight w:val="300"/>
        </w:trPr>
        <w:tc>
          <w:tcPr>
            <w:cnfStyle w:val="001000000000" w:firstRow="0" w:lastRow="0" w:firstColumn="1" w:lastColumn="0" w:oddVBand="0" w:evenVBand="0" w:oddHBand="0" w:evenHBand="0" w:firstRowFirstColumn="0" w:firstRowLastColumn="0" w:lastRowFirstColumn="0" w:lastRowLastColumn="0"/>
            <w:tcW w:w="1415" w:type="pct"/>
            <w:noWrap/>
            <w:vAlign w:val="top"/>
          </w:tcPr>
          <w:p w14:paraId="5AEF3D25" w14:textId="3DCC23A2" w:rsidR="005D4152" w:rsidRPr="006C7B74" w:rsidRDefault="005D4152" w:rsidP="005D4152">
            <w:pPr>
              <w:spacing w:before="0" w:after="120" w:line="240" w:lineRule="auto"/>
              <w:rPr>
                <w:rFonts w:cstheme="minorHAnsi"/>
                <w:sz w:val="18"/>
                <w:szCs w:val="18"/>
              </w:rPr>
            </w:pPr>
            <w:r w:rsidRPr="006C7B74">
              <w:rPr>
                <w:sz w:val="18"/>
                <w:szCs w:val="18"/>
              </w:rPr>
              <w:t>W</w:t>
            </w:r>
            <w:r w:rsidR="00D5221B" w:rsidRPr="006C7B74">
              <w:rPr>
                <w:sz w:val="18"/>
                <w:szCs w:val="18"/>
              </w:rPr>
              <w:t>hi</w:t>
            </w:r>
            <w:r w:rsidR="00EE4191" w:rsidRPr="006C7B74">
              <w:rPr>
                <w:sz w:val="18"/>
                <w:szCs w:val="18"/>
              </w:rPr>
              <w:t>ttlesea</w:t>
            </w:r>
          </w:p>
        </w:tc>
        <w:tc>
          <w:tcPr>
            <w:tcW w:w="1468" w:type="pct"/>
            <w:noWrap/>
            <w:vAlign w:val="top"/>
          </w:tcPr>
          <w:p w14:paraId="27099E2B" w14:textId="608D3A82" w:rsidR="005D4152" w:rsidRPr="006C7B74" w:rsidRDefault="005D4152" w:rsidP="005D4152">
            <w:pPr>
              <w:spacing w:before="0" w:after="120" w:line="240" w:lineRule="auto"/>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C7B74">
              <w:rPr>
                <w:sz w:val="18"/>
                <w:szCs w:val="18"/>
              </w:rPr>
              <w:t>10</w:t>
            </w:r>
            <w:r w:rsidR="00E6449D" w:rsidRPr="006C7B74">
              <w:rPr>
                <w:sz w:val="18"/>
                <w:szCs w:val="18"/>
              </w:rPr>
              <w:t>4</w:t>
            </w:r>
          </w:p>
        </w:tc>
        <w:tc>
          <w:tcPr>
            <w:tcW w:w="2117" w:type="pct"/>
            <w:noWrap/>
            <w:vAlign w:val="top"/>
          </w:tcPr>
          <w:p w14:paraId="37059669" w14:textId="5BEB30E6" w:rsidR="005D4152" w:rsidRPr="001C4EF5" w:rsidRDefault="000E15AE" w:rsidP="005D4152">
            <w:pPr>
              <w:spacing w:before="0" w:after="120" w:line="240" w:lineRule="auto"/>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C4EF5">
              <w:rPr>
                <w:sz w:val="18"/>
                <w:szCs w:val="18"/>
              </w:rPr>
              <w:t>8</w:t>
            </w:r>
            <w:r w:rsidR="005D4152" w:rsidRPr="001C4EF5">
              <w:rPr>
                <w:sz w:val="18"/>
                <w:szCs w:val="18"/>
              </w:rPr>
              <w:t>%</w:t>
            </w:r>
          </w:p>
        </w:tc>
      </w:tr>
      <w:tr w:rsidR="005D4152" w:rsidRPr="006C7B74" w14:paraId="4BC3E77A" w14:textId="77777777" w:rsidTr="002808BF">
        <w:trPr>
          <w:trHeight w:val="300"/>
        </w:trPr>
        <w:tc>
          <w:tcPr>
            <w:cnfStyle w:val="001000000000" w:firstRow="0" w:lastRow="0" w:firstColumn="1" w:lastColumn="0" w:oddVBand="0" w:evenVBand="0" w:oddHBand="0" w:evenHBand="0" w:firstRowFirstColumn="0" w:firstRowLastColumn="0" w:lastRowFirstColumn="0" w:lastRowLastColumn="0"/>
            <w:tcW w:w="1415" w:type="pct"/>
            <w:noWrap/>
            <w:vAlign w:val="top"/>
            <w:hideMark/>
          </w:tcPr>
          <w:p w14:paraId="679A9907" w14:textId="5B7FDB49" w:rsidR="005D4152" w:rsidRPr="006C7B74" w:rsidRDefault="005D4152" w:rsidP="005D4152">
            <w:pPr>
              <w:spacing w:before="0" w:after="120" w:line="240" w:lineRule="auto"/>
              <w:rPr>
                <w:rFonts w:cstheme="minorHAnsi"/>
                <w:b/>
                <w:color w:val="000000"/>
                <w:sz w:val="18"/>
                <w:szCs w:val="18"/>
              </w:rPr>
            </w:pPr>
            <w:r w:rsidRPr="006C7B74">
              <w:rPr>
                <w:b/>
                <w:sz w:val="18"/>
                <w:szCs w:val="18"/>
              </w:rPr>
              <w:t>T</w:t>
            </w:r>
            <w:r w:rsidR="00D5221B" w:rsidRPr="006C7B74">
              <w:rPr>
                <w:b/>
                <w:sz w:val="18"/>
                <w:szCs w:val="18"/>
              </w:rPr>
              <w:t>otal</w:t>
            </w:r>
          </w:p>
        </w:tc>
        <w:tc>
          <w:tcPr>
            <w:tcW w:w="1468" w:type="pct"/>
            <w:noWrap/>
            <w:vAlign w:val="top"/>
            <w:hideMark/>
          </w:tcPr>
          <w:p w14:paraId="30ED93F6" w14:textId="6AB7D418" w:rsidR="005D4152" w:rsidRPr="006C7B74" w:rsidRDefault="00941007" w:rsidP="005D4152">
            <w:pPr>
              <w:spacing w:before="0" w:after="120" w:line="240" w:lineRule="auto"/>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rPr>
            </w:pPr>
            <w:r w:rsidRPr="006C7B74">
              <w:rPr>
                <w:b/>
                <w:sz w:val="18"/>
                <w:szCs w:val="18"/>
              </w:rPr>
              <w:t>208</w:t>
            </w:r>
          </w:p>
        </w:tc>
        <w:tc>
          <w:tcPr>
            <w:tcW w:w="2117" w:type="pct"/>
            <w:noWrap/>
            <w:vAlign w:val="top"/>
            <w:hideMark/>
          </w:tcPr>
          <w:p w14:paraId="255205DB" w14:textId="7199143C" w:rsidR="005D4152" w:rsidRPr="001C4EF5" w:rsidRDefault="00660864" w:rsidP="005D4152">
            <w:pPr>
              <w:spacing w:before="0" w:after="120" w:line="240" w:lineRule="auto"/>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rPr>
            </w:pPr>
            <w:r w:rsidRPr="001C4EF5">
              <w:rPr>
                <w:b/>
                <w:sz w:val="18"/>
                <w:szCs w:val="18"/>
              </w:rPr>
              <w:t>1</w:t>
            </w:r>
            <w:r w:rsidR="00111F7F" w:rsidRPr="001C4EF5">
              <w:rPr>
                <w:b/>
                <w:sz w:val="18"/>
                <w:szCs w:val="18"/>
              </w:rPr>
              <w:t>6</w:t>
            </w:r>
            <w:r w:rsidR="005D4152" w:rsidRPr="001C4EF5">
              <w:rPr>
                <w:b/>
                <w:sz w:val="18"/>
                <w:szCs w:val="18"/>
              </w:rPr>
              <w:t>%</w:t>
            </w:r>
          </w:p>
        </w:tc>
      </w:tr>
    </w:tbl>
    <w:p w14:paraId="0D987AC0" w14:textId="135BCFCC" w:rsidR="0075498A" w:rsidRPr="006C7B74" w:rsidRDefault="00DC580D" w:rsidP="00934C4D">
      <w:pPr>
        <w:spacing w:after="120"/>
        <w:rPr>
          <w:rFonts w:cstheme="minorHAnsi"/>
          <w:sz w:val="20"/>
          <w:szCs w:val="20"/>
        </w:rPr>
      </w:pPr>
      <w:r w:rsidRPr="006C7B74">
        <w:rPr>
          <w:i/>
          <w:iCs/>
          <w:color w:val="404040" w:themeColor="text1" w:themeTint="BF"/>
          <w:sz w:val="18"/>
        </w:rPr>
        <w:t>Source:</w:t>
      </w:r>
      <w:r w:rsidR="007C154C" w:rsidRPr="006C7B74">
        <w:rPr>
          <w:i/>
          <w:iCs/>
          <w:color w:val="404040" w:themeColor="text1" w:themeTint="BF"/>
          <w:sz w:val="18"/>
        </w:rPr>
        <w:t xml:space="preserve"> </w:t>
      </w:r>
      <w:r w:rsidRPr="006C7B74">
        <w:rPr>
          <w:i/>
          <w:iCs/>
          <w:color w:val="404040" w:themeColor="text1" w:themeTint="BF"/>
          <w:sz w:val="18"/>
        </w:rPr>
        <w:t>Department of Environment, Land, Water and Planning, unpublished data (</w:t>
      </w:r>
      <w:r w:rsidR="00442701" w:rsidRPr="006C7B74">
        <w:rPr>
          <w:i/>
          <w:iCs/>
          <w:color w:val="404040" w:themeColor="text1" w:themeTint="BF"/>
          <w:sz w:val="18"/>
        </w:rPr>
        <w:t>20</w:t>
      </w:r>
      <w:r w:rsidR="00442701">
        <w:rPr>
          <w:i/>
          <w:iCs/>
          <w:color w:val="404040" w:themeColor="text1" w:themeTint="BF"/>
          <w:sz w:val="18"/>
        </w:rPr>
        <w:t>20</w:t>
      </w:r>
      <w:r w:rsidRPr="006C7B74">
        <w:rPr>
          <w:i/>
          <w:iCs/>
          <w:color w:val="404040" w:themeColor="text1" w:themeTint="BF"/>
          <w:sz w:val="18"/>
        </w:rPr>
        <w:t>)</w:t>
      </w:r>
    </w:p>
    <w:p w14:paraId="7B8FEA33" w14:textId="77777777" w:rsidR="00A549D1" w:rsidRPr="006C7B74" w:rsidRDefault="00A549D1" w:rsidP="00FA4A32">
      <w:pPr>
        <w:spacing w:after="120"/>
        <w:rPr>
          <w:rFonts w:cstheme="minorHAnsi"/>
          <w:sz w:val="20"/>
          <w:szCs w:val="20"/>
        </w:rPr>
      </w:pPr>
    </w:p>
    <w:p w14:paraId="6D92E160" w14:textId="51A25DEB" w:rsidR="003A03FE" w:rsidRPr="006C7B74" w:rsidRDefault="0075498A" w:rsidP="00FA4A32">
      <w:pPr>
        <w:spacing w:after="120"/>
        <w:rPr>
          <w:rFonts w:cstheme="minorHAnsi"/>
          <w:sz w:val="20"/>
          <w:szCs w:val="20"/>
        </w:rPr>
      </w:pPr>
      <w:r w:rsidRPr="006C7B74">
        <w:rPr>
          <w:rFonts w:cstheme="minorHAnsi"/>
          <w:sz w:val="20"/>
          <w:szCs w:val="20"/>
        </w:rPr>
        <w:lastRenderedPageBreak/>
        <w:t xml:space="preserve">Based on projected growth, by 2031 it is anticipated that </w:t>
      </w:r>
      <w:r w:rsidR="008D410D" w:rsidRPr="006C7B74">
        <w:rPr>
          <w:rFonts w:cstheme="minorHAnsi"/>
          <w:sz w:val="20"/>
          <w:szCs w:val="20"/>
        </w:rPr>
        <w:t xml:space="preserve">approximately </w:t>
      </w:r>
      <w:r w:rsidR="00DF528D" w:rsidRPr="006C7B74">
        <w:rPr>
          <w:rFonts w:cstheme="minorHAnsi"/>
          <w:sz w:val="20"/>
          <w:szCs w:val="20"/>
        </w:rPr>
        <w:t>1.</w:t>
      </w:r>
      <w:r w:rsidR="00BB70D7" w:rsidRPr="006C7B74">
        <w:rPr>
          <w:rFonts w:cstheme="minorHAnsi"/>
          <w:sz w:val="20"/>
          <w:szCs w:val="20"/>
        </w:rPr>
        <w:t xml:space="preserve">4 </w:t>
      </w:r>
      <w:r w:rsidR="00DF528D" w:rsidRPr="006C7B74">
        <w:rPr>
          <w:rFonts w:cstheme="minorHAnsi"/>
          <w:sz w:val="20"/>
          <w:szCs w:val="20"/>
        </w:rPr>
        <w:t>million</w:t>
      </w:r>
      <w:r w:rsidRPr="006C7B74">
        <w:rPr>
          <w:rFonts w:cstheme="minorHAnsi"/>
          <w:sz w:val="20"/>
          <w:szCs w:val="20"/>
        </w:rPr>
        <w:t xml:space="preserve"> square metres of </w:t>
      </w:r>
      <w:r w:rsidR="008D410D" w:rsidRPr="006C7B74">
        <w:rPr>
          <w:rFonts w:cstheme="minorHAnsi"/>
          <w:sz w:val="20"/>
          <w:szCs w:val="20"/>
        </w:rPr>
        <w:t xml:space="preserve">additional </w:t>
      </w:r>
      <w:r w:rsidRPr="006C7B74">
        <w:rPr>
          <w:rFonts w:cstheme="minorHAnsi"/>
          <w:sz w:val="20"/>
          <w:szCs w:val="20"/>
        </w:rPr>
        <w:t xml:space="preserve">commercial floorspace will be required across the Northern Region. Approximately </w:t>
      </w:r>
      <w:r w:rsidR="008C591B" w:rsidRPr="006C7B74">
        <w:rPr>
          <w:rFonts w:cstheme="minorHAnsi"/>
          <w:sz w:val="20"/>
          <w:szCs w:val="20"/>
        </w:rPr>
        <w:t>800,000</w:t>
      </w:r>
      <w:r w:rsidRPr="006C7B74">
        <w:rPr>
          <w:rFonts w:cstheme="minorHAnsi"/>
          <w:sz w:val="20"/>
          <w:szCs w:val="20"/>
        </w:rPr>
        <w:t xml:space="preserve"> square metres will be required for office uses and </w:t>
      </w:r>
      <w:r w:rsidR="006C5DDE" w:rsidRPr="006C7B74">
        <w:rPr>
          <w:rFonts w:cstheme="minorHAnsi"/>
          <w:sz w:val="20"/>
          <w:szCs w:val="20"/>
        </w:rPr>
        <w:t>600,000</w:t>
      </w:r>
      <w:r w:rsidRPr="006C7B74">
        <w:rPr>
          <w:rFonts w:cstheme="minorHAnsi"/>
          <w:sz w:val="20"/>
          <w:szCs w:val="20"/>
        </w:rPr>
        <w:t xml:space="preserve"> square metres will be required for retail. </w:t>
      </w:r>
    </w:p>
    <w:p w14:paraId="144453E7" w14:textId="67331306" w:rsidR="0075498A" w:rsidRPr="006C7B74" w:rsidRDefault="00A00740" w:rsidP="00FA4A32">
      <w:pPr>
        <w:spacing w:after="120"/>
        <w:rPr>
          <w:rFonts w:cstheme="minorHAnsi"/>
          <w:sz w:val="20"/>
          <w:szCs w:val="20"/>
        </w:rPr>
      </w:pPr>
      <w:r w:rsidRPr="006C7B74">
        <w:rPr>
          <w:rFonts w:cstheme="minorHAnsi"/>
          <w:sz w:val="20"/>
          <w:szCs w:val="20"/>
        </w:rPr>
        <w:t xml:space="preserve">Around </w:t>
      </w:r>
      <w:r w:rsidR="00FA4A32" w:rsidRPr="006C7B74">
        <w:rPr>
          <w:rFonts w:cstheme="minorHAnsi"/>
          <w:sz w:val="20"/>
          <w:szCs w:val="20"/>
        </w:rPr>
        <w:t>6</w:t>
      </w:r>
      <w:r w:rsidRPr="006C7B74">
        <w:rPr>
          <w:rFonts w:cstheme="minorHAnsi"/>
          <w:sz w:val="20"/>
          <w:szCs w:val="20"/>
        </w:rPr>
        <w:t>5</w:t>
      </w:r>
      <w:r w:rsidR="0075498A" w:rsidRPr="006C7B74">
        <w:rPr>
          <w:rFonts w:cstheme="minorHAnsi"/>
          <w:sz w:val="20"/>
          <w:szCs w:val="20"/>
        </w:rPr>
        <w:t xml:space="preserve"> per cent of additional floorspace will need to be provided in the growth area municipalities of Hume</w:t>
      </w:r>
      <w:r w:rsidR="00217E3E" w:rsidRPr="006C7B74">
        <w:rPr>
          <w:rFonts w:cstheme="minorHAnsi"/>
          <w:sz w:val="20"/>
          <w:szCs w:val="20"/>
        </w:rPr>
        <w:t>,</w:t>
      </w:r>
      <w:r w:rsidR="0075498A" w:rsidRPr="006C7B74">
        <w:rPr>
          <w:rFonts w:cstheme="minorHAnsi"/>
          <w:sz w:val="20"/>
          <w:szCs w:val="20"/>
        </w:rPr>
        <w:t xml:space="preserve"> Whittlesea</w:t>
      </w:r>
      <w:r w:rsidR="00217E3E" w:rsidRPr="006C7B74">
        <w:rPr>
          <w:rFonts w:cstheme="minorHAnsi"/>
          <w:sz w:val="20"/>
          <w:szCs w:val="20"/>
        </w:rPr>
        <w:t xml:space="preserve"> and Mitchell (</w:t>
      </w:r>
      <w:r w:rsidR="00FD6B27" w:rsidRPr="006C7B74">
        <w:rPr>
          <w:rFonts w:cstheme="minorHAnsi"/>
          <w:sz w:val="20"/>
          <w:szCs w:val="20"/>
        </w:rPr>
        <w:t>w</w:t>
      </w:r>
      <w:r w:rsidR="00217E3E" w:rsidRPr="006C7B74">
        <w:rPr>
          <w:rFonts w:cstheme="minorHAnsi"/>
          <w:sz w:val="20"/>
          <w:szCs w:val="20"/>
        </w:rPr>
        <w:t>ithin UGB)</w:t>
      </w:r>
      <w:r w:rsidR="0075498A" w:rsidRPr="006C7B74">
        <w:rPr>
          <w:rFonts w:cstheme="minorHAnsi"/>
          <w:sz w:val="20"/>
          <w:szCs w:val="20"/>
        </w:rPr>
        <w:t xml:space="preserve">. </w:t>
      </w:r>
      <w:r w:rsidR="00FA4A32" w:rsidRPr="006C7B74">
        <w:rPr>
          <w:rFonts w:cstheme="minorHAnsi"/>
          <w:sz w:val="20"/>
          <w:szCs w:val="20"/>
        </w:rPr>
        <w:t xml:space="preserve">All of these councils have land identified for future commercial purposes. </w:t>
      </w:r>
      <w:r w:rsidR="000D111B" w:rsidRPr="006C7B74">
        <w:rPr>
          <w:rFonts w:cstheme="minorHAnsi"/>
          <w:sz w:val="20"/>
          <w:szCs w:val="20"/>
        </w:rPr>
        <w:t xml:space="preserve">If this floorspace is not able to be provided across new planned centres, then </w:t>
      </w:r>
      <w:r w:rsidR="00FA4A32" w:rsidRPr="006C7B74">
        <w:rPr>
          <w:rFonts w:cstheme="minorHAnsi"/>
          <w:sz w:val="20"/>
          <w:szCs w:val="20"/>
        </w:rPr>
        <w:t xml:space="preserve">consideration </w:t>
      </w:r>
      <w:r w:rsidR="00A2599B" w:rsidRPr="006C7B74">
        <w:rPr>
          <w:rFonts w:cstheme="minorHAnsi"/>
          <w:sz w:val="20"/>
          <w:szCs w:val="20"/>
        </w:rPr>
        <w:t xml:space="preserve">will need to </w:t>
      </w:r>
      <w:r w:rsidR="00FA4A32" w:rsidRPr="006C7B74">
        <w:rPr>
          <w:rFonts w:cstheme="minorHAnsi"/>
          <w:sz w:val="20"/>
          <w:szCs w:val="20"/>
        </w:rPr>
        <w:t xml:space="preserve">be given to </w:t>
      </w:r>
      <w:r w:rsidR="00A2599B" w:rsidRPr="006C7B74">
        <w:rPr>
          <w:rFonts w:cstheme="minorHAnsi"/>
          <w:sz w:val="20"/>
          <w:szCs w:val="20"/>
        </w:rPr>
        <w:t xml:space="preserve">ways to either </w:t>
      </w:r>
      <w:r w:rsidR="00FA4A32" w:rsidRPr="006C7B74">
        <w:rPr>
          <w:rFonts w:cstheme="minorHAnsi"/>
          <w:sz w:val="20"/>
          <w:szCs w:val="20"/>
        </w:rPr>
        <w:t xml:space="preserve">provide additional </w:t>
      </w:r>
      <w:r w:rsidR="00A2599B" w:rsidRPr="006C7B74">
        <w:rPr>
          <w:rFonts w:cstheme="minorHAnsi"/>
          <w:sz w:val="20"/>
          <w:szCs w:val="20"/>
        </w:rPr>
        <w:t xml:space="preserve">opportunity for commercial development or </w:t>
      </w:r>
      <w:r w:rsidR="00FA4A32" w:rsidRPr="006C7B74">
        <w:rPr>
          <w:rFonts w:cstheme="minorHAnsi"/>
          <w:sz w:val="20"/>
          <w:szCs w:val="20"/>
        </w:rPr>
        <w:t xml:space="preserve">increase </w:t>
      </w:r>
      <w:r w:rsidR="00131A57" w:rsidRPr="006C7B74">
        <w:rPr>
          <w:rFonts w:cstheme="minorHAnsi"/>
          <w:sz w:val="20"/>
          <w:szCs w:val="20"/>
        </w:rPr>
        <w:t>the</w:t>
      </w:r>
      <w:r w:rsidR="00FA4A32" w:rsidRPr="006C7B74">
        <w:rPr>
          <w:rFonts w:cstheme="minorHAnsi"/>
          <w:sz w:val="20"/>
          <w:szCs w:val="20"/>
        </w:rPr>
        <w:t xml:space="preserve"> </w:t>
      </w:r>
      <w:r w:rsidR="00A2599B" w:rsidRPr="006C7B74">
        <w:rPr>
          <w:rFonts w:cstheme="minorHAnsi"/>
          <w:sz w:val="20"/>
          <w:szCs w:val="20"/>
        </w:rPr>
        <w:t>density of commercial development.</w:t>
      </w:r>
    </w:p>
    <w:p w14:paraId="2FF16B8E" w14:textId="0F1B5CA7" w:rsidR="009E6466" w:rsidRPr="006C7B74" w:rsidRDefault="0075498A" w:rsidP="00934C4D">
      <w:pPr>
        <w:pStyle w:val="CommentText"/>
        <w:spacing w:after="120"/>
        <w:rPr>
          <w:rFonts w:cstheme="minorHAnsi"/>
        </w:rPr>
      </w:pPr>
      <w:r w:rsidRPr="006C7B74">
        <w:rPr>
          <w:rFonts w:cstheme="minorHAnsi"/>
        </w:rPr>
        <w:t xml:space="preserve">Moreland and Darebin </w:t>
      </w:r>
      <w:proofErr w:type="gramStart"/>
      <w:r w:rsidR="00B46E68" w:rsidRPr="006C7B74">
        <w:rPr>
          <w:rFonts w:cstheme="minorHAnsi"/>
        </w:rPr>
        <w:t>is</w:t>
      </w:r>
      <w:proofErr w:type="gramEnd"/>
      <w:r w:rsidR="00B46E68" w:rsidRPr="006C7B74">
        <w:rPr>
          <w:rFonts w:cstheme="minorHAnsi"/>
        </w:rPr>
        <w:t xml:space="preserve"> projected </w:t>
      </w:r>
      <w:r w:rsidR="006F3228" w:rsidRPr="006C7B74">
        <w:rPr>
          <w:rFonts w:cstheme="minorHAnsi"/>
        </w:rPr>
        <w:t xml:space="preserve">to need </w:t>
      </w:r>
      <w:r w:rsidRPr="006C7B74">
        <w:rPr>
          <w:rFonts w:cstheme="minorHAnsi"/>
        </w:rPr>
        <w:t xml:space="preserve">an additional </w:t>
      </w:r>
      <w:r w:rsidR="00B8039E" w:rsidRPr="006C7B74">
        <w:rPr>
          <w:rFonts w:cstheme="minorHAnsi"/>
        </w:rPr>
        <w:t>471,000</w:t>
      </w:r>
      <w:r w:rsidRPr="006C7B74">
        <w:rPr>
          <w:rFonts w:cstheme="minorHAnsi"/>
        </w:rPr>
        <w:t xml:space="preserve"> square metres of commercial floorspace by 2031, and Banyule and Nillumbik will </w:t>
      </w:r>
      <w:r w:rsidR="006F3228" w:rsidRPr="006C7B74">
        <w:rPr>
          <w:rFonts w:cstheme="minorHAnsi"/>
        </w:rPr>
        <w:t xml:space="preserve">need </w:t>
      </w:r>
      <w:r w:rsidRPr="006C7B74">
        <w:rPr>
          <w:rFonts w:cstheme="minorHAnsi"/>
        </w:rPr>
        <w:t xml:space="preserve">an additional </w:t>
      </w:r>
      <w:r w:rsidR="008C1D39" w:rsidRPr="006C7B74">
        <w:rPr>
          <w:rFonts w:cstheme="minorHAnsi"/>
        </w:rPr>
        <w:t>21</w:t>
      </w:r>
      <w:r w:rsidR="00F44C7A" w:rsidRPr="006C7B74">
        <w:rPr>
          <w:rFonts w:cstheme="minorHAnsi"/>
        </w:rPr>
        <w:t>,</w:t>
      </w:r>
      <w:r w:rsidR="008C1D39" w:rsidRPr="006C7B74">
        <w:rPr>
          <w:rFonts w:cstheme="minorHAnsi"/>
        </w:rPr>
        <w:t>0</w:t>
      </w:r>
      <w:r w:rsidR="00F44C7A" w:rsidRPr="006C7B74">
        <w:rPr>
          <w:rFonts w:cstheme="minorHAnsi"/>
        </w:rPr>
        <w:t>00</w:t>
      </w:r>
      <w:r w:rsidRPr="006C7B74">
        <w:rPr>
          <w:rFonts w:cstheme="minorHAnsi"/>
        </w:rPr>
        <w:t xml:space="preserve"> square metres of commercial floorspace. These councils will need to look at ways to accommodate projected demand for commercial floorspace within existing commercial areas</w:t>
      </w:r>
      <w:r w:rsidR="00131A57" w:rsidRPr="006C7B74">
        <w:rPr>
          <w:rFonts w:cstheme="minorHAnsi"/>
        </w:rPr>
        <w:t>,</w:t>
      </w:r>
      <w:r w:rsidRPr="006C7B74">
        <w:rPr>
          <w:rFonts w:cstheme="minorHAnsi"/>
        </w:rPr>
        <w:t xml:space="preserve"> </w:t>
      </w:r>
      <w:r w:rsidR="00FA4A32" w:rsidRPr="006C7B74">
        <w:rPr>
          <w:rFonts w:cstheme="minorHAnsi"/>
        </w:rPr>
        <w:t xml:space="preserve">as well as considering areas that could </w:t>
      </w:r>
      <w:r w:rsidRPr="006C7B74">
        <w:rPr>
          <w:rFonts w:cstheme="minorHAnsi"/>
        </w:rPr>
        <w:t>accommodate future floorspace requirements</w:t>
      </w:r>
      <w:r w:rsidR="00FA4A32" w:rsidRPr="006C7B74">
        <w:rPr>
          <w:rFonts w:cstheme="minorHAnsi"/>
        </w:rPr>
        <w:t xml:space="preserve"> through </w:t>
      </w:r>
      <w:proofErr w:type="spellStart"/>
      <w:r w:rsidR="00FA4A32" w:rsidRPr="006C7B74">
        <w:rPr>
          <w:rFonts w:cstheme="minorHAnsi"/>
        </w:rPr>
        <w:t>rezonings</w:t>
      </w:r>
      <w:proofErr w:type="spellEnd"/>
      <w:r w:rsidRPr="006C7B74">
        <w:rPr>
          <w:rFonts w:cstheme="minorHAnsi"/>
        </w:rPr>
        <w:t xml:space="preserve">. </w:t>
      </w:r>
    </w:p>
    <w:p w14:paraId="5CF7B23C" w14:textId="77777777" w:rsidR="0075498A" w:rsidRPr="006C7B74" w:rsidRDefault="0075498A" w:rsidP="007420C4">
      <w:pPr>
        <w:pStyle w:val="CommentText"/>
        <w:spacing w:after="120"/>
      </w:pPr>
    </w:p>
    <w:p w14:paraId="257D95A5" w14:textId="76029EA0" w:rsidR="0075498A" w:rsidRPr="006C7B74" w:rsidRDefault="0075498A" w:rsidP="006A7AB4">
      <w:pPr>
        <w:pStyle w:val="Heading5"/>
      </w:pPr>
      <w:r w:rsidRPr="006C7B74">
        <w:t xml:space="preserve">Table </w:t>
      </w:r>
      <w:r w:rsidR="009E6466" w:rsidRPr="006C7B74">
        <w:t>22</w:t>
      </w:r>
      <w:r w:rsidRPr="006C7B74">
        <w:t xml:space="preserve">: Commercial floorspace supply and </w:t>
      </w:r>
      <w:r w:rsidR="00627997">
        <w:t>estimate</w:t>
      </w:r>
      <w:r w:rsidRPr="006C7B74">
        <w:t xml:space="preserve">, </w:t>
      </w:r>
      <w:r w:rsidR="00365A77" w:rsidRPr="006C7B74">
        <w:t>Northern Region</w:t>
      </w:r>
    </w:p>
    <w:tbl>
      <w:tblPr>
        <w:tblW w:w="5000" w:type="pct"/>
        <w:tblCellMar>
          <w:left w:w="0" w:type="dxa"/>
          <w:right w:w="0" w:type="dxa"/>
        </w:tblCellMar>
        <w:tblLook w:val="04A0" w:firstRow="1" w:lastRow="0" w:firstColumn="1" w:lastColumn="0" w:noHBand="0" w:noVBand="1"/>
      </w:tblPr>
      <w:tblGrid>
        <w:gridCol w:w="3102"/>
        <w:gridCol w:w="2959"/>
        <w:gridCol w:w="2959"/>
      </w:tblGrid>
      <w:tr w:rsidR="00A06647" w:rsidRPr="006C7B74" w14:paraId="73FA7E23" w14:textId="77777777" w:rsidTr="00514946">
        <w:trPr>
          <w:trHeight w:val="690"/>
        </w:trPr>
        <w:tc>
          <w:tcPr>
            <w:tcW w:w="1720" w:type="pct"/>
            <w:tcBorders>
              <w:top w:val="nil"/>
              <w:left w:val="nil"/>
              <w:bottom w:val="nil"/>
              <w:right w:val="nil"/>
            </w:tcBorders>
            <w:shd w:val="clear" w:color="000000" w:fill="4D446C"/>
            <w:noWrap/>
            <w:tcMar>
              <w:top w:w="15" w:type="dxa"/>
              <w:left w:w="15" w:type="dxa"/>
              <w:bottom w:w="0" w:type="dxa"/>
              <w:right w:w="15" w:type="dxa"/>
            </w:tcMar>
            <w:vAlign w:val="center"/>
            <w:hideMark/>
          </w:tcPr>
          <w:p w14:paraId="2DC802CB" w14:textId="33493E0E" w:rsidR="00A06647" w:rsidRPr="008D088F" w:rsidRDefault="00A06647" w:rsidP="008D088F">
            <w:pPr>
              <w:pStyle w:val="TableHeaderRow"/>
            </w:pPr>
            <w:r w:rsidRPr="008D088F">
              <w:t>Council</w:t>
            </w:r>
          </w:p>
        </w:tc>
        <w:tc>
          <w:tcPr>
            <w:tcW w:w="1640" w:type="pct"/>
            <w:tcBorders>
              <w:top w:val="single" w:sz="4" w:space="0" w:color="auto"/>
              <w:left w:val="nil"/>
              <w:bottom w:val="nil"/>
              <w:right w:val="nil"/>
            </w:tcBorders>
            <w:shd w:val="clear" w:color="000000" w:fill="4D446C"/>
            <w:tcMar>
              <w:top w:w="15" w:type="dxa"/>
              <w:left w:w="15" w:type="dxa"/>
              <w:bottom w:w="0" w:type="dxa"/>
              <w:right w:w="15" w:type="dxa"/>
            </w:tcMar>
            <w:vAlign w:val="center"/>
            <w:hideMark/>
          </w:tcPr>
          <w:p w14:paraId="6D20014E" w14:textId="007CDD4B" w:rsidR="00A06647" w:rsidRPr="008D088F" w:rsidRDefault="00A06647" w:rsidP="008D088F">
            <w:pPr>
              <w:pStyle w:val="TableHeaderRow"/>
              <w:jc w:val="center"/>
            </w:pPr>
            <w:r w:rsidRPr="008D088F">
              <w:t>Existing commercial</w:t>
            </w:r>
            <w:r w:rsidRPr="008D088F">
              <w:br/>
              <w:t xml:space="preserve">floorspace </w:t>
            </w:r>
            <w:r w:rsidR="00854BB1" w:rsidRPr="008D088F">
              <w:t xml:space="preserve">2018 </w:t>
            </w:r>
            <w:r w:rsidRPr="008D088F">
              <w:t>(m2)</w:t>
            </w:r>
          </w:p>
        </w:tc>
        <w:tc>
          <w:tcPr>
            <w:tcW w:w="1640" w:type="pct"/>
            <w:tcBorders>
              <w:top w:val="nil"/>
              <w:left w:val="nil"/>
              <w:bottom w:val="nil"/>
              <w:right w:val="nil"/>
            </w:tcBorders>
            <w:shd w:val="clear" w:color="000000" w:fill="4D446C"/>
            <w:tcMar>
              <w:top w:w="15" w:type="dxa"/>
              <w:left w:w="15" w:type="dxa"/>
              <w:bottom w:w="0" w:type="dxa"/>
              <w:right w:w="15" w:type="dxa"/>
            </w:tcMar>
            <w:vAlign w:val="center"/>
            <w:hideMark/>
          </w:tcPr>
          <w:p w14:paraId="00A3CC06" w14:textId="1552EA9A" w:rsidR="00167EA7" w:rsidRPr="008D088F" w:rsidRDefault="00AB3DA8" w:rsidP="008D088F">
            <w:pPr>
              <w:pStyle w:val="TableHeaderRow"/>
              <w:jc w:val="center"/>
            </w:pPr>
            <w:r w:rsidRPr="008D088F">
              <w:t>Estimated a</w:t>
            </w:r>
            <w:r w:rsidR="00167EA7" w:rsidRPr="008D088F">
              <w:t>dditional commercial floorspace</w:t>
            </w:r>
          </w:p>
          <w:p w14:paraId="7FDF0C30" w14:textId="16BC6956" w:rsidR="00A06647" w:rsidRPr="008D088F" w:rsidRDefault="00167EA7" w:rsidP="008D088F">
            <w:pPr>
              <w:pStyle w:val="TableHeaderRow"/>
              <w:jc w:val="center"/>
            </w:pPr>
            <w:r w:rsidRPr="008D088F">
              <w:t>2016 to 2031 (m2)</w:t>
            </w:r>
          </w:p>
        </w:tc>
      </w:tr>
      <w:tr w:rsidR="0033426B" w:rsidRPr="006C7B74" w14:paraId="7611240F" w14:textId="77777777" w:rsidTr="006C7B74">
        <w:trPr>
          <w:trHeight w:val="240"/>
        </w:trPr>
        <w:tc>
          <w:tcPr>
            <w:tcW w:w="1720"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6BC5F568" w14:textId="77777777" w:rsidR="006A7AB4" w:rsidRPr="006C7B74" w:rsidRDefault="006A7AB4">
            <w:pPr>
              <w:rPr>
                <w:rFonts w:ascii="Calibri" w:hAnsi="Calibri" w:cs="Calibri"/>
                <w:color w:val="000000"/>
                <w:sz w:val="18"/>
                <w:szCs w:val="16"/>
              </w:rPr>
            </w:pPr>
            <w:r w:rsidRPr="006C7B74">
              <w:rPr>
                <w:rFonts w:ascii="Calibri" w:hAnsi="Calibri" w:cs="Calibri"/>
                <w:color w:val="000000"/>
                <w:sz w:val="18"/>
                <w:szCs w:val="16"/>
              </w:rPr>
              <w:t>Banyule</w:t>
            </w:r>
          </w:p>
        </w:tc>
        <w:tc>
          <w:tcPr>
            <w:tcW w:w="1640"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246477D1" w14:textId="77777777" w:rsidR="006A7AB4" w:rsidRPr="006C7B74" w:rsidRDefault="006A7AB4">
            <w:pPr>
              <w:jc w:val="center"/>
              <w:rPr>
                <w:rFonts w:ascii="Calibri" w:hAnsi="Calibri" w:cs="Calibri"/>
                <w:color w:val="000000"/>
                <w:sz w:val="18"/>
                <w:szCs w:val="16"/>
              </w:rPr>
            </w:pPr>
            <w:r w:rsidRPr="006C7B74">
              <w:rPr>
                <w:rFonts w:ascii="Calibri" w:hAnsi="Calibri" w:cs="Calibri"/>
                <w:color w:val="000000"/>
                <w:sz w:val="18"/>
                <w:szCs w:val="16"/>
              </w:rPr>
              <w:t>380,850</w:t>
            </w:r>
          </w:p>
        </w:tc>
        <w:tc>
          <w:tcPr>
            <w:tcW w:w="1640"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3D554918" w14:textId="5521BB58" w:rsidR="006A7AB4" w:rsidRPr="00FF75CC" w:rsidRDefault="00141989">
            <w:pPr>
              <w:jc w:val="center"/>
              <w:rPr>
                <w:rFonts w:ascii="Calibri" w:hAnsi="Calibri" w:cs="Calibri"/>
                <w:color w:val="000000"/>
                <w:sz w:val="18"/>
                <w:szCs w:val="18"/>
              </w:rPr>
            </w:pPr>
            <w:r w:rsidRPr="00FF75CC">
              <w:rPr>
                <w:rFonts w:ascii="Calibri" w:hAnsi="Calibri" w:cs="Calibri"/>
                <w:color w:val="000000"/>
                <w:sz w:val="18"/>
                <w:szCs w:val="18"/>
              </w:rPr>
              <w:t xml:space="preserve">19,000 </w:t>
            </w:r>
          </w:p>
        </w:tc>
      </w:tr>
      <w:tr w:rsidR="0033426B" w:rsidRPr="006C7B74" w14:paraId="66689A02" w14:textId="77777777" w:rsidTr="006C7B74">
        <w:trPr>
          <w:trHeight w:val="240"/>
        </w:trPr>
        <w:tc>
          <w:tcPr>
            <w:tcW w:w="1720"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0AA14D23" w14:textId="77777777" w:rsidR="006A7AB4" w:rsidRPr="006C7B74" w:rsidRDefault="006A7AB4">
            <w:pPr>
              <w:rPr>
                <w:rFonts w:ascii="Calibri" w:hAnsi="Calibri" w:cs="Calibri"/>
                <w:color w:val="000000"/>
                <w:sz w:val="18"/>
                <w:szCs w:val="16"/>
              </w:rPr>
            </w:pPr>
            <w:r w:rsidRPr="006C7B74">
              <w:rPr>
                <w:rFonts w:ascii="Calibri" w:hAnsi="Calibri" w:cs="Calibri"/>
                <w:color w:val="000000"/>
                <w:sz w:val="18"/>
                <w:szCs w:val="16"/>
              </w:rPr>
              <w:t>Darebin</w:t>
            </w:r>
          </w:p>
        </w:tc>
        <w:tc>
          <w:tcPr>
            <w:tcW w:w="1640"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6918EA97" w14:textId="77777777" w:rsidR="006A7AB4" w:rsidRPr="006C7B74" w:rsidRDefault="006A7AB4">
            <w:pPr>
              <w:jc w:val="center"/>
              <w:rPr>
                <w:rFonts w:ascii="Calibri" w:hAnsi="Calibri" w:cs="Calibri"/>
                <w:color w:val="000000"/>
                <w:sz w:val="18"/>
                <w:szCs w:val="16"/>
              </w:rPr>
            </w:pPr>
            <w:r w:rsidRPr="006C7B74">
              <w:rPr>
                <w:rFonts w:ascii="Calibri" w:hAnsi="Calibri" w:cs="Calibri"/>
                <w:color w:val="000000"/>
                <w:sz w:val="18"/>
                <w:szCs w:val="16"/>
              </w:rPr>
              <w:t>812,550</w:t>
            </w:r>
          </w:p>
        </w:tc>
        <w:tc>
          <w:tcPr>
            <w:tcW w:w="1640"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7BEC8981" w14:textId="0A1CF42A" w:rsidR="006A7AB4" w:rsidRPr="00FF75CC" w:rsidRDefault="00141989">
            <w:pPr>
              <w:jc w:val="center"/>
              <w:rPr>
                <w:rFonts w:ascii="Calibri" w:hAnsi="Calibri" w:cs="Calibri"/>
                <w:color w:val="000000"/>
                <w:sz w:val="18"/>
                <w:szCs w:val="18"/>
              </w:rPr>
            </w:pPr>
            <w:r w:rsidRPr="00FF75CC">
              <w:rPr>
                <w:rFonts w:ascii="Calibri" w:hAnsi="Calibri" w:cs="Calibri"/>
                <w:color w:val="000000"/>
                <w:sz w:val="18"/>
                <w:szCs w:val="18"/>
              </w:rPr>
              <w:t xml:space="preserve">194,000 </w:t>
            </w:r>
          </w:p>
        </w:tc>
      </w:tr>
      <w:tr w:rsidR="0033426B" w:rsidRPr="006C7B74" w14:paraId="45B5DA81" w14:textId="77777777" w:rsidTr="006C7B74">
        <w:trPr>
          <w:trHeight w:val="240"/>
        </w:trPr>
        <w:tc>
          <w:tcPr>
            <w:tcW w:w="1720"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55E92D9F" w14:textId="77777777" w:rsidR="006A7AB4" w:rsidRPr="006C7B74" w:rsidRDefault="006A7AB4">
            <w:pPr>
              <w:rPr>
                <w:rFonts w:ascii="Calibri" w:hAnsi="Calibri" w:cs="Calibri"/>
                <w:color w:val="000000"/>
                <w:sz w:val="18"/>
                <w:szCs w:val="16"/>
              </w:rPr>
            </w:pPr>
            <w:r w:rsidRPr="006C7B74">
              <w:rPr>
                <w:rFonts w:ascii="Calibri" w:hAnsi="Calibri" w:cs="Calibri"/>
                <w:color w:val="000000"/>
                <w:sz w:val="18"/>
                <w:szCs w:val="16"/>
              </w:rPr>
              <w:t>Hume</w:t>
            </w:r>
          </w:p>
        </w:tc>
        <w:tc>
          <w:tcPr>
            <w:tcW w:w="1640"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6D880001" w14:textId="77777777" w:rsidR="006A7AB4" w:rsidRPr="006C7B74" w:rsidRDefault="006A7AB4">
            <w:pPr>
              <w:jc w:val="center"/>
              <w:rPr>
                <w:rFonts w:ascii="Calibri" w:hAnsi="Calibri" w:cs="Calibri"/>
                <w:color w:val="000000"/>
                <w:sz w:val="18"/>
                <w:szCs w:val="16"/>
              </w:rPr>
            </w:pPr>
            <w:r w:rsidRPr="006C7B74">
              <w:rPr>
                <w:rFonts w:ascii="Calibri" w:hAnsi="Calibri" w:cs="Calibri"/>
                <w:color w:val="000000"/>
                <w:sz w:val="18"/>
                <w:szCs w:val="16"/>
              </w:rPr>
              <w:t>519,950</w:t>
            </w:r>
          </w:p>
        </w:tc>
        <w:tc>
          <w:tcPr>
            <w:tcW w:w="1640"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15751F00" w14:textId="13CFB6E4" w:rsidR="006A7AB4" w:rsidRPr="00FF75CC" w:rsidRDefault="00141989">
            <w:pPr>
              <w:jc w:val="center"/>
              <w:rPr>
                <w:rFonts w:ascii="Calibri" w:hAnsi="Calibri" w:cs="Calibri"/>
                <w:color w:val="000000"/>
                <w:sz w:val="18"/>
                <w:szCs w:val="18"/>
              </w:rPr>
            </w:pPr>
            <w:r w:rsidRPr="00FF75CC">
              <w:rPr>
                <w:rFonts w:ascii="Calibri" w:hAnsi="Calibri" w:cs="Calibri"/>
                <w:color w:val="000000"/>
                <w:sz w:val="18"/>
                <w:szCs w:val="18"/>
              </w:rPr>
              <w:t xml:space="preserve">468,000 </w:t>
            </w:r>
          </w:p>
        </w:tc>
      </w:tr>
      <w:tr w:rsidR="0033426B" w:rsidRPr="006C7B74" w14:paraId="1DED5D61" w14:textId="77777777" w:rsidTr="006C7B74">
        <w:trPr>
          <w:trHeight w:val="240"/>
        </w:trPr>
        <w:tc>
          <w:tcPr>
            <w:tcW w:w="1720"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6C8C73BB" w14:textId="77777777" w:rsidR="006A7AB4" w:rsidRPr="006C7B74" w:rsidRDefault="006A7AB4">
            <w:pPr>
              <w:rPr>
                <w:rFonts w:ascii="Calibri" w:hAnsi="Calibri" w:cs="Calibri"/>
                <w:color w:val="000000"/>
                <w:sz w:val="18"/>
                <w:szCs w:val="16"/>
              </w:rPr>
            </w:pPr>
            <w:r w:rsidRPr="006C7B74">
              <w:rPr>
                <w:rFonts w:ascii="Calibri" w:hAnsi="Calibri" w:cs="Calibri"/>
                <w:color w:val="000000"/>
                <w:sz w:val="18"/>
                <w:szCs w:val="16"/>
              </w:rPr>
              <w:t>Moreland</w:t>
            </w:r>
          </w:p>
        </w:tc>
        <w:tc>
          <w:tcPr>
            <w:tcW w:w="1640"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6340CA36" w14:textId="77777777" w:rsidR="006A7AB4" w:rsidRPr="006C7B74" w:rsidRDefault="006A7AB4">
            <w:pPr>
              <w:jc w:val="center"/>
              <w:rPr>
                <w:rFonts w:ascii="Calibri" w:hAnsi="Calibri" w:cs="Calibri"/>
                <w:color w:val="000000"/>
                <w:sz w:val="18"/>
                <w:szCs w:val="16"/>
              </w:rPr>
            </w:pPr>
            <w:r w:rsidRPr="006C7B74">
              <w:rPr>
                <w:rFonts w:ascii="Calibri" w:hAnsi="Calibri" w:cs="Calibri"/>
                <w:color w:val="000000"/>
                <w:sz w:val="18"/>
                <w:szCs w:val="16"/>
              </w:rPr>
              <w:t>762,750</w:t>
            </w:r>
          </w:p>
        </w:tc>
        <w:tc>
          <w:tcPr>
            <w:tcW w:w="1640"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479A6E6E" w14:textId="22A8152F" w:rsidR="006A7AB4" w:rsidRPr="00FF75CC" w:rsidRDefault="00141989">
            <w:pPr>
              <w:jc w:val="center"/>
              <w:rPr>
                <w:rFonts w:ascii="Calibri" w:hAnsi="Calibri" w:cs="Calibri"/>
                <w:color w:val="000000"/>
                <w:sz w:val="18"/>
                <w:szCs w:val="18"/>
              </w:rPr>
            </w:pPr>
            <w:r w:rsidRPr="00FF75CC">
              <w:rPr>
                <w:rFonts w:ascii="Calibri" w:hAnsi="Calibri" w:cs="Calibri"/>
                <w:color w:val="000000"/>
                <w:sz w:val="18"/>
                <w:szCs w:val="18"/>
              </w:rPr>
              <w:t xml:space="preserve">277,000 </w:t>
            </w:r>
          </w:p>
        </w:tc>
      </w:tr>
      <w:tr w:rsidR="0033426B" w:rsidRPr="006C7B74" w14:paraId="5EE54D52" w14:textId="77777777" w:rsidTr="006C7B74">
        <w:trPr>
          <w:trHeight w:val="240"/>
        </w:trPr>
        <w:tc>
          <w:tcPr>
            <w:tcW w:w="1720"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36240DE2" w14:textId="77777777" w:rsidR="006A7AB4" w:rsidRPr="006C7B74" w:rsidRDefault="006A7AB4">
            <w:pPr>
              <w:rPr>
                <w:rFonts w:ascii="Calibri" w:hAnsi="Calibri" w:cs="Calibri"/>
                <w:color w:val="000000"/>
                <w:sz w:val="18"/>
                <w:szCs w:val="16"/>
              </w:rPr>
            </w:pPr>
            <w:r w:rsidRPr="006C7B74">
              <w:rPr>
                <w:rFonts w:ascii="Calibri" w:hAnsi="Calibri" w:cs="Calibri"/>
                <w:color w:val="000000"/>
                <w:sz w:val="18"/>
                <w:szCs w:val="16"/>
              </w:rPr>
              <w:t xml:space="preserve">Nillumbik </w:t>
            </w:r>
          </w:p>
        </w:tc>
        <w:tc>
          <w:tcPr>
            <w:tcW w:w="1640"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2035610F" w14:textId="77777777" w:rsidR="006A7AB4" w:rsidRPr="006C7B74" w:rsidRDefault="006A7AB4">
            <w:pPr>
              <w:jc w:val="center"/>
              <w:rPr>
                <w:rFonts w:ascii="Calibri" w:hAnsi="Calibri" w:cs="Calibri"/>
                <w:color w:val="000000"/>
                <w:sz w:val="18"/>
                <w:szCs w:val="16"/>
              </w:rPr>
            </w:pPr>
            <w:r w:rsidRPr="006C7B74">
              <w:rPr>
                <w:rFonts w:ascii="Calibri" w:hAnsi="Calibri" w:cs="Calibri"/>
                <w:color w:val="000000"/>
                <w:sz w:val="18"/>
                <w:szCs w:val="16"/>
              </w:rPr>
              <w:t>61,350</w:t>
            </w:r>
          </w:p>
        </w:tc>
        <w:tc>
          <w:tcPr>
            <w:tcW w:w="1640"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3AD93AA4" w14:textId="25416313" w:rsidR="006A7AB4" w:rsidRPr="00FF75CC" w:rsidRDefault="00141989">
            <w:pPr>
              <w:jc w:val="center"/>
              <w:rPr>
                <w:rFonts w:ascii="Calibri" w:hAnsi="Calibri" w:cs="Calibri"/>
                <w:color w:val="000000"/>
                <w:sz w:val="18"/>
                <w:szCs w:val="18"/>
              </w:rPr>
            </w:pPr>
            <w:r w:rsidRPr="00FF75CC">
              <w:rPr>
                <w:rFonts w:ascii="Calibri" w:hAnsi="Calibri" w:cs="Calibri"/>
                <w:color w:val="000000"/>
                <w:sz w:val="18"/>
                <w:szCs w:val="18"/>
              </w:rPr>
              <w:t xml:space="preserve">2,000 </w:t>
            </w:r>
          </w:p>
        </w:tc>
      </w:tr>
      <w:tr w:rsidR="0033426B" w:rsidRPr="006C7B74" w14:paraId="0CCFB6BA" w14:textId="77777777" w:rsidTr="006C7B74">
        <w:trPr>
          <w:trHeight w:val="240"/>
        </w:trPr>
        <w:tc>
          <w:tcPr>
            <w:tcW w:w="1720"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1DD4203A" w14:textId="77777777" w:rsidR="006A7AB4" w:rsidRPr="006C7B74" w:rsidRDefault="006A7AB4">
            <w:pPr>
              <w:rPr>
                <w:rFonts w:ascii="Calibri" w:hAnsi="Calibri" w:cs="Calibri"/>
                <w:color w:val="000000"/>
                <w:sz w:val="18"/>
                <w:szCs w:val="16"/>
              </w:rPr>
            </w:pPr>
            <w:r w:rsidRPr="006C7B74">
              <w:rPr>
                <w:rFonts w:ascii="Calibri" w:hAnsi="Calibri" w:cs="Calibri"/>
                <w:color w:val="000000"/>
                <w:sz w:val="18"/>
                <w:szCs w:val="16"/>
              </w:rPr>
              <w:t>Whittlesea</w:t>
            </w:r>
          </w:p>
        </w:tc>
        <w:tc>
          <w:tcPr>
            <w:tcW w:w="1640"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6DE517F3" w14:textId="77777777" w:rsidR="006A7AB4" w:rsidRPr="006C7B74" w:rsidRDefault="006A7AB4">
            <w:pPr>
              <w:jc w:val="center"/>
              <w:rPr>
                <w:rFonts w:ascii="Calibri" w:hAnsi="Calibri" w:cs="Calibri"/>
                <w:color w:val="000000"/>
                <w:sz w:val="18"/>
                <w:szCs w:val="16"/>
              </w:rPr>
            </w:pPr>
            <w:r w:rsidRPr="006C7B74">
              <w:rPr>
                <w:rFonts w:ascii="Calibri" w:hAnsi="Calibri" w:cs="Calibri"/>
                <w:color w:val="000000"/>
                <w:sz w:val="18"/>
                <w:szCs w:val="16"/>
              </w:rPr>
              <w:t>678,850</w:t>
            </w:r>
          </w:p>
        </w:tc>
        <w:tc>
          <w:tcPr>
            <w:tcW w:w="1640"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08D4BF0A" w14:textId="58828FD1" w:rsidR="006A7AB4" w:rsidRPr="00FF75CC" w:rsidRDefault="00141989">
            <w:pPr>
              <w:jc w:val="center"/>
              <w:rPr>
                <w:rFonts w:ascii="Calibri" w:hAnsi="Calibri" w:cs="Calibri"/>
                <w:color w:val="000000"/>
                <w:sz w:val="18"/>
                <w:szCs w:val="18"/>
              </w:rPr>
            </w:pPr>
            <w:r w:rsidRPr="00FF75CC">
              <w:rPr>
                <w:rFonts w:ascii="Calibri" w:hAnsi="Calibri" w:cs="Calibri"/>
                <w:color w:val="000000"/>
                <w:sz w:val="18"/>
                <w:szCs w:val="18"/>
              </w:rPr>
              <w:t xml:space="preserve">342,000 </w:t>
            </w:r>
          </w:p>
        </w:tc>
      </w:tr>
      <w:tr w:rsidR="0033426B" w:rsidRPr="006C7B74" w14:paraId="70A5FE43" w14:textId="77777777" w:rsidTr="006C7B74">
        <w:trPr>
          <w:trHeight w:val="240"/>
        </w:trPr>
        <w:tc>
          <w:tcPr>
            <w:tcW w:w="1720"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17A1A775" w14:textId="6ACFF397" w:rsidR="006A7AB4" w:rsidRPr="006C7B74" w:rsidRDefault="006A7AB4">
            <w:pPr>
              <w:rPr>
                <w:rFonts w:ascii="Calibri" w:hAnsi="Calibri" w:cs="Calibri"/>
                <w:color w:val="000000"/>
                <w:sz w:val="18"/>
                <w:szCs w:val="16"/>
              </w:rPr>
            </w:pPr>
            <w:r w:rsidRPr="006C7B74">
              <w:rPr>
                <w:rFonts w:ascii="Calibri" w:hAnsi="Calibri" w:cs="Calibri"/>
                <w:color w:val="000000"/>
                <w:sz w:val="18"/>
                <w:szCs w:val="16"/>
              </w:rPr>
              <w:t>Mitchell (</w:t>
            </w:r>
            <w:r w:rsidR="00DD0244" w:rsidRPr="006C7B74">
              <w:rPr>
                <w:rFonts w:ascii="Calibri" w:hAnsi="Calibri" w:cs="Calibri"/>
                <w:color w:val="000000"/>
                <w:sz w:val="18"/>
                <w:szCs w:val="16"/>
              </w:rPr>
              <w:t>w</w:t>
            </w:r>
            <w:r w:rsidRPr="006C7B74">
              <w:rPr>
                <w:rFonts w:ascii="Calibri" w:hAnsi="Calibri" w:cs="Calibri"/>
                <w:color w:val="000000"/>
                <w:sz w:val="18"/>
                <w:szCs w:val="16"/>
              </w:rPr>
              <w:t>ithin UGB)</w:t>
            </w:r>
          </w:p>
        </w:tc>
        <w:tc>
          <w:tcPr>
            <w:tcW w:w="1640"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2FA1FB96" w14:textId="77777777" w:rsidR="006A7AB4" w:rsidRPr="006C7B74" w:rsidRDefault="006A7AB4">
            <w:pPr>
              <w:jc w:val="center"/>
              <w:rPr>
                <w:rFonts w:ascii="Calibri" w:hAnsi="Calibri" w:cs="Calibri"/>
                <w:color w:val="000000"/>
                <w:sz w:val="18"/>
                <w:szCs w:val="16"/>
              </w:rPr>
            </w:pPr>
            <w:r w:rsidRPr="006C7B74">
              <w:rPr>
                <w:rFonts w:ascii="Calibri" w:hAnsi="Calibri" w:cs="Calibri"/>
                <w:color w:val="000000"/>
                <w:sz w:val="18"/>
                <w:szCs w:val="16"/>
              </w:rPr>
              <w:t>22,850</w:t>
            </w:r>
          </w:p>
        </w:tc>
        <w:tc>
          <w:tcPr>
            <w:tcW w:w="1640"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743D794A" w14:textId="23D41C72" w:rsidR="006A7AB4" w:rsidRPr="00FF75CC" w:rsidRDefault="00141989">
            <w:pPr>
              <w:jc w:val="center"/>
              <w:rPr>
                <w:rFonts w:ascii="Calibri" w:hAnsi="Calibri" w:cs="Calibri"/>
                <w:color w:val="000000"/>
                <w:sz w:val="18"/>
                <w:szCs w:val="18"/>
              </w:rPr>
            </w:pPr>
            <w:r w:rsidRPr="00FF75CC">
              <w:rPr>
                <w:rFonts w:ascii="Calibri" w:hAnsi="Calibri" w:cs="Calibri"/>
                <w:color w:val="000000"/>
                <w:sz w:val="18"/>
                <w:szCs w:val="18"/>
              </w:rPr>
              <w:t xml:space="preserve">112,000 </w:t>
            </w:r>
          </w:p>
        </w:tc>
      </w:tr>
      <w:tr w:rsidR="0033426B" w:rsidRPr="00FF75CC" w14:paraId="65BBD241" w14:textId="77777777" w:rsidTr="006C7B74">
        <w:trPr>
          <w:trHeight w:val="240"/>
        </w:trPr>
        <w:tc>
          <w:tcPr>
            <w:tcW w:w="1720"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2B18392B" w14:textId="77777777" w:rsidR="006A7AB4" w:rsidRPr="00FF75CC" w:rsidRDefault="006A7AB4">
            <w:pPr>
              <w:rPr>
                <w:rFonts w:ascii="Calibri" w:hAnsi="Calibri" w:cs="Calibri"/>
                <w:b/>
                <w:bCs/>
                <w:color w:val="000000"/>
                <w:sz w:val="18"/>
                <w:szCs w:val="16"/>
              </w:rPr>
            </w:pPr>
            <w:r w:rsidRPr="00FF75CC">
              <w:rPr>
                <w:rFonts w:ascii="Calibri" w:hAnsi="Calibri" w:cs="Calibri"/>
                <w:b/>
                <w:bCs/>
                <w:color w:val="000000"/>
                <w:sz w:val="18"/>
                <w:szCs w:val="16"/>
              </w:rPr>
              <w:t>Total</w:t>
            </w:r>
          </w:p>
        </w:tc>
        <w:tc>
          <w:tcPr>
            <w:tcW w:w="1640"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5B55DE97" w14:textId="77777777" w:rsidR="006A7AB4" w:rsidRPr="00FF75CC" w:rsidRDefault="006A7AB4">
            <w:pPr>
              <w:jc w:val="center"/>
              <w:rPr>
                <w:rFonts w:ascii="Calibri" w:hAnsi="Calibri" w:cs="Calibri"/>
                <w:b/>
                <w:bCs/>
                <w:color w:val="000000"/>
                <w:sz w:val="18"/>
                <w:szCs w:val="16"/>
              </w:rPr>
            </w:pPr>
            <w:r w:rsidRPr="00FF75CC">
              <w:rPr>
                <w:rFonts w:ascii="Calibri" w:hAnsi="Calibri" w:cs="Calibri"/>
                <w:b/>
                <w:bCs/>
                <w:color w:val="000000"/>
                <w:sz w:val="18"/>
                <w:szCs w:val="16"/>
              </w:rPr>
              <w:t>3,239,150</w:t>
            </w:r>
          </w:p>
        </w:tc>
        <w:tc>
          <w:tcPr>
            <w:tcW w:w="1640"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08493AFF" w14:textId="1B53FAE3" w:rsidR="006A7AB4" w:rsidRPr="00FF75CC" w:rsidRDefault="00141989">
            <w:pPr>
              <w:jc w:val="center"/>
              <w:rPr>
                <w:rFonts w:ascii="Calibri" w:hAnsi="Calibri" w:cs="Calibri"/>
                <w:b/>
                <w:bCs/>
                <w:color w:val="000000"/>
                <w:sz w:val="18"/>
                <w:szCs w:val="18"/>
              </w:rPr>
            </w:pPr>
            <w:r w:rsidRPr="00FF75CC">
              <w:rPr>
                <w:rFonts w:ascii="Calibri" w:hAnsi="Calibri" w:cs="Calibri"/>
                <w:b/>
                <w:bCs/>
                <w:color w:val="000000"/>
                <w:sz w:val="18"/>
                <w:szCs w:val="18"/>
              </w:rPr>
              <w:t xml:space="preserve">1,414,000 </w:t>
            </w:r>
          </w:p>
        </w:tc>
      </w:tr>
    </w:tbl>
    <w:p w14:paraId="2D1C2729" w14:textId="28FECD18" w:rsidR="00514946" w:rsidRPr="006C7B74" w:rsidRDefault="00514946" w:rsidP="00153967">
      <w:pPr>
        <w:pStyle w:val="Quote"/>
        <w:rPr>
          <w:i w:val="0"/>
          <w:iCs w:val="0"/>
          <w:color w:val="000000" w:themeColor="text1"/>
          <w:sz w:val="22"/>
        </w:rPr>
      </w:pPr>
      <w:r w:rsidRPr="006C7B74">
        <w:t>Source: Department of Environment, Land, Water and Planning, unpublished data (</w:t>
      </w:r>
      <w:r w:rsidR="00BE3759" w:rsidRPr="006C7B74">
        <w:t>20</w:t>
      </w:r>
      <w:r w:rsidR="00BE3759">
        <w:t>20</w:t>
      </w:r>
      <w:r w:rsidRPr="006C7B74">
        <w:t>)</w:t>
      </w:r>
    </w:p>
    <w:p w14:paraId="61BC818D" w14:textId="77777777" w:rsidR="00514946" w:rsidRPr="006C7B74" w:rsidRDefault="00514946" w:rsidP="00153967">
      <w:pPr>
        <w:pStyle w:val="Quote"/>
      </w:pPr>
    </w:p>
    <w:p w14:paraId="1A08A2C4" w14:textId="63AA6CF3" w:rsidR="0075498A" w:rsidRPr="006C7B74" w:rsidRDefault="0075498A" w:rsidP="00C802F6">
      <w:pPr>
        <w:pStyle w:val="Heading5"/>
      </w:pPr>
      <w:r w:rsidRPr="006C7B74">
        <w:t xml:space="preserve">Figure </w:t>
      </w:r>
      <w:r w:rsidR="008E3767" w:rsidRPr="006C7B74">
        <w:t>2</w:t>
      </w:r>
      <w:r w:rsidR="00DC23D3" w:rsidRPr="006C7B74">
        <w:t>2</w:t>
      </w:r>
      <w:r w:rsidRPr="006C7B74">
        <w:t xml:space="preserve">: </w:t>
      </w:r>
      <w:r w:rsidR="007C0192">
        <w:t xml:space="preserve">Estimated additional </w:t>
      </w:r>
      <w:r w:rsidR="007C0192" w:rsidRPr="006C7B74">
        <w:t>commercial floorspace</w:t>
      </w:r>
      <w:r w:rsidR="007C0192" w:rsidRPr="006C7B74" w:rsidDel="007C0192">
        <w:t xml:space="preserve"> </w:t>
      </w:r>
      <w:r w:rsidRPr="006C7B74">
        <w:t>by type and municipality,</w:t>
      </w:r>
      <w:r w:rsidR="0083629F" w:rsidRPr="006C7B74">
        <w:t xml:space="preserve"> Northern Region,</w:t>
      </w:r>
      <w:r w:rsidRPr="006C7B74">
        <w:t xml:space="preserve"> 201</w:t>
      </w:r>
      <w:r w:rsidR="00EF7134" w:rsidRPr="006C7B74">
        <w:t>6</w:t>
      </w:r>
      <w:r w:rsidRPr="006C7B74">
        <w:t xml:space="preserve"> to 2031</w:t>
      </w:r>
    </w:p>
    <w:p w14:paraId="222BE2DF" w14:textId="40379E05" w:rsidR="0075498A" w:rsidRDefault="006F1AF0" w:rsidP="00153967">
      <w:pPr>
        <w:pStyle w:val="Quote"/>
        <w:rPr>
          <w:rFonts w:eastAsiaTheme="majorEastAsia"/>
        </w:rPr>
      </w:pPr>
      <w:r>
        <w:rPr>
          <w:noProof/>
        </w:rPr>
        <w:drawing>
          <wp:inline distT="0" distB="0" distL="0" distR="0" wp14:anchorId="30B60A26" wp14:editId="31457864">
            <wp:extent cx="5727700" cy="2795905"/>
            <wp:effectExtent l="0" t="0" r="0" b="0"/>
            <wp:docPr id="20" name="Chart 20" descr="Bar graph - Estimated additional commercial floorspace for Northern Region, 2016 to 2031. Shows estimates required for each council for office and retail floorspace.">
              <a:extLst xmlns:a="http://schemas.openxmlformats.org/drawingml/2006/main">
                <a:ext uri="{FF2B5EF4-FFF2-40B4-BE49-F238E27FC236}">
                  <a16:creationId xmlns:a16="http://schemas.microsoft.com/office/drawing/2014/main" id="{08B81A0F-A1A9-40EC-8956-148DD0D021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00514946" w:rsidRPr="006C7B74">
        <w:t>Source: Department of Environment, Land, Water and Planning, unpublished data (</w:t>
      </w:r>
      <w:r w:rsidR="00BE3759" w:rsidRPr="006C7B74">
        <w:t>20</w:t>
      </w:r>
      <w:r w:rsidR="00BE3759">
        <w:t>20</w:t>
      </w:r>
      <w:r w:rsidR="00514946" w:rsidRPr="006C7B74">
        <w:t>)</w:t>
      </w:r>
    </w:p>
    <w:p w14:paraId="32C601B3" w14:textId="77777777" w:rsidR="005B154D" w:rsidRPr="005B154D" w:rsidRDefault="005B154D" w:rsidP="005B154D">
      <w:pPr>
        <w:rPr>
          <w:rFonts w:eastAsiaTheme="majorEastAsia"/>
        </w:rPr>
      </w:pPr>
    </w:p>
    <w:p w14:paraId="256F389C" w14:textId="225B11B2" w:rsidR="00DB3C3D" w:rsidRPr="006C7B74" w:rsidRDefault="00DB3C3D" w:rsidP="00934C4D">
      <w:pPr>
        <w:pStyle w:val="Heading2-Contenttable"/>
        <w:spacing w:after="120"/>
      </w:pPr>
      <w:bookmarkStart w:id="47" w:name="_Toc21694826"/>
      <w:r w:rsidRPr="006C7B74">
        <w:t xml:space="preserve">Planning </w:t>
      </w:r>
      <w:r w:rsidR="000C54AD" w:rsidRPr="006C7B74">
        <w:t xml:space="preserve">framework </w:t>
      </w:r>
      <w:r w:rsidRPr="006C7B74">
        <w:t>for industrial and commercial land across the region</w:t>
      </w:r>
      <w:bookmarkEnd w:id="47"/>
    </w:p>
    <w:p w14:paraId="1298512F" w14:textId="6BE822C8" w:rsidR="00AC0F01" w:rsidRPr="006C7B74" w:rsidRDefault="00DB3C3D" w:rsidP="00934C4D">
      <w:pPr>
        <w:pStyle w:val="paragraph"/>
        <w:spacing w:before="0" w:beforeAutospacing="0" w:after="120" w:afterAutospacing="0"/>
        <w:textAlignment w:val="baseline"/>
        <w:rPr>
          <w:rStyle w:val="normaltextrun"/>
          <w:sz w:val="20"/>
          <w:szCs w:val="20"/>
        </w:rPr>
      </w:pPr>
      <w:r w:rsidRPr="006C7B74">
        <w:rPr>
          <w:rStyle w:val="normaltextrun"/>
          <w:rFonts w:cstheme="minorHAnsi"/>
          <w:sz w:val="20"/>
          <w:szCs w:val="20"/>
        </w:rPr>
        <w:lastRenderedPageBreak/>
        <w:t xml:space="preserve">There is a large amount of industrial and commercial land </w:t>
      </w:r>
      <w:r w:rsidR="00AC0F01" w:rsidRPr="006C7B74">
        <w:rPr>
          <w:rStyle w:val="normaltextrun"/>
          <w:rFonts w:cstheme="minorHAnsi"/>
          <w:sz w:val="20"/>
          <w:szCs w:val="20"/>
        </w:rPr>
        <w:t xml:space="preserve">across the region </w:t>
      </w:r>
      <w:r w:rsidRPr="006C7B74">
        <w:rPr>
          <w:rStyle w:val="normaltextrun"/>
          <w:rFonts w:cstheme="minorHAnsi"/>
          <w:sz w:val="20"/>
          <w:szCs w:val="20"/>
        </w:rPr>
        <w:t>providing state,</w:t>
      </w:r>
      <w:r w:rsidR="007234D1" w:rsidRPr="006C7B74">
        <w:rPr>
          <w:rFonts w:cstheme="minorHAnsi"/>
          <w:sz w:val="20"/>
          <w:szCs w:val="20"/>
        </w:rPr>
        <w:t xml:space="preserve"> </w:t>
      </w:r>
      <w:r w:rsidRPr="006C7B74">
        <w:rPr>
          <w:rStyle w:val="normaltextrun"/>
          <w:rFonts w:cstheme="minorHAnsi"/>
          <w:sz w:val="20"/>
          <w:szCs w:val="20"/>
        </w:rPr>
        <w:t xml:space="preserve">regionally and </w:t>
      </w:r>
      <w:proofErr w:type="gramStart"/>
      <w:r w:rsidRPr="006C7B74">
        <w:rPr>
          <w:rStyle w:val="normaltextrun"/>
          <w:rFonts w:cstheme="minorHAnsi"/>
          <w:sz w:val="20"/>
          <w:szCs w:val="20"/>
        </w:rPr>
        <w:t>locally</w:t>
      </w:r>
      <w:r w:rsidR="00E82EF7" w:rsidRPr="006C7B74">
        <w:rPr>
          <w:rStyle w:val="normaltextrun"/>
          <w:rFonts w:cstheme="minorHAnsi"/>
          <w:sz w:val="20"/>
          <w:szCs w:val="20"/>
        </w:rPr>
        <w:t>-</w:t>
      </w:r>
      <w:r w:rsidRPr="006C7B74">
        <w:rPr>
          <w:rStyle w:val="normaltextrun"/>
          <w:rFonts w:cstheme="minorHAnsi"/>
          <w:sz w:val="20"/>
          <w:szCs w:val="20"/>
        </w:rPr>
        <w:t>significant</w:t>
      </w:r>
      <w:proofErr w:type="gramEnd"/>
      <w:r w:rsidRPr="006C7B74">
        <w:rPr>
          <w:rStyle w:val="normaltextrun"/>
          <w:rFonts w:cstheme="minorHAnsi"/>
          <w:sz w:val="20"/>
          <w:szCs w:val="20"/>
        </w:rPr>
        <w:t xml:space="preserve"> employment and economic functions. </w:t>
      </w:r>
      <w:r w:rsidR="00AC0F01" w:rsidRPr="006C7B74">
        <w:rPr>
          <w:rStyle w:val="normaltextrun"/>
          <w:rFonts w:cstheme="minorHAnsi"/>
          <w:sz w:val="20"/>
          <w:szCs w:val="20"/>
        </w:rPr>
        <w:t>The</w:t>
      </w:r>
      <w:r w:rsidR="00ED1D98" w:rsidRPr="006C7B74">
        <w:rPr>
          <w:rStyle w:val="normaltextrun"/>
          <w:rFonts w:cstheme="minorHAnsi"/>
          <w:sz w:val="20"/>
          <w:szCs w:val="20"/>
        </w:rPr>
        <w:t>re is</w:t>
      </w:r>
      <w:r w:rsidR="00AC0F01" w:rsidRPr="006C7B74">
        <w:rPr>
          <w:rStyle w:val="normaltextrun"/>
          <w:rFonts w:cstheme="minorHAnsi"/>
          <w:sz w:val="20"/>
          <w:szCs w:val="20"/>
        </w:rPr>
        <w:t xml:space="preserve"> reasonably g</w:t>
      </w:r>
      <w:r w:rsidR="00AC0F01" w:rsidRPr="006C7B74">
        <w:rPr>
          <w:rStyle w:val="normaltextrun"/>
          <w:sz w:val="20"/>
          <w:szCs w:val="20"/>
        </w:rPr>
        <w:t>ood arterial road, freeway and fixed rail accessibility within the region</w:t>
      </w:r>
      <w:r w:rsidR="00AD1B45" w:rsidRPr="006C7B74">
        <w:rPr>
          <w:rStyle w:val="normaltextrun"/>
          <w:sz w:val="20"/>
          <w:szCs w:val="20"/>
        </w:rPr>
        <w:t xml:space="preserve"> and</w:t>
      </w:r>
      <w:r w:rsidR="00AC0F01" w:rsidRPr="006C7B74">
        <w:rPr>
          <w:rStyle w:val="normaltextrun"/>
          <w:sz w:val="20"/>
          <w:szCs w:val="20"/>
        </w:rPr>
        <w:t xml:space="preserve"> to the Port of Melbourne, Melbourne Airport and to the proposed </w:t>
      </w:r>
      <w:r w:rsidR="00CB21F9" w:rsidRPr="006C7B74">
        <w:rPr>
          <w:rStyle w:val="normaltextrun"/>
          <w:sz w:val="20"/>
          <w:szCs w:val="20"/>
        </w:rPr>
        <w:t>BIFT</w:t>
      </w:r>
      <w:r w:rsidR="00AC0F01" w:rsidRPr="006C7B74">
        <w:rPr>
          <w:rStyle w:val="normaltextrun"/>
          <w:sz w:val="20"/>
          <w:szCs w:val="20"/>
        </w:rPr>
        <w:t>, however east-west links across the region are limited.</w:t>
      </w:r>
    </w:p>
    <w:p w14:paraId="36580BE1" w14:textId="4333F85B" w:rsidR="004B2EA1" w:rsidRPr="006C7B74" w:rsidRDefault="00AC0F01" w:rsidP="00934C4D">
      <w:pPr>
        <w:pStyle w:val="paragraph"/>
        <w:spacing w:before="0" w:beforeAutospacing="0" w:after="120" w:afterAutospacing="0"/>
        <w:textAlignment w:val="baseline"/>
        <w:rPr>
          <w:rStyle w:val="normaltextrun"/>
          <w:rFonts w:cstheme="minorHAnsi"/>
          <w:sz w:val="20"/>
          <w:szCs w:val="20"/>
        </w:rPr>
      </w:pPr>
      <w:r w:rsidRPr="006C7B74">
        <w:rPr>
          <w:rStyle w:val="normaltextrun"/>
          <w:rFonts w:cstheme="minorHAnsi"/>
          <w:sz w:val="20"/>
          <w:szCs w:val="20"/>
        </w:rPr>
        <w:t>The region accommod</w:t>
      </w:r>
      <w:r w:rsidR="00036186" w:rsidRPr="006C7B74">
        <w:rPr>
          <w:rStyle w:val="normaltextrun"/>
          <w:rFonts w:cstheme="minorHAnsi"/>
          <w:sz w:val="20"/>
          <w:szCs w:val="20"/>
        </w:rPr>
        <w:t>at</w:t>
      </w:r>
      <w:r w:rsidRPr="006C7B74">
        <w:rPr>
          <w:rStyle w:val="normaltextrun"/>
          <w:rFonts w:cstheme="minorHAnsi"/>
          <w:sz w:val="20"/>
          <w:szCs w:val="20"/>
        </w:rPr>
        <w:t>es a range of traditional industrial and manufacturing industries</w:t>
      </w:r>
      <w:r w:rsidR="00036186" w:rsidRPr="006C7B74">
        <w:rPr>
          <w:rStyle w:val="normaltextrun"/>
          <w:rFonts w:cstheme="minorHAnsi"/>
          <w:sz w:val="20"/>
          <w:szCs w:val="20"/>
        </w:rPr>
        <w:t>. While the de</w:t>
      </w:r>
      <w:r w:rsidR="001503F3" w:rsidRPr="006C7B74">
        <w:rPr>
          <w:rStyle w:val="normaltextrun"/>
          <w:rFonts w:cstheme="minorHAnsi"/>
          <w:sz w:val="20"/>
          <w:szCs w:val="20"/>
        </w:rPr>
        <w:t>cline</w:t>
      </w:r>
      <w:r w:rsidR="00036186" w:rsidRPr="006C7B74">
        <w:rPr>
          <w:rStyle w:val="normaltextrun"/>
          <w:rFonts w:cstheme="minorHAnsi"/>
          <w:sz w:val="20"/>
          <w:szCs w:val="20"/>
        </w:rPr>
        <w:t xml:space="preserve"> of the automotive industry has impacted significantly on the region, there is </w:t>
      </w:r>
      <w:r w:rsidRPr="006C7B74">
        <w:rPr>
          <w:rStyle w:val="normaltextrun"/>
          <w:rFonts w:cstheme="minorHAnsi"/>
          <w:sz w:val="20"/>
          <w:szCs w:val="20"/>
        </w:rPr>
        <w:t xml:space="preserve">opportunity to grow in high-technology manufacturing, niche manufacturing and food and beverage manufacturing, given proximity to the Melbourne Wholesale Fruit and Vegetable Market. </w:t>
      </w:r>
      <w:r w:rsidR="004510F5" w:rsidRPr="006C7B74">
        <w:rPr>
          <w:rStyle w:val="normaltextrun"/>
          <w:rFonts w:cstheme="minorHAnsi"/>
          <w:sz w:val="20"/>
          <w:szCs w:val="20"/>
        </w:rPr>
        <w:t>There is also opportunity for the freight and logistics sector given the established and proposed freight network and easy access to interstate markets along the eastern seaboard.</w:t>
      </w:r>
      <w:r w:rsidR="009C60E6" w:rsidRPr="006C7B74">
        <w:rPr>
          <w:rStyle w:val="normaltextrun"/>
          <w:rFonts w:cstheme="minorHAnsi"/>
          <w:sz w:val="20"/>
          <w:szCs w:val="20"/>
        </w:rPr>
        <w:t xml:space="preserve"> </w:t>
      </w:r>
    </w:p>
    <w:p w14:paraId="6670A606" w14:textId="4819A758" w:rsidR="005F7D01" w:rsidRPr="006C7B74" w:rsidRDefault="00AD1B45" w:rsidP="005F7D01">
      <w:pPr>
        <w:pStyle w:val="paragraph"/>
        <w:spacing w:before="0" w:beforeAutospacing="0" w:after="120" w:afterAutospacing="0"/>
        <w:textAlignment w:val="baseline"/>
        <w:rPr>
          <w:rStyle w:val="normaltextrun"/>
          <w:rFonts w:cstheme="minorHAnsi"/>
          <w:sz w:val="20"/>
          <w:szCs w:val="20"/>
        </w:rPr>
      </w:pPr>
      <w:r w:rsidRPr="006C7B74">
        <w:rPr>
          <w:rStyle w:val="normaltextrun"/>
          <w:rFonts w:cstheme="minorHAnsi"/>
          <w:sz w:val="20"/>
          <w:szCs w:val="20"/>
        </w:rPr>
        <w:t xml:space="preserve">The region also has large areas set aside with </w:t>
      </w:r>
      <w:r w:rsidRPr="006C7B74">
        <w:rPr>
          <w:rFonts w:cstheme="minorHAnsi"/>
          <w:sz w:val="20"/>
          <w:szCs w:val="20"/>
        </w:rPr>
        <w:t>significant high-quality extractive resources</w:t>
      </w:r>
      <w:r w:rsidRPr="006C7B74">
        <w:rPr>
          <w:rStyle w:val="normaltextrun"/>
          <w:rFonts w:cstheme="minorHAnsi"/>
          <w:sz w:val="20"/>
          <w:szCs w:val="20"/>
        </w:rPr>
        <w:t xml:space="preserve"> for quarrying operations</w:t>
      </w:r>
      <w:r w:rsidRPr="006C7B74">
        <w:rPr>
          <w:rFonts w:cstheme="minorHAnsi"/>
          <w:sz w:val="20"/>
          <w:szCs w:val="20"/>
        </w:rPr>
        <w:t xml:space="preserve">. </w:t>
      </w:r>
      <w:r w:rsidR="00476850" w:rsidRPr="006C7B74">
        <w:rPr>
          <w:rFonts w:cstheme="minorHAnsi"/>
          <w:sz w:val="20"/>
          <w:szCs w:val="20"/>
        </w:rPr>
        <w:t>A shortfall in extractive resources close to market means that the cost of construction will rise as these materials are sourced from further afield.</w:t>
      </w:r>
      <w:r w:rsidR="004B2EA1" w:rsidRPr="006C7B74">
        <w:rPr>
          <w:rFonts w:cstheme="minorHAnsi"/>
          <w:sz w:val="20"/>
          <w:szCs w:val="20"/>
        </w:rPr>
        <w:t xml:space="preserve"> </w:t>
      </w:r>
      <w:r w:rsidRPr="006C7B74">
        <w:rPr>
          <w:rFonts w:cstheme="minorHAnsi"/>
          <w:sz w:val="20"/>
          <w:szCs w:val="20"/>
        </w:rPr>
        <w:t xml:space="preserve">These operations need to be protected both now and into the future </w:t>
      </w:r>
      <w:r w:rsidR="000315F6" w:rsidRPr="006C7B74">
        <w:rPr>
          <w:rFonts w:cstheme="minorHAnsi"/>
          <w:sz w:val="20"/>
          <w:szCs w:val="20"/>
        </w:rPr>
        <w:t>to</w:t>
      </w:r>
      <w:r w:rsidRPr="006C7B74">
        <w:rPr>
          <w:rFonts w:cstheme="minorHAnsi"/>
          <w:sz w:val="20"/>
          <w:szCs w:val="20"/>
        </w:rPr>
        <w:t xml:space="preserve"> secure adequate </w:t>
      </w:r>
      <w:r w:rsidR="00173690" w:rsidRPr="006C7B74">
        <w:rPr>
          <w:rFonts w:cstheme="minorHAnsi"/>
          <w:sz w:val="20"/>
          <w:szCs w:val="20"/>
        </w:rPr>
        <w:t>long-term supply of quality and competitively priced extractive resources for growing Victoria’s population and economy</w:t>
      </w:r>
      <w:r w:rsidR="000230D2" w:rsidRPr="006C7B74">
        <w:rPr>
          <w:rFonts w:cstheme="minorHAnsi"/>
          <w:sz w:val="20"/>
          <w:szCs w:val="20"/>
        </w:rPr>
        <w:t xml:space="preserve">, </w:t>
      </w:r>
      <w:r w:rsidR="005F7D01" w:rsidRPr="006C7B74">
        <w:rPr>
          <w:rFonts w:cstheme="minorHAnsi"/>
          <w:sz w:val="20"/>
          <w:szCs w:val="20"/>
        </w:rPr>
        <w:t>especially with demand for extractive resources expected to double between 2015 and 2050.</w:t>
      </w:r>
    </w:p>
    <w:p w14:paraId="00DB236E" w14:textId="0A3C02D4" w:rsidR="00036186" w:rsidRPr="006C7B74" w:rsidRDefault="00AC0F01" w:rsidP="00934C4D">
      <w:pPr>
        <w:pStyle w:val="paragraph"/>
        <w:spacing w:before="0" w:beforeAutospacing="0" w:after="120" w:afterAutospacing="0"/>
        <w:textAlignment w:val="baseline"/>
        <w:rPr>
          <w:rStyle w:val="normaltextrun"/>
          <w:rFonts w:cstheme="minorHAnsi"/>
          <w:sz w:val="20"/>
          <w:szCs w:val="20"/>
        </w:rPr>
      </w:pPr>
      <w:r w:rsidRPr="006C7B74">
        <w:rPr>
          <w:rStyle w:val="normaltextrun"/>
          <w:rFonts w:cstheme="minorHAnsi"/>
          <w:sz w:val="20"/>
          <w:szCs w:val="20"/>
        </w:rPr>
        <w:t xml:space="preserve">While the region has substantial land set aside for future </w:t>
      </w:r>
      <w:r w:rsidR="00036186" w:rsidRPr="006C7B74">
        <w:rPr>
          <w:rStyle w:val="normaltextrun"/>
          <w:rFonts w:cstheme="minorHAnsi"/>
          <w:sz w:val="20"/>
          <w:szCs w:val="20"/>
        </w:rPr>
        <w:t>industrial purposes</w:t>
      </w:r>
      <w:r w:rsidRPr="006C7B74">
        <w:rPr>
          <w:rStyle w:val="normaltextrun"/>
          <w:rFonts w:cstheme="minorHAnsi"/>
          <w:sz w:val="20"/>
          <w:szCs w:val="20"/>
        </w:rPr>
        <w:t>, site fragmentation</w:t>
      </w:r>
      <w:r w:rsidR="004510F5" w:rsidRPr="006C7B74">
        <w:rPr>
          <w:rStyle w:val="normaltextrun"/>
          <w:rFonts w:cstheme="minorHAnsi"/>
          <w:sz w:val="20"/>
          <w:szCs w:val="20"/>
        </w:rPr>
        <w:t>,</w:t>
      </w:r>
      <w:r w:rsidRPr="006C7B74">
        <w:rPr>
          <w:rStyle w:val="normaltextrun"/>
          <w:rFonts w:cstheme="minorHAnsi"/>
          <w:sz w:val="20"/>
          <w:szCs w:val="20"/>
        </w:rPr>
        <w:t xml:space="preserve"> </w:t>
      </w:r>
      <w:r w:rsidR="00036186" w:rsidRPr="006C7B74">
        <w:rPr>
          <w:rStyle w:val="normaltextrun"/>
          <w:rFonts w:cstheme="minorHAnsi"/>
          <w:sz w:val="20"/>
          <w:szCs w:val="20"/>
        </w:rPr>
        <w:t xml:space="preserve">the </w:t>
      </w:r>
      <w:r w:rsidRPr="006C7B74">
        <w:rPr>
          <w:rStyle w:val="normaltextrun"/>
          <w:rFonts w:cstheme="minorHAnsi"/>
          <w:sz w:val="20"/>
          <w:szCs w:val="20"/>
        </w:rPr>
        <w:t>disjointed</w:t>
      </w:r>
      <w:r w:rsidR="00036186" w:rsidRPr="006C7B74">
        <w:rPr>
          <w:rStyle w:val="normaltextrun"/>
          <w:rFonts w:cstheme="minorHAnsi"/>
          <w:sz w:val="20"/>
          <w:szCs w:val="20"/>
        </w:rPr>
        <w:t xml:space="preserve"> nature of precincts</w:t>
      </w:r>
      <w:r w:rsidR="004510F5" w:rsidRPr="006C7B74">
        <w:rPr>
          <w:rStyle w:val="normaltextrun"/>
          <w:rFonts w:cstheme="minorHAnsi"/>
          <w:sz w:val="20"/>
          <w:szCs w:val="20"/>
        </w:rPr>
        <w:t xml:space="preserve"> and site access</w:t>
      </w:r>
      <w:r w:rsidR="00036186" w:rsidRPr="006C7B74">
        <w:rPr>
          <w:rStyle w:val="normaltextrun"/>
          <w:rFonts w:cstheme="minorHAnsi"/>
          <w:sz w:val="20"/>
          <w:szCs w:val="20"/>
        </w:rPr>
        <w:t xml:space="preserve"> often makes </w:t>
      </w:r>
      <w:r w:rsidR="004A25D1" w:rsidRPr="006C7B74">
        <w:rPr>
          <w:rStyle w:val="normaltextrun"/>
          <w:rFonts w:cstheme="minorHAnsi"/>
          <w:sz w:val="20"/>
          <w:szCs w:val="20"/>
        </w:rPr>
        <w:t>securing</w:t>
      </w:r>
      <w:r w:rsidR="007915F4" w:rsidRPr="006C7B74">
        <w:rPr>
          <w:rStyle w:val="normaltextrun"/>
          <w:rFonts w:cstheme="minorHAnsi"/>
          <w:sz w:val="20"/>
          <w:szCs w:val="20"/>
        </w:rPr>
        <w:t xml:space="preserve"> suitable</w:t>
      </w:r>
      <w:r w:rsidR="00036186" w:rsidRPr="006C7B74">
        <w:rPr>
          <w:rStyle w:val="normaltextrun"/>
          <w:rFonts w:cstheme="minorHAnsi"/>
          <w:sz w:val="20"/>
          <w:szCs w:val="20"/>
        </w:rPr>
        <w:t xml:space="preserve"> larger sites </w:t>
      </w:r>
      <w:r w:rsidR="007915F4" w:rsidRPr="006C7B74">
        <w:rPr>
          <w:rStyle w:val="normaltextrun"/>
          <w:rFonts w:cstheme="minorHAnsi"/>
          <w:sz w:val="20"/>
          <w:szCs w:val="20"/>
        </w:rPr>
        <w:t>limiting</w:t>
      </w:r>
      <w:r w:rsidRPr="006C7B74">
        <w:rPr>
          <w:rStyle w:val="normaltextrun"/>
          <w:rFonts w:cstheme="minorHAnsi"/>
          <w:sz w:val="20"/>
          <w:szCs w:val="20"/>
        </w:rPr>
        <w:t xml:space="preserve">. While this may not limit certain industries, others </w:t>
      </w:r>
      <w:r w:rsidR="00036186" w:rsidRPr="006C7B74">
        <w:rPr>
          <w:rStyle w:val="normaltextrun"/>
          <w:rFonts w:cstheme="minorHAnsi"/>
          <w:sz w:val="20"/>
          <w:szCs w:val="20"/>
        </w:rPr>
        <w:t xml:space="preserve">such as those operating large format uses or freight and logistics may find it difficult </w:t>
      </w:r>
      <w:r w:rsidR="00C652B6" w:rsidRPr="006C7B74">
        <w:rPr>
          <w:rStyle w:val="normaltextrun"/>
          <w:rFonts w:cstheme="minorHAnsi"/>
          <w:sz w:val="20"/>
          <w:szCs w:val="20"/>
        </w:rPr>
        <w:t>to</w:t>
      </w:r>
      <w:r w:rsidR="00036186" w:rsidRPr="006C7B74">
        <w:rPr>
          <w:rStyle w:val="normaltextrun"/>
          <w:rFonts w:cstheme="minorHAnsi"/>
          <w:sz w:val="20"/>
          <w:szCs w:val="20"/>
        </w:rPr>
        <w:t xml:space="preserve"> secur</w:t>
      </w:r>
      <w:r w:rsidR="00C652B6" w:rsidRPr="006C7B74">
        <w:rPr>
          <w:rStyle w:val="normaltextrun"/>
          <w:rFonts w:cstheme="minorHAnsi"/>
          <w:sz w:val="20"/>
          <w:szCs w:val="20"/>
        </w:rPr>
        <w:t>e</w:t>
      </w:r>
      <w:r w:rsidR="00036186" w:rsidRPr="006C7B74">
        <w:rPr>
          <w:rStyle w:val="normaltextrun"/>
          <w:rFonts w:cstheme="minorHAnsi"/>
          <w:sz w:val="20"/>
          <w:szCs w:val="20"/>
        </w:rPr>
        <w:t xml:space="preserve"> a site.</w:t>
      </w:r>
    </w:p>
    <w:p w14:paraId="1DDDEE7F" w14:textId="526882BA" w:rsidR="00AD1B45" w:rsidRPr="006C7B74" w:rsidRDefault="00F66F26" w:rsidP="00934C4D">
      <w:pPr>
        <w:pStyle w:val="paragraph"/>
        <w:spacing w:before="0" w:beforeAutospacing="0" w:after="120" w:afterAutospacing="0"/>
        <w:textAlignment w:val="baseline"/>
        <w:rPr>
          <w:rStyle w:val="normaltextrun"/>
          <w:rFonts w:cstheme="minorHAnsi"/>
          <w:sz w:val="20"/>
          <w:szCs w:val="20"/>
        </w:rPr>
      </w:pPr>
      <w:r w:rsidRPr="006C7B74">
        <w:rPr>
          <w:rStyle w:val="normaltextrun"/>
          <w:rFonts w:cstheme="minorHAnsi"/>
          <w:sz w:val="20"/>
          <w:szCs w:val="20"/>
        </w:rPr>
        <w:t>While new industrial land is set aside in the municipalities of Hume and Whittlesea, other municipalities are losing industrial land and are under increasing pressure from gentrification of residential areas and repurposing of land for mixed</w:t>
      </w:r>
      <w:r w:rsidR="00784E6C" w:rsidRPr="006C7B74">
        <w:rPr>
          <w:rStyle w:val="normaltextrun"/>
          <w:rFonts w:cstheme="minorHAnsi"/>
          <w:sz w:val="20"/>
          <w:szCs w:val="20"/>
        </w:rPr>
        <w:t>-</w:t>
      </w:r>
      <w:r w:rsidRPr="006C7B74">
        <w:rPr>
          <w:rStyle w:val="normaltextrun"/>
          <w:rFonts w:cstheme="minorHAnsi"/>
          <w:sz w:val="20"/>
          <w:szCs w:val="20"/>
        </w:rPr>
        <w:t xml:space="preserve">use or residential development. This </w:t>
      </w:r>
      <w:r w:rsidR="005C164C" w:rsidRPr="006C7B74">
        <w:rPr>
          <w:rStyle w:val="normaltextrun"/>
          <w:rFonts w:cstheme="minorHAnsi"/>
          <w:sz w:val="20"/>
          <w:szCs w:val="20"/>
        </w:rPr>
        <w:t>could have potential</w:t>
      </w:r>
      <w:r w:rsidRPr="006C7B74">
        <w:rPr>
          <w:rStyle w:val="normaltextrun"/>
          <w:rFonts w:cstheme="minorHAnsi"/>
          <w:sz w:val="20"/>
          <w:szCs w:val="20"/>
        </w:rPr>
        <w:t xml:space="preserve"> negative impacts for the region’s economy and employment opportunities. </w:t>
      </w:r>
    </w:p>
    <w:p w14:paraId="1B3E620D" w14:textId="5C9CAF79" w:rsidR="00F66F26" w:rsidRPr="006C7B74" w:rsidRDefault="00F66F26" w:rsidP="00F66F26">
      <w:pPr>
        <w:spacing w:after="120"/>
        <w:rPr>
          <w:rFonts w:cstheme="minorHAnsi"/>
          <w:sz w:val="20"/>
          <w:szCs w:val="20"/>
          <w:lang w:eastAsia="en-AU"/>
        </w:rPr>
      </w:pPr>
      <w:r w:rsidRPr="006C7B74">
        <w:rPr>
          <w:rFonts w:cstheme="minorHAnsi"/>
          <w:sz w:val="20"/>
          <w:szCs w:val="20"/>
          <w:lang w:eastAsia="en-AU"/>
        </w:rPr>
        <w:t xml:space="preserve">There will need to be a significant increase in the amount of commercial floorspace </w:t>
      </w:r>
      <w:r w:rsidR="005C164C" w:rsidRPr="006C7B74">
        <w:rPr>
          <w:rFonts w:cstheme="minorHAnsi"/>
          <w:sz w:val="20"/>
          <w:szCs w:val="20"/>
          <w:lang w:eastAsia="en-AU"/>
        </w:rPr>
        <w:t xml:space="preserve">in growth area </w:t>
      </w:r>
      <w:r w:rsidR="00A16CFB" w:rsidRPr="006C7B74">
        <w:rPr>
          <w:rFonts w:cstheme="minorHAnsi"/>
          <w:sz w:val="20"/>
          <w:szCs w:val="20"/>
          <w:lang w:eastAsia="en-AU"/>
        </w:rPr>
        <w:t>municipalities</w:t>
      </w:r>
      <w:r w:rsidR="005C164C" w:rsidRPr="006C7B74">
        <w:rPr>
          <w:rFonts w:cstheme="minorHAnsi"/>
          <w:sz w:val="20"/>
          <w:szCs w:val="20"/>
          <w:lang w:eastAsia="en-AU"/>
        </w:rPr>
        <w:t xml:space="preserve"> </w:t>
      </w:r>
      <w:r w:rsidRPr="006C7B74">
        <w:rPr>
          <w:rFonts w:cstheme="minorHAnsi"/>
          <w:sz w:val="20"/>
          <w:szCs w:val="20"/>
          <w:lang w:eastAsia="en-AU"/>
        </w:rPr>
        <w:t>to serve growing populations in Whittlesea and Hume</w:t>
      </w:r>
      <w:r w:rsidR="005C164C" w:rsidRPr="006C7B74">
        <w:rPr>
          <w:rFonts w:cstheme="minorHAnsi"/>
          <w:sz w:val="20"/>
          <w:szCs w:val="20"/>
          <w:lang w:eastAsia="en-AU"/>
        </w:rPr>
        <w:t>, and to a lesser extent, Mitchell</w:t>
      </w:r>
      <w:r w:rsidRPr="006C7B74">
        <w:rPr>
          <w:rFonts w:cstheme="minorHAnsi"/>
          <w:sz w:val="20"/>
          <w:szCs w:val="20"/>
          <w:lang w:eastAsia="en-AU"/>
        </w:rPr>
        <w:t>.</w:t>
      </w:r>
    </w:p>
    <w:p w14:paraId="434457A7" w14:textId="7AA22CAA" w:rsidR="00F66F26" w:rsidRPr="006C7B74" w:rsidRDefault="00F66F26" w:rsidP="00F66F26">
      <w:pPr>
        <w:spacing w:after="120"/>
        <w:rPr>
          <w:rFonts w:cstheme="minorHAnsi"/>
          <w:sz w:val="20"/>
          <w:szCs w:val="20"/>
          <w:lang w:eastAsia="en-AU"/>
        </w:rPr>
      </w:pPr>
      <w:r w:rsidRPr="006C7B74">
        <w:rPr>
          <w:rFonts w:cstheme="minorHAnsi"/>
          <w:sz w:val="20"/>
          <w:szCs w:val="20"/>
          <w:lang w:eastAsia="en-AU"/>
        </w:rPr>
        <w:t xml:space="preserve">Careful consideration will be required through the </w:t>
      </w:r>
      <w:r w:rsidR="00AA2681" w:rsidRPr="006C7B74">
        <w:rPr>
          <w:rFonts w:cstheme="minorHAnsi"/>
          <w:sz w:val="20"/>
          <w:szCs w:val="20"/>
          <w:lang w:eastAsia="en-AU"/>
        </w:rPr>
        <w:t>PSP</w:t>
      </w:r>
      <w:r w:rsidRPr="006C7B74">
        <w:rPr>
          <w:rFonts w:cstheme="minorHAnsi"/>
          <w:sz w:val="20"/>
          <w:szCs w:val="20"/>
          <w:lang w:eastAsia="en-AU"/>
        </w:rPr>
        <w:t xml:space="preserve"> processes to ensure adequate provision is made to accommodate </w:t>
      </w:r>
      <w:proofErr w:type="gramStart"/>
      <w:r w:rsidR="00A70B6B" w:rsidRPr="006C7B74">
        <w:rPr>
          <w:rFonts w:cstheme="minorHAnsi"/>
          <w:sz w:val="20"/>
          <w:szCs w:val="20"/>
          <w:lang w:eastAsia="en-AU"/>
        </w:rPr>
        <w:t>medium and longer term</w:t>
      </w:r>
      <w:proofErr w:type="gramEnd"/>
      <w:r w:rsidRPr="006C7B74">
        <w:rPr>
          <w:rFonts w:cstheme="minorHAnsi"/>
          <w:sz w:val="20"/>
          <w:szCs w:val="20"/>
          <w:lang w:eastAsia="en-AU"/>
        </w:rPr>
        <w:t xml:space="preserve"> commercial development</w:t>
      </w:r>
      <w:r w:rsidR="009F32C8" w:rsidRPr="006C7B74">
        <w:rPr>
          <w:rFonts w:cstheme="minorHAnsi"/>
          <w:sz w:val="20"/>
          <w:szCs w:val="20"/>
          <w:lang w:eastAsia="en-AU"/>
        </w:rPr>
        <w:t>.</w:t>
      </w:r>
      <w:r w:rsidRPr="006C7B74">
        <w:rPr>
          <w:rFonts w:cstheme="minorHAnsi"/>
          <w:sz w:val="20"/>
          <w:szCs w:val="20"/>
          <w:lang w:eastAsia="en-AU"/>
        </w:rPr>
        <w:t xml:space="preserve"> Approaches that will support delivery of 20-minute neighbourhoods should be put in place offering a finer grain network of activity centre</w:t>
      </w:r>
      <w:r w:rsidR="00480C26" w:rsidRPr="006C7B74">
        <w:rPr>
          <w:rFonts w:cstheme="minorHAnsi"/>
          <w:sz w:val="20"/>
          <w:szCs w:val="20"/>
          <w:lang w:eastAsia="en-AU"/>
        </w:rPr>
        <w:t>s.</w:t>
      </w:r>
    </w:p>
    <w:p w14:paraId="2FE36DB9" w14:textId="618A9F25" w:rsidR="00F66F26" w:rsidRPr="006C7B74" w:rsidRDefault="00F66F26" w:rsidP="00F66F26">
      <w:pPr>
        <w:spacing w:after="120"/>
        <w:rPr>
          <w:rFonts w:cstheme="minorHAnsi"/>
          <w:sz w:val="20"/>
          <w:szCs w:val="20"/>
          <w:lang w:eastAsia="en-AU"/>
        </w:rPr>
      </w:pPr>
      <w:r w:rsidRPr="006C7B74">
        <w:rPr>
          <w:rFonts w:cstheme="minorHAnsi"/>
          <w:sz w:val="20"/>
          <w:szCs w:val="20"/>
          <w:lang w:eastAsia="en-AU"/>
        </w:rPr>
        <w:t xml:space="preserve">Within the established areas of </w:t>
      </w:r>
      <w:r w:rsidR="005C164C" w:rsidRPr="006C7B74">
        <w:rPr>
          <w:rFonts w:cstheme="minorHAnsi"/>
          <w:sz w:val="20"/>
          <w:szCs w:val="20"/>
          <w:lang w:eastAsia="en-AU"/>
        </w:rPr>
        <w:t>the region</w:t>
      </w:r>
      <w:r w:rsidRPr="006C7B74">
        <w:rPr>
          <w:rFonts w:cstheme="minorHAnsi"/>
          <w:sz w:val="20"/>
          <w:szCs w:val="20"/>
          <w:lang w:eastAsia="en-AU"/>
        </w:rPr>
        <w:t xml:space="preserve">, there will be an ongoing need to allow for expansion of commercial facilities. </w:t>
      </w:r>
      <w:r w:rsidR="005C164C" w:rsidRPr="006C7B74">
        <w:rPr>
          <w:rFonts w:cstheme="minorHAnsi"/>
          <w:sz w:val="20"/>
          <w:szCs w:val="20"/>
          <w:lang w:eastAsia="en-AU"/>
        </w:rPr>
        <w:t xml:space="preserve">While areas within the La Trobe NEIC could provide some opportunity, it’s </w:t>
      </w:r>
      <w:r w:rsidR="00455B7B" w:rsidRPr="006C7B74">
        <w:rPr>
          <w:rFonts w:cstheme="minorHAnsi"/>
          <w:sz w:val="20"/>
          <w:szCs w:val="20"/>
          <w:lang w:eastAsia="en-AU"/>
        </w:rPr>
        <w:t>prime</w:t>
      </w:r>
      <w:r w:rsidR="005C164C" w:rsidRPr="006C7B74">
        <w:rPr>
          <w:rFonts w:cstheme="minorHAnsi"/>
          <w:sz w:val="20"/>
          <w:szCs w:val="20"/>
          <w:lang w:eastAsia="en-AU"/>
        </w:rPr>
        <w:t xml:space="preserve"> role </w:t>
      </w:r>
      <w:r w:rsidR="00455B7B" w:rsidRPr="006C7B74">
        <w:rPr>
          <w:rFonts w:cstheme="minorHAnsi"/>
          <w:sz w:val="20"/>
          <w:szCs w:val="20"/>
          <w:lang w:eastAsia="en-AU"/>
        </w:rPr>
        <w:t>as a provider of</w:t>
      </w:r>
      <w:r w:rsidR="005C164C" w:rsidRPr="006C7B74">
        <w:rPr>
          <w:rFonts w:cstheme="minorHAnsi"/>
          <w:sz w:val="20"/>
          <w:szCs w:val="20"/>
          <w:lang w:eastAsia="en-AU"/>
        </w:rPr>
        <w:t xml:space="preserve"> tertiary education and health facilities</w:t>
      </w:r>
      <w:r w:rsidR="00E24C4B" w:rsidRPr="006C7B74">
        <w:rPr>
          <w:rFonts w:cstheme="minorHAnsi"/>
          <w:sz w:val="20"/>
          <w:szCs w:val="20"/>
          <w:lang w:eastAsia="en-AU"/>
        </w:rPr>
        <w:t>,</w:t>
      </w:r>
      <w:r w:rsidR="005C164C" w:rsidRPr="006C7B74">
        <w:rPr>
          <w:rFonts w:cstheme="minorHAnsi"/>
          <w:sz w:val="20"/>
          <w:szCs w:val="20"/>
          <w:lang w:eastAsia="en-AU"/>
        </w:rPr>
        <w:t xml:space="preserve"> may not lend itself to accommodate the floorspace required</w:t>
      </w:r>
      <w:r w:rsidR="00766EE4" w:rsidRPr="006C7B74">
        <w:rPr>
          <w:rFonts w:cstheme="minorHAnsi"/>
          <w:sz w:val="20"/>
          <w:szCs w:val="20"/>
          <w:lang w:eastAsia="en-AU"/>
        </w:rPr>
        <w:t>.</w:t>
      </w:r>
      <w:r w:rsidR="007C154C" w:rsidRPr="006C7B74">
        <w:rPr>
          <w:rFonts w:cstheme="minorHAnsi"/>
          <w:sz w:val="20"/>
          <w:szCs w:val="20"/>
          <w:lang w:eastAsia="en-AU"/>
        </w:rPr>
        <w:t xml:space="preserve"> </w:t>
      </w:r>
      <w:r w:rsidRPr="006C7B74">
        <w:rPr>
          <w:rFonts w:cstheme="minorHAnsi"/>
          <w:sz w:val="20"/>
          <w:szCs w:val="20"/>
          <w:lang w:eastAsia="en-AU"/>
        </w:rPr>
        <w:t xml:space="preserve">In addition to this, there will be ongoing pressure in older industrial areas to convert to predominantly residential uses, particularly in </w:t>
      </w:r>
      <w:r w:rsidR="005C164C" w:rsidRPr="006C7B74">
        <w:rPr>
          <w:rFonts w:cstheme="minorHAnsi"/>
          <w:sz w:val="20"/>
          <w:szCs w:val="20"/>
          <w:lang w:eastAsia="en-AU"/>
        </w:rPr>
        <w:t>Darebin and Moreland</w:t>
      </w:r>
      <w:r w:rsidRPr="006C7B74">
        <w:rPr>
          <w:rFonts w:cstheme="minorHAnsi"/>
          <w:sz w:val="20"/>
          <w:szCs w:val="20"/>
          <w:lang w:eastAsia="en-AU"/>
        </w:rPr>
        <w:t xml:space="preserve">. The ongoing erosion of industrial land to residential uses needs to be </w:t>
      </w:r>
      <w:r w:rsidR="00A70B6B" w:rsidRPr="006C7B74">
        <w:rPr>
          <w:rFonts w:cstheme="minorHAnsi"/>
          <w:sz w:val="20"/>
          <w:szCs w:val="20"/>
          <w:lang w:eastAsia="en-AU"/>
        </w:rPr>
        <w:t>better managed</w:t>
      </w:r>
      <w:r w:rsidR="005C164C" w:rsidRPr="006C7B74">
        <w:rPr>
          <w:rFonts w:cstheme="minorHAnsi"/>
          <w:sz w:val="20"/>
          <w:szCs w:val="20"/>
          <w:lang w:eastAsia="en-AU"/>
        </w:rPr>
        <w:t>.</w:t>
      </w:r>
    </w:p>
    <w:p w14:paraId="2D824EC5" w14:textId="7B14B328" w:rsidR="00A842C3" w:rsidRPr="006C7B74" w:rsidRDefault="00A842C3" w:rsidP="00934C4D">
      <w:pPr>
        <w:pStyle w:val="paragraph"/>
        <w:spacing w:before="0" w:beforeAutospacing="0" w:after="120" w:afterAutospacing="0"/>
        <w:textAlignment w:val="baseline"/>
        <w:rPr>
          <w:rStyle w:val="normaltextrun"/>
          <w:rFonts w:cstheme="minorHAnsi"/>
          <w:sz w:val="20"/>
          <w:szCs w:val="20"/>
        </w:rPr>
      </w:pPr>
    </w:p>
    <w:p w14:paraId="4B23F3CE" w14:textId="0D1D222F" w:rsidR="0052312F" w:rsidRPr="006C7B74" w:rsidRDefault="0052312F" w:rsidP="0052312F">
      <w:pPr>
        <w:pStyle w:val="paragraph"/>
        <w:spacing w:before="0" w:beforeAutospacing="0" w:after="120" w:afterAutospacing="0"/>
        <w:textAlignment w:val="baseline"/>
        <w:rPr>
          <w:rStyle w:val="normaltextrun"/>
          <w:rFonts w:cstheme="minorHAnsi"/>
          <w:sz w:val="20"/>
          <w:szCs w:val="20"/>
        </w:rPr>
      </w:pPr>
      <w:r w:rsidRPr="006C7B74">
        <w:rPr>
          <w:rStyle w:val="normaltextrun"/>
          <w:rFonts w:cstheme="minorHAnsi"/>
          <w:sz w:val="20"/>
          <w:szCs w:val="20"/>
        </w:rPr>
        <w:t>Planning for the region should:</w:t>
      </w:r>
    </w:p>
    <w:p w14:paraId="514F1B1C" w14:textId="77777777" w:rsidR="0052312F" w:rsidRPr="006C7B74" w:rsidRDefault="0052312F" w:rsidP="0052312F">
      <w:pPr>
        <w:pStyle w:val="paragraph"/>
        <w:numPr>
          <w:ilvl w:val="0"/>
          <w:numId w:val="55"/>
        </w:numPr>
        <w:spacing w:before="0" w:beforeAutospacing="0" w:after="120" w:afterAutospacing="0"/>
        <w:textAlignment w:val="baseline"/>
        <w:rPr>
          <w:rStyle w:val="normaltextrun"/>
          <w:rFonts w:cstheme="minorHAnsi"/>
          <w:sz w:val="20"/>
          <w:szCs w:val="20"/>
        </w:rPr>
      </w:pPr>
      <w:r w:rsidRPr="006C7B74">
        <w:rPr>
          <w:rStyle w:val="normaltextrun"/>
          <w:rFonts w:cstheme="minorHAnsi"/>
          <w:sz w:val="20"/>
          <w:szCs w:val="20"/>
        </w:rPr>
        <w:t>Investigate opportunities to consolidate land holdings in the Northern SSIP and limit and discourage subdivision that would lead to the creation of small lots.</w:t>
      </w:r>
    </w:p>
    <w:p w14:paraId="5B8D6E33" w14:textId="77777777" w:rsidR="0052312F" w:rsidRPr="006C7B74" w:rsidRDefault="0052312F" w:rsidP="0052312F">
      <w:pPr>
        <w:pStyle w:val="BodyText"/>
        <w:numPr>
          <w:ilvl w:val="0"/>
          <w:numId w:val="55"/>
        </w:numPr>
        <w:spacing w:before="0" w:line="240" w:lineRule="auto"/>
        <w:rPr>
          <w:lang w:eastAsia="en-AU"/>
        </w:rPr>
      </w:pPr>
      <w:r w:rsidRPr="006C7B74">
        <w:rPr>
          <w:lang w:eastAsia="en-AU"/>
        </w:rPr>
        <w:t xml:space="preserve">Investigate and identify </w:t>
      </w:r>
      <w:proofErr w:type="gramStart"/>
      <w:r w:rsidRPr="006C7B74" w:rsidDel="00B84C5B">
        <w:rPr>
          <w:lang w:eastAsia="en-AU"/>
        </w:rPr>
        <w:t>regionally-significant</w:t>
      </w:r>
      <w:proofErr w:type="gramEnd"/>
      <w:r w:rsidRPr="006C7B74" w:rsidDel="00B84C5B">
        <w:rPr>
          <w:lang w:eastAsia="en-AU"/>
        </w:rPr>
        <w:t xml:space="preserve"> industrial </w:t>
      </w:r>
      <w:r w:rsidRPr="006C7B74">
        <w:rPr>
          <w:lang w:eastAsia="en-AU"/>
        </w:rPr>
        <w:t xml:space="preserve">precincts that could support other employment uses, including creative industries, that support or are well connected to adjacent employment uses or transport infrastructure. </w:t>
      </w:r>
    </w:p>
    <w:p w14:paraId="5BC98287" w14:textId="77777777" w:rsidR="0052312F" w:rsidRPr="006C7B74" w:rsidRDefault="0052312F" w:rsidP="0052312F">
      <w:pPr>
        <w:pStyle w:val="BodyText"/>
        <w:numPr>
          <w:ilvl w:val="0"/>
          <w:numId w:val="4"/>
        </w:numPr>
        <w:spacing w:before="0" w:line="240" w:lineRule="auto"/>
        <w:rPr>
          <w:lang w:eastAsia="en-AU"/>
        </w:rPr>
      </w:pPr>
      <w:r w:rsidRPr="006C7B74">
        <w:rPr>
          <w:lang w:eastAsia="en-AU"/>
        </w:rPr>
        <w:t>Consider the future demand for and need for commercial and employment land across the growth areas and ensure that PSPs make adequate and sufficient provision to accommodate longer-term commercial and employment needs.</w:t>
      </w:r>
    </w:p>
    <w:p w14:paraId="0123BAD0" w14:textId="23212F65" w:rsidR="00A842C3" w:rsidRPr="006C7B74" w:rsidRDefault="00A842C3" w:rsidP="00934C4D">
      <w:pPr>
        <w:pStyle w:val="paragraph"/>
        <w:spacing w:before="0" w:beforeAutospacing="0" w:after="120" w:afterAutospacing="0"/>
        <w:textAlignment w:val="baseline"/>
        <w:rPr>
          <w:rStyle w:val="normaltextrun"/>
          <w:rFonts w:cstheme="minorHAnsi"/>
          <w:sz w:val="20"/>
          <w:szCs w:val="20"/>
        </w:rPr>
      </w:pPr>
    </w:p>
    <w:p w14:paraId="3B63D7FB" w14:textId="4F0FFF1A" w:rsidR="0075498A" w:rsidRPr="006C7B74" w:rsidRDefault="008E0E77" w:rsidP="006A7AB4">
      <w:pPr>
        <w:pStyle w:val="Heading5"/>
      </w:pPr>
      <w:r w:rsidRPr="006C7B74">
        <w:t>Map</w:t>
      </w:r>
      <w:r w:rsidR="00FA3A4E" w:rsidRPr="006C7B74">
        <w:t xml:space="preserve"> </w:t>
      </w:r>
      <w:r w:rsidR="00D90DAF" w:rsidRPr="006C7B74">
        <w:t>8</w:t>
      </w:r>
      <w:r w:rsidR="0075498A" w:rsidRPr="006C7B74">
        <w:t>: Northern Region</w:t>
      </w:r>
      <w:r w:rsidRPr="006C7B74">
        <w:t xml:space="preserve"> </w:t>
      </w:r>
      <w:r w:rsidR="00FA760D" w:rsidRPr="006C7B74">
        <w:t>-</w:t>
      </w:r>
      <w:r w:rsidRPr="006C7B74">
        <w:t xml:space="preserve"> </w:t>
      </w:r>
      <w:r w:rsidR="00D81BB0" w:rsidRPr="006C7B74">
        <w:t>i</w:t>
      </w:r>
      <w:r w:rsidRPr="006C7B74">
        <w:t xml:space="preserve">ndustrial </w:t>
      </w:r>
      <w:r w:rsidR="00D81BB0" w:rsidRPr="006C7B74">
        <w:t>l</w:t>
      </w:r>
      <w:r w:rsidRPr="006C7B74">
        <w:t>and</w:t>
      </w:r>
      <w:r w:rsidRPr="006C7B74" w:rsidDel="004F3E8D">
        <w:t xml:space="preserve"> </w:t>
      </w:r>
    </w:p>
    <w:p w14:paraId="52BC95B1" w14:textId="44CF7EFD" w:rsidR="000E5EC2" w:rsidRPr="006C7B74" w:rsidRDefault="000E5EC2" w:rsidP="005112C5">
      <w:pPr>
        <w:pStyle w:val="Quote"/>
      </w:pPr>
      <w:r w:rsidRPr="006C7B74">
        <w:t xml:space="preserve">Source: Department of Environment, Land, Water and Planning </w:t>
      </w:r>
    </w:p>
    <w:p w14:paraId="326112E7" w14:textId="0EC40E6E" w:rsidR="00FA3A4E" w:rsidRPr="006C7B74" w:rsidRDefault="00FA3A4E" w:rsidP="00FA3A4E">
      <w:pPr>
        <w:pStyle w:val="Heading5"/>
      </w:pPr>
      <w:r w:rsidRPr="006C7B74">
        <w:lastRenderedPageBreak/>
        <w:t xml:space="preserve">Map </w:t>
      </w:r>
      <w:r w:rsidR="00D90DAF" w:rsidRPr="006C7B74">
        <w:t>9</w:t>
      </w:r>
      <w:r w:rsidRPr="006C7B74">
        <w:t xml:space="preserve">: Northern Region </w:t>
      </w:r>
      <w:r w:rsidR="00C14D89" w:rsidRPr="006C7B74">
        <w:t>-</w:t>
      </w:r>
      <w:r w:rsidRPr="006C7B74">
        <w:t xml:space="preserve"> </w:t>
      </w:r>
      <w:r w:rsidR="00D81BB0" w:rsidRPr="006C7B74">
        <w:t>c</w:t>
      </w:r>
      <w:r w:rsidRPr="006C7B74">
        <w:t xml:space="preserve">ommercial </w:t>
      </w:r>
      <w:r w:rsidR="00D81BB0" w:rsidRPr="006C7B74">
        <w:t>l</w:t>
      </w:r>
      <w:r w:rsidRPr="006C7B74">
        <w:t>and</w:t>
      </w:r>
      <w:r w:rsidRPr="006C7B74" w:rsidDel="004F3E8D">
        <w:t xml:space="preserve"> </w:t>
      </w:r>
    </w:p>
    <w:p w14:paraId="511F074E" w14:textId="6747876D" w:rsidR="00FA3A4E" w:rsidRPr="006C7B74" w:rsidRDefault="00FA3A4E" w:rsidP="00FA3A4E">
      <w:pPr>
        <w:pStyle w:val="ListParagraph"/>
        <w:spacing w:after="120"/>
        <w:ind w:left="0"/>
        <w:rPr>
          <w:rFonts w:cstheme="minorHAnsi"/>
          <w:sz w:val="20"/>
          <w:szCs w:val="20"/>
          <w:lang w:eastAsia="en-AU"/>
        </w:rPr>
      </w:pPr>
    </w:p>
    <w:p w14:paraId="2EF96DFD" w14:textId="77777777" w:rsidR="000E5EC2" w:rsidRPr="006C7B74" w:rsidRDefault="000E5EC2" w:rsidP="000E5EC2">
      <w:pPr>
        <w:pStyle w:val="Quote"/>
      </w:pPr>
      <w:r w:rsidRPr="006C7B74">
        <w:t xml:space="preserve">Source: Department of Environment, Land, Water and Planning </w:t>
      </w:r>
    </w:p>
    <w:p w14:paraId="0AA8F797" w14:textId="731197CB" w:rsidR="00C14D89" w:rsidRPr="006C7B74" w:rsidRDefault="00C14D89">
      <w:pPr>
        <w:rPr>
          <w:rFonts w:cstheme="minorHAnsi"/>
          <w:sz w:val="20"/>
          <w:szCs w:val="20"/>
        </w:rPr>
      </w:pPr>
      <w:r w:rsidRPr="006C7B74">
        <w:rPr>
          <w:rFonts w:cstheme="minorHAnsi"/>
          <w:sz w:val="20"/>
          <w:szCs w:val="20"/>
        </w:rPr>
        <w:br w:type="page"/>
      </w:r>
    </w:p>
    <w:p w14:paraId="70226814" w14:textId="77777777" w:rsidR="00732BE8" w:rsidRPr="006C7B74" w:rsidRDefault="00732BE8" w:rsidP="00B61F86">
      <w:pPr>
        <w:pStyle w:val="Heading1"/>
      </w:pPr>
      <w:bookmarkStart w:id="48" w:name="_Toc21694827"/>
      <w:r w:rsidRPr="006C7B74">
        <w:lastRenderedPageBreak/>
        <w:t>Eastern Region</w:t>
      </w:r>
      <w:bookmarkEnd w:id="48"/>
      <w:r w:rsidRPr="006C7B74">
        <w:t xml:space="preserve"> </w:t>
      </w:r>
    </w:p>
    <w:p w14:paraId="5A1292A6" w14:textId="1D0BA78E" w:rsidR="00732BE8" w:rsidRPr="006C7B74" w:rsidRDefault="00732BE8" w:rsidP="00934C4D">
      <w:pPr>
        <w:pStyle w:val="Heading2-Contenttable"/>
        <w:spacing w:after="120"/>
      </w:pPr>
      <w:bookmarkStart w:id="49" w:name="_Toc21694828"/>
      <w:r w:rsidRPr="006C7B74">
        <w:t xml:space="preserve">Regional </w:t>
      </w:r>
      <w:r w:rsidR="007D54B6" w:rsidRPr="006C7B74">
        <w:t>s</w:t>
      </w:r>
      <w:r w:rsidR="003A6AC4" w:rsidRPr="006C7B74">
        <w:t>n</w:t>
      </w:r>
      <w:r w:rsidR="007D54B6" w:rsidRPr="006C7B74">
        <w:t>apshot</w:t>
      </w:r>
      <w:bookmarkEnd w:id="49"/>
    </w:p>
    <w:p w14:paraId="7050F3A0" w14:textId="629C51BF" w:rsidR="00732BE8" w:rsidRPr="006C7B74" w:rsidRDefault="00732BE8" w:rsidP="00934C4D">
      <w:pPr>
        <w:spacing w:after="120"/>
        <w:rPr>
          <w:rStyle w:val="normaltextrun"/>
          <w:rFonts w:cstheme="minorHAnsi"/>
          <w:color w:val="000000"/>
          <w:sz w:val="20"/>
          <w:szCs w:val="20"/>
          <w:shd w:val="clear" w:color="auto" w:fill="FFFFFF"/>
        </w:rPr>
      </w:pPr>
      <w:r w:rsidRPr="006C7B74">
        <w:rPr>
          <w:rStyle w:val="normaltextrun"/>
          <w:rFonts w:cstheme="minorHAnsi"/>
          <w:color w:val="000000"/>
          <w:sz w:val="20"/>
          <w:szCs w:val="20"/>
          <w:shd w:val="clear" w:color="auto" w:fill="FFFFFF"/>
        </w:rPr>
        <w:t>The</w:t>
      </w:r>
      <w:r w:rsidR="00C92A35" w:rsidRPr="006C7B74">
        <w:rPr>
          <w:rFonts w:cstheme="minorHAnsi"/>
          <w:color w:val="000000"/>
          <w:sz w:val="20"/>
          <w:szCs w:val="20"/>
          <w:shd w:val="clear" w:color="auto" w:fill="FFFFFF"/>
        </w:rPr>
        <w:t xml:space="preserve"> </w:t>
      </w:r>
      <w:r w:rsidRPr="006C7B74">
        <w:rPr>
          <w:rStyle w:val="normaltextrun"/>
          <w:rFonts w:cstheme="minorHAnsi"/>
          <w:color w:val="000000"/>
          <w:sz w:val="20"/>
          <w:szCs w:val="20"/>
          <w:shd w:val="clear" w:color="auto" w:fill="FFFFFF"/>
        </w:rPr>
        <w:t>Eastern Region comprises the municipalities of</w:t>
      </w:r>
      <w:r w:rsidR="00C92A35" w:rsidRPr="006C7B74">
        <w:rPr>
          <w:rFonts w:cstheme="minorHAnsi"/>
          <w:color w:val="000000"/>
          <w:sz w:val="20"/>
          <w:szCs w:val="20"/>
          <w:shd w:val="clear" w:color="auto" w:fill="FFFFFF"/>
        </w:rPr>
        <w:t xml:space="preserve"> </w:t>
      </w:r>
      <w:r w:rsidRPr="006C7B74">
        <w:rPr>
          <w:rStyle w:val="normaltextrun"/>
          <w:rFonts w:cstheme="minorHAnsi"/>
          <w:color w:val="000000"/>
          <w:sz w:val="20"/>
          <w:szCs w:val="20"/>
          <w:shd w:val="clear" w:color="auto" w:fill="FFFFFF"/>
        </w:rPr>
        <w:t>Knox, Manningham, Maroondah, Monash, Whitehorse and Yarra Ranges.</w:t>
      </w:r>
    </w:p>
    <w:p w14:paraId="50996792" w14:textId="25410401" w:rsidR="00744838" w:rsidRPr="006C7B74" w:rsidRDefault="00BE4C1B" w:rsidP="00BE4C1B">
      <w:pPr>
        <w:spacing w:after="120"/>
        <w:rPr>
          <w:rStyle w:val="normaltextrun"/>
          <w:rFonts w:cstheme="minorHAnsi"/>
          <w:color w:val="000000"/>
          <w:sz w:val="20"/>
          <w:szCs w:val="20"/>
          <w:shd w:val="clear" w:color="auto" w:fill="FFFFFF"/>
        </w:rPr>
      </w:pPr>
      <w:r w:rsidRPr="006C7B74">
        <w:rPr>
          <w:rStyle w:val="normaltextrun"/>
          <w:rFonts w:cstheme="minorHAnsi"/>
          <w:color w:val="000000"/>
          <w:sz w:val="20"/>
          <w:szCs w:val="20"/>
          <w:shd w:val="clear" w:color="auto" w:fill="FFFFFF"/>
        </w:rPr>
        <w:t xml:space="preserve">The region has good connections </w:t>
      </w:r>
      <w:r w:rsidR="009A6CCB" w:rsidRPr="006C7B74">
        <w:rPr>
          <w:rStyle w:val="normaltextrun"/>
          <w:rFonts w:cstheme="minorHAnsi"/>
          <w:color w:val="000000"/>
          <w:sz w:val="20"/>
          <w:szCs w:val="20"/>
          <w:shd w:val="clear" w:color="auto" w:fill="FFFFFF"/>
        </w:rPr>
        <w:t>with</w:t>
      </w:r>
      <w:r w:rsidRPr="006C7B74">
        <w:rPr>
          <w:rStyle w:val="normaltextrun"/>
          <w:rFonts w:cstheme="minorHAnsi"/>
          <w:color w:val="000000"/>
          <w:sz w:val="20"/>
          <w:szCs w:val="20"/>
          <w:shd w:val="clear" w:color="auto" w:fill="FFFFFF"/>
        </w:rPr>
        <w:t xml:space="preserve"> the Maroondah Highway, Monash Freeway, Eastern Freeway, </w:t>
      </w:r>
      <w:r w:rsidR="00973782" w:rsidRPr="006C7B74">
        <w:rPr>
          <w:rStyle w:val="normaltextrun"/>
          <w:rFonts w:cstheme="minorHAnsi"/>
          <w:color w:val="000000"/>
          <w:sz w:val="20"/>
          <w:szCs w:val="20"/>
          <w:shd w:val="clear" w:color="auto" w:fill="FFFFFF"/>
        </w:rPr>
        <w:t xml:space="preserve">and </w:t>
      </w:r>
      <w:r w:rsidRPr="006C7B74">
        <w:rPr>
          <w:rStyle w:val="normaltextrun"/>
          <w:rFonts w:cstheme="minorHAnsi"/>
          <w:color w:val="000000"/>
          <w:sz w:val="20"/>
          <w:szCs w:val="20"/>
          <w:shd w:val="clear" w:color="auto" w:fill="FFFFFF"/>
        </w:rPr>
        <w:t>Eastlink provid</w:t>
      </w:r>
      <w:r w:rsidR="009A6CCB" w:rsidRPr="006C7B74">
        <w:rPr>
          <w:rStyle w:val="normaltextrun"/>
          <w:rFonts w:cstheme="minorHAnsi"/>
          <w:color w:val="000000"/>
          <w:sz w:val="20"/>
          <w:szCs w:val="20"/>
          <w:shd w:val="clear" w:color="auto" w:fill="FFFFFF"/>
        </w:rPr>
        <w:t>ing</w:t>
      </w:r>
      <w:r w:rsidRPr="006C7B74">
        <w:rPr>
          <w:rStyle w:val="normaltextrun"/>
          <w:rFonts w:cstheme="minorHAnsi"/>
          <w:color w:val="000000"/>
          <w:sz w:val="20"/>
          <w:szCs w:val="20"/>
          <w:shd w:val="clear" w:color="auto" w:fill="FFFFFF"/>
        </w:rPr>
        <w:t xml:space="preserve"> important connections to industrial </w:t>
      </w:r>
      <w:r w:rsidR="00896E48" w:rsidRPr="006C7B74">
        <w:rPr>
          <w:rStyle w:val="normaltextrun"/>
          <w:rFonts w:cstheme="minorHAnsi"/>
          <w:color w:val="000000"/>
          <w:sz w:val="20"/>
          <w:szCs w:val="20"/>
          <w:shd w:val="clear" w:color="auto" w:fill="FFFFFF"/>
        </w:rPr>
        <w:t xml:space="preserve">and commercial areas </w:t>
      </w:r>
      <w:r w:rsidRPr="006C7B74">
        <w:rPr>
          <w:rStyle w:val="normaltextrun"/>
          <w:rFonts w:cstheme="minorHAnsi"/>
          <w:color w:val="000000"/>
          <w:sz w:val="20"/>
          <w:szCs w:val="20"/>
          <w:shd w:val="clear" w:color="auto" w:fill="FFFFFF"/>
        </w:rPr>
        <w:t>throughout the region</w:t>
      </w:r>
      <w:r w:rsidR="00896E48" w:rsidRPr="006C7B74">
        <w:rPr>
          <w:rStyle w:val="normaltextrun"/>
          <w:rFonts w:cstheme="minorHAnsi"/>
          <w:color w:val="000000"/>
          <w:sz w:val="20"/>
          <w:szCs w:val="20"/>
          <w:shd w:val="clear" w:color="auto" w:fill="FFFFFF"/>
        </w:rPr>
        <w:t xml:space="preserve"> as well as to other adjoining regions</w:t>
      </w:r>
      <w:r w:rsidRPr="006C7B74">
        <w:rPr>
          <w:rStyle w:val="normaltextrun"/>
          <w:rFonts w:cstheme="minorHAnsi"/>
          <w:color w:val="000000"/>
          <w:sz w:val="20"/>
          <w:szCs w:val="20"/>
          <w:shd w:val="clear" w:color="auto" w:fill="FFFFFF"/>
        </w:rPr>
        <w:t>.</w:t>
      </w:r>
      <w:r w:rsidR="001C6BAF" w:rsidRPr="006C7B74">
        <w:rPr>
          <w:rStyle w:val="normaltextrun"/>
          <w:rFonts w:cstheme="minorHAnsi"/>
          <w:color w:val="000000"/>
          <w:sz w:val="20"/>
          <w:szCs w:val="20"/>
          <w:shd w:val="clear" w:color="auto" w:fill="FFFFFF"/>
        </w:rPr>
        <w:t xml:space="preserve"> </w:t>
      </w:r>
    </w:p>
    <w:p w14:paraId="24F19222" w14:textId="590EBA89" w:rsidR="00BE4C1B" w:rsidRPr="006C7B74" w:rsidRDefault="009A6CCB" w:rsidP="00BE4C1B">
      <w:pPr>
        <w:spacing w:after="120"/>
        <w:rPr>
          <w:rStyle w:val="normaltextrun"/>
          <w:rFonts w:cstheme="minorHAnsi"/>
          <w:color w:val="000000"/>
          <w:sz w:val="20"/>
          <w:szCs w:val="20"/>
          <w:shd w:val="clear" w:color="auto" w:fill="FFFFFF"/>
        </w:rPr>
      </w:pPr>
      <w:r w:rsidRPr="006C7B74">
        <w:rPr>
          <w:rStyle w:val="normaltextrun"/>
          <w:rFonts w:cstheme="minorHAnsi"/>
          <w:color w:val="000000"/>
          <w:sz w:val="20"/>
          <w:szCs w:val="20"/>
          <w:shd w:val="clear" w:color="auto" w:fill="FFFFFF"/>
        </w:rPr>
        <w:t xml:space="preserve">While many still </w:t>
      </w:r>
      <w:r w:rsidR="007B5090" w:rsidRPr="006C7B74">
        <w:rPr>
          <w:rStyle w:val="normaltextrun"/>
          <w:rFonts w:cstheme="minorHAnsi"/>
          <w:color w:val="000000"/>
          <w:sz w:val="20"/>
          <w:szCs w:val="20"/>
          <w:shd w:val="clear" w:color="auto" w:fill="FFFFFF"/>
        </w:rPr>
        <w:t>travel outside the region for work</w:t>
      </w:r>
      <w:r w:rsidRPr="006C7B74">
        <w:rPr>
          <w:rStyle w:val="normaltextrun"/>
          <w:rFonts w:cstheme="minorHAnsi"/>
          <w:color w:val="000000"/>
          <w:sz w:val="20"/>
          <w:szCs w:val="20"/>
          <w:shd w:val="clear" w:color="auto" w:fill="FFFFFF"/>
        </w:rPr>
        <w:t xml:space="preserve">, the Eastern Region </w:t>
      </w:r>
      <w:r w:rsidR="008D5150" w:rsidRPr="006C7B74">
        <w:rPr>
          <w:rStyle w:val="normaltextrun"/>
          <w:rFonts w:cstheme="minorHAnsi"/>
          <w:color w:val="000000"/>
          <w:sz w:val="20"/>
          <w:szCs w:val="20"/>
          <w:shd w:val="clear" w:color="auto" w:fill="FFFFFF"/>
        </w:rPr>
        <w:t>is home to</w:t>
      </w:r>
      <w:r w:rsidRPr="006C7B74">
        <w:rPr>
          <w:rStyle w:val="normaltextrun"/>
          <w:rFonts w:cstheme="minorHAnsi"/>
          <w:color w:val="000000"/>
          <w:sz w:val="20"/>
          <w:szCs w:val="20"/>
          <w:shd w:val="clear" w:color="auto" w:fill="FFFFFF"/>
        </w:rPr>
        <w:t xml:space="preserve"> the largest number of jobs and highest </w:t>
      </w:r>
      <w:r w:rsidR="008D5150" w:rsidRPr="006C7B74">
        <w:rPr>
          <w:rStyle w:val="normaltextrun"/>
          <w:rFonts w:cstheme="minorHAnsi"/>
          <w:color w:val="000000"/>
          <w:sz w:val="20"/>
          <w:szCs w:val="20"/>
          <w:shd w:val="clear" w:color="auto" w:fill="FFFFFF"/>
        </w:rPr>
        <w:t xml:space="preserve">share of </w:t>
      </w:r>
      <w:r w:rsidRPr="006C7B74">
        <w:rPr>
          <w:rStyle w:val="normaltextrun"/>
          <w:rFonts w:cstheme="minorHAnsi"/>
          <w:color w:val="000000"/>
          <w:sz w:val="20"/>
          <w:szCs w:val="20"/>
          <w:shd w:val="clear" w:color="auto" w:fill="FFFFFF"/>
        </w:rPr>
        <w:t xml:space="preserve">GRP </w:t>
      </w:r>
      <w:r w:rsidR="008D5150" w:rsidRPr="006C7B74">
        <w:rPr>
          <w:rStyle w:val="normaltextrun"/>
          <w:rFonts w:cstheme="minorHAnsi"/>
          <w:color w:val="000000"/>
          <w:sz w:val="20"/>
          <w:szCs w:val="20"/>
          <w:shd w:val="clear" w:color="auto" w:fill="FFFFFF"/>
        </w:rPr>
        <w:t xml:space="preserve">for metropolitan Melbourne outside of the </w:t>
      </w:r>
      <w:r w:rsidRPr="006C7B74">
        <w:rPr>
          <w:rStyle w:val="normaltextrun"/>
          <w:rFonts w:cstheme="minorHAnsi"/>
          <w:color w:val="000000"/>
          <w:sz w:val="20"/>
          <w:szCs w:val="20"/>
          <w:shd w:val="clear" w:color="auto" w:fill="FFFFFF"/>
        </w:rPr>
        <w:t>Inner Region</w:t>
      </w:r>
      <w:r w:rsidR="00F62B75" w:rsidRPr="006C7B74">
        <w:rPr>
          <w:rStyle w:val="normaltextrun"/>
          <w:rFonts w:cstheme="minorHAnsi"/>
          <w:color w:val="000000"/>
          <w:sz w:val="20"/>
          <w:szCs w:val="20"/>
          <w:shd w:val="clear" w:color="auto" w:fill="FFFFFF"/>
        </w:rPr>
        <w:t>.</w:t>
      </w:r>
      <w:r w:rsidR="007B5090" w:rsidRPr="006C7B74">
        <w:rPr>
          <w:rStyle w:val="normaltextrun"/>
          <w:rFonts w:cstheme="minorHAnsi"/>
          <w:color w:val="000000"/>
          <w:sz w:val="20"/>
          <w:szCs w:val="20"/>
          <w:shd w:val="clear" w:color="auto" w:fill="FFFFFF"/>
        </w:rPr>
        <w:t xml:space="preserve"> </w:t>
      </w:r>
      <w:r w:rsidR="008D5150" w:rsidRPr="006C7B74">
        <w:rPr>
          <w:rStyle w:val="normaltextrun"/>
          <w:rFonts w:cstheme="minorHAnsi"/>
          <w:color w:val="000000"/>
          <w:sz w:val="20"/>
          <w:szCs w:val="20"/>
          <w:shd w:val="clear" w:color="auto" w:fill="FFFFFF"/>
        </w:rPr>
        <w:t>The area in and around the Monash NEIC</w:t>
      </w:r>
      <w:r w:rsidR="00744838" w:rsidRPr="006C7B74">
        <w:rPr>
          <w:rStyle w:val="normaltextrun"/>
          <w:rFonts w:cstheme="minorHAnsi"/>
          <w:color w:val="000000"/>
          <w:sz w:val="20"/>
          <w:szCs w:val="20"/>
          <w:shd w:val="clear" w:color="auto" w:fill="FFFFFF"/>
        </w:rPr>
        <w:t xml:space="preserve"> has one of the largest concentration</w:t>
      </w:r>
      <w:r w:rsidR="001838DC" w:rsidRPr="006C7B74">
        <w:rPr>
          <w:rStyle w:val="normaltextrun"/>
          <w:rFonts w:cstheme="minorHAnsi"/>
          <w:color w:val="000000"/>
          <w:sz w:val="20"/>
          <w:szCs w:val="20"/>
          <w:shd w:val="clear" w:color="auto" w:fill="FFFFFF"/>
        </w:rPr>
        <w:t>s</w:t>
      </w:r>
      <w:r w:rsidR="00744838" w:rsidRPr="006C7B74">
        <w:rPr>
          <w:rStyle w:val="normaltextrun"/>
          <w:rFonts w:cstheme="minorHAnsi"/>
          <w:color w:val="000000"/>
          <w:sz w:val="20"/>
          <w:szCs w:val="20"/>
          <w:shd w:val="clear" w:color="auto" w:fill="FFFFFF"/>
        </w:rPr>
        <w:t xml:space="preserve"> of jobs outside of the </w:t>
      </w:r>
      <w:r w:rsidR="007F2AEB" w:rsidRPr="006C7B74">
        <w:rPr>
          <w:rStyle w:val="normaltextrun"/>
          <w:rFonts w:cstheme="minorHAnsi"/>
          <w:color w:val="000000"/>
          <w:sz w:val="20"/>
          <w:szCs w:val="20"/>
          <w:shd w:val="clear" w:color="auto" w:fill="FFFFFF"/>
        </w:rPr>
        <w:t>C</w:t>
      </w:r>
      <w:r w:rsidR="00744838" w:rsidRPr="006C7B74">
        <w:rPr>
          <w:rStyle w:val="normaltextrun"/>
          <w:rFonts w:cstheme="minorHAnsi"/>
          <w:color w:val="000000"/>
          <w:sz w:val="20"/>
          <w:szCs w:val="20"/>
          <w:shd w:val="clear" w:color="auto" w:fill="FFFFFF"/>
        </w:rPr>
        <w:t xml:space="preserve">entral </w:t>
      </w:r>
      <w:r w:rsidR="007F2AEB" w:rsidRPr="006C7B74">
        <w:rPr>
          <w:rStyle w:val="normaltextrun"/>
          <w:rFonts w:cstheme="minorHAnsi"/>
          <w:color w:val="000000"/>
          <w:sz w:val="20"/>
          <w:szCs w:val="20"/>
          <w:shd w:val="clear" w:color="auto" w:fill="FFFFFF"/>
        </w:rPr>
        <w:t>C</w:t>
      </w:r>
      <w:r w:rsidR="00744838" w:rsidRPr="006C7B74">
        <w:rPr>
          <w:rStyle w:val="normaltextrun"/>
          <w:rFonts w:cstheme="minorHAnsi"/>
          <w:color w:val="000000"/>
          <w:sz w:val="20"/>
          <w:szCs w:val="20"/>
          <w:shd w:val="clear" w:color="auto" w:fill="FFFFFF"/>
        </w:rPr>
        <w:t>ity</w:t>
      </w:r>
      <w:r w:rsidR="004201ED" w:rsidRPr="006C7B74">
        <w:rPr>
          <w:rStyle w:val="normaltextrun"/>
          <w:rFonts w:cstheme="minorHAnsi"/>
          <w:color w:val="000000"/>
          <w:sz w:val="20"/>
          <w:szCs w:val="20"/>
          <w:shd w:val="clear" w:color="auto" w:fill="FFFFFF"/>
        </w:rPr>
        <w:t>. T</w:t>
      </w:r>
      <w:r w:rsidR="00780094" w:rsidRPr="006C7B74">
        <w:rPr>
          <w:rStyle w:val="normaltextrun"/>
          <w:rFonts w:cstheme="minorHAnsi"/>
          <w:color w:val="000000"/>
          <w:sz w:val="20"/>
          <w:szCs w:val="20"/>
          <w:shd w:val="clear" w:color="auto" w:fill="FFFFFF"/>
        </w:rPr>
        <w:t xml:space="preserve">he Bayswater Business </w:t>
      </w:r>
      <w:r w:rsidR="004201ED" w:rsidRPr="006C7B74">
        <w:rPr>
          <w:rStyle w:val="normaltextrun"/>
          <w:rFonts w:cstheme="minorHAnsi"/>
          <w:color w:val="000000"/>
          <w:sz w:val="20"/>
          <w:szCs w:val="20"/>
          <w:shd w:val="clear" w:color="auto" w:fill="FFFFFF"/>
        </w:rPr>
        <w:t>Precinct</w:t>
      </w:r>
      <w:r w:rsidR="00780094" w:rsidRPr="006C7B74">
        <w:rPr>
          <w:rStyle w:val="normaltextrun"/>
          <w:rFonts w:cstheme="minorHAnsi"/>
          <w:color w:val="000000"/>
          <w:sz w:val="20"/>
          <w:szCs w:val="20"/>
          <w:shd w:val="clear" w:color="auto" w:fill="FFFFFF"/>
        </w:rPr>
        <w:t xml:space="preserve"> offers another major </w:t>
      </w:r>
      <w:r w:rsidR="00F649F9" w:rsidRPr="006C7B74">
        <w:rPr>
          <w:rStyle w:val="normaltextrun"/>
          <w:rFonts w:cstheme="minorHAnsi"/>
          <w:color w:val="000000"/>
          <w:sz w:val="20"/>
          <w:szCs w:val="20"/>
          <w:shd w:val="clear" w:color="auto" w:fill="FFFFFF"/>
        </w:rPr>
        <w:t>concentration</w:t>
      </w:r>
      <w:r w:rsidR="00780094" w:rsidRPr="006C7B74">
        <w:rPr>
          <w:rStyle w:val="normaltextrun"/>
          <w:rFonts w:cstheme="minorHAnsi"/>
          <w:color w:val="000000"/>
          <w:sz w:val="20"/>
          <w:szCs w:val="20"/>
          <w:shd w:val="clear" w:color="auto" w:fill="FFFFFF"/>
        </w:rPr>
        <w:t xml:space="preserve"> of employment for the region with over </w:t>
      </w:r>
      <w:r w:rsidR="004201ED" w:rsidRPr="006C7B74">
        <w:rPr>
          <w:rStyle w:val="normaltextrun"/>
          <w:rFonts w:cstheme="minorHAnsi"/>
          <w:color w:val="000000"/>
          <w:sz w:val="20"/>
          <w:szCs w:val="20"/>
          <w:shd w:val="clear" w:color="auto" w:fill="FFFFFF"/>
        </w:rPr>
        <w:t>5,000 business</w:t>
      </w:r>
      <w:r w:rsidR="00F649F9" w:rsidRPr="006C7B74">
        <w:rPr>
          <w:rStyle w:val="normaltextrun"/>
          <w:rFonts w:cstheme="minorHAnsi"/>
          <w:color w:val="000000"/>
          <w:sz w:val="20"/>
          <w:szCs w:val="20"/>
          <w:shd w:val="clear" w:color="auto" w:fill="FFFFFF"/>
        </w:rPr>
        <w:t>es</w:t>
      </w:r>
      <w:r w:rsidR="004201ED" w:rsidRPr="006C7B74">
        <w:rPr>
          <w:rStyle w:val="normaltextrun"/>
          <w:rFonts w:cstheme="minorHAnsi"/>
          <w:color w:val="000000"/>
          <w:sz w:val="20"/>
          <w:szCs w:val="20"/>
          <w:shd w:val="clear" w:color="auto" w:fill="FFFFFF"/>
        </w:rPr>
        <w:t xml:space="preserve"> and more </w:t>
      </w:r>
      <w:r w:rsidR="004201ED" w:rsidRPr="0017410A">
        <w:rPr>
          <w:rStyle w:val="normaltextrun"/>
          <w:rFonts w:cstheme="minorHAnsi"/>
          <w:color w:val="000000"/>
          <w:sz w:val="20"/>
          <w:szCs w:val="20"/>
          <w:shd w:val="clear" w:color="auto" w:fill="FFFFFF"/>
        </w:rPr>
        <w:t>33,000 jobs</w:t>
      </w:r>
      <w:r w:rsidR="00744838" w:rsidRPr="006C7B74">
        <w:rPr>
          <w:rStyle w:val="normaltextrun"/>
          <w:rFonts w:cstheme="minorHAnsi"/>
          <w:color w:val="000000"/>
          <w:sz w:val="20"/>
          <w:szCs w:val="20"/>
          <w:shd w:val="clear" w:color="auto" w:fill="FFFFFF"/>
        </w:rPr>
        <w:t xml:space="preserve">. The region has </w:t>
      </w:r>
      <w:r w:rsidR="001E0555" w:rsidRPr="006C7B74">
        <w:rPr>
          <w:rStyle w:val="normaltextrun"/>
          <w:rFonts w:cstheme="minorHAnsi"/>
          <w:color w:val="000000"/>
          <w:sz w:val="20"/>
          <w:szCs w:val="20"/>
          <w:shd w:val="clear" w:color="auto" w:fill="FFFFFF"/>
        </w:rPr>
        <w:t xml:space="preserve">a </w:t>
      </w:r>
      <w:r w:rsidR="00744838" w:rsidRPr="006C7B74">
        <w:rPr>
          <w:rStyle w:val="normaltextrun"/>
          <w:rFonts w:cstheme="minorHAnsi"/>
          <w:color w:val="000000"/>
          <w:sz w:val="20"/>
          <w:szCs w:val="20"/>
          <w:shd w:val="clear" w:color="auto" w:fill="FFFFFF"/>
        </w:rPr>
        <w:t>significant</w:t>
      </w:r>
      <w:r w:rsidR="001E0555" w:rsidRPr="006C7B74">
        <w:rPr>
          <w:rStyle w:val="normaltextrun"/>
          <w:rFonts w:cstheme="minorHAnsi"/>
          <w:color w:val="000000"/>
          <w:sz w:val="20"/>
          <w:szCs w:val="20"/>
          <w:shd w:val="clear" w:color="auto" w:fill="FFFFFF"/>
        </w:rPr>
        <w:t xml:space="preserve"> </w:t>
      </w:r>
      <w:r w:rsidR="00A54A1B" w:rsidRPr="006C7B74">
        <w:rPr>
          <w:rStyle w:val="normaltextrun"/>
          <w:rFonts w:cstheme="minorHAnsi"/>
          <w:color w:val="000000"/>
          <w:sz w:val="20"/>
          <w:szCs w:val="20"/>
          <w:shd w:val="clear" w:color="auto" w:fill="FFFFFF"/>
        </w:rPr>
        <w:t xml:space="preserve">range </w:t>
      </w:r>
      <w:r w:rsidR="001E0555" w:rsidRPr="006C7B74">
        <w:rPr>
          <w:rStyle w:val="normaltextrun"/>
          <w:rFonts w:cstheme="minorHAnsi"/>
          <w:color w:val="000000"/>
          <w:sz w:val="20"/>
          <w:szCs w:val="20"/>
          <w:shd w:val="clear" w:color="auto" w:fill="FFFFFF"/>
        </w:rPr>
        <w:t>of</w:t>
      </w:r>
      <w:r w:rsidR="00744838" w:rsidRPr="006C7B74">
        <w:rPr>
          <w:rStyle w:val="normaltextrun"/>
          <w:rFonts w:cstheme="minorHAnsi"/>
          <w:color w:val="000000"/>
          <w:sz w:val="20"/>
          <w:szCs w:val="20"/>
          <w:shd w:val="clear" w:color="auto" w:fill="FFFFFF"/>
        </w:rPr>
        <w:t xml:space="preserve"> health and education </w:t>
      </w:r>
      <w:r w:rsidR="001E0555" w:rsidRPr="006C7B74">
        <w:rPr>
          <w:rStyle w:val="normaltextrun"/>
          <w:rFonts w:cstheme="minorHAnsi"/>
          <w:color w:val="000000"/>
          <w:sz w:val="20"/>
          <w:szCs w:val="20"/>
          <w:shd w:val="clear" w:color="auto" w:fill="FFFFFF"/>
        </w:rPr>
        <w:t>facilities</w:t>
      </w:r>
      <w:r w:rsidR="00EC3007" w:rsidRPr="006C7B74">
        <w:rPr>
          <w:rStyle w:val="normaltextrun"/>
          <w:rFonts w:cstheme="minorHAnsi"/>
          <w:color w:val="000000"/>
          <w:sz w:val="20"/>
          <w:szCs w:val="20"/>
          <w:shd w:val="clear" w:color="auto" w:fill="FFFFFF"/>
        </w:rPr>
        <w:t>.</w:t>
      </w:r>
    </w:p>
    <w:p w14:paraId="77CA0E33" w14:textId="1513FFB0" w:rsidR="00744838" w:rsidRPr="006C7B74" w:rsidRDefault="008D5150" w:rsidP="00BE4C1B">
      <w:pPr>
        <w:spacing w:after="120"/>
        <w:rPr>
          <w:rStyle w:val="normaltextrun"/>
          <w:rFonts w:cstheme="minorHAnsi"/>
          <w:color w:val="000000"/>
          <w:sz w:val="20"/>
          <w:szCs w:val="20"/>
          <w:shd w:val="clear" w:color="auto" w:fill="FFFFFF"/>
        </w:rPr>
      </w:pPr>
      <w:r w:rsidRPr="006C7B74">
        <w:rPr>
          <w:rStyle w:val="normaltextrun"/>
          <w:rFonts w:cstheme="minorHAnsi"/>
          <w:color w:val="000000"/>
          <w:sz w:val="20"/>
          <w:szCs w:val="20"/>
          <w:shd w:val="clear" w:color="auto" w:fill="FFFFFF"/>
        </w:rPr>
        <w:t xml:space="preserve">A significant part of the region lies beyond the </w:t>
      </w:r>
      <w:r w:rsidR="00D757A6" w:rsidRPr="006C7B74">
        <w:rPr>
          <w:rStyle w:val="normaltextrun"/>
          <w:rFonts w:cstheme="minorHAnsi"/>
          <w:color w:val="000000"/>
          <w:sz w:val="20"/>
          <w:szCs w:val="20"/>
          <w:shd w:val="clear" w:color="auto" w:fill="FFFFFF"/>
        </w:rPr>
        <w:t>UGB</w:t>
      </w:r>
      <w:r w:rsidRPr="006C7B74">
        <w:rPr>
          <w:rStyle w:val="normaltextrun"/>
          <w:rFonts w:cstheme="minorHAnsi"/>
          <w:color w:val="000000"/>
          <w:sz w:val="20"/>
          <w:szCs w:val="20"/>
          <w:shd w:val="clear" w:color="auto" w:fill="FFFFFF"/>
        </w:rPr>
        <w:t xml:space="preserve"> in the Shire of Yarra Ranges</w:t>
      </w:r>
      <w:r w:rsidR="00744838" w:rsidRPr="006C7B74">
        <w:rPr>
          <w:rStyle w:val="normaltextrun"/>
          <w:rFonts w:cstheme="minorHAnsi"/>
          <w:color w:val="000000"/>
          <w:sz w:val="20"/>
          <w:szCs w:val="20"/>
          <w:shd w:val="clear" w:color="auto" w:fill="FFFFFF"/>
        </w:rPr>
        <w:t xml:space="preserve">. The Upper Yarra Valley and Dandenong Ranges </w:t>
      </w:r>
      <w:r w:rsidR="00760016" w:rsidRPr="006C7B74">
        <w:rPr>
          <w:rStyle w:val="normaltextrun"/>
          <w:rFonts w:cstheme="minorHAnsi"/>
          <w:color w:val="000000"/>
          <w:sz w:val="20"/>
          <w:szCs w:val="20"/>
          <w:shd w:val="clear" w:color="auto" w:fill="FFFFFF"/>
        </w:rPr>
        <w:t>contribute significantly to the region’s economy</w:t>
      </w:r>
      <w:r w:rsidR="00760016" w:rsidRPr="006C7B74" w:rsidDel="00EC5F72">
        <w:rPr>
          <w:rStyle w:val="normaltextrun"/>
          <w:rFonts w:cstheme="minorHAnsi"/>
          <w:color w:val="000000"/>
          <w:sz w:val="20"/>
          <w:szCs w:val="20"/>
          <w:shd w:val="clear" w:color="auto" w:fill="FFFFFF"/>
        </w:rPr>
        <w:t xml:space="preserve"> </w:t>
      </w:r>
      <w:r w:rsidR="00760016" w:rsidRPr="006C7B74">
        <w:rPr>
          <w:rStyle w:val="normaltextrun"/>
          <w:rFonts w:cstheme="minorHAnsi"/>
          <w:color w:val="000000"/>
          <w:sz w:val="20"/>
          <w:szCs w:val="20"/>
          <w:shd w:val="clear" w:color="auto" w:fill="FFFFFF"/>
        </w:rPr>
        <w:t xml:space="preserve">and </w:t>
      </w:r>
      <w:r w:rsidR="00EC5F72" w:rsidRPr="006C7B74">
        <w:rPr>
          <w:rStyle w:val="normaltextrun"/>
          <w:rFonts w:cstheme="minorHAnsi"/>
          <w:color w:val="000000"/>
          <w:sz w:val="20"/>
          <w:szCs w:val="20"/>
          <w:shd w:val="clear" w:color="auto" w:fill="FFFFFF"/>
        </w:rPr>
        <w:t>include a number of</w:t>
      </w:r>
      <w:r w:rsidR="00744838" w:rsidRPr="006C7B74">
        <w:rPr>
          <w:rStyle w:val="normaltextrun"/>
          <w:rFonts w:cstheme="minorHAnsi"/>
          <w:color w:val="000000"/>
          <w:sz w:val="20"/>
          <w:szCs w:val="20"/>
          <w:shd w:val="clear" w:color="auto" w:fill="FFFFFF"/>
        </w:rPr>
        <w:t xml:space="preserve"> major tourism attraction</w:t>
      </w:r>
      <w:r w:rsidR="001838DC" w:rsidRPr="006C7B74">
        <w:rPr>
          <w:rStyle w:val="normaltextrun"/>
          <w:rFonts w:cstheme="minorHAnsi"/>
          <w:color w:val="000000"/>
          <w:sz w:val="20"/>
          <w:szCs w:val="20"/>
          <w:shd w:val="clear" w:color="auto" w:fill="FFFFFF"/>
        </w:rPr>
        <w:t>s</w:t>
      </w:r>
      <w:r w:rsidR="00744838" w:rsidRPr="006C7B74">
        <w:rPr>
          <w:rStyle w:val="normaltextrun"/>
          <w:rFonts w:cstheme="minorHAnsi"/>
          <w:color w:val="000000"/>
          <w:sz w:val="20"/>
          <w:szCs w:val="20"/>
          <w:shd w:val="clear" w:color="auto" w:fill="FFFFFF"/>
        </w:rPr>
        <w:t xml:space="preserve"> </w:t>
      </w:r>
      <w:r w:rsidR="008E7A8E" w:rsidRPr="006C7B74">
        <w:rPr>
          <w:rStyle w:val="normaltextrun"/>
          <w:rFonts w:cstheme="minorHAnsi"/>
          <w:color w:val="000000"/>
          <w:sz w:val="20"/>
          <w:szCs w:val="20"/>
          <w:shd w:val="clear" w:color="auto" w:fill="FFFFFF"/>
        </w:rPr>
        <w:t xml:space="preserve">and </w:t>
      </w:r>
      <w:r w:rsidR="00760016" w:rsidRPr="006C7B74">
        <w:rPr>
          <w:rStyle w:val="normaltextrun"/>
          <w:rFonts w:cstheme="minorHAnsi"/>
          <w:color w:val="000000"/>
          <w:sz w:val="20"/>
          <w:szCs w:val="20"/>
          <w:shd w:val="clear" w:color="auto" w:fill="FFFFFF"/>
        </w:rPr>
        <w:t>are home to</w:t>
      </w:r>
      <w:r w:rsidR="008E7A8E" w:rsidRPr="006C7B74">
        <w:rPr>
          <w:rStyle w:val="normaltextrun"/>
          <w:rFonts w:cstheme="minorHAnsi"/>
          <w:color w:val="000000"/>
          <w:sz w:val="20"/>
          <w:szCs w:val="20"/>
          <w:shd w:val="clear" w:color="auto" w:fill="FFFFFF"/>
        </w:rPr>
        <w:t xml:space="preserve"> </w:t>
      </w:r>
      <w:r w:rsidR="00584BA7" w:rsidRPr="006C7B74">
        <w:rPr>
          <w:rStyle w:val="normaltextrun"/>
          <w:rFonts w:cstheme="minorHAnsi"/>
          <w:color w:val="000000"/>
          <w:sz w:val="20"/>
          <w:szCs w:val="20"/>
          <w:shd w:val="clear" w:color="auto" w:fill="FFFFFF"/>
        </w:rPr>
        <w:t>significant regional agricultural production areas for wine and intensive horticulture</w:t>
      </w:r>
      <w:r w:rsidR="00B6468B" w:rsidRPr="006C7B74">
        <w:rPr>
          <w:rStyle w:val="normaltextrun"/>
          <w:rFonts w:cstheme="minorHAnsi"/>
          <w:color w:val="000000"/>
          <w:sz w:val="20"/>
          <w:szCs w:val="20"/>
          <w:shd w:val="clear" w:color="auto" w:fill="FFFFFF"/>
        </w:rPr>
        <w:t>.</w:t>
      </w:r>
      <w:r w:rsidR="00744838" w:rsidRPr="006C7B74">
        <w:rPr>
          <w:rStyle w:val="normaltextrun"/>
          <w:rFonts w:cstheme="minorHAnsi"/>
          <w:color w:val="000000"/>
          <w:sz w:val="20"/>
          <w:szCs w:val="20"/>
          <w:shd w:val="clear" w:color="auto" w:fill="FFFFFF"/>
        </w:rPr>
        <w:t xml:space="preserve"> </w:t>
      </w:r>
    </w:p>
    <w:p w14:paraId="70D203FB" w14:textId="131F73C1" w:rsidR="00732BE8" w:rsidRPr="006C7B74" w:rsidRDefault="001C16F0" w:rsidP="00934C4D">
      <w:pPr>
        <w:spacing w:after="120"/>
        <w:rPr>
          <w:rFonts w:cstheme="minorHAnsi"/>
          <w:sz w:val="20"/>
          <w:szCs w:val="20"/>
        </w:rPr>
      </w:pPr>
      <w:r w:rsidRPr="006C7B74">
        <w:rPr>
          <w:sz w:val="20"/>
          <w:szCs w:val="20"/>
        </w:rPr>
        <w:t>The business service</w:t>
      </w:r>
      <w:r w:rsidR="001838DC" w:rsidRPr="006C7B74">
        <w:rPr>
          <w:sz w:val="20"/>
          <w:szCs w:val="20"/>
        </w:rPr>
        <w:t>s</w:t>
      </w:r>
      <w:r w:rsidRPr="006C7B74">
        <w:rPr>
          <w:sz w:val="20"/>
          <w:szCs w:val="20"/>
        </w:rPr>
        <w:t xml:space="preserve"> sector is the largest contributor to the economy for the region with a </w:t>
      </w:r>
      <w:r w:rsidRPr="006C7B74">
        <w:rPr>
          <w:rFonts w:cstheme="minorHAnsi"/>
          <w:sz w:val="20"/>
          <w:szCs w:val="20"/>
        </w:rPr>
        <w:t>total value-added estimate at around $</w:t>
      </w:r>
      <w:r w:rsidR="00B24DF7" w:rsidRPr="006C7B74">
        <w:rPr>
          <w:rFonts w:cstheme="minorHAnsi"/>
          <w:sz w:val="20"/>
          <w:szCs w:val="20"/>
        </w:rPr>
        <w:t>19.4</w:t>
      </w:r>
      <w:r w:rsidRPr="006C7B74">
        <w:rPr>
          <w:rFonts w:cstheme="minorHAnsi"/>
          <w:sz w:val="20"/>
          <w:szCs w:val="20"/>
        </w:rPr>
        <w:t xml:space="preserve"> billion. </w:t>
      </w:r>
      <w:r w:rsidR="00B24DF7" w:rsidRPr="006C7B74">
        <w:rPr>
          <w:rFonts w:cstheme="minorHAnsi"/>
          <w:sz w:val="20"/>
          <w:szCs w:val="20"/>
        </w:rPr>
        <w:t>The m</w:t>
      </w:r>
      <w:r w:rsidRPr="006C7B74">
        <w:rPr>
          <w:rFonts w:cstheme="minorHAnsi"/>
          <w:sz w:val="20"/>
          <w:szCs w:val="20"/>
        </w:rPr>
        <w:t xml:space="preserve">anufacturing and industrial </w:t>
      </w:r>
      <w:r w:rsidR="00B24DF7" w:rsidRPr="006C7B74">
        <w:rPr>
          <w:rFonts w:cstheme="minorHAnsi"/>
          <w:sz w:val="20"/>
          <w:szCs w:val="20"/>
        </w:rPr>
        <w:t xml:space="preserve">sector </w:t>
      </w:r>
      <w:r w:rsidRPr="006C7B74">
        <w:rPr>
          <w:rFonts w:cstheme="minorHAnsi"/>
          <w:sz w:val="20"/>
          <w:szCs w:val="20"/>
        </w:rPr>
        <w:t xml:space="preserve">is the next largest contributor </w:t>
      </w:r>
      <w:r w:rsidRPr="006C7B74">
        <w:rPr>
          <w:sz w:val="20"/>
          <w:szCs w:val="20"/>
        </w:rPr>
        <w:t xml:space="preserve">with a </w:t>
      </w:r>
      <w:r w:rsidRPr="006C7B74">
        <w:rPr>
          <w:rFonts w:cstheme="minorHAnsi"/>
          <w:sz w:val="20"/>
          <w:szCs w:val="20"/>
        </w:rPr>
        <w:t>total value-added estimate at around $1</w:t>
      </w:r>
      <w:r w:rsidR="00B24DF7" w:rsidRPr="006C7B74">
        <w:rPr>
          <w:rFonts w:cstheme="minorHAnsi"/>
          <w:sz w:val="20"/>
          <w:szCs w:val="20"/>
        </w:rPr>
        <w:t>0.8</w:t>
      </w:r>
      <w:r w:rsidRPr="006C7B74">
        <w:rPr>
          <w:rFonts w:cstheme="minorHAnsi"/>
          <w:sz w:val="20"/>
          <w:szCs w:val="20"/>
        </w:rPr>
        <w:t xml:space="preserve"> billion. Combined, these sectors account for </w:t>
      </w:r>
      <w:r w:rsidR="00B24DF7" w:rsidRPr="006C7B74">
        <w:rPr>
          <w:rFonts w:cstheme="minorHAnsi"/>
          <w:sz w:val="20"/>
          <w:szCs w:val="20"/>
        </w:rPr>
        <w:t xml:space="preserve">just </w:t>
      </w:r>
      <w:r w:rsidRPr="006C7B74">
        <w:rPr>
          <w:rFonts w:cstheme="minorHAnsi"/>
          <w:sz w:val="20"/>
          <w:szCs w:val="20"/>
        </w:rPr>
        <w:t>over 60 per cent of the total value-add for the region.</w:t>
      </w:r>
    </w:p>
    <w:p w14:paraId="3A72546B" w14:textId="77777777" w:rsidR="00B24DF7" w:rsidRPr="006C7B74" w:rsidRDefault="00B24DF7" w:rsidP="00934C4D">
      <w:pPr>
        <w:spacing w:after="120"/>
        <w:rPr>
          <w:rFonts w:cstheme="minorHAnsi"/>
          <w:sz w:val="20"/>
          <w:szCs w:val="20"/>
        </w:rPr>
      </w:pPr>
    </w:p>
    <w:p w14:paraId="0ACFFCAD" w14:textId="1550EE8F" w:rsidR="006E0A5C" w:rsidRPr="006C7B74" w:rsidRDefault="006E0A5C" w:rsidP="00F92F06">
      <w:pPr>
        <w:pStyle w:val="Heading5"/>
      </w:pPr>
      <w:r w:rsidRPr="006C7B74">
        <w:t xml:space="preserve">Fast </w:t>
      </w:r>
      <w:r w:rsidR="004211D7" w:rsidRPr="006C7B74">
        <w:t>f</w:t>
      </w:r>
      <w:r w:rsidRPr="006C7B74">
        <w:t>acts</w:t>
      </w:r>
    </w:p>
    <w:tbl>
      <w:tblPr>
        <w:tblStyle w:val="TableGrid"/>
        <w:tblW w:w="0" w:type="auto"/>
        <w:tblBorders>
          <w:left w:val="single" w:sz="8" w:space="0" w:color="auto"/>
          <w:right w:val="single" w:sz="8" w:space="0" w:color="auto"/>
          <w:insideH w:val="none" w:sz="0" w:space="0" w:color="auto"/>
          <w:insideV w:val="single" w:sz="8" w:space="0" w:color="auto"/>
        </w:tblBorders>
        <w:tblLook w:val="04A0" w:firstRow="1" w:lastRow="0" w:firstColumn="1" w:lastColumn="0" w:noHBand="0" w:noVBand="1"/>
      </w:tblPr>
      <w:tblGrid>
        <w:gridCol w:w="3000"/>
        <w:gridCol w:w="3000"/>
        <w:gridCol w:w="3000"/>
      </w:tblGrid>
      <w:tr w:rsidR="0085099E" w:rsidRPr="006C7B74" w14:paraId="6258A5C5" w14:textId="77777777" w:rsidTr="00DC580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00" w:type="dxa"/>
            <w:shd w:val="clear" w:color="auto" w:fill="auto"/>
            <w:vAlign w:val="top"/>
          </w:tcPr>
          <w:p w14:paraId="086CD360" w14:textId="77777777" w:rsidR="0085099E" w:rsidRPr="006C7B74" w:rsidRDefault="0085099E" w:rsidP="00F92F06">
            <w:pPr>
              <w:pStyle w:val="BodyText"/>
            </w:pPr>
            <w:r w:rsidRPr="006C7B74">
              <w:t>PEOPLE</w:t>
            </w:r>
          </w:p>
          <w:p w14:paraId="51F5CA8A" w14:textId="77777777" w:rsidR="0085099E" w:rsidRPr="006C7B74" w:rsidRDefault="0085099E" w:rsidP="00F92F06">
            <w:pPr>
              <w:pStyle w:val="BodyText"/>
            </w:pPr>
            <w:r w:rsidRPr="006C7B74">
              <w:t>Population in 2006</w:t>
            </w:r>
          </w:p>
          <w:p w14:paraId="5D67E09B" w14:textId="77777777" w:rsidR="0085099E" w:rsidRPr="006C7B74" w:rsidRDefault="0085099E" w:rsidP="00F92F06">
            <w:pPr>
              <w:pStyle w:val="BodyText"/>
              <w:rPr>
                <w:sz w:val="44"/>
                <w:szCs w:val="44"/>
              </w:rPr>
            </w:pPr>
            <w:r w:rsidRPr="006C7B74">
              <w:rPr>
                <w:sz w:val="44"/>
                <w:szCs w:val="44"/>
              </w:rPr>
              <w:t xml:space="preserve">825,039 </w:t>
            </w:r>
          </w:p>
          <w:p w14:paraId="7520774B" w14:textId="77777777" w:rsidR="0085099E" w:rsidRPr="006C7B74" w:rsidRDefault="0085099E" w:rsidP="00F92F06">
            <w:pPr>
              <w:pStyle w:val="BodyText"/>
            </w:pPr>
            <w:r w:rsidRPr="006C7B74">
              <w:t>Population in 2016</w:t>
            </w:r>
          </w:p>
          <w:p w14:paraId="6B001B46" w14:textId="77777777" w:rsidR="00941B0A" w:rsidRPr="006C7B74" w:rsidRDefault="00941B0A" w:rsidP="00F92F06">
            <w:pPr>
              <w:pStyle w:val="BodyText"/>
              <w:rPr>
                <w:sz w:val="44"/>
                <w:szCs w:val="44"/>
              </w:rPr>
            </w:pPr>
            <w:r w:rsidRPr="006C7B74">
              <w:rPr>
                <w:sz w:val="44"/>
                <w:szCs w:val="44"/>
              </w:rPr>
              <w:t>915,215</w:t>
            </w:r>
          </w:p>
          <w:p w14:paraId="4CBFD852" w14:textId="77777777" w:rsidR="003220F9" w:rsidRPr="006C7B74" w:rsidRDefault="0085099E" w:rsidP="00F92F06">
            <w:pPr>
              <w:pStyle w:val="BodyText"/>
              <w:rPr>
                <w:b w:val="0"/>
              </w:rPr>
            </w:pPr>
            <w:r w:rsidRPr="006C7B74">
              <w:t xml:space="preserve">That’s </w:t>
            </w:r>
            <w:r w:rsidRPr="006C7B74">
              <w:rPr>
                <w:sz w:val="44"/>
              </w:rPr>
              <w:t>1</w:t>
            </w:r>
            <w:r w:rsidRPr="006C7B74">
              <w:rPr>
                <w:sz w:val="44"/>
                <w:szCs w:val="44"/>
              </w:rPr>
              <w:t>1%</w:t>
            </w:r>
            <w:r w:rsidRPr="006C7B74">
              <w:t xml:space="preserve"> more people</w:t>
            </w:r>
          </w:p>
          <w:p w14:paraId="0CB4A118" w14:textId="72734F8D" w:rsidR="0085099E" w:rsidRPr="006C7B74" w:rsidRDefault="0085099E" w:rsidP="00F92F06">
            <w:pPr>
              <w:pStyle w:val="BodyText"/>
            </w:pPr>
            <w:r w:rsidRPr="006C7B74">
              <w:t>Knox =</w:t>
            </w:r>
            <w:r w:rsidRPr="006C7B74">
              <w:rPr>
                <w:sz w:val="28"/>
                <w:szCs w:val="28"/>
              </w:rPr>
              <w:t xml:space="preserve"> +</w:t>
            </w:r>
            <w:r w:rsidRPr="006C7B74">
              <w:t xml:space="preserve"> </w:t>
            </w:r>
            <w:r w:rsidR="00E20AA5" w:rsidRPr="006C7B74">
              <w:rPr>
                <w:sz w:val="28"/>
              </w:rPr>
              <w:t>10,078</w:t>
            </w:r>
          </w:p>
          <w:p w14:paraId="0894C826" w14:textId="541061A7" w:rsidR="0085099E" w:rsidRPr="006C7B74" w:rsidRDefault="0085099E" w:rsidP="00F92F06">
            <w:pPr>
              <w:pStyle w:val="BodyText"/>
            </w:pPr>
            <w:r w:rsidRPr="006C7B74">
              <w:t>Manningham =</w:t>
            </w:r>
            <w:r w:rsidRPr="006C7B74">
              <w:rPr>
                <w:sz w:val="28"/>
                <w:szCs w:val="28"/>
              </w:rPr>
              <w:t xml:space="preserve"> +</w:t>
            </w:r>
            <w:r w:rsidRPr="006C7B74">
              <w:t xml:space="preserve"> </w:t>
            </w:r>
            <w:r w:rsidR="00941B0A" w:rsidRPr="006C7B74">
              <w:rPr>
                <w:sz w:val="28"/>
              </w:rPr>
              <w:t>8,656</w:t>
            </w:r>
          </w:p>
          <w:p w14:paraId="4ECF16A5" w14:textId="14629E81" w:rsidR="0085099E" w:rsidRPr="006C7B74" w:rsidRDefault="0085099E" w:rsidP="00F92F06">
            <w:pPr>
              <w:pStyle w:val="BodyText"/>
            </w:pPr>
            <w:r w:rsidRPr="006C7B74">
              <w:t>Maroondah =</w:t>
            </w:r>
            <w:r w:rsidRPr="006C7B74">
              <w:rPr>
                <w:sz w:val="28"/>
                <w:szCs w:val="28"/>
              </w:rPr>
              <w:t xml:space="preserve"> +</w:t>
            </w:r>
            <w:r w:rsidRPr="006C7B74">
              <w:t xml:space="preserve"> </w:t>
            </w:r>
            <w:r w:rsidR="00E20AA5" w:rsidRPr="006C7B74">
              <w:rPr>
                <w:sz w:val="28"/>
              </w:rPr>
              <w:t>13,370</w:t>
            </w:r>
          </w:p>
          <w:p w14:paraId="79A4A4A9" w14:textId="0FFBA054" w:rsidR="0085099E" w:rsidRPr="006C7B74" w:rsidRDefault="0085099E" w:rsidP="00F92F06">
            <w:pPr>
              <w:pStyle w:val="BodyText"/>
            </w:pPr>
            <w:r w:rsidRPr="006C7B74">
              <w:t>Monash =</w:t>
            </w:r>
            <w:r w:rsidRPr="006C7B74">
              <w:rPr>
                <w:sz w:val="28"/>
                <w:szCs w:val="28"/>
              </w:rPr>
              <w:t xml:space="preserve"> +</w:t>
            </w:r>
            <w:r w:rsidRPr="006C7B74">
              <w:t xml:space="preserve"> </w:t>
            </w:r>
            <w:r w:rsidR="00E20AA5" w:rsidRPr="006C7B74">
              <w:rPr>
                <w:sz w:val="28"/>
              </w:rPr>
              <w:t>25,615</w:t>
            </w:r>
          </w:p>
          <w:p w14:paraId="3C4DD6BD" w14:textId="1F814C42" w:rsidR="0085099E" w:rsidRPr="006C7B74" w:rsidRDefault="0085099E" w:rsidP="00F92F06">
            <w:pPr>
              <w:pStyle w:val="BodyText"/>
            </w:pPr>
            <w:r w:rsidRPr="006C7B74">
              <w:t>Whitehorse =</w:t>
            </w:r>
            <w:r w:rsidRPr="006C7B74">
              <w:rPr>
                <w:sz w:val="28"/>
                <w:szCs w:val="28"/>
              </w:rPr>
              <w:t xml:space="preserve"> +</w:t>
            </w:r>
            <w:r w:rsidRPr="006C7B74">
              <w:t xml:space="preserve"> </w:t>
            </w:r>
            <w:r w:rsidR="00E20AA5" w:rsidRPr="006C7B74">
              <w:rPr>
                <w:sz w:val="28"/>
              </w:rPr>
              <w:t>20,624</w:t>
            </w:r>
          </w:p>
          <w:p w14:paraId="1133E781" w14:textId="15D6BA66" w:rsidR="0085099E" w:rsidRPr="006C7B74" w:rsidRDefault="0085099E" w:rsidP="00F92F06">
            <w:pPr>
              <w:pStyle w:val="BodyText"/>
            </w:pPr>
            <w:r w:rsidRPr="006C7B74">
              <w:t>Yarra Ranges =</w:t>
            </w:r>
            <w:r w:rsidRPr="006C7B74">
              <w:rPr>
                <w:sz w:val="28"/>
                <w:szCs w:val="28"/>
              </w:rPr>
              <w:t xml:space="preserve"> +</w:t>
            </w:r>
            <w:r w:rsidRPr="006C7B74">
              <w:t xml:space="preserve"> </w:t>
            </w:r>
            <w:r w:rsidR="00E20AA5" w:rsidRPr="006C7B74">
              <w:rPr>
                <w:sz w:val="28"/>
              </w:rPr>
              <w:t>11,833</w:t>
            </w:r>
          </w:p>
        </w:tc>
        <w:tc>
          <w:tcPr>
            <w:tcW w:w="3000" w:type="dxa"/>
            <w:shd w:val="clear" w:color="auto" w:fill="auto"/>
            <w:vAlign w:val="top"/>
          </w:tcPr>
          <w:p w14:paraId="0F450759" w14:textId="77777777" w:rsidR="0085099E" w:rsidRPr="006C7B74" w:rsidRDefault="0085099E" w:rsidP="00F92F06">
            <w:pPr>
              <w:pStyle w:val="BodyText"/>
              <w:jc w:val="left"/>
              <w:cnfStyle w:val="100000000000" w:firstRow="1" w:lastRow="0" w:firstColumn="0" w:lastColumn="0" w:oddVBand="0" w:evenVBand="0" w:oddHBand="0" w:evenHBand="0" w:firstRowFirstColumn="0" w:firstRowLastColumn="0" w:lastRowFirstColumn="0" w:lastRowLastColumn="0"/>
            </w:pPr>
            <w:r w:rsidRPr="006C7B74">
              <w:t>JOBS</w:t>
            </w:r>
          </w:p>
          <w:p w14:paraId="66379FBF" w14:textId="77777777" w:rsidR="0085099E" w:rsidRPr="006C7B74" w:rsidRDefault="0085099E" w:rsidP="00F92F06">
            <w:pPr>
              <w:pStyle w:val="BodyText"/>
              <w:jc w:val="left"/>
              <w:cnfStyle w:val="100000000000" w:firstRow="1" w:lastRow="0" w:firstColumn="0" w:lastColumn="0" w:oddVBand="0" w:evenVBand="0" w:oddHBand="0" w:evenHBand="0" w:firstRowFirstColumn="0" w:firstRowLastColumn="0" w:lastRowFirstColumn="0" w:lastRowLastColumn="0"/>
            </w:pPr>
            <w:r w:rsidRPr="006C7B74">
              <w:t>Jobs in 2006</w:t>
            </w:r>
          </w:p>
          <w:p w14:paraId="7EF847FC" w14:textId="77777777" w:rsidR="0085099E" w:rsidRPr="006C7B74" w:rsidRDefault="0085099E" w:rsidP="00F92F06">
            <w:pPr>
              <w:pStyle w:val="BodyText"/>
              <w:jc w:val="left"/>
              <w:cnfStyle w:val="100000000000" w:firstRow="1" w:lastRow="0" w:firstColumn="0" w:lastColumn="0" w:oddVBand="0" w:evenVBand="0" w:oddHBand="0" w:evenHBand="0" w:firstRowFirstColumn="0" w:firstRowLastColumn="0" w:lastRowFirstColumn="0" w:lastRowLastColumn="0"/>
              <w:rPr>
                <w:sz w:val="44"/>
                <w:szCs w:val="44"/>
              </w:rPr>
            </w:pPr>
            <w:r w:rsidRPr="006C7B74">
              <w:rPr>
                <w:sz w:val="44"/>
                <w:szCs w:val="44"/>
              </w:rPr>
              <w:t xml:space="preserve">350,500 </w:t>
            </w:r>
          </w:p>
          <w:p w14:paraId="15EE9A71" w14:textId="77777777" w:rsidR="0085099E" w:rsidRPr="006C7B74" w:rsidRDefault="0085099E" w:rsidP="00F92F06">
            <w:pPr>
              <w:pStyle w:val="BodyText"/>
              <w:jc w:val="left"/>
              <w:cnfStyle w:val="100000000000" w:firstRow="1" w:lastRow="0" w:firstColumn="0" w:lastColumn="0" w:oddVBand="0" w:evenVBand="0" w:oddHBand="0" w:evenHBand="0" w:firstRowFirstColumn="0" w:firstRowLastColumn="0" w:lastRowFirstColumn="0" w:lastRowLastColumn="0"/>
            </w:pPr>
            <w:r w:rsidRPr="006C7B74">
              <w:t>Jobs in 2016</w:t>
            </w:r>
          </w:p>
          <w:p w14:paraId="7DA79952" w14:textId="77777777" w:rsidR="0085099E" w:rsidRPr="006C7B74" w:rsidRDefault="0085099E" w:rsidP="00F92F06">
            <w:pPr>
              <w:pStyle w:val="BodyText"/>
              <w:jc w:val="left"/>
              <w:cnfStyle w:val="100000000000" w:firstRow="1" w:lastRow="0" w:firstColumn="0" w:lastColumn="0" w:oddVBand="0" w:evenVBand="0" w:oddHBand="0" w:evenHBand="0" w:firstRowFirstColumn="0" w:firstRowLastColumn="0" w:lastRowFirstColumn="0" w:lastRowLastColumn="0"/>
              <w:rPr>
                <w:sz w:val="44"/>
                <w:szCs w:val="44"/>
              </w:rPr>
            </w:pPr>
            <w:r w:rsidRPr="006C7B74">
              <w:rPr>
                <w:sz w:val="44"/>
                <w:szCs w:val="44"/>
              </w:rPr>
              <w:t>396,000</w:t>
            </w:r>
          </w:p>
          <w:p w14:paraId="55DAF153" w14:textId="77777777" w:rsidR="003220F9" w:rsidRPr="006C7B74" w:rsidRDefault="0085099E" w:rsidP="00F92F06">
            <w:pPr>
              <w:pStyle w:val="BodyText"/>
              <w:jc w:val="left"/>
              <w:cnfStyle w:val="100000000000" w:firstRow="1" w:lastRow="0" w:firstColumn="0" w:lastColumn="0" w:oddVBand="0" w:evenVBand="0" w:oddHBand="0" w:evenHBand="0" w:firstRowFirstColumn="0" w:firstRowLastColumn="0" w:lastRowFirstColumn="0" w:lastRowLastColumn="0"/>
              <w:rPr>
                <w:b w:val="0"/>
              </w:rPr>
            </w:pPr>
            <w:r w:rsidRPr="006C7B74">
              <w:t xml:space="preserve">That’s </w:t>
            </w:r>
            <w:r w:rsidRPr="006C7B74">
              <w:rPr>
                <w:sz w:val="44"/>
                <w:szCs w:val="44"/>
              </w:rPr>
              <w:t>13%</w:t>
            </w:r>
            <w:r w:rsidRPr="006C7B74">
              <w:t xml:space="preserve"> more jobs</w:t>
            </w:r>
          </w:p>
          <w:p w14:paraId="48DB66F4" w14:textId="3EA4DDBA" w:rsidR="0085099E" w:rsidRPr="006C7B74" w:rsidRDefault="0085099E" w:rsidP="00F92F06">
            <w:pPr>
              <w:pStyle w:val="BodyText"/>
              <w:jc w:val="left"/>
              <w:cnfStyle w:val="100000000000" w:firstRow="1" w:lastRow="0" w:firstColumn="0" w:lastColumn="0" w:oddVBand="0" w:evenVBand="0" w:oddHBand="0" w:evenHBand="0" w:firstRowFirstColumn="0" w:firstRowLastColumn="0" w:lastRowFirstColumn="0" w:lastRowLastColumn="0"/>
            </w:pPr>
            <w:r w:rsidRPr="006C7B74">
              <w:t>Knox =</w:t>
            </w:r>
            <w:r w:rsidRPr="006C7B74">
              <w:rPr>
                <w:sz w:val="28"/>
                <w:szCs w:val="28"/>
              </w:rPr>
              <w:t xml:space="preserve"> +</w:t>
            </w:r>
            <w:r w:rsidRPr="006C7B74">
              <w:t xml:space="preserve"> </w:t>
            </w:r>
            <w:r w:rsidRPr="006C7B74">
              <w:rPr>
                <w:sz w:val="28"/>
              </w:rPr>
              <w:t>5,050</w:t>
            </w:r>
          </w:p>
          <w:p w14:paraId="24098D50" w14:textId="77777777" w:rsidR="0085099E" w:rsidRPr="006C7B74" w:rsidRDefault="0085099E" w:rsidP="00F92F06">
            <w:pPr>
              <w:pStyle w:val="BodyText"/>
              <w:jc w:val="left"/>
              <w:cnfStyle w:val="100000000000" w:firstRow="1" w:lastRow="0" w:firstColumn="0" w:lastColumn="0" w:oddVBand="0" w:evenVBand="0" w:oddHBand="0" w:evenHBand="0" w:firstRowFirstColumn="0" w:firstRowLastColumn="0" w:lastRowFirstColumn="0" w:lastRowLastColumn="0"/>
            </w:pPr>
            <w:r w:rsidRPr="006C7B74">
              <w:t>Manningham =</w:t>
            </w:r>
            <w:r w:rsidRPr="006C7B74">
              <w:rPr>
                <w:sz w:val="28"/>
                <w:szCs w:val="28"/>
              </w:rPr>
              <w:t xml:space="preserve"> +</w:t>
            </w:r>
            <w:r w:rsidRPr="006C7B74">
              <w:t xml:space="preserve"> </w:t>
            </w:r>
            <w:r w:rsidRPr="006C7B74">
              <w:rPr>
                <w:sz w:val="28"/>
              </w:rPr>
              <w:t>7,050</w:t>
            </w:r>
          </w:p>
          <w:p w14:paraId="1D7EF468" w14:textId="77777777" w:rsidR="0085099E" w:rsidRPr="006C7B74" w:rsidRDefault="0085099E" w:rsidP="00F92F06">
            <w:pPr>
              <w:pStyle w:val="BodyText"/>
              <w:jc w:val="left"/>
              <w:cnfStyle w:val="100000000000" w:firstRow="1" w:lastRow="0" w:firstColumn="0" w:lastColumn="0" w:oddVBand="0" w:evenVBand="0" w:oddHBand="0" w:evenHBand="0" w:firstRowFirstColumn="0" w:firstRowLastColumn="0" w:lastRowFirstColumn="0" w:lastRowLastColumn="0"/>
            </w:pPr>
            <w:r w:rsidRPr="006C7B74">
              <w:t>Maroondah =</w:t>
            </w:r>
            <w:r w:rsidRPr="006C7B74">
              <w:rPr>
                <w:sz w:val="28"/>
                <w:szCs w:val="28"/>
              </w:rPr>
              <w:t xml:space="preserve"> +</w:t>
            </w:r>
            <w:r w:rsidRPr="006C7B74">
              <w:t xml:space="preserve"> </w:t>
            </w:r>
            <w:r w:rsidRPr="006C7B74">
              <w:rPr>
                <w:sz w:val="28"/>
              </w:rPr>
              <w:t>4,550</w:t>
            </w:r>
          </w:p>
          <w:p w14:paraId="2A72F20E" w14:textId="77777777" w:rsidR="0085099E" w:rsidRPr="006C7B74" w:rsidRDefault="0085099E" w:rsidP="00F92F06">
            <w:pPr>
              <w:pStyle w:val="BodyText"/>
              <w:jc w:val="left"/>
              <w:cnfStyle w:val="100000000000" w:firstRow="1" w:lastRow="0" w:firstColumn="0" w:lastColumn="0" w:oddVBand="0" w:evenVBand="0" w:oddHBand="0" w:evenHBand="0" w:firstRowFirstColumn="0" w:firstRowLastColumn="0" w:lastRowFirstColumn="0" w:lastRowLastColumn="0"/>
            </w:pPr>
            <w:r w:rsidRPr="006C7B74">
              <w:t>Monash =</w:t>
            </w:r>
            <w:r w:rsidRPr="006C7B74">
              <w:rPr>
                <w:sz w:val="28"/>
                <w:szCs w:val="28"/>
              </w:rPr>
              <w:t xml:space="preserve"> +</w:t>
            </w:r>
            <w:r w:rsidRPr="006C7B74">
              <w:t xml:space="preserve"> </w:t>
            </w:r>
            <w:r w:rsidRPr="006C7B74">
              <w:rPr>
                <w:sz w:val="28"/>
              </w:rPr>
              <w:t>16,550</w:t>
            </w:r>
          </w:p>
          <w:p w14:paraId="16BCC660" w14:textId="77777777" w:rsidR="0085099E" w:rsidRPr="006C7B74" w:rsidRDefault="0085099E" w:rsidP="00F92F06">
            <w:pPr>
              <w:pStyle w:val="BodyText"/>
              <w:jc w:val="left"/>
              <w:cnfStyle w:val="100000000000" w:firstRow="1" w:lastRow="0" w:firstColumn="0" w:lastColumn="0" w:oddVBand="0" w:evenVBand="0" w:oddHBand="0" w:evenHBand="0" w:firstRowFirstColumn="0" w:firstRowLastColumn="0" w:lastRowFirstColumn="0" w:lastRowLastColumn="0"/>
            </w:pPr>
            <w:r w:rsidRPr="006C7B74">
              <w:t>Whitehorse =</w:t>
            </w:r>
            <w:r w:rsidRPr="006C7B74">
              <w:rPr>
                <w:sz w:val="28"/>
                <w:szCs w:val="28"/>
              </w:rPr>
              <w:t xml:space="preserve"> +</w:t>
            </w:r>
            <w:r w:rsidRPr="006C7B74">
              <w:t xml:space="preserve"> </w:t>
            </w:r>
            <w:r w:rsidRPr="006C7B74">
              <w:rPr>
                <w:sz w:val="28"/>
              </w:rPr>
              <w:t>8,700</w:t>
            </w:r>
          </w:p>
          <w:p w14:paraId="631308B2" w14:textId="77777777" w:rsidR="0085099E" w:rsidRPr="006C7B74" w:rsidRDefault="0085099E" w:rsidP="00F92F06">
            <w:pPr>
              <w:pStyle w:val="BodyText"/>
              <w:jc w:val="left"/>
              <w:cnfStyle w:val="100000000000" w:firstRow="1" w:lastRow="0" w:firstColumn="0" w:lastColumn="0" w:oddVBand="0" w:evenVBand="0" w:oddHBand="0" w:evenHBand="0" w:firstRowFirstColumn="0" w:firstRowLastColumn="0" w:lastRowFirstColumn="0" w:lastRowLastColumn="0"/>
            </w:pPr>
            <w:r w:rsidRPr="006C7B74">
              <w:t>Yarra Ranges =</w:t>
            </w:r>
            <w:r w:rsidRPr="006C7B74">
              <w:rPr>
                <w:sz w:val="28"/>
                <w:szCs w:val="28"/>
              </w:rPr>
              <w:t xml:space="preserve"> +</w:t>
            </w:r>
            <w:r w:rsidRPr="006C7B74">
              <w:t xml:space="preserve"> </w:t>
            </w:r>
            <w:r w:rsidRPr="006C7B74">
              <w:rPr>
                <w:sz w:val="28"/>
              </w:rPr>
              <w:t xml:space="preserve">3,600 </w:t>
            </w:r>
          </w:p>
        </w:tc>
        <w:tc>
          <w:tcPr>
            <w:tcW w:w="3000" w:type="dxa"/>
            <w:shd w:val="clear" w:color="auto" w:fill="auto"/>
            <w:vAlign w:val="top"/>
          </w:tcPr>
          <w:p w14:paraId="6C417ADD" w14:textId="77777777" w:rsidR="0085099E" w:rsidRPr="006C7B74" w:rsidRDefault="0085099E" w:rsidP="00F92F06">
            <w:pPr>
              <w:pStyle w:val="BodyText"/>
              <w:jc w:val="left"/>
              <w:cnfStyle w:val="100000000000" w:firstRow="1" w:lastRow="0" w:firstColumn="0" w:lastColumn="0" w:oddVBand="0" w:evenVBand="0" w:oddHBand="0" w:evenHBand="0" w:firstRowFirstColumn="0" w:firstRowLastColumn="0" w:lastRowFirstColumn="0" w:lastRowLastColumn="0"/>
            </w:pPr>
            <w:r w:rsidRPr="006C7B74">
              <w:t>ECONOMY</w:t>
            </w:r>
          </w:p>
          <w:p w14:paraId="27136733" w14:textId="77777777" w:rsidR="0085099E" w:rsidRPr="006C7B74" w:rsidRDefault="0085099E" w:rsidP="00F92F06">
            <w:pPr>
              <w:pStyle w:val="BodyText"/>
              <w:jc w:val="left"/>
              <w:cnfStyle w:val="100000000000" w:firstRow="1" w:lastRow="0" w:firstColumn="0" w:lastColumn="0" w:oddVBand="0" w:evenVBand="0" w:oddHBand="0" w:evenHBand="0" w:firstRowFirstColumn="0" w:firstRowLastColumn="0" w:lastRowFirstColumn="0" w:lastRowLastColumn="0"/>
            </w:pPr>
            <w:r w:rsidRPr="006C7B74">
              <w:t>GRP for the region</w:t>
            </w:r>
          </w:p>
          <w:p w14:paraId="59214AD8" w14:textId="77777777" w:rsidR="003220F9" w:rsidRPr="006C7B74" w:rsidRDefault="0085099E" w:rsidP="00F92F06">
            <w:pPr>
              <w:pStyle w:val="BodyText"/>
              <w:jc w:val="left"/>
              <w:cnfStyle w:val="100000000000" w:firstRow="1" w:lastRow="0" w:firstColumn="0" w:lastColumn="0" w:oddVBand="0" w:evenVBand="0" w:oddHBand="0" w:evenHBand="0" w:firstRowFirstColumn="0" w:firstRowLastColumn="0" w:lastRowFirstColumn="0" w:lastRowLastColumn="0"/>
              <w:rPr>
                <w:b w:val="0"/>
                <w:sz w:val="44"/>
                <w:szCs w:val="44"/>
              </w:rPr>
            </w:pPr>
            <w:r w:rsidRPr="006C7B74">
              <w:rPr>
                <w:sz w:val="44"/>
                <w:szCs w:val="44"/>
              </w:rPr>
              <w:t>$52 billion</w:t>
            </w:r>
          </w:p>
          <w:p w14:paraId="365FE741" w14:textId="77777777" w:rsidR="003220F9" w:rsidRPr="006C7B74" w:rsidRDefault="0085099E" w:rsidP="00F92F06">
            <w:pPr>
              <w:pStyle w:val="BodyText"/>
              <w:jc w:val="left"/>
              <w:cnfStyle w:val="100000000000" w:firstRow="1" w:lastRow="0" w:firstColumn="0" w:lastColumn="0" w:oddVBand="0" w:evenVBand="0" w:oddHBand="0" w:evenHBand="0" w:firstRowFirstColumn="0" w:firstRowLastColumn="0" w:lastRowFirstColumn="0" w:lastRowLastColumn="0"/>
              <w:rPr>
                <w:b w:val="0"/>
              </w:rPr>
            </w:pPr>
            <w:r w:rsidRPr="006C7B74">
              <w:t>Share of metropolitan Melbourne’s total GRP</w:t>
            </w:r>
          </w:p>
          <w:p w14:paraId="49943785" w14:textId="77777777" w:rsidR="003220F9" w:rsidRPr="006C7B74" w:rsidRDefault="0085099E" w:rsidP="00F92F06">
            <w:pPr>
              <w:pStyle w:val="BodyText"/>
              <w:jc w:val="left"/>
              <w:cnfStyle w:val="100000000000" w:firstRow="1" w:lastRow="0" w:firstColumn="0" w:lastColumn="0" w:oddVBand="0" w:evenVBand="0" w:oddHBand="0" w:evenHBand="0" w:firstRowFirstColumn="0" w:firstRowLastColumn="0" w:lastRowFirstColumn="0" w:lastRowLastColumn="0"/>
              <w:rPr>
                <w:b w:val="0"/>
                <w:sz w:val="44"/>
                <w:szCs w:val="44"/>
              </w:rPr>
            </w:pPr>
            <w:r w:rsidRPr="006C7B74">
              <w:rPr>
                <w:sz w:val="44"/>
                <w:szCs w:val="44"/>
              </w:rPr>
              <w:t>16%</w:t>
            </w:r>
          </w:p>
          <w:p w14:paraId="7F68C434" w14:textId="260FDCBE" w:rsidR="0085099E" w:rsidRPr="006C7B74" w:rsidRDefault="0085099E" w:rsidP="00F92F06">
            <w:pPr>
              <w:pStyle w:val="BodyText"/>
              <w:jc w:val="left"/>
              <w:cnfStyle w:val="100000000000" w:firstRow="1" w:lastRow="0" w:firstColumn="0" w:lastColumn="0" w:oddVBand="0" w:evenVBand="0" w:oddHBand="0" w:evenHBand="0" w:firstRowFirstColumn="0" w:firstRowLastColumn="0" w:lastRowFirstColumn="0" w:lastRowLastColumn="0"/>
              <w:rPr>
                <w:sz w:val="44"/>
                <w:szCs w:val="44"/>
              </w:rPr>
            </w:pPr>
            <w:r w:rsidRPr="006C7B74">
              <w:t>Knox =</w:t>
            </w:r>
            <w:r w:rsidRPr="006C7B74">
              <w:rPr>
                <w:sz w:val="28"/>
                <w:szCs w:val="28"/>
              </w:rPr>
              <w:t xml:space="preserve"> $ </w:t>
            </w:r>
            <w:r w:rsidRPr="006C7B74">
              <w:rPr>
                <w:sz w:val="28"/>
              </w:rPr>
              <w:t xml:space="preserve">8.8 </w:t>
            </w:r>
            <w:r w:rsidRPr="006C7B74">
              <w:rPr>
                <w:sz w:val="28"/>
                <w:szCs w:val="28"/>
              </w:rPr>
              <w:t>billon</w:t>
            </w:r>
          </w:p>
          <w:p w14:paraId="713BF87F" w14:textId="77777777" w:rsidR="0085099E" w:rsidRPr="006C7B74" w:rsidRDefault="0085099E" w:rsidP="00F92F06">
            <w:pPr>
              <w:pStyle w:val="BodyText"/>
              <w:jc w:val="left"/>
              <w:cnfStyle w:val="100000000000" w:firstRow="1" w:lastRow="0" w:firstColumn="0" w:lastColumn="0" w:oddVBand="0" w:evenVBand="0" w:oddHBand="0" w:evenHBand="0" w:firstRowFirstColumn="0" w:firstRowLastColumn="0" w:lastRowFirstColumn="0" w:lastRowLastColumn="0"/>
            </w:pPr>
            <w:r w:rsidRPr="006C7B74">
              <w:t>Manningham =</w:t>
            </w:r>
            <w:r w:rsidRPr="006C7B74">
              <w:rPr>
                <w:sz w:val="28"/>
                <w:szCs w:val="28"/>
              </w:rPr>
              <w:t xml:space="preserve"> $</w:t>
            </w:r>
            <w:r w:rsidRPr="006C7B74">
              <w:rPr>
                <w:sz w:val="28"/>
              </w:rPr>
              <w:t xml:space="preserve">4.8 </w:t>
            </w:r>
            <w:r w:rsidRPr="006C7B74">
              <w:rPr>
                <w:sz w:val="28"/>
                <w:szCs w:val="28"/>
              </w:rPr>
              <w:t>billon</w:t>
            </w:r>
          </w:p>
          <w:p w14:paraId="24B918D9" w14:textId="77777777" w:rsidR="0085099E" w:rsidRPr="006C7B74" w:rsidRDefault="0085099E" w:rsidP="00F92F06">
            <w:pPr>
              <w:pStyle w:val="BodyText"/>
              <w:jc w:val="left"/>
              <w:cnfStyle w:val="100000000000" w:firstRow="1" w:lastRow="0" w:firstColumn="0" w:lastColumn="0" w:oddVBand="0" w:evenVBand="0" w:oddHBand="0" w:evenHBand="0" w:firstRowFirstColumn="0" w:firstRowLastColumn="0" w:lastRowFirstColumn="0" w:lastRowLastColumn="0"/>
            </w:pPr>
            <w:r w:rsidRPr="006C7B74">
              <w:t>Maroondah =</w:t>
            </w:r>
            <w:r w:rsidRPr="006C7B74">
              <w:rPr>
                <w:sz w:val="28"/>
                <w:szCs w:val="28"/>
              </w:rPr>
              <w:t xml:space="preserve"> $</w:t>
            </w:r>
            <w:r w:rsidRPr="006C7B74">
              <w:rPr>
                <w:sz w:val="28"/>
              </w:rPr>
              <w:t xml:space="preserve">5.5 </w:t>
            </w:r>
            <w:r w:rsidRPr="006C7B74">
              <w:rPr>
                <w:sz w:val="28"/>
                <w:szCs w:val="28"/>
              </w:rPr>
              <w:t>billon</w:t>
            </w:r>
          </w:p>
          <w:p w14:paraId="6BFB0848" w14:textId="77777777" w:rsidR="0085099E" w:rsidRPr="006C7B74" w:rsidRDefault="0085099E" w:rsidP="00F92F06">
            <w:pPr>
              <w:pStyle w:val="BodyText"/>
              <w:jc w:val="left"/>
              <w:cnfStyle w:val="100000000000" w:firstRow="1" w:lastRow="0" w:firstColumn="0" w:lastColumn="0" w:oddVBand="0" w:evenVBand="0" w:oddHBand="0" w:evenHBand="0" w:firstRowFirstColumn="0" w:firstRowLastColumn="0" w:lastRowFirstColumn="0" w:lastRowLastColumn="0"/>
            </w:pPr>
            <w:r w:rsidRPr="006C7B74">
              <w:t>Monash =</w:t>
            </w:r>
            <w:r w:rsidRPr="006C7B74">
              <w:rPr>
                <w:sz w:val="28"/>
                <w:szCs w:val="28"/>
              </w:rPr>
              <w:t xml:space="preserve"> $</w:t>
            </w:r>
            <w:r w:rsidRPr="006C7B74">
              <w:rPr>
                <w:sz w:val="28"/>
              </w:rPr>
              <w:t xml:space="preserve">16.7 </w:t>
            </w:r>
            <w:r w:rsidRPr="006C7B74">
              <w:rPr>
                <w:sz w:val="28"/>
                <w:szCs w:val="28"/>
              </w:rPr>
              <w:t>billon</w:t>
            </w:r>
          </w:p>
          <w:p w14:paraId="1879AEFD" w14:textId="77777777" w:rsidR="0085099E" w:rsidRPr="006C7B74" w:rsidRDefault="0085099E" w:rsidP="00F92F06">
            <w:pPr>
              <w:pStyle w:val="BodyText"/>
              <w:jc w:val="left"/>
              <w:cnfStyle w:val="100000000000" w:firstRow="1" w:lastRow="0" w:firstColumn="0" w:lastColumn="0" w:oddVBand="0" w:evenVBand="0" w:oddHBand="0" w:evenHBand="0" w:firstRowFirstColumn="0" w:firstRowLastColumn="0" w:lastRowFirstColumn="0" w:lastRowLastColumn="0"/>
            </w:pPr>
            <w:r w:rsidRPr="006C7B74">
              <w:t>Whitehorse =</w:t>
            </w:r>
            <w:r w:rsidRPr="006C7B74">
              <w:rPr>
                <w:sz w:val="28"/>
                <w:szCs w:val="28"/>
              </w:rPr>
              <w:t xml:space="preserve"> $</w:t>
            </w:r>
            <w:r w:rsidRPr="006C7B74">
              <w:rPr>
                <w:sz w:val="28"/>
              </w:rPr>
              <w:t xml:space="preserve">11.0 </w:t>
            </w:r>
            <w:r w:rsidRPr="006C7B74">
              <w:rPr>
                <w:sz w:val="28"/>
                <w:szCs w:val="28"/>
              </w:rPr>
              <w:t>billon</w:t>
            </w:r>
          </w:p>
          <w:p w14:paraId="0F3AEB11" w14:textId="77777777" w:rsidR="0085099E" w:rsidRPr="006C7B74" w:rsidRDefault="0085099E" w:rsidP="00F92F06">
            <w:pPr>
              <w:pStyle w:val="BodyText"/>
              <w:jc w:val="left"/>
              <w:cnfStyle w:val="100000000000" w:firstRow="1" w:lastRow="0" w:firstColumn="0" w:lastColumn="0" w:oddVBand="0" w:evenVBand="0" w:oddHBand="0" w:evenHBand="0" w:firstRowFirstColumn="0" w:firstRowLastColumn="0" w:lastRowFirstColumn="0" w:lastRowLastColumn="0"/>
            </w:pPr>
            <w:r w:rsidRPr="006C7B74">
              <w:t>Yarra Ranges =</w:t>
            </w:r>
            <w:r w:rsidRPr="006C7B74">
              <w:rPr>
                <w:sz w:val="28"/>
                <w:szCs w:val="28"/>
              </w:rPr>
              <w:t xml:space="preserve"> $</w:t>
            </w:r>
            <w:r w:rsidRPr="006C7B74">
              <w:rPr>
                <w:sz w:val="28"/>
              </w:rPr>
              <w:t xml:space="preserve">5.2 </w:t>
            </w:r>
            <w:r w:rsidRPr="006C7B74">
              <w:rPr>
                <w:sz w:val="28"/>
                <w:szCs w:val="28"/>
              </w:rPr>
              <w:t>billon</w:t>
            </w:r>
          </w:p>
        </w:tc>
      </w:tr>
    </w:tbl>
    <w:p w14:paraId="46FE22F8" w14:textId="67E5567A" w:rsidR="006E0A5C" w:rsidRPr="006C7B74" w:rsidRDefault="00DC580D" w:rsidP="00DC580D">
      <w:pPr>
        <w:pStyle w:val="Quote"/>
        <w:rPr>
          <w:rFonts w:eastAsiaTheme="majorEastAsia" w:cstheme="majorBidi"/>
          <w:b/>
          <w:sz w:val="20"/>
        </w:rPr>
      </w:pPr>
      <w:r w:rsidRPr="006C7B74">
        <w:t>Source:</w:t>
      </w:r>
      <w:r w:rsidR="007C154C" w:rsidRPr="006C7B74">
        <w:t xml:space="preserve"> </w:t>
      </w:r>
      <w:r w:rsidRPr="006C7B74">
        <w:t>Department of Environment, Land, Water and Planning, unpublished data (2019)</w:t>
      </w:r>
      <w:r w:rsidR="006E0A5C" w:rsidRPr="006C7B74">
        <w:br w:type="page"/>
      </w:r>
    </w:p>
    <w:p w14:paraId="43EF97B0" w14:textId="26EEA905" w:rsidR="00732BE8" w:rsidRPr="006C7B74" w:rsidRDefault="00732BE8" w:rsidP="00C802F6">
      <w:pPr>
        <w:pStyle w:val="Heading5"/>
      </w:pPr>
      <w:r w:rsidRPr="006C7B74">
        <w:lastRenderedPageBreak/>
        <w:t xml:space="preserve">Figure </w:t>
      </w:r>
      <w:r w:rsidR="008E3767" w:rsidRPr="006C7B74">
        <w:t>2</w:t>
      </w:r>
      <w:r w:rsidR="00DC23D3" w:rsidRPr="006C7B74">
        <w:t>3</w:t>
      </w:r>
      <w:r w:rsidRPr="006C7B74">
        <w:t>: Projected population growth, Eastern Region, 2016</w:t>
      </w:r>
      <w:r w:rsidR="007C1902" w:rsidRPr="006C7B74">
        <w:t xml:space="preserve"> </w:t>
      </w:r>
      <w:r w:rsidR="00305798" w:rsidRPr="006C7B74">
        <w:t>to</w:t>
      </w:r>
      <w:r w:rsidR="007C1902" w:rsidRPr="006C7B74">
        <w:t xml:space="preserve"> 2031</w:t>
      </w:r>
    </w:p>
    <w:p w14:paraId="599B1D2B" w14:textId="6D552F0F" w:rsidR="00732BE8" w:rsidRPr="006C7B74" w:rsidRDefault="008A2278" w:rsidP="007031A9">
      <w:pPr>
        <w:spacing w:after="120"/>
        <w:jc w:val="center"/>
        <w:rPr>
          <w:rFonts w:cstheme="minorHAnsi"/>
          <w:sz w:val="20"/>
          <w:szCs w:val="20"/>
        </w:rPr>
      </w:pPr>
      <w:r w:rsidRPr="006C7B74">
        <w:rPr>
          <w:noProof/>
        </w:rPr>
        <w:drawing>
          <wp:inline distT="0" distB="0" distL="0" distR="0" wp14:anchorId="77FB3F04" wp14:editId="5036C8D1">
            <wp:extent cx="5572781" cy="2117912"/>
            <wp:effectExtent l="0" t="0" r="0" b="0"/>
            <wp:docPr id="38" name="Chart 38" descr="Bar graph - Projected population growth, Eastern Region, 2016 to 2031">
              <a:extLst xmlns:a="http://schemas.openxmlformats.org/drawingml/2006/main">
                <a:ext uri="{FF2B5EF4-FFF2-40B4-BE49-F238E27FC236}">
                  <a16:creationId xmlns:a16="http://schemas.microsoft.com/office/drawing/2014/main" id="{196CEAE6-943D-4620-AF1A-4AEE1108DC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64DDF8B" w14:textId="2F75E72A" w:rsidR="00A76661" w:rsidRPr="006C7B74" w:rsidRDefault="00E20AA5" w:rsidP="00934C4D">
      <w:pPr>
        <w:spacing w:after="120"/>
        <w:rPr>
          <w:rFonts w:cstheme="minorHAnsi"/>
          <w:sz w:val="20"/>
          <w:szCs w:val="20"/>
        </w:rPr>
      </w:pPr>
      <w:r w:rsidRPr="006C7B74">
        <w:rPr>
          <w:i/>
          <w:iCs/>
          <w:color w:val="404040" w:themeColor="text1" w:themeTint="BF"/>
          <w:sz w:val="18"/>
        </w:rPr>
        <w:t>Source: Department of Environment, Land, Water and Planning, Victoria in Future 2019</w:t>
      </w:r>
      <w:r w:rsidR="006372AC" w:rsidRPr="006C7B74">
        <w:rPr>
          <w:i/>
          <w:iCs/>
          <w:color w:val="404040" w:themeColor="text1" w:themeTint="BF"/>
          <w:sz w:val="18"/>
        </w:rPr>
        <w:t xml:space="preserve"> (</w:t>
      </w:r>
      <w:r w:rsidRPr="006C7B74">
        <w:rPr>
          <w:i/>
          <w:iCs/>
          <w:color w:val="404040" w:themeColor="text1" w:themeTint="BF"/>
          <w:sz w:val="18"/>
        </w:rPr>
        <w:t>July 2019</w:t>
      </w:r>
      <w:r w:rsidR="006372AC" w:rsidRPr="006C7B74">
        <w:rPr>
          <w:i/>
          <w:iCs/>
          <w:color w:val="404040" w:themeColor="text1" w:themeTint="BF"/>
          <w:sz w:val="18"/>
        </w:rPr>
        <w:t>)</w:t>
      </w:r>
      <w:r w:rsidRPr="006C7B74">
        <w:rPr>
          <w:i/>
          <w:iCs/>
          <w:color w:val="404040" w:themeColor="text1" w:themeTint="BF"/>
          <w:sz w:val="18"/>
        </w:rPr>
        <w:t>.</w:t>
      </w:r>
    </w:p>
    <w:p w14:paraId="6C6B930A" w14:textId="77777777" w:rsidR="00D36156" w:rsidRPr="006C7B74" w:rsidRDefault="00D36156" w:rsidP="00D36156">
      <w:pPr>
        <w:spacing w:after="120"/>
        <w:rPr>
          <w:rFonts w:cstheme="minorHAnsi"/>
          <w:sz w:val="20"/>
          <w:szCs w:val="20"/>
        </w:rPr>
      </w:pPr>
      <w:r w:rsidRPr="006C7B74">
        <w:rPr>
          <w:rFonts w:cstheme="minorHAnsi"/>
          <w:sz w:val="20"/>
          <w:szCs w:val="20"/>
        </w:rPr>
        <w:t xml:space="preserve">The region was home to around 915,200 people in 2016. By 2031 it is projected that the region will grow by around 164,600 people to a total population of around 1.1 million people. </w:t>
      </w:r>
    </w:p>
    <w:p w14:paraId="0115A937" w14:textId="67585E5C" w:rsidR="00562847" w:rsidRPr="006C7B74" w:rsidRDefault="000E6615" w:rsidP="00934C4D">
      <w:pPr>
        <w:spacing w:after="120"/>
        <w:rPr>
          <w:rFonts w:cstheme="minorHAnsi"/>
          <w:sz w:val="20"/>
          <w:szCs w:val="20"/>
        </w:rPr>
      </w:pPr>
      <w:r w:rsidRPr="006C7B74">
        <w:rPr>
          <w:rFonts w:cstheme="minorHAnsi"/>
          <w:sz w:val="20"/>
          <w:szCs w:val="20"/>
        </w:rPr>
        <w:t>In 2016 t</w:t>
      </w:r>
      <w:r w:rsidR="00732BE8" w:rsidRPr="006C7B74">
        <w:rPr>
          <w:rFonts w:cstheme="minorHAnsi"/>
          <w:sz w:val="20"/>
          <w:szCs w:val="20"/>
        </w:rPr>
        <w:t>he region</w:t>
      </w:r>
      <w:r w:rsidR="00B5717F" w:rsidRPr="006C7B74">
        <w:rPr>
          <w:rFonts w:cstheme="minorHAnsi"/>
          <w:sz w:val="20"/>
          <w:szCs w:val="20"/>
        </w:rPr>
        <w:t xml:space="preserve"> </w:t>
      </w:r>
      <w:r w:rsidRPr="006C7B74">
        <w:rPr>
          <w:rFonts w:cstheme="minorHAnsi"/>
          <w:sz w:val="20"/>
          <w:szCs w:val="20"/>
        </w:rPr>
        <w:t>supported</w:t>
      </w:r>
      <w:r w:rsidR="00732BE8" w:rsidRPr="006C7B74">
        <w:rPr>
          <w:rFonts w:cstheme="minorHAnsi"/>
          <w:sz w:val="20"/>
          <w:szCs w:val="20"/>
        </w:rPr>
        <w:t xml:space="preserve"> just over 3</w:t>
      </w:r>
      <w:r w:rsidR="00C433DE" w:rsidRPr="006C7B74">
        <w:rPr>
          <w:rFonts w:cstheme="minorHAnsi"/>
          <w:sz w:val="20"/>
          <w:szCs w:val="20"/>
        </w:rPr>
        <w:t>96</w:t>
      </w:r>
      <w:r w:rsidR="00732BE8" w:rsidRPr="006C7B74">
        <w:rPr>
          <w:rFonts w:cstheme="minorHAnsi"/>
          <w:sz w:val="20"/>
          <w:szCs w:val="20"/>
        </w:rPr>
        <w:t>,</w:t>
      </w:r>
      <w:r w:rsidR="00C433DE" w:rsidRPr="006C7B74">
        <w:rPr>
          <w:rFonts w:cstheme="minorHAnsi"/>
          <w:sz w:val="20"/>
          <w:szCs w:val="20"/>
        </w:rPr>
        <w:t>000</w:t>
      </w:r>
      <w:r w:rsidR="00732BE8" w:rsidRPr="006C7B74">
        <w:rPr>
          <w:rFonts w:cstheme="minorHAnsi"/>
          <w:sz w:val="20"/>
          <w:szCs w:val="20"/>
        </w:rPr>
        <w:t xml:space="preserve"> jobs, accounting for around 17 per cent of all employment across the metropolitan area. </w:t>
      </w:r>
    </w:p>
    <w:p w14:paraId="082F9AC3" w14:textId="208ED35B" w:rsidR="00732BE8" w:rsidRPr="006C7B74" w:rsidRDefault="00184F94" w:rsidP="00934C4D">
      <w:pPr>
        <w:spacing w:after="120"/>
        <w:rPr>
          <w:rFonts w:cstheme="minorHAnsi"/>
          <w:sz w:val="20"/>
          <w:szCs w:val="20"/>
        </w:rPr>
      </w:pPr>
      <w:r w:rsidRPr="006C7B74">
        <w:rPr>
          <w:rFonts w:cstheme="minorHAnsi"/>
          <w:sz w:val="20"/>
          <w:szCs w:val="20"/>
        </w:rPr>
        <w:t xml:space="preserve">By 2031 it is </w:t>
      </w:r>
      <w:r>
        <w:rPr>
          <w:rFonts w:cstheme="minorHAnsi"/>
          <w:sz w:val="20"/>
          <w:szCs w:val="20"/>
        </w:rPr>
        <w:t xml:space="preserve">projected </w:t>
      </w:r>
      <w:r w:rsidRPr="006C7B74">
        <w:rPr>
          <w:rFonts w:cstheme="minorHAnsi"/>
          <w:sz w:val="20"/>
          <w:szCs w:val="20"/>
        </w:rPr>
        <w:t xml:space="preserve">that approximately </w:t>
      </w:r>
      <w:r>
        <w:rPr>
          <w:rFonts w:cstheme="minorHAnsi"/>
          <w:sz w:val="20"/>
          <w:szCs w:val="20"/>
        </w:rPr>
        <w:t>87,000</w:t>
      </w:r>
      <w:r w:rsidRPr="006C7B74">
        <w:rPr>
          <w:rFonts w:cstheme="minorHAnsi"/>
          <w:sz w:val="20"/>
          <w:szCs w:val="20"/>
        </w:rPr>
        <w:t xml:space="preserve"> additional jobs will be </w:t>
      </w:r>
      <w:r>
        <w:rPr>
          <w:rFonts w:cstheme="minorHAnsi"/>
          <w:sz w:val="20"/>
          <w:szCs w:val="20"/>
        </w:rPr>
        <w:t>located</w:t>
      </w:r>
      <w:r w:rsidRPr="006C7B74">
        <w:rPr>
          <w:rFonts w:cstheme="minorHAnsi"/>
          <w:sz w:val="20"/>
          <w:szCs w:val="20"/>
        </w:rPr>
        <w:t xml:space="preserve"> across the region.</w:t>
      </w:r>
      <w:r w:rsidR="00732BE8" w:rsidRPr="006C7B74">
        <w:rPr>
          <w:rFonts w:cstheme="minorHAnsi"/>
          <w:sz w:val="20"/>
          <w:szCs w:val="20"/>
        </w:rPr>
        <w:t xml:space="preserve"> </w:t>
      </w:r>
      <w:r w:rsidR="000E6615" w:rsidRPr="006C7B74">
        <w:rPr>
          <w:rFonts w:cstheme="minorHAnsi"/>
          <w:sz w:val="20"/>
          <w:szCs w:val="20"/>
        </w:rPr>
        <w:t>Almost 60 per cent of the new jobs in the region are expected to be within t</w:t>
      </w:r>
      <w:r w:rsidR="00732BE8" w:rsidRPr="006C7B74">
        <w:rPr>
          <w:rFonts w:cstheme="minorHAnsi"/>
          <w:sz w:val="20"/>
          <w:szCs w:val="20"/>
        </w:rPr>
        <w:t xml:space="preserve">he municipalities </w:t>
      </w:r>
      <w:r w:rsidR="000E6615" w:rsidRPr="006C7B74">
        <w:rPr>
          <w:rFonts w:cstheme="minorHAnsi"/>
          <w:sz w:val="20"/>
          <w:szCs w:val="20"/>
        </w:rPr>
        <w:t>of</w:t>
      </w:r>
      <w:r w:rsidR="00732BE8" w:rsidRPr="006C7B74">
        <w:rPr>
          <w:rFonts w:cstheme="minorHAnsi"/>
          <w:sz w:val="20"/>
          <w:szCs w:val="20"/>
        </w:rPr>
        <w:t xml:space="preserve"> Monash and Whitehorse. </w:t>
      </w:r>
    </w:p>
    <w:p w14:paraId="20D155B6" w14:textId="223A3E0B" w:rsidR="00732BE8" w:rsidRPr="006C7B74" w:rsidRDefault="00732BE8" w:rsidP="00934C4D">
      <w:pPr>
        <w:spacing w:after="120"/>
        <w:rPr>
          <w:rFonts w:cstheme="minorHAnsi"/>
          <w:sz w:val="20"/>
          <w:szCs w:val="20"/>
        </w:rPr>
      </w:pPr>
      <w:r w:rsidRPr="006C7B74">
        <w:rPr>
          <w:rFonts w:cstheme="minorHAnsi"/>
          <w:sz w:val="20"/>
          <w:szCs w:val="20"/>
        </w:rPr>
        <w:t xml:space="preserve">The industries that </w:t>
      </w:r>
      <w:r w:rsidR="000E6615" w:rsidRPr="006C7B74">
        <w:rPr>
          <w:rFonts w:cstheme="minorHAnsi"/>
          <w:sz w:val="20"/>
          <w:szCs w:val="20"/>
        </w:rPr>
        <w:t xml:space="preserve">are expected to </w:t>
      </w:r>
      <w:r w:rsidRPr="006C7B74">
        <w:rPr>
          <w:rFonts w:cstheme="minorHAnsi"/>
          <w:sz w:val="20"/>
          <w:szCs w:val="20"/>
        </w:rPr>
        <w:t>experience the strongest growth are</w:t>
      </w:r>
      <w:r w:rsidR="000E6615" w:rsidRPr="006C7B74">
        <w:rPr>
          <w:rFonts w:cstheme="minorHAnsi"/>
          <w:sz w:val="20"/>
          <w:szCs w:val="20"/>
        </w:rPr>
        <w:t>:</w:t>
      </w:r>
      <w:r w:rsidRPr="006C7B74">
        <w:rPr>
          <w:rFonts w:cstheme="minorHAnsi"/>
          <w:sz w:val="20"/>
          <w:szCs w:val="20"/>
        </w:rPr>
        <w:t xml:space="preserve"> </w:t>
      </w:r>
      <w:r w:rsidR="004C066C" w:rsidRPr="006C7B74">
        <w:rPr>
          <w:rFonts w:cstheme="minorHAnsi"/>
          <w:sz w:val="20"/>
          <w:szCs w:val="20"/>
        </w:rPr>
        <w:t xml:space="preserve">health care and social assistance; education and training; </w:t>
      </w:r>
      <w:r w:rsidR="007954C8" w:rsidRPr="006C7B74">
        <w:rPr>
          <w:rFonts w:cstheme="minorHAnsi"/>
          <w:sz w:val="20"/>
          <w:szCs w:val="20"/>
        </w:rPr>
        <w:t xml:space="preserve">retail trade; </w:t>
      </w:r>
      <w:r w:rsidR="004C066C" w:rsidRPr="006C7B74">
        <w:rPr>
          <w:rFonts w:cstheme="minorHAnsi"/>
          <w:sz w:val="20"/>
          <w:szCs w:val="20"/>
        </w:rPr>
        <w:t xml:space="preserve">professional, scientific and technical services; </w:t>
      </w:r>
      <w:r w:rsidR="007954C8" w:rsidRPr="006C7B74">
        <w:rPr>
          <w:rFonts w:cstheme="minorHAnsi"/>
          <w:sz w:val="20"/>
          <w:szCs w:val="20"/>
        </w:rPr>
        <w:t>construction</w:t>
      </w:r>
      <w:r w:rsidR="004C066C" w:rsidRPr="006C7B74">
        <w:rPr>
          <w:rFonts w:cstheme="minorHAnsi"/>
          <w:sz w:val="20"/>
          <w:szCs w:val="20"/>
        </w:rPr>
        <w:t>.</w:t>
      </w:r>
    </w:p>
    <w:p w14:paraId="520BA5FA" w14:textId="2F6AFA86" w:rsidR="00732BE8" w:rsidRPr="006C7B74" w:rsidRDefault="00DB3C3D" w:rsidP="00C802F6">
      <w:pPr>
        <w:pStyle w:val="Heading5"/>
      </w:pPr>
      <w:r w:rsidRPr="006C7B74">
        <w:t>F</w:t>
      </w:r>
      <w:r w:rsidR="00732BE8" w:rsidRPr="006C7B74">
        <w:t xml:space="preserve">igure </w:t>
      </w:r>
      <w:r w:rsidR="008E3767" w:rsidRPr="006C7B74">
        <w:t>2</w:t>
      </w:r>
      <w:r w:rsidR="00DC23D3" w:rsidRPr="006C7B74">
        <w:t>4</w:t>
      </w:r>
      <w:r w:rsidR="00732BE8" w:rsidRPr="006C7B74">
        <w:t>: Projected employment growth, Eastern Region, 2016 to 2031</w:t>
      </w:r>
    </w:p>
    <w:p w14:paraId="1425D7DA" w14:textId="287FDB64" w:rsidR="00762895" w:rsidRPr="00762895" w:rsidRDefault="000C1AB7" w:rsidP="00762895">
      <w:pPr>
        <w:pStyle w:val="Quote"/>
      </w:pPr>
      <w:r w:rsidRPr="006C7B74">
        <w:rPr>
          <w:noProof/>
        </w:rPr>
        <w:drawing>
          <wp:inline distT="0" distB="0" distL="0" distR="0" wp14:anchorId="545865E0" wp14:editId="4F92A15F">
            <wp:extent cx="5727700" cy="4049395"/>
            <wp:effectExtent l="0" t="0" r="0" b="0"/>
            <wp:docPr id="10" name="Picture 10" descr="Graphic showing: &#10;Manningham +9K jobs, 1.8%pa growth&#10;Whitehorse +24K jobs, 20%pa growth&#10;Monash +27K jobs, 1.5% growth&#10;Yarra Ranges +7K jobs, 1.1%pa growth&#10;Moroondah +9K jobs, 1.2%pa growth&#10;Knox +11K jobs, 1.0%pa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rojected employment growth map_2020 update-04.png"/>
                    <pic:cNvPicPr/>
                  </pic:nvPicPr>
                  <pic:blipFill>
                    <a:blip r:embed="rId50"/>
                    <a:stretch>
                      <a:fillRect/>
                    </a:stretch>
                  </pic:blipFill>
                  <pic:spPr>
                    <a:xfrm>
                      <a:off x="0" y="0"/>
                      <a:ext cx="5727700" cy="4049395"/>
                    </a:xfrm>
                    <a:prstGeom prst="rect">
                      <a:avLst/>
                    </a:prstGeom>
                  </pic:spPr>
                </pic:pic>
              </a:graphicData>
            </a:graphic>
          </wp:inline>
        </w:drawing>
      </w:r>
      <w:r w:rsidR="009C4B5F" w:rsidRPr="006C7B74">
        <w:t xml:space="preserve"> </w:t>
      </w:r>
      <w:r w:rsidR="00732BE8" w:rsidRPr="006C7B74">
        <w:t>Source: Department of Jobs, Precincts and Regions, internal analysis (201</w:t>
      </w:r>
      <w:r w:rsidRPr="006C7B74">
        <w:t>9</w:t>
      </w:r>
      <w:r w:rsidR="00732BE8" w:rsidRPr="006C7B74">
        <w:t>).</w:t>
      </w:r>
    </w:p>
    <w:p w14:paraId="02859A37" w14:textId="77777777" w:rsidR="00944BE6" w:rsidRPr="006C7B74" w:rsidRDefault="00944BE6" w:rsidP="006542F0">
      <w:pPr>
        <w:pStyle w:val="BodyText"/>
      </w:pPr>
      <w:r>
        <w:t xml:space="preserve">NOTE: Job </w:t>
      </w:r>
      <w:r w:rsidRPr="00C77EF1">
        <w:t xml:space="preserve">figures </w:t>
      </w:r>
      <w:r>
        <w:t xml:space="preserve">have been </w:t>
      </w:r>
      <w:r w:rsidRPr="00C77EF1">
        <w:t>rounded to the nearest thou</w:t>
      </w:r>
      <w:r>
        <w:t>s</w:t>
      </w:r>
      <w:r w:rsidRPr="00C77EF1">
        <w:t>and.</w:t>
      </w:r>
    </w:p>
    <w:p w14:paraId="1BA02D1F" w14:textId="77777777" w:rsidR="00DB3C3D" w:rsidRPr="006C7B74" w:rsidRDefault="00DB3C3D" w:rsidP="00934C4D">
      <w:pPr>
        <w:spacing w:after="120"/>
        <w:rPr>
          <w:rFonts w:cstheme="minorHAnsi"/>
        </w:rPr>
      </w:pPr>
    </w:p>
    <w:p w14:paraId="611E0CEE" w14:textId="77777777" w:rsidR="002076DA" w:rsidRPr="006C7B74" w:rsidRDefault="002076DA" w:rsidP="002076DA">
      <w:pPr>
        <w:pStyle w:val="Heading2-Contenttable"/>
        <w:spacing w:after="120"/>
      </w:pPr>
      <w:bookmarkStart w:id="50" w:name="_Toc21694829"/>
      <w:r w:rsidRPr="006C7B74">
        <w:t>Key industrial and commercial areas</w:t>
      </w:r>
      <w:bookmarkEnd w:id="50"/>
    </w:p>
    <w:p w14:paraId="3C5BCAFD" w14:textId="40CA9DF3" w:rsidR="00DB3C3D" w:rsidRPr="006C7B74" w:rsidRDefault="00DB3C3D" w:rsidP="00934C4D">
      <w:pPr>
        <w:spacing w:after="120"/>
        <w:rPr>
          <w:rFonts w:cstheme="minorHAnsi"/>
          <w:sz w:val="20"/>
          <w:szCs w:val="20"/>
        </w:rPr>
      </w:pPr>
      <w:r w:rsidRPr="006C7B74">
        <w:rPr>
          <w:rFonts w:cstheme="minorHAnsi"/>
          <w:sz w:val="20"/>
          <w:szCs w:val="20"/>
        </w:rPr>
        <w:t xml:space="preserve">There are a number of key industrial areas of regional significance that should be </w:t>
      </w:r>
      <w:r w:rsidR="002E04BB" w:rsidRPr="006C7B74">
        <w:rPr>
          <w:rFonts w:cstheme="minorHAnsi"/>
          <w:sz w:val="20"/>
          <w:szCs w:val="20"/>
        </w:rPr>
        <w:t xml:space="preserve">protected and </w:t>
      </w:r>
      <w:r w:rsidRPr="006C7B74">
        <w:rPr>
          <w:rFonts w:cstheme="minorHAnsi"/>
          <w:sz w:val="20"/>
          <w:szCs w:val="20"/>
        </w:rPr>
        <w:t xml:space="preserve">carefully planned </w:t>
      </w:r>
      <w:r w:rsidR="00FA0F2D" w:rsidRPr="006C7B74">
        <w:rPr>
          <w:rFonts w:cstheme="minorHAnsi"/>
          <w:sz w:val="20"/>
          <w:szCs w:val="20"/>
        </w:rPr>
        <w:t xml:space="preserve">for </w:t>
      </w:r>
      <w:r w:rsidR="005D1D65" w:rsidRPr="006C7B74">
        <w:rPr>
          <w:rFonts w:cstheme="minorHAnsi"/>
          <w:sz w:val="20"/>
          <w:szCs w:val="20"/>
        </w:rPr>
        <w:t>as key economic contributors to the region</w:t>
      </w:r>
      <w:r w:rsidR="008E160F" w:rsidRPr="006C7B74">
        <w:rPr>
          <w:rFonts w:cstheme="minorHAnsi"/>
          <w:sz w:val="20"/>
          <w:szCs w:val="20"/>
        </w:rPr>
        <w:t>.</w:t>
      </w:r>
      <w:r w:rsidRPr="006C7B74">
        <w:rPr>
          <w:rFonts w:cstheme="minorHAnsi"/>
          <w:sz w:val="20"/>
          <w:szCs w:val="20"/>
        </w:rPr>
        <w:t xml:space="preserve"> </w:t>
      </w:r>
    </w:p>
    <w:p w14:paraId="644A0236" w14:textId="155C4CF0" w:rsidR="00DB3C3D" w:rsidRPr="006C7B74" w:rsidRDefault="00DB3C3D" w:rsidP="00934C4D">
      <w:pPr>
        <w:spacing w:after="120"/>
        <w:rPr>
          <w:rFonts w:eastAsia="Calibri" w:cstheme="minorHAnsi"/>
          <w:sz w:val="20"/>
          <w:szCs w:val="20"/>
        </w:rPr>
      </w:pPr>
      <w:r w:rsidRPr="006C7B74">
        <w:rPr>
          <w:rFonts w:eastAsia="Calibri" w:cstheme="minorHAnsi"/>
          <w:b/>
          <w:bCs/>
          <w:sz w:val="20"/>
          <w:szCs w:val="20"/>
        </w:rPr>
        <w:t xml:space="preserve">The Bayswater </w:t>
      </w:r>
      <w:r w:rsidR="00EB4F63" w:rsidRPr="006C7B74">
        <w:rPr>
          <w:rFonts w:eastAsia="Calibri" w:cstheme="minorHAnsi"/>
          <w:b/>
          <w:bCs/>
          <w:sz w:val="20"/>
          <w:szCs w:val="20"/>
        </w:rPr>
        <w:t xml:space="preserve">Business </w:t>
      </w:r>
      <w:r w:rsidRPr="006C7B74">
        <w:rPr>
          <w:rFonts w:eastAsia="Calibri" w:cstheme="minorHAnsi"/>
          <w:b/>
          <w:bCs/>
          <w:sz w:val="20"/>
          <w:szCs w:val="20"/>
        </w:rPr>
        <w:t>Precinct</w:t>
      </w:r>
      <w:r w:rsidRPr="006C7B74">
        <w:rPr>
          <w:rFonts w:eastAsia="Calibri" w:cstheme="minorHAnsi"/>
          <w:sz w:val="20"/>
          <w:szCs w:val="20"/>
        </w:rPr>
        <w:t xml:space="preserve"> </w:t>
      </w:r>
      <w:r w:rsidR="00AC199D" w:rsidRPr="006C7B74">
        <w:rPr>
          <w:rFonts w:eastAsia="Calibri" w:cstheme="minorHAnsi"/>
          <w:sz w:val="20"/>
          <w:szCs w:val="20"/>
        </w:rPr>
        <w:t>extends</w:t>
      </w:r>
      <w:r w:rsidRPr="006C7B74">
        <w:rPr>
          <w:rFonts w:eastAsia="Calibri" w:cstheme="minorHAnsi"/>
          <w:sz w:val="20"/>
          <w:szCs w:val="20"/>
        </w:rPr>
        <w:t xml:space="preserve"> across the </w:t>
      </w:r>
      <w:r w:rsidR="00B465F2" w:rsidRPr="006C7B74">
        <w:rPr>
          <w:rFonts w:eastAsia="Calibri" w:cstheme="minorHAnsi"/>
          <w:sz w:val="20"/>
          <w:szCs w:val="20"/>
        </w:rPr>
        <w:t>municipalities</w:t>
      </w:r>
      <w:r w:rsidRPr="006C7B74">
        <w:rPr>
          <w:rFonts w:eastAsia="Calibri" w:cstheme="minorHAnsi"/>
          <w:sz w:val="20"/>
          <w:szCs w:val="20"/>
        </w:rPr>
        <w:t xml:space="preserve"> of Knox, Maroondah and Yarra Ranges with a large industrial land holding of 730 hectares which accommodates over </w:t>
      </w:r>
      <w:r w:rsidR="0017410A">
        <w:rPr>
          <w:rFonts w:eastAsia="Calibri" w:cstheme="minorHAnsi"/>
          <w:sz w:val="20"/>
          <w:szCs w:val="20"/>
        </w:rPr>
        <w:t>33</w:t>
      </w:r>
      <w:r w:rsidRPr="0017410A">
        <w:rPr>
          <w:rFonts w:eastAsia="Calibri" w:cstheme="minorHAnsi"/>
          <w:sz w:val="20"/>
          <w:szCs w:val="20"/>
        </w:rPr>
        <w:t>,000 jobs</w:t>
      </w:r>
      <w:r w:rsidRPr="006C7B74">
        <w:rPr>
          <w:rFonts w:eastAsia="Calibri" w:cstheme="minorHAnsi"/>
          <w:sz w:val="20"/>
          <w:szCs w:val="20"/>
        </w:rPr>
        <w:t>. The precinct is almost fully developed with less than 10</w:t>
      </w:r>
      <w:r w:rsidR="0079410A" w:rsidRPr="006C7B74">
        <w:rPr>
          <w:rFonts w:eastAsia="Calibri" w:cstheme="minorHAnsi"/>
          <w:sz w:val="20"/>
          <w:szCs w:val="20"/>
        </w:rPr>
        <w:t xml:space="preserve"> per cent</w:t>
      </w:r>
      <w:r w:rsidR="00604616" w:rsidRPr="006C7B74">
        <w:rPr>
          <w:rFonts w:eastAsia="Calibri" w:cstheme="minorHAnsi"/>
          <w:sz w:val="20"/>
          <w:szCs w:val="20"/>
        </w:rPr>
        <w:t xml:space="preserve"> </w:t>
      </w:r>
      <w:r w:rsidR="00B465F2" w:rsidRPr="006C7B74">
        <w:rPr>
          <w:rFonts w:eastAsia="Calibri" w:cstheme="minorHAnsi"/>
          <w:sz w:val="20"/>
          <w:szCs w:val="20"/>
        </w:rPr>
        <w:t xml:space="preserve">of the </w:t>
      </w:r>
      <w:r w:rsidRPr="006C7B74">
        <w:rPr>
          <w:rFonts w:eastAsia="Calibri" w:cstheme="minorHAnsi"/>
          <w:sz w:val="20"/>
          <w:szCs w:val="20"/>
        </w:rPr>
        <w:t xml:space="preserve">land </w:t>
      </w:r>
      <w:r w:rsidR="00604616" w:rsidRPr="006C7B74">
        <w:rPr>
          <w:rFonts w:eastAsia="Calibri" w:cstheme="minorHAnsi"/>
          <w:sz w:val="20"/>
          <w:szCs w:val="20"/>
        </w:rPr>
        <w:t>vacant and available for future development</w:t>
      </w:r>
      <w:r w:rsidRPr="006C7B74">
        <w:rPr>
          <w:rFonts w:eastAsia="Calibri" w:cstheme="minorHAnsi"/>
          <w:sz w:val="20"/>
          <w:szCs w:val="20"/>
        </w:rPr>
        <w:t xml:space="preserve">. The </w:t>
      </w:r>
      <w:r w:rsidRPr="006C7B74">
        <w:rPr>
          <w:rFonts w:eastAsia="Calibri" w:cstheme="minorHAnsi"/>
          <w:b/>
          <w:sz w:val="20"/>
          <w:szCs w:val="20"/>
        </w:rPr>
        <w:t xml:space="preserve">Bayswater </w:t>
      </w:r>
      <w:r w:rsidR="00024169" w:rsidRPr="006C7B74">
        <w:rPr>
          <w:rFonts w:eastAsia="Calibri" w:cstheme="minorHAnsi"/>
          <w:b/>
          <w:sz w:val="20"/>
          <w:szCs w:val="20"/>
        </w:rPr>
        <w:t xml:space="preserve">Major </w:t>
      </w:r>
      <w:r w:rsidRPr="006C7B74">
        <w:rPr>
          <w:rFonts w:eastAsia="Calibri" w:cstheme="minorHAnsi"/>
          <w:b/>
          <w:sz w:val="20"/>
          <w:szCs w:val="20"/>
        </w:rPr>
        <w:t>Activity Centre</w:t>
      </w:r>
      <w:r w:rsidRPr="006C7B74">
        <w:rPr>
          <w:rFonts w:eastAsia="Calibri" w:cstheme="minorHAnsi"/>
          <w:sz w:val="20"/>
          <w:szCs w:val="20"/>
        </w:rPr>
        <w:t xml:space="preserve"> is located to the </w:t>
      </w:r>
      <w:r w:rsidR="00604F4E" w:rsidRPr="006C7B74">
        <w:rPr>
          <w:rFonts w:eastAsia="Calibri" w:cstheme="minorHAnsi"/>
          <w:sz w:val="20"/>
          <w:szCs w:val="20"/>
        </w:rPr>
        <w:t>south</w:t>
      </w:r>
      <w:r w:rsidR="00E91489" w:rsidRPr="006C7B74">
        <w:rPr>
          <w:rFonts w:eastAsia="Calibri" w:cstheme="minorHAnsi"/>
          <w:sz w:val="20"/>
          <w:szCs w:val="20"/>
        </w:rPr>
        <w:t>-</w:t>
      </w:r>
      <w:r w:rsidRPr="006C7B74">
        <w:rPr>
          <w:rFonts w:eastAsia="Calibri" w:cstheme="minorHAnsi"/>
          <w:sz w:val="20"/>
          <w:szCs w:val="20"/>
        </w:rPr>
        <w:t xml:space="preserve">west of the precinct. Strategically located close to </w:t>
      </w:r>
      <w:r w:rsidR="00E61796" w:rsidRPr="006C7B74">
        <w:rPr>
          <w:rFonts w:eastAsia="Calibri" w:cstheme="minorHAnsi"/>
          <w:sz w:val="20"/>
          <w:szCs w:val="20"/>
        </w:rPr>
        <w:t xml:space="preserve">a </w:t>
      </w:r>
      <w:r w:rsidRPr="006C7B74">
        <w:rPr>
          <w:rFonts w:eastAsia="Calibri" w:cstheme="minorHAnsi"/>
          <w:sz w:val="20"/>
          <w:szCs w:val="20"/>
        </w:rPr>
        <w:t xml:space="preserve">skilled workforce and transport links, the precinct is important in generating employment and economic value in the region. </w:t>
      </w:r>
    </w:p>
    <w:p w14:paraId="71DE0215" w14:textId="71585879" w:rsidR="00DB3C3D" w:rsidRPr="006C7B74" w:rsidRDefault="00DB3C3D" w:rsidP="00934C4D">
      <w:pPr>
        <w:spacing w:after="120"/>
        <w:rPr>
          <w:rFonts w:eastAsia="Calibri" w:cstheme="minorHAnsi"/>
          <w:color w:val="808080" w:themeColor="text1" w:themeTint="7F"/>
          <w:sz w:val="20"/>
          <w:szCs w:val="20"/>
        </w:rPr>
      </w:pPr>
      <w:r w:rsidRPr="006C7B74">
        <w:rPr>
          <w:rFonts w:eastAsia="Calibri" w:cstheme="minorHAnsi"/>
          <w:b/>
          <w:bCs/>
          <w:sz w:val="20"/>
          <w:szCs w:val="20"/>
        </w:rPr>
        <w:t>The Scoresby-Rowville</w:t>
      </w:r>
      <w:r w:rsidRPr="006C7B74">
        <w:rPr>
          <w:rFonts w:eastAsia="Calibri" w:cstheme="minorHAnsi"/>
          <w:sz w:val="20"/>
          <w:szCs w:val="20"/>
        </w:rPr>
        <w:t xml:space="preserve"> </w:t>
      </w:r>
      <w:r w:rsidR="007A059B" w:rsidRPr="006C7B74">
        <w:rPr>
          <w:rFonts w:eastAsia="Calibri" w:cstheme="minorHAnsi"/>
          <w:b/>
          <w:bCs/>
          <w:sz w:val="20"/>
          <w:szCs w:val="20"/>
        </w:rPr>
        <w:t>I</w:t>
      </w:r>
      <w:r w:rsidRPr="006C7B74">
        <w:rPr>
          <w:rFonts w:eastAsia="Calibri" w:cstheme="minorHAnsi"/>
          <w:b/>
          <w:bCs/>
          <w:sz w:val="20"/>
          <w:szCs w:val="20"/>
        </w:rPr>
        <w:t xml:space="preserve">ndustrial Area </w:t>
      </w:r>
      <w:r w:rsidRPr="006C7B74">
        <w:rPr>
          <w:rFonts w:eastAsia="Calibri" w:cstheme="minorHAnsi"/>
          <w:sz w:val="20"/>
          <w:szCs w:val="20"/>
        </w:rPr>
        <w:t xml:space="preserve">is located adjacent to Eastlink in the City of Knox. The </w:t>
      </w:r>
      <w:r w:rsidRPr="006C7B74">
        <w:rPr>
          <w:rFonts w:eastAsia="Calibri" w:cstheme="minorHAnsi"/>
          <w:b/>
          <w:sz w:val="20"/>
          <w:szCs w:val="20"/>
        </w:rPr>
        <w:t xml:space="preserve">Rowville-Stud Park </w:t>
      </w:r>
      <w:r w:rsidR="00E61796" w:rsidRPr="006C7B74">
        <w:rPr>
          <w:rFonts w:eastAsia="Calibri" w:cstheme="minorHAnsi"/>
          <w:b/>
          <w:sz w:val="20"/>
          <w:szCs w:val="20"/>
        </w:rPr>
        <w:t xml:space="preserve">Major </w:t>
      </w:r>
      <w:r w:rsidRPr="006C7B74">
        <w:rPr>
          <w:rFonts w:eastAsia="Calibri" w:cstheme="minorHAnsi"/>
          <w:b/>
          <w:sz w:val="20"/>
          <w:szCs w:val="20"/>
        </w:rPr>
        <w:t>Activity Centre</w:t>
      </w:r>
      <w:r w:rsidRPr="006C7B74">
        <w:rPr>
          <w:rFonts w:eastAsia="Calibri" w:cstheme="minorHAnsi"/>
          <w:sz w:val="20"/>
          <w:szCs w:val="20"/>
        </w:rPr>
        <w:t xml:space="preserve"> is located to the south</w:t>
      </w:r>
      <w:r w:rsidR="00E91489" w:rsidRPr="006C7B74">
        <w:rPr>
          <w:rFonts w:eastAsia="Calibri" w:cstheme="minorHAnsi"/>
          <w:sz w:val="20"/>
          <w:szCs w:val="20"/>
        </w:rPr>
        <w:t>-</w:t>
      </w:r>
      <w:r w:rsidRPr="006C7B74">
        <w:rPr>
          <w:rFonts w:eastAsia="Calibri" w:cstheme="minorHAnsi"/>
          <w:sz w:val="20"/>
          <w:szCs w:val="20"/>
        </w:rPr>
        <w:t xml:space="preserve">east. The precinct accommodates a range of production and service industries as well as business parks. It has good access to a skilled workforce and markets and has direct access to </w:t>
      </w:r>
      <w:proofErr w:type="spellStart"/>
      <w:r w:rsidR="00B93B3F" w:rsidRPr="006C7B74">
        <w:rPr>
          <w:rFonts w:eastAsia="Calibri" w:cstheme="minorHAnsi"/>
          <w:sz w:val="20"/>
          <w:szCs w:val="20"/>
        </w:rPr>
        <w:t>EastLink</w:t>
      </w:r>
      <w:proofErr w:type="spellEnd"/>
      <w:r w:rsidRPr="006C7B74">
        <w:rPr>
          <w:rFonts w:eastAsia="Calibri" w:cstheme="minorHAnsi"/>
          <w:sz w:val="20"/>
          <w:szCs w:val="20"/>
        </w:rPr>
        <w:t>.</w:t>
      </w:r>
    </w:p>
    <w:p w14:paraId="1DDF7357" w14:textId="55D7DCC1" w:rsidR="00DB3C3D" w:rsidRPr="006C7B74" w:rsidRDefault="00B868E2" w:rsidP="007D0CF5">
      <w:pPr>
        <w:spacing w:after="120"/>
        <w:rPr>
          <w:rFonts w:eastAsia="Calibri" w:cstheme="minorHAnsi"/>
          <w:sz w:val="20"/>
          <w:szCs w:val="20"/>
        </w:rPr>
      </w:pPr>
      <w:r w:rsidRPr="006C7B74">
        <w:rPr>
          <w:rStyle w:val="normaltextrun"/>
          <w:rFonts w:cstheme="minorHAnsi"/>
          <w:color w:val="000000"/>
          <w:sz w:val="20"/>
          <w:szCs w:val="20"/>
          <w:shd w:val="clear" w:color="auto" w:fill="FFFFFF"/>
          <w:lang w:val="en-GB"/>
        </w:rPr>
        <w:t xml:space="preserve">The </w:t>
      </w:r>
      <w:r w:rsidRPr="006C7B74">
        <w:rPr>
          <w:rStyle w:val="normaltextrun"/>
          <w:rFonts w:cstheme="minorHAnsi"/>
          <w:b/>
          <w:color w:val="000000"/>
          <w:sz w:val="20"/>
          <w:szCs w:val="20"/>
          <w:shd w:val="clear" w:color="auto" w:fill="FFFFFF"/>
          <w:lang w:val="en-GB"/>
        </w:rPr>
        <w:t>Monash NEIC</w:t>
      </w:r>
      <w:r w:rsidRPr="006C7B74">
        <w:rPr>
          <w:rStyle w:val="normaltextrun"/>
          <w:rFonts w:cstheme="minorHAnsi"/>
          <w:color w:val="000000"/>
          <w:sz w:val="20"/>
          <w:szCs w:val="20"/>
          <w:shd w:val="clear" w:color="auto" w:fill="FFFFFF"/>
          <w:lang w:val="en-GB"/>
        </w:rPr>
        <w:t xml:space="preserve"> </w:t>
      </w:r>
      <w:r w:rsidR="008D64DC" w:rsidRPr="006C7B74">
        <w:rPr>
          <w:rStyle w:val="normaltextrun"/>
          <w:rFonts w:cstheme="minorHAnsi"/>
          <w:color w:val="000000"/>
          <w:sz w:val="20"/>
          <w:szCs w:val="20"/>
          <w:shd w:val="clear" w:color="auto" w:fill="FFFFFF"/>
          <w:lang w:val="en-GB"/>
        </w:rPr>
        <w:t xml:space="preserve">contributes significantly to Melbourne’s economy and </w:t>
      </w:r>
      <w:r w:rsidR="008D64DC" w:rsidRPr="006C7B74">
        <w:rPr>
          <w:rStyle w:val="normaltextrun"/>
          <w:rFonts w:cstheme="minorHAnsi"/>
          <w:color w:val="000000"/>
          <w:sz w:val="20"/>
          <w:szCs w:val="20"/>
          <w:shd w:val="clear" w:color="auto" w:fill="FFFFFF"/>
        </w:rPr>
        <w:t>includes the Monash University, Monash Medical Centre,</w:t>
      </w:r>
      <w:r w:rsidR="008D64DC" w:rsidRPr="006C7B74">
        <w:rPr>
          <w:rFonts w:cstheme="minorHAnsi"/>
          <w:color w:val="000000"/>
          <w:sz w:val="20"/>
          <w:szCs w:val="20"/>
          <w:shd w:val="clear" w:color="auto" w:fill="FFFFFF"/>
        </w:rPr>
        <w:t xml:space="preserve"> </w:t>
      </w:r>
      <w:r w:rsidR="008D64DC" w:rsidRPr="006C7B74">
        <w:rPr>
          <w:rStyle w:val="normaltextrun"/>
          <w:rFonts w:cstheme="minorHAnsi"/>
          <w:color w:val="000000"/>
          <w:sz w:val="20"/>
          <w:szCs w:val="20"/>
          <w:shd w:val="clear" w:color="auto" w:fill="FFFFFF"/>
          <w:lang w:val="en-GB"/>
        </w:rPr>
        <w:t>Monash Children’s Hospital</w:t>
      </w:r>
      <w:r w:rsidR="008D64DC" w:rsidRPr="006C7B74">
        <w:rPr>
          <w:rStyle w:val="normaltextrun"/>
          <w:rFonts w:cstheme="minorHAnsi"/>
          <w:color w:val="000000"/>
          <w:sz w:val="20"/>
          <w:szCs w:val="20"/>
          <w:shd w:val="clear" w:color="auto" w:fill="FFFFFF"/>
        </w:rPr>
        <w:t xml:space="preserve">, </w:t>
      </w:r>
      <w:r w:rsidR="008D64DC" w:rsidRPr="006C7B74">
        <w:rPr>
          <w:rStyle w:val="normaltextrun"/>
          <w:rFonts w:cstheme="minorHAnsi"/>
          <w:color w:val="000000"/>
          <w:sz w:val="20"/>
          <w:szCs w:val="20"/>
          <w:shd w:val="clear" w:color="auto" w:fill="FFFFFF"/>
          <w:lang w:val="en-GB"/>
        </w:rPr>
        <w:t xml:space="preserve">Monash Enterprise Centre, </w:t>
      </w:r>
      <w:r w:rsidR="008D64DC" w:rsidRPr="006C7B74">
        <w:rPr>
          <w:rStyle w:val="normaltextrun"/>
          <w:rFonts w:cstheme="minorHAnsi"/>
          <w:color w:val="000000"/>
          <w:sz w:val="20"/>
          <w:szCs w:val="20"/>
          <w:shd w:val="clear" w:color="auto" w:fill="FFFFFF"/>
        </w:rPr>
        <w:t xml:space="preserve">CSIRO, </w:t>
      </w:r>
      <w:r w:rsidR="008D64DC" w:rsidRPr="006C7B74">
        <w:rPr>
          <w:rStyle w:val="normaltextrun"/>
          <w:rFonts w:cstheme="minorHAnsi"/>
          <w:color w:val="000000"/>
          <w:sz w:val="20"/>
          <w:szCs w:val="20"/>
          <w:shd w:val="clear" w:color="auto" w:fill="FFFFFF"/>
          <w:lang w:val="en-GB"/>
        </w:rPr>
        <w:t xml:space="preserve">Australian Synchrotron and the Melbourne Centre for Nanofabrication </w:t>
      </w:r>
      <w:r w:rsidR="008D64DC" w:rsidRPr="006C7B74">
        <w:rPr>
          <w:rStyle w:val="normaltextrun"/>
          <w:rFonts w:cstheme="minorHAnsi"/>
          <w:color w:val="000000"/>
          <w:sz w:val="20"/>
          <w:szCs w:val="20"/>
          <w:shd w:val="clear" w:color="auto" w:fill="FFFFFF"/>
        </w:rPr>
        <w:t xml:space="preserve">focussing on research and technology. It is </w:t>
      </w:r>
      <w:r w:rsidR="00941C84" w:rsidRPr="006C7B74">
        <w:rPr>
          <w:rStyle w:val="normaltextrun"/>
          <w:rFonts w:cstheme="minorHAnsi"/>
          <w:color w:val="000000"/>
          <w:sz w:val="20"/>
          <w:szCs w:val="20"/>
          <w:shd w:val="clear" w:color="auto" w:fill="FFFFFF"/>
          <w:lang w:val="en-GB"/>
        </w:rPr>
        <w:t xml:space="preserve">the largest concentration of employment outside the </w:t>
      </w:r>
      <w:r w:rsidR="007F2AEB" w:rsidRPr="006C7B74">
        <w:rPr>
          <w:rStyle w:val="normaltextrun"/>
          <w:rFonts w:cstheme="minorHAnsi"/>
          <w:color w:val="000000"/>
          <w:sz w:val="20"/>
          <w:szCs w:val="20"/>
          <w:shd w:val="clear" w:color="auto" w:fill="FFFFFF"/>
          <w:lang w:val="en-GB"/>
        </w:rPr>
        <w:t>C</w:t>
      </w:r>
      <w:r w:rsidR="00941C84" w:rsidRPr="006C7B74">
        <w:rPr>
          <w:rStyle w:val="normaltextrun"/>
          <w:rFonts w:cstheme="minorHAnsi"/>
          <w:color w:val="000000"/>
          <w:sz w:val="20"/>
          <w:szCs w:val="20"/>
          <w:shd w:val="clear" w:color="auto" w:fill="FFFFFF"/>
          <w:lang w:val="en-GB"/>
        </w:rPr>
        <w:t xml:space="preserve">entral </w:t>
      </w:r>
      <w:r w:rsidR="007F2AEB" w:rsidRPr="006C7B74">
        <w:rPr>
          <w:rStyle w:val="normaltextrun"/>
          <w:rFonts w:cstheme="minorHAnsi"/>
          <w:color w:val="000000"/>
          <w:sz w:val="20"/>
          <w:szCs w:val="20"/>
          <w:shd w:val="clear" w:color="auto" w:fill="FFFFFF"/>
          <w:lang w:val="en-GB"/>
        </w:rPr>
        <w:t>C</w:t>
      </w:r>
      <w:r w:rsidR="00941C84" w:rsidRPr="006C7B74">
        <w:rPr>
          <w:rStyle w:val="normaltextrun"/>
          <w:rFonts w:cstheme="minorHAnsi"/>
          <w:color w:val="000000"/>
          <w:sz w:val="20"/>
          <w:szCs w:val="20"/>
          <w:shd w:val="clear" w:color="auto" w:fill="FFFFFF"/>
          <w:lang w:val="en-GB"/>
        </w:rPr>
        <w:t>ity with</w:t>
      </w:r>
      <w:r w:rsidR="00077641" w:rsidRPr="006C7B74">
        <w:rPr>
          <w:rStyle w:val="normaltextrun"/>
          <w:rFonts w:cstheme="minorHAnsi"/>
          <w:color w:val="000000"/>
          <w:sz w:val="20"/>
          <w:szCs w:val="20"/>
          <w:shd w:val="clear" w:color="auto" w:fill="FFFFFF"/>
        </w:rPr>
        <w:t xml:space="preserve"> </w:t>
      </w:r>
      <w:r w:rsidRPr="006C7B74">
        <w:rPr>
          <w:rStyle w:val="normaltextrun"/>
          <w:rFonts w:cstheme="minorHAnsi"/>
          <w:color w:val="000000"/>
          <w:sz w:val="20"/>
          <w:szCs w:val="20"/>
          <w:shd w:val="clear" w:color="auto" w:fill="FFFFFF"/>
          <w:lang w:val="en-GB"/>
        </w:rPr>
        <w:t>approximately 75,000 jobs in the cluster</w:t>
      </w:r>
      <w:r w:rsidR="004E56B1" w:rsidRPr="006C7B74">
        <w:rPr>
          <w:rStyle w:val="normaltextrun"/>
          <w:rFonts w:cstheme="minorHAnsi"/>
          <w:color w:val="000000"/>
          <w:sz w:val="20"/>
          <w:szCs w:val="20"/>
          <w:shd w:val="clear" w:color="auto" w:fill="FFFFFF"/>
          <w:lang w:val="en-GB"/>
        </w:rPr>
        <w:t>.</w:t>
      </w:r>
      <w:r w:rsidR="007D0CF5" w:rsidRPr="006C7B74">
        <w:rPr>
          <w:rStyle w:val="normaltextrun"/>
          <w:rFonts w:cstheme="minorHAnsi"/>
          <w:color w:val="000000"/>
          <w:sz w:val="20"/>
          <w:szCs w:val="20"/>
          <w:shd w:val="clear" w:color="auto" w:fill="FFFFFF"/>
          <w:lang w:val="en-GB"/>
        </w:rPr>
        <w:t xml:space="preserve"> </w:t>
      </w:r>
      <w:r w:rsidR="005319E4" w:rsidRPr="006C7B74">
        <w:rPr>
          <w:rStyle w:val="normaltextrun"/>
          <w:rFonts w:cstheme="minorHAnsi"/>
          <w:color w:val="000000"/>
          <w:sz w:val="20"/>
          <w:szCs w:val="20"/>
          <w:shd w:val="clear" w:color="auto" w:fill="FFFFFF"/>
          <w:lang w:val="en-GB"/>
        </w:rPr>
        <w:t>It</w:t>
      </w:r>
      <w:r w:rsidR="007D0CF5" w:rsidRPr="006C7B74">
        <w:rPr>
          <w:rStyle w:val="normaltextrun"/>
          <w:rFonts w:cstheme="minorHAnsi"/>
          <w:color w:val="000000"/>
          <w:sz w:val="20"/>
          <w:szCs w:val="20"/>
          <w:shd w:val="clear" w:color="auto" w:fill="FFFFFF"/>
          <w:lang w:val="en-GB"/>
        </w:rPr>
        <w:t xml:space="preserve"> is well link</w:t>
      </w:r>
      <w:r w:rsidR="002B0237" w:rsidRPr="006C7B74">
        <w:rPr>
          <w:rStyle w:val="normaltextrun"/>
          <w:rFonts w:cstheme="minorHAnsi"/>
          <w:color w:val="000000"/>
          <w:sz w:val="20"/>
          <w:szCs w:val="20"/>
          <w:shd w:val="clear" w:color="auto" w:fill="FFFFFF"/>
          <w:lang w:val="en-GB"/>
        </w:rPr>
        <w:t>ed</w:t>
      </w:r>
      <w:r w:rsidR="007D0CF5" w:rsidRPr="006C7B74">
        <w:rPr>
          <w:rStyle w:val="normaltextrun"/>
          <w:rFonts w:cstheme="minorHAnsi"/>
          <w:color w:val="000000"/>
          <w:sz w:val="20"/>
          <w:szCs w:val="20"/>
          <w:shd w:val="clear" w:color="auto" w:fill="FFFFFF"/>
          <w:lang w:val="en-GB"/>
        </w:rPr>
        <w:t xml:space="preserve"> to existing industrial areas </w:t>
      </w:r>
      <w:r w:rsidR="002B0237" w:rsidRPr="006C7B74">
        <w:rPr>
          <w:rFonts w:eastAsia="Calibri" w:cstheme="minorHAnsi"/>
          <w:sz w:val="20"/>
          <w:szCs w:val="20"/>
        </w:rPr>
        <w:t>with</w:t>
      </w:r>
      <w:r w:rsidR="007D3480" w:rsidRPr="006C7B74">
        <w:rPr>
          <w:rFonts w:eastAsia="Calibri" w:cstheme="minorHAnsi"/>
          <w:sz w:val="20"/>
          <w:szCs w:val="20"/>
        </w:rPr>
        <w:t xml:space="preserve"> Huntingdale</w:t>
      </w:r>
      <w:r w:rsidR="007D0CF5" w:rsidRPr="006C7B74">
        <w:rPr>
          <w:rFonts w:eastAsia="Calibri" w:cstheme="minorHAnsi"/>
          <w:sz w:val="20"/>
          <w:szCs w:val="20"/>
        </w:rPr>
        <w:t xml:space="preserve"> and</w:t>
      </w:r>
      <w:r w:rsidR="007D3480" w:rsidRPr="006C7B74">
        <w:rPr>
          <w:rFonts w:eastAsia="Calibri" w:cstheme="minorHAnsi"/>
          <w:sz w:val="20"/>
          <w:szCs w:val="20"/>
        </w:rPr>
        <w:t xml:space="preserve"> </w:t>
      </w:r>
      <w:r w:rsidR="00DB3C3D" w:rsidRPr="006C7B74">
        <w:rPr>
          <w:rFonts w:eastAsia="Calibri" w:cstheme="minorHAnsi"/>
          <w:sz w:val="20"/>
          <w:szCs w:val="20"/>
        </w:rPr>
        <w:t>Clayton</w:t>
      </w:r>
      <w:r w:rsidR="007D0CF5" w:rsidRPr="006C7B74">
        <w:rPr>
          <w:rFonts w:eastAsia="Calibri" w:cstheme="minorHAnsi"/>
          <w:sz w:val="20"/>
          <w:szCs w:val="20"/>
        </w:rPr>
        <w:t xml:space="preserve"> offering further employment</w:t>
      </w:r>
      <w:r w:rsidR="005E6A72" w:rsidRPr="006C7B74">
        <w:rPr>
          <w:rFonts w:eastAsia="Calibri" w:cstheme="minorHAnsi"/>
          <w:sz w:val="20"/>
          <w:szCs w:val="20"/>
        </w:rPr>
        <w:t xml:space="preserve">. </w:t>
      </w:r>
      <w:r w:rsidR="00DB3C3D" w:rsidRPr="006C7B74">
        <w:rPr>
          <w:rFonts w:eastAsia="Calibri" w:cstheme="minorHAnsi"/>
          <w:sz w:val="20"/>
          <w:szCs w:val="20"/>
        </w:rPr>
        <w:t xml:space="preserve">With its educational and scientific institutions, high amenity employment precincts, access to a skilled workforce and direct access to the </w:t>
      </w:r>
      <w:r w:rsidR="009E1FB8" w:rsidRPr="006C7B74">
        <w:rPr>
          <w:rFonts w:eastAsia="Calibri" w:cstheme="minorHAnsi"/>
          <w:sz w:val="20"/>
          <w:szCs w:val="20"/>
        </w:rPr>
        <w:t>PFN</w:t>
      </w:r>
      <w:r w:rsidR="00DB3C3D" w:rsidRPr="006C7B74">
        <w:rPr>
          <w:rFonts w:eastAsia="Calibri" w:cstheme="minorHAnsi"/>
          <w:sz w:val="20"/>
          <w:szCs w:val="20"/>
        </w:rPr>
        <w:t>, it will continue to play an important role in generating jobs and wealth in the region.</w:t>
      </w:r>
    </w:p>
    <w:p w14:paraId="4F4C07C1" w14:textId="26D8CFEA" w:rsidR="00AE50EC" w:rsidRPr="006C7B74" w:rsidRDefault="00AE50EC" w:rsidP="003B186C">
      <w:pPr>
        <w:spacing w:after="120"/>
        <w:rPr>
          <w:rStyle w:val="normaltextrun"/>
          <w:rFonts w:cstheme="minorHAnsi"/>
          <w:color w:val="000000"/>
          <w:sz w:val="20"/>
          <w:szCs w:val="20"/>
          <w:shd w:val="clear" w:color="auto" w:fill="FFFFFF"/>
        </w:rPr>
      </w:pPr>
      <w:r w:rsidRPr="006C7B74">
        <w:rPr>
          <w:rStyle w:val="normaltextrun"/>
          <w:rFonts w:cstheme="minorHAnsi"/>
          <w:color w:val="000000"/>
          <w:sz w:val="20"/>
          <w:szCs w:val="20"/>
          <w:shd w:val="clear" w:color="auto" w:fill="FFFFFF"/>
        </w:rPr>
        <w:t xml:space="preserve">The </w:t>
      </w:r>
      <w:proofErr w:type="spellStart"/>
      <w:r w:rsidRPr="006C7B74">
        <w:rPr>
          <w:rStyle w:val="normaltextrun"/>
          <w:rFonts w:cstheme="minorHAnsi"/>
          <w:b/>
          <w:color w:val="000000"/>
          <w:sz w:val="20"/>
          <w:szCs w:val="20"/>
          <w:shd w:val="clear" w:color="auto" w:fill="FFFFFF"/>
        </w:rPr>
        <w:t>MegaMile</w:t>
      </w:r>
      <w:proofErr w:type="spellEnd"/>
      <w:r w:rsidRPr="006C7B74">
        <w:rPr>
          <w:rStyle w:val="normaltextrun"/>
          <w:rFonts w:cstheme="minorHAnsi"/>
          <w:b/>
          <w:color w:val="000000"/>
          <w:sz w:val="20"/>
          <w:szCs w:val="20"/>
          <w:shd w:val="clear" w:color="auto" w:fill="FFFFFF"/>
        </w:rPr>
        <w:t xml:space="preserve"> Home and Lifestyle Precinct</w:t>
      </w:r>
      <w:r w:rsidRPr="006C7B74">
        <w:rPr>
          <w:rStyle w:val="normaltextrun"/>
          <w:rFonts w:cstheme="minorHAnsi"/>
          <w:color w:val="000000"/>
          <w:sz w:val="20"/>
          <w:szCs w:val="20"/>
          <w:shd w:val="clear" w:color="auto" w:fill="FFFFFF"/>
        </w:rPr>
        <w:t xml:space="preserve"> extends along Whitehorse Road between Blackburn and Mitcham. It is home to more than 250 businesses supporting more than 2,500 jobs. The precinct </w:t>
      </w:r>
      <w:r w:rsidR="00400181" w:rsidRPr="006C7B74">
        <w:rPr>
          <w:rStyle w:val="normaltextrun"/>
          <w:rFonts w:cstheme="minorHAnsi"/>
          <w:color w:val="000000"/>
          <w:sz w:val="20"/>
          <w:szCs w:val="20"/>
          <w:shd w:val="clear" w:color="auto" w:fill="FFFFFF"/>
        </w:rPr>
        <w:t xml:space="preserve">largely </w:t>
      </w:r>
      <w:r w:rsidRPr="006C7B74">
        <w:rPr>
          <w:rStyle w:val="normaltextrun"/>
          <w:rFonts w:cstheme="minorHAnsi"/>
          <w:color w:val="000000"/>
          <w:sz w:val="20"/>
          <w:szCs w:val="20"/>
          <w:shd w:val="clear" w:color="auto" w:fill="FFFFFF"/>
        </w:rPr>
        <w:t xml:space="preserve">consists of </w:t>
      </w:r>
      <w:r w:rsidR="00BC625B" w:rsidRPr="006C7B74">
        <w:rPr>
          <w:rStyle w:val="normaltextrun"/>
          <w:rFonts w:cstheme="minorHAnsi"/>
          <w:color w:val="000000"/>
          <w:sz w:val="20"/>
          <w:szCs w:val="20"/>
          <w:shd w:val="clear" w:color="auto" w:fill="FFFFFF"/>
        </w:rPr>
        <w:t>large format</w:t>
      </w:r>
      <w:r w:rsidRPr="006C7B74">
        <w:rPr>
          <w:rStyle w:val="normaltextrun"/>
          <w:rFonts w:cstheme="minorHAnsi"/>
          <w:color w:val="000000"/>
          <w:sz w:val="20"/>
          <w:szCs w:val="20"/>
          <w:shd w:val="clear" w:color="auto" w:fill="FFFFFF"/>
        </w:rPr>
        <w:t xml:space="preserve"> retailing. Adjacent to this area is the </w:t>
      </w:r>
      <w:r w:rsidRPr="006C7B74">
        <w:rPr>
          <w:rStyle w:val="normaltextrun"/>
          <w:rFonts w:cstheme="minorHAnsi"/>
          <w:b/>
          <w:color w:val="000000"/>
          <w:sz w:val="20"/>
          <w:szCs w:val="20"/>
          <w:shd w:val="clear" w:color="auto" w:fill="FFFFFF"/>
        </w:rPr>
        <w:t xml:space="preserve">Blackburn </w:t>
      </w:r>
      <w:r w:rsidR="00C55150" w:rsidRPr="006C7B74">
        <w:rPr>
          <w:rStyle w:val="normaltextrun"/>
          <w:rFonts w:cstheme="minorHAnsi"/>
          <w:b/>
          <w:color w:val="000000"/>
          <w:sz w:val="20"/>
          <w:szCs w:val="20"/>
          <w:shd w:val="clear" w:color="auto" w:fill="FFFFFF"/>
        </w:rPr>
        <w:t>I</w:t>
      </w:r>
      <w:r w:rsidRPr="006C7B74">
        <w:rPr>
          <w:rStyle w:val="normaltextrun"/>
          <w:rFonts w:cstheme="minorHAnsi"/>
          <w:b/>
          <w:color w:val="000000"/>
          <w:sz w:val="20"/>
          <w:szCs w:val="20"/>
          <w:shd w:val="clear" w:color="auto" w:fill="FFFFFF"/>
        </w:rPr>
        <w:t xml:space="preserve">ndustrial </w:t>
      </w:r>
      <w:r w:rsidR="00C55150" w:rsidRPr="006C7B74">
        <w:rPr>
          <w:rStyle w:val="normaltextrun"/>
          <w:rFonts w:cstheme="minorHAnsi"/>
          <w:b/>
          <w:color w:val="000000"/>
          <w:sz w:val="20"/>
          <w:szCs w:val="20"/>
          <w:shd w:val="clear" w:color="auto" w:fill="FFFFFF"/>
        </w:rPr>
        <w:t>P</w:t>
      </w:r>
      <w:r w:rsidRPr="006C7B74">
        <w:rPr>
          <w:rStyle w:val="normaltextrun"/>
          <w:rFonts w:cstheme="minorHAnsi"/>
          <w:b/>
          <w:color w:val="000000"/>
          <w:sz w:val="20"/>
          <w:szCs w:val="20"/>
          <w:shd w:val="clear" w:color="auto" w:fill="FFFFFF"/>
        </w:rPr>
        <w:t>recinct</w:t>
      </w:r>
      <w:r w:rsidRPr="006C7B74">
        <w:rPr>
          <w:rStyle w:val="normaltextrun"/>
          <w:rFonts w:cstheme="minorHAnsi"/>
          <w:color w:val="000000"/>
          <w:sz w:val="20"/>
          <w:szCs w:val="20"/>
          <w:shd w:val="clear" w:color="auto" w:fill="FFFFFF"/>
        </w:rPr>
        <w:t xml:space="preserve">. Along with a number of key industrial precincts in Whitehorse, </w:t>
      </w:r>
      <w:r w:rsidR="005551BB" w:rsidRPr="006C7B74">
        <w:rPr>
          <w:rStyle w:val="normaltextrun"/>
          <w:rFonts w:cstheme="minorHAnsi"/>
          <w:color w:val="000000"/>
          <w:sz w:val="20"/>
          <w:szCs w:val="20"/>
          <w:shd w:val="clear" w:color="auto" w:fill="FFFFFF"/>
        </w:rPr>
        <w:t xml:space="preserve">such as </w:t>
      </w:r>
      <w:r w:rsidR="005551BB" w:rsidRPr="006C7B74">
        <w:rPr>
          <w:rStyle w:val="normaltextrun"/>
          <w:rFonts w:cstheme="minorHAnsi"/>
          <w:b/>
          <w:color w:val="000000"/>
          <w:sz w:val="20"/>
          <w:szCs w:val="20"/>
          <w:shd w:val="clear" w:color="auto" w:fill="FFFFFF"/>
        </w:rPr>
        <w:t>Rooks Road</w:t>
      </w:r>
      <w:r w:rsidR="005551BB" w:rsidRPr="006C7B74">
        <w:rPr>
          <w:rStyle w:val="normaltextrun"/>
          <w:rFonts w:cstheme="minorHAnsi"/>
          <w:color w:val="000000"/>
          <w:sz w:val="20"/>
          <w:szCs w:val="20"/>
          <w:shd w:val="clear" w:color="auto" w:fill="FFFFFF"/>
        </w:rPr>
        <w:t xml:space="preserve"> and the </w:t>
      </w:r>
      <w:r w:rsidR="005551BB" w:rsidRPr="006C7B74">
        <w:rPr>
          <w:rStyle w:val="normaltextrun"/>
          <w:rFonts w:cstheme="minorHAnsi"/>
          <w:b/>
          <w:color w:val="000000"/>
          <w:sz w:val="20"/>
          <w:szCs w:val="20"/>
          <w:shd w:val="clear" w:color="auto" w:fill="FFFFFF"/>
        </w:rPr>
        <w:t>Redland Estate</w:t>
      </w:r>
      <w:r w:rsidR="009A7AFC" w:rsidRPr="006C7B74">
        <w:rPr>
          <w:rStyle w:val="normaltextrun"/>
          <w:rFonts w:cstheme="minorHAnsi"/>
          <w:b/>
          <w:color w:val="000000"/>
          <w:sz w:val="20"/>
          <w:szCs w:val="20"/>
          <w:shd w:val="clear" w:color="auto" w:fill="FFFFFF"/>
        </w:rPr>
        <w:t xml:space="preserve">, </w:t>
      </w:r>
      <w:r w:rsidR="009A7AFC" w:rsidRPr="006C7B74">
        <w:rPr>
          <w:rStyle w:val="normaltextrun"/>
          <w:rFonts w:cstheme="minorHAnsi"/>
          <w:bCs/>
          <w:color w:val="000000"/>
          <w:sz w:val="20"/>
          <w:szCs w:val="20"/>
          <w:shd w:val="clear" w:color="auto" w:fill="FFFFFF"/>
        </w:rPr>
        <w:t>these</w:t>
      </w:r>
      <w:r w:rsidR="006324DC" w:rsidRPr="006C7B74">
        <w:rPr>
          <w:rStyle w:val="normaltextrun"/>
          <w:rFonts w:cstheme="minorHAnsi"/>
          <w:color w:val="000000"/>
          <w:sz w:val="20"/>
          <w:szCs w:val="20"/>
          <w:shd w:val="clear" w:color="auto" w:fill="FFFFFF"/>
        </w:rPr>
        <w:t xml:space="preserve"> precincts</w:t>
      </w:r>
      <w:r w:rsidR="005551BB" w:rsidRPr="006C7B74">
        <w:rPr>
          <w:rStyle w:val="normaltextrun"/>
          <w:rFonts w:cstheme="minorHAnsi"/>
          <w:color w:val="000000"/>
          <w:sz w:val="20"/>
          <w:szCs w:val="20"/>
          <w:shd w:val="clear" w:color="auto" w:fill="FFFFFF"/>
        </w:rPr>
        <w:t xml:space="preserve"> </w:t>
      </w:r>
      <w:r w:rsidRPr="006C7B74">
        <w:rPr>
          <w:rStyle w:val="normaltextrun"/>
          <w:rFonts w:cstheme="minorHAnsi"/>
          <w:color w:val="000000"/>
          <w:sz w:val="20"/>
          <w:szCs w:val="20"/>
          <w:shd w:val="clear" w:color="auto" w:fill="FFFFFF"/>
        </w:rPr>
        <w:t xml:space="preserve">perform an important role </w:t>
      </w:r>
      <w:r w:rsidR="0020191B" w:rsidRPr="006C7B74">
        <w:rPr>
          <w:rStyle w:val="normaltextrun"/>
          <w:rFonts w:cstheme="minorHAnsi"/>
          <w:color w:val="000000"/>
          <w:sz w:val="20"/>
          <w:szCs w:val="20"/>
          <w:shd w:val="clear" w:color="auto" w:fill="FFFFFF"/>
        </w:rPr>
        <w:t>in</w:t>
      </w:r>
      <w:r w:rsidRPr="006C7B74">
        <w:rPr>
          <w:rStyle w:val="normaltextrun"/>
          <w:rFonts w:cstheme="minorHAnsi"/>
          <w:color w:val="000000"/>
          <w:sz w:val="20"/>
          <w:szCs w:val="20"/>
          <w:shd w:val="clear" w:color="auto" w:fill="FFFFFF"/>
        </w:rPr>
        <w:t xml:space="preserve"> providing locations for small and medium size</w:t>
      </w:r>
      <w:r w:rsidR="00126CCD" w:rsidRPr="006C7B74">
        <w:rPr>
          <w:rStyle w:val="normaltextrun"/>
          <w:rFonts w:cstheme="minorHAnsi"/>
          <w:color w:val="000000"/>
          <w:sz w:val="20"/>
          <w:szCs w:val="20"/>
          <w:shd w:val="clear" w:color="auto" w:fill="FFFFFF"/>
        </w:rPr>
        <w:t>d</w:t>
      </w:r>
      <w:r w:rsidRPr="006C7B74">
        <w:rPr>
          <w:rStyle w:val="normaltextrun"/>
          <w:rFonts w:cstheme="minorHAnsi"/>
          <w:color w:val="000000"/>
          <w:sz w:val="20"/>
          <w:szCs w:val="20"/>
          <w:shd w:val="clear" w:color="auto" w:fill="FFFFFF"/>
        </w:rPr>
        <w:t xml:space="preserve"> businesses in the region. These areas have become more significant</w:t>
      </w:r>
      <w:r w:rsidR="00400181" w:rsidRPr="006C7B74">
        <w:rPr>
          <w:rStyle w:val="normaltextrun"/>
          <w:rFonts w:cstheme="minorHAnsi"/>
          <w:color w:val="000000"/>
          <w:sz w:val="20"/>
          <w:szCs w:val="20"/>
          <w:shd w:val="clear" w:color="auto" w:fill="FFFFFF"/>
        </w:rPr>
        <w:t>,</w:t>
      </w:r>
      <w:r w:rsidRPr="006C7B74">
        <w:rPr>
          <w:rStyle w:val="normaltextrun"/>
          <w:rFonts w:cstheme="minorHAnsi"/>
          <w:color w:val="000000"/>
          <w:sz w:val="20"/>
          <w:szCs w:val="20"/>
          <w:shd w:val="clear" w:color="auto" w:fill="FFFFFF"/>
        </w:rPr>
        <w:t xml:space="preserve"> as industrial businesses in the inner city have been displaced as a result of rezoning of industrial land for alternative uses. They also play an important role</w:t>
      </w:r>
      <w:r w:rsidR="00126CCD" w:rsidRPr="006C7B74">
        <w:rPr>
          <w:rStyle w:val="normaltextrun"/>
          <w:rFonts w:cstheme="minorHAnsi"/>
          <w:color w:val="000000"/>
          <w:sz w:val="20"/>
          <w:szCs w:val="20"/>
          <w:shd w:val="clear" w:color="auto" w:fill="FFFFFF"/>
        </w:rPr>
        <w:t xml:space="preserve"> in meeting</w:t>
      </w:r>
      <w:r w:rsidRPr="006C7B74">
        <w:rPr>
          <w:rStyle w:val="normaltextrun"/>
          <w:rFonts w:cstheme="minorHAnsi"/>
          <w:color w:val="000000"/>
          <w:sz w:val="20"/>
          <w:szCs w:val="20"/>
          <w:shd w:val="clear" w:color="auto" w:fill="FFFFFF"/>
        </w:rPr>
        <w:t xml:space="preserve"> strong demand for businesses </w:t>
      </w:r>
      <w:r w:rsidR="00FE3F90" w:rsidRPr="006C7B74">
        <w:rPr>
          <w:rStyle w:val="normaltextrun"/>
          <w:rFonts w:cstheme="minorHAnsi"/>
          <w:color w:val="000000"/>
          <w:sz w:val="20"/>
          <w:szCs w:val="20"/>
          <w:shd w:val="clear" w:color="auto" w:fill="FFFFFF"/>
        </w:rPr>
        <w:t xml:space="preserve">which </w:t>
      </w:r>
      <w:r w:rsidRPr="006C7B74">
        <w:rPr>
          <w:rStyle w:val="normaltextrun"/>
          <w:rFonts w:cstheme="minorHAnsi"/>
          <w:color w:val="000000"/>
          <w:sz w:val="20"/>
          <w:szCs w:val="20"/>
          <w:shd w:val="clear" w:color="auto" w:fill="FFFFFF"/>
        </w:rPr>
        <w:t>serv</w:t>
      </w:r>
      <w:r w:rsidR="00FE3F90" w:rsidRPr="006C7B74">
        <w:rPr>
          <w:rStyle w:val="normaltextrun"/>
          <w:rFonts w:cstheme="minorHAnsi"/>
          <w:color w:val="000000"/>
          <w:sz w:val="20"/>
          <w:szCs w:val="20"/>
          <w:shd w:val="clear" w:color="auto" w:fill="FFFFFF"/>
        </w:rPr>
        <w:t>e</w:t>
      </w:r>
      <w:r w:rsidRPr="006C7B74">
        <w:rPr>
          <w:rStyle w:val="normaltextrun"/>
          <w:rFonts w:cstheme="minorHAnsi"/>
          <w:color w:val="000000"/>
          <w:sz w:val="20"/>
          <w:szCs w:val="20"/>
          <w:shd w:val="clear" w:color="auto" w:fill="FFFFFF"/>
        </w:rPr>
        <w:t xml:space="preserve"> industry in Melbourne’s outer eastern region.</w:t>
      </w:r>
    </w:p>
    <w:p w14:paraId="5849ADA2" w14:textId="553CB626" w:rsidR="00DB3C3D" w:rsidRPr="006C7B74" w:rsidRDefault="00DB3C3D" w:rsidP="00934C4D">
      <w:pPr>
        <w:spacing w:after="120"/>
        <w:rPr>
          <w:rStyle w:val="normaltextrun"/>
          <w:rFonts w:cstheme="minorHAnsi"/>
          <w:color w:val="000000"/>
          <w:sz w:val="20"/>
          <w:szCs w:val="20"/>
          <w:shd w:val="clear" w:color="auto" w:fill="FFFFFF"/>
          <w:lang w:val="en-GB"/>
        </w:rPr>
      </w:pPr>
      <w:r w:rsidRPr="006C7B74">
        <w:rPr>
          <w:rStyle w:val="normaltextrun"/>
          <w:rFonts w:cstheme="minorHAnsi"/>
          <w:color w:val="000000"/>
          <w:sz w:val="20"/>
          <w:szCs w:val="20"/>
          <w:shd w:val="clear" w:color="auto" w:fill="FFFFFF"/>
          <w:lang w:val="en-GB"/>
        </w:rPr>
        <w:t xml:space="preserve">The </w:t>
      </w:r>
      <w:r w:rsidRPr="006C7B74">
        <w:rPr>
          <w:rStyle w:val="normaltextrun"/>
          <w:rFonts w:cstheme="minorHAnsi"/>
          <w:b/>
          <w:color w:val="000000"/>
          <w:sz w:val="20"/>
          <w:szCs w:val="20"/>
          <w:shd w:val="clear" w:color="auto" w:fill="FFFFFF"/>
          <w:lang w:val="en-GB"/>
        </w:rPr>
        <w:t>Box Hill Metropolitan Activity Centre</w:t>
      </w:r>
      <w:r w:rsidRPr="006C7B74">
        <w:rPr>
          <w:rStyle w:val="normaltextrun"/>
          <w:rFonts w:cstheme="minorHAnsi"/>
          <w:color w:val="000000"/>
          <w:sz w:val="20"/>
          <w:szCs w:val="20"/>
          <w:shd w:val="clear" w:color="auto" w:fill="FFFFFF"/>
          <w:lang w:val="en-GB"/>
        </w:rPr>
        <w:t xml:space="preserve"> is a significant regional</w:t>
      </w:r>
      <w:r w:rsidR="00231A2C" w:rsidRPr="006C7B74">
        <w:rPr>
          <w:rStyle w:val="normaltextrun"/>
          <w:rFonts w:cstheme="minorHAnsi"/>
          <w:color w:val="000000"/>
          <w:sz w:val="20"/>
          <w:szCs w:val="20"/>
          <w:shd w:val="clear" w:color="auto" w:fill="FFFFFF"/>
          <w:lang w:val="en-GB"/>
        </w:rPr>
        <w:t xml:space="preserve"> </w:t>
      </w:r>
      <w:r w:rsidR="00A06647" w:rsidRPr="006C7B74">
        <w:rPr>
          <w:rStyle w:val="normaltextrun"/>
          <w:rFonts w:cstheme="minorHAnsi"/>
          <w:color w:val="000000"/>
          <w:sz w:val="20"/>
          <w:szCs w:val="20"/>
          <w:shd w:val="clear" w:color="auto" w:fill="FFFFFF"/>
          <w:lang w:val="en-GB"/>
        </w:rPr>
        <w:t>mixed</w:t>
      </w:r>
      <w:r w:rsidR="0056728A" w:rsidRPr="006C7B74">
        <w:rPr>
          <w:rStyle w:val="normaltextrun"/>
          <w:rFonts w:cstheme="minorHAnsi"/>
          <w:color w:val="000000"/>
          <w:sz w:val="20"/>
          <w:szCs w:val="20"/>
          <w:shd w:val="clear" w:color="auto" w:fill="FFFFFF"/>
          <w:lang w:val="en-GB"/>
        </w:rPr>
        <w:t>-</w:t>
      </w:r>
      <w:r w:rsidR="00A06647" w:rsidRPr="006C7B74">
        <w:rPr>
          <w:rStyle w:val="normaltextrun"/>
          <w:rFonts w:cstheme="minorHAnsi"/>
          <w:color w:val="000000"/>
          <w:sz w:val="20"/>
          <w:szCs w:val="20"/>
          <w:shd w:val="clear" w:color="auto" w:fill="FFFFFF"/>
          <w:lang w:val="en-GB"/>
        </w:rPr>
        <w:t>use</w:t>
      </w:r>
      <w:r w:rsidR="00231A2C"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centre with high accessibility to the Melbourne CBD. It comprises approximately</w:t>
      </w:r>
      <w:r w:rsidR="00BA7CD2" w:rsidRPr="006C7B74">
        <w:rPr>
          <w:rStyle w:val="normaltextrun"/>
          <w:rFonts w:cstheme="minorHAnsi"/>
          <w:color w:val="000000"/>
          <w:sz w:val="20"/>
          <w:szCs w:val="20"/>
          <w:shd w:val="clear" w:color="auto" w:fill="FFFFFF"/>
          <w:lang w:val="en-GB"/>
        </w:rPr>
        <w:t xml:space="preserve"> </w:t>
      </w:r>
      <w:r w:rsidR="00C83162" w:rsidRPr="006C7B74">
        <w:rPr>
          <w:rStyle w:val="normaltextrun"/>
          <w:rFonts w:cstheme="minorHAnsi"/>
          <w:color w:val="000000"/>
          <w:sz w:val="20"/>
          <w:szCs w:val="20"/>
          <w:shd w:val="clear" w:color="auto" w:fill="FFFFFF"/>
          <w:lang w:val="en-GB"/>
        </w:rPr>
        <w:t>182,8</w:t>
      </w:r>
      <w:r w:rsidR="005319E4" w:rsidRPr="006C7B74">
        <w:rPr>
          <w:rStyle w:val="normaltextrun"/>
          <w:rFonts w:cstheme="minorHAnsi"/>
          <w:color w:val="000000"/>
          <w:sz w:val="20"/>
          <w:szCs w:val="20"/>
          <w:shd w:val="clear" w:color="auto" w:fill="FFFFFF"/>
          <w:lang w:val="en-GB"/>
        </w:rPr>
        <w:t>60</w:t>
      </w:r>
      <w:r w:rsidR="00C83162"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square metres of commercial floorspace with</w:t>
      </w:r>
      <w:r w:rsidR="001D5B6E"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significant retailing, office, accommodation,</w:t>
      </w:r>
      <w:r w:rsidR="00BA7CD2"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 xml:space="preserve">restaurant, civic, health and education facilities. </w:t>
      </w:r>
    </w:p>
    <w:p w14:paraId="59443EB3" w14:textId="3A509354" w:rsidR="00DB3C3D" w:rsidRPr="006C7B74" w:rsidRDefault="00DB3C3D" w:rsidP="00934C4D">
      <w:pPr>
        <w:spacing w:after="120"/>
        <w:rPr>
          <w:rStyle w:val="normaltextrun"/>
          <w:rFonts w:cstheme="minorHAnsi"/>
          <w:color w:val="000000"/>
          <w:sz w:val="20"/>
          <w:szCs w:val="20"/>
          <w:shd w:val="clear" w:color="auto" w:fill="FFFFFF"/>
          <w:lang w:val="en-GB"/>
        </w:rPr>
      </w:pPr>
      <w:r w:rsidRPr="006C7B74">
        <w:rPr>
          <w:rStyle w:val="normaltextrun"/>
          <w:rFonts w:cstheme="minorHAnsi"/>
          <w:color w:val="000000"/>
          <w:sz w:val="20"/>
          <w:szCs w:val="20"/>
          <w:shd w:val="clear" w:color="auto" w:fill="FFFFFF"/>
          <w:lang w:val="en-GB"/>
        </w:rPr>
        <w:t xml:space="preserve">The </w:t>
      </w:r>
      <w:r w:rsidRPr="006C7B74">
        <w:rPr>
          <w:rStyle w:val="normaltextrun"/>
          <w:rFonts w:cstheme="minorHAnsi"/>
          <w:b/>
          <w:color w:val="000000"/>
          <w:sz w:val="20"/>
          <w:szCs w:val="20"/>
          <w:shd w:val="clear" w:color="auto" w:fill="FFFFFF"/>
          <w:lang w:val="en-GB"/>
        </w:rPr>
        <w:t>Ringwood</w:t>
      </w:r>
      <w:r w:rsidR="001D5B6E" w:rsidRPr="006C7B74">
        <w:rPr>
          <w:rStyle w:val="normaltextrun"/>
          <w:rFonts w:cstheme="minorHAnsi"/>
          <w:b/>
          <w:color w:val="000000"/>
          <w:sz w:val="20"/>
          <w:szCs w:val="20"/>
          <w:shd w:val="clear" w:color="auto" w:fill="FFFFFF"/>
          <w:lang w:val="en-GB"/>
        </w:rPr>
        <w:t xml:space="preserve"> </w:t>
      </w:r>
      <w:r w:rsidRPr="006C7B74">
        <w:rPr>
          <w:rStyle w:val="normaltextrun"/>
          <w:rFonts w:cstheme="minorHAnsi"/>
          <w:b/>
          <w:color w:val="000000"/>
          <w:sz w:val="20"/>
          <w:szCs w:val="20"/>
          <w:shd w:val="clear" w:color="auto" w:fill="FFFFFF"/>
          <w:lang w:val="en-GB"/>
        </w:rPr>
        <w:t>Metropolitan Activity Centre</w:t>
      </w:r>
      <w:r w:rsidRPr="006C7B74">
        <w:rPr>
          <w:rStyle w:val="normaltextrun"/>
          <w:rFonts w:cstheme="minorHAnsi"/>
          <w:color w:val="000000"/>
          <w:sz w:val="20"/>
          <w:szCs w:val="20"/>
          <w:shd w:val="clear" w:color="auto" w:fill="FFFFFF"/>
          <w:lang w:val="en-GB"/>
        </w:rPr>
        <w:t xml:space="preserve"> has an important regional role</w:t>
      </w:r>
      <w:r w:rsidR="0020191B" w:rsidRPr="006C7B74">
        <w:rPr>
          <w:rStyle w:val="normaltextrun"/>
          <w:rFonts w:cstheme="minorHAnsi"/>
          <w:color w:val="000000"/>
          <w:sz w:val="20"/>
          <w:szCs w:val="20"/>
          <w:shd w:val="clear" w:color="auto" w:fill="FFFFFF"/>
          <w:lang w:val="en-GB"/>
        </w:rPr>
        <w:t>,</w:t>
      </w:r>
      <w:r w:rsidRPr="006C7B74">
        <w:rPr>
          <w:rStyle w:val="normaltextrun"/>
          <w:rFonts w:cstheme="minorHAnsi"/>
          <w:color w:val="000000"/>
          <w:sz w:val="20"/>
          <w:szCs w:val="20"/>
          <w:shd w:val="clear" w:color="auto" w:fill="FFFFFF"/>
          <w:lang w:val="en-GB"/>
        </w:rPr>
        <w:t xml:space="preserve"> with</w:t>
      </w:r>
      <w:r w:rsidR="001D5B6E"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good</w:t>
      </w:r>
      <w:r w:rsidR="001D5B6E"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accessibility to the Melbourne CBD</w:t>
      </w:r>
      <w:r w:rsidR="001D5B6E"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 xml:space="preserve">and the Eastern </w:t>
      </w:r>
      <w:r w:rsidR="00F40E46" w:rsidRPr="006C7B74">
        <w:rPr>
          <w:rStyle w:val="normaltextrun"/>
          <w:rFonts w:cstheme="minorHAnsi"/>
          <w:color w:val="000000"/>
          <w:sz w:val="20"/>
          <w:szCs w:val="20"/>
          <w:shd w:val="clear" w:color="auto" w:fill="FFFFFF"/>
          <w:lang w:val="en-GB"/>
        </w:rPr>
        <w:t>R</w:t>
      </w:r>
      <w:r w:rsidRPr="006C7B74">
        <w:rPr>
          <w:rStyle w:val="normaltextrun"/>
          <w:rFonts w:cstheme="minorHAnsi"/>
          <w:color w:val="000000"/>
          <w:sz w:val="20"/>
          <w:szCs w:val="20"/>
          <w:shd w:val="clear" w:color="auto" w:fill="FFFFFF"/>
          <w:lang w:val="en-GB"/>
        </w:rPr>
        <w:t>egion</w:t>
      </w:r>
      <w:r w:rsidR="001D5B6E"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via rail and road</w:t>
      </w:r>
      <w:r w:rsidR="001D5B6E"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links,</w:t>
      </w:r>
      <w:r w:rsidR="001D5B6E"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with relatively</w:t>
      </w:r>
      <w:r w:rsidR="001D5B6E"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large areas of land for expansion, consolidation and mixed</w:t>
      </w:r>
      <w:r w:rsidR="00994D93" w:rsidRPr="006C7B74">
        <w:rPr>
          <w:rStyle w:val="normaltextrun"/>
          <w:rFonts w:cstheme="minorHAnsi"/>
          <w:color w:val="000000"/>
          <w:sz w:val="20"/>
          <w:szCs w:val="20"/>
          <w:shd w:val="clear" w:color="auto" w:fill="FFFFFF"/>
          <w:lang w:val="en-GB"/>
        </w:rPr>
        <w:t>-</w:t>
      </w:r>
      <w:r w:rsidRPr="006C7B74">
        <w:rPr>
          <w:rStyle w:val="normaltextrun"/>
          <w:rFonts w:cstheme="minorHAnsi"/>
          <w:color w:val="000000"/>
          <w:sz w:val="20"/>
          <w:szCs w:val="20"/>
          <w:shd w:val="clear" w:color="auto" w:fill="FFFFFF"/>
          <w:lang w:val="en-GB"/>
        </w:rPr>
        <w:t>uses.</w:t>
      </w:r>
      <w:r w:rsidR="001D5B6E"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It comprises approximately</w:t>
      </w:r>
      <w:r w:rsidR="001D5B6E" w:rsidRPr="006C7B74">
        <w:rPr>
          <w:rStyle w:val="normaltextrun"/>
          <w:rFonts w:cstheme="minorHAnsi"/>
          <w:color w:val="000000"/>
          <w:sz w:val="20"/>
          <w:szCs w:val="20"/>
          <w:shd w:val="clear" w:color="auto" w:fill="FFFFFF"/>
          <w:lang w:val="en-GB"/>
        </w:rPr>
        <w:t xml:space="preserve"> </w:t>
      </w:r>
      <w:r w:rsidR="0058628A" w:rsidRPr="006C7B74">
        <w:rPr>
          <w:rStyle w:val="normaltextrun"/>
          <w:rFonts w:cstheme="minorHAnsi"/>
          <w:color w:val="000000"/>
          <w:sz w:val="20"/>
          <w:szCs w:val="20"/>
          <w:shd w:val="clear" w:color="auto" w:fill="FFFFFF"/>
          <w:lang w:val="en-GB"/>
        </w:rPr>
        <w:t>256,5</w:t>
      </w:r>
      <w:r w:rsidR="00F40E46" w:rsidRPr="006C7B74">
        <w:rPr>
          <w:rStyle w:val="normaltextrun"/>
          <w:rFonts w:cstheme="minorHAnsi"/>
          <w:color w:val="000000"/>
          <w:sz w:val="20"/>
          <w:szCs w:val="20"/>
          <w:shd w:val="clear" w:color="auto" w:fill="FFFFFF"/>
          <w:lang w:val="en-GB"/>
        </w:rPr>
        <w:t>70</w:t>
      </w:r>
      <w:r w:rsidR="0058628A"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square metres of commercial floorspace with substantial retailing uses.</w:t>
      </w:r>
      <w:r w:rsidR="001D5B6E"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 xml:space="preserve">The centre has been predominantly retail </w:t>
      </w:r>
      <w:r w:rsidR="0020191B" w:rsidRPr="006C7B74">
        <w:rPr>
          <w:rStyle w:val="normaltextrun"/>
          <w:rFonts w:cstheme="minorHAnsi"/>
          <w:color w:val="000000"/>
          <w:sz w:val="20"/>
          <w:szCs w:val="20"/>
          <w:shd w:val="clear" w:color="auto" w:fill="FFFFFF"/>
          <w:lang w:val="en-GB"/>
        </w:rPr>
        <w:t>focussed</w:t>
      </w:r>
      <w:r w:rsidRPr="006C7B74">
        <w:rPr>
          <w:rStyle w:val="normaltextrun"/>
          <w:rFonts w:cstheme="minorHAnsi"/>
          <w:color w:val="000000"/>
          <w:sz w:val="20"/>
          <w:szCs w:val="20"/>
          <w:shd w:val="clear" w:color="auto" w:fill="FFFFFF"/>
          <w:lang w:val="en-GB"/>
        </w:rPr>
        <w:t xml:space="preserve"> but is increasingly moving towards a range</w:t>
      </w:r>
      <w:r w:rsidR="001D5B6E"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of</w:t>
      </w:r>
      <w:r w:rsidR="001D5B6E"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accommodation, food and drink</w:t>
      </w:r>
      <w:r w:rsidR="001D5B6E"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and office uses.</w:t>
      </w:r>
    </w:p>
    <w:p w14:paraId="77FC6AE7" w14:textId="49774D02" w:rsidR="00DB3C3D" w:rsidRPr="006C7B74" w:rsidRDefault="00DB3C3D" w:rsidP="00934C4D">
      <w:pPr>
        <w:spacing w:after="120"/>
        <w:rPr>
          <w:rStyle w:val="normaltextrun"/>
          <w:rFonts w:cstheme="minorHAnsi"/>
          <w:color w:val="000000"/>
          <w:sz w:val="20"/>
          <w:szCs w:val="20"/>
          <w:shd w:val="clear" w:color="auto" w:fill="FFFFFF"/>
          <w:lang w:val="en-GB"/>
        </w:rPr>
      </w:pPr>
      <w:r w:rsidRPr="006C7B74">
        <w:rPr>
          <w:rStyle w:val="normaltextrun"/>
          <w:rFonts w:cstheme="minorHAnsi"/>
          <w:color w:val="000000"/>
          <w:sz w:val="20"/>
          <w:szCs w:val="20"/>
          <w:shd w:val="clear" w:color="auto" w:fill="FFFFFF"/>
          <w:lang w:val="en-GB"/>
        </w:rPr>
        <w:t>There are 19</w:t>
      </w:r>
      <w:r w:rsidR="0017060E" w:rsidRPr="006C7B74">
        <w:rPr>
          <w:rStyle w:val="normaltextrun"/>
          <w:rFonts w:cstheme="minorHAnsi"/>
          <w:color w:val="000000"/>
          <w:sz w:val="20"/>
          <w:szCs w:val="20"/>
          <w:shd w:val="clear" w:color="auto" w:fill="FFFFFF"/>
          <w:lang w:val="en-GB"/>
        </w:rPr>
        <w:t xml:space="preserve"> </w:t>
      </w:r>
      <w:r w:rsidR="00625661" w:rsidRPr="006C7B74">
        <w:rPr>
          <w:rStyle w:val="normaltextrun"/>
          <w:rFonts w:cstheme="minorHAnsi"/>
          <w:b/>
          <w:color w:val="000000"/>
          <w:sz w:val="20"/>
          <w:szCs w:val="20"/>
          <w:shd w:val="clear" w:color="auto" w:fill="FFFFFF"/>
          <w:lang w:val="en-GB"/>
        </w:rPr>
        <w:t>m</w:t>
      </w:r>
      <w:r w:rsidRPr="006C7B74">
        <w:rPr>
          <w:rStyle w:val="normaltextrun"/>
          <w:rFonts w:cstheme="minorHAnsi"/>
          <w:b/>
          <w:color w:val="000000"/>
          <w:sz w:val="20"/>
          <w:szCs w:val="20"/>
          <w:shd w:val="clear" w:color="auto" w:fill="FFFFFF"/>
          <w:lang w:val="en-GB"/>
        </w:rPr>
        <w:t xml:space="preserve">ajor </w:t>
      </w:r>
      <w:r w:rsidR="00625661" w:rsidRPr="006C7B74">
        <w:rPr>
          <w:rStyle w:val="normaltextrun"/>
          <w:rFonts w:cstheme="minorHAnsi"/>
          <w:b/>
          <w:color w:val="000000"/>
          <w:sz w:val="20"/>
          <w:szCs w:val="20"/>
          <w:shd w:val="clear" w:color="auto" w:fill="FFFFFF"/>
          <w:lang w:val="en-GB"/>
        </w:rPr>
        <w:t>a</w:t>
      </w:r>
      <w:r w:rsidRPr="006C7B74">
        <w:rPr>
          <w:rStyle w:val="normaltextrun"/>
          <w:rFonts w:cstheme="minorHAnsi"/>
          <w:b/>
          <w:color w:val="000000"/>
          <w:sz w:val="20"/>
          <w:szCs w:val="20"/>
          <w:shd w:val="clear" w:color="auto" w:fill="FFFFFF"/>
          <w:lang w:val="en-GB"/>
        </w:rPr>
        <w:t xml:space="preserve">ctivity </w:t>
      </w:r>
      <w:r w:rsidR="00625661" w:rsidRPr="006C7B74">
        <w:rPr>
          <w:rStyle w:val="normaltextrun"/>
          <w:rFonts w:cstheme="minorHAnsi"/>
          <w:b/>
          <w:color w:val="000000"/>
          <w:sz w:val="20"/>
          <w:szCs w:val="20"/>
          <w:shd w:val="clear" w:color="auto" w:fill="FFFFFF"/>
          <w:lang w:val="en-GB"/>
        </w:rPr>
        <w:t>c</w:t>
      </w:r>
      <w:r w:rsidRPr="006C7B74">
        <w:rPr>
          <w:rStyle w:val="normaltextrun"/>
          <w:rFonts w:cstheme="minorHAnsi"/>
          <w:b/>
          <w:color w:val="000000"/>
          <w:sz w:val="20"/>
          <w:szCs w:val="20"/>
          <w:shd w:val="clear" w:color="auto" w:fill="FFFFFF"/>
          <w:lang w:val="en-GB"/>
        </w:rPr>
        <w:t>entres</w:t>
      </w:r>
      <w:r w:rsidRPr="006C7B74">
        <w:rPr>
          <w:rStyle w:val="normaltextrun"/>
          <w:rFonts w:cstheme="minorHAnsi"/>
          <w:color w:val="000000"/>
          <w:sz w:val="20"/>
          <w:szCs w:val="20"/>
          <w:shd w:val="clear" w:color="auto" w:fill="FFFFFF"/>
          <w:lang w:val="en-GB"/>
        </w:rPr>
        <w:t xml:space="preserve"> across the region</w:t>
      </w:r>
      <w:r w:rsidR="001909B6" w:rsidRPr="006C7B74">
        <w:rPr>
          <w:rStyle w:val="normaltextrun"/>
          <w:rFonts w:cstheme="minorHAnsi"/>
          <w:color w:val="000000"/>
          <w:sz w:val="20"/>
          <w:szCs w:val="20"/>
          <w:shd w:val="clear" w:color="auto" w:fill="FFFFFF"/>
          <w:lang w:val="en-GB"/>
        </w:rPr>
        <w:t xml:space="preserve"> which offer significant retailing, serving larger sub-regional catchments</w:t>
      </w:r>
      <w:r w:rsidRPr="006C7B74">
        <w:rPr>
          <w:rStyle w:val="normaltextrun"/>
          <w:rFonts w:cstheme="minorHAnsi"/>
          <w:color w:val="000000"/>
          <w:sz w:val="20"/>
          <w:szCs w:val="20"/>
          <w:shd w:val="clear" w:color="auto" w:fill="FFFFFF"/>
          <w:lang w:val="en-GB"/>
        </w:rPr>
        <w:t>. Larger free-standing shopping centres</w:t>
      </w:r>
      <w:r w:rsidR="0017060E"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and restricted retailing uses</w:t>
      </w:r>
      <w:r w:rsidR="0017060E" w:rsidRPr="006C7B74">
        <w:rPr>
          <w:rStyle w:val="normaltextrun"/>
          <w:rFonts w:cstheme="minorHAnsi"/>
          <w:color w:val="000000"/>
          <w:sz w:val="20"/>
          <w:szCs w:val="20"/>
          <w:shd w:val="clear" w:color="auto" w:fill="FFFFFF"/>
          <w:lang w:val="en-GB"/>
        </w:rPr>
        <w:t xml:space="preserve"> </w:t>
      </w:r>
      <w:r w:rsidR="00CF34CE" w:rsidRPr="006C7B74">
        <w:rPr>
          <w:rStyle w:val="normaltextrun"/>
          <w:rFonts w:cstheme="minorHAnsi"/>
          <w:color w:val="000000"/>
          <w:sz w:val="20"/>
          <w:szCs w:val="20"/>
          <w:shd w:val="clear" w:color="auto" w:fill="FFFFFF"/>
          <w:lang w:val="en-GB"/>
        </w:rPr>
        <w:t>are found at</w:t>
      </w:r>
      <w:r w:rsidR="0017060E"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Chirnside Park, Doncaster Hill,</w:t>
      </w:r>
      <w:r w:rsidR="0017060E"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Forest Hill Chase, Glen Waverley,</w:t>
      </w:r>
      <w:r w:rsidR="0017060E" w:rsidRPr="006C7B74">
        <w:rPr>
          <w:rStyle w:val="normaltextrun"/>
          <w:rFonts w:cstheme="minorHAnsi"/>
          <w:color w:val="000000"/>
          <w:sz w:val="20"/>
          <w:szCs w:val="20"/>
          <w:shd w:val="clear" w:color="auto" w:fill="FFFFFF"/>
          <w:lang w:val="en-GB"/>
        </w:rPr>
        <w:t xml:space="preserve"> </w:t>
      </w:r>
      <w:proofErr w:type="spellStart"/>
      <w:r w:rsidRPr="006C7B74">
        <w:rPr>
          <w:rStyle w:val="normaltextrun"/>
          <w:rFonts w:cstheme="minorHAnsi"/>
          <w:color w:val="000000"/>
          <w:sz w:val="20"/>
          <w:szCs w:val="20"/>
          <w:shd w:val="clear" w:color="auto" w:fill="FFFFFF"/>
          <w:lang w:val="en-GB"/>
        </w:rPr>
        <w:t>Nunawading</w:t>
      </w:r>
      <w:proofErr w:type="spellEnd"/>
      <w:r w:rsidR="0017060E"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and</w:t>
      </w:r>
      <w:r w:rsidR="0017060E" w:rsidRPr="006C7B74">
        <w:rPr>
          <w:rStyle w:val="normaltextrun"/>
          <w:rFonts w:cstheme="minorHAnsi"/>
          <w:color w:val="000000"/>
          <w:sz w:val="20"/>
          <w:szCs w:val="20"/>
          <w:shd w:val="clear" w:color="auto" w:fill="FFFFFF"/>
          <w:lang w:val="en-GB"/>
        </w:rPr>
        <w:t xml:space="preserve"> </w:t>
      </w:r>
      <w:proofErr w:type="spellStart"/>
      <w:r w:rsidRPr="006C7B74">
        <w:rPr>
          <w:rStyle w:val="normaltextrun"/>
          <w:rFonts w:cstheme="minorHAnsi"/>
          <w:color w:val="000000"/>
          <w:sz w:val="20"/>
          <w:szCs w:val="20"/>
          <w:shd w:val="clear" w:color="auto" w:fill="FFFFFF"/>
          <w:lang w:val="en-GB"/>
        </w:rPr>
        <w:t>Wantirna</w:t>
      </w:r>
      <w:proofErr w:type="spellEnd"/>
      <w:r w:rsidRPr="006C7B74">
        <w:rPr>
          <w:rStyle w:val="normaltextrun"/>
          <w:rFonts w:cstheme="minorHAnsi"/>
          <w:color w:val="000000"/>
          <w:sz w:val="20"/>
          <w:szCs w:val="20"/>
          <w:shd w:val="clear" w:color="auto" w:fill="FFFFFF"/>
          <w:lang w:val="en-GB"/>
        </w:rPr>
        <w:t xml:space="preserve"> South-Knox Central</w:t>
      </w:r>
      <w:r w:rsidR="00CC2154" w:rsidRPr="006C7B74">
        <w:rPr>
          <w:rStyle w:val="normaltextrun"/>
          <w:rFonts w:cstheme="minorHAnsi"/>
          <w:color w:val="000000"/>
          <w:sz w:val="20"/>
          <w:szCs w:val="20"/>
          <w:shd w:val="clear" w:color="auto" w:fill="FFFFFF"/>
          <w:lang w:val="en-GB"/>
        </w:rPr>
        <w:t>.</w:t>
      </w:r>
      <w:r w:rsidR="0017060E"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In other parts of the region,</w:t>
      </w:r>
      <w:r w:rsidR="0017060E"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strip-based centres such as</w:t>
      </w:r>
      <w:r w:rsidR="0017060E"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Boronia,</w:t>
      </w:r>
      <w:r w:rsidR="0017060E"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 xml:space="preserve">Croydon, </w:t>
      </w:r>
      <w:proofErr w:type="spellStart"/>
      <w:r w:rsidRPr="006C7B74">
        <w:rPr>
          <w:rStyle w:val="normaltextrun"/>
          <w:rFonts w:cstheme="minorHAnsi"/>
          <w:color w:val="000000"/>
          <w:sz w:val="20"/>
          <w:szCs w:val="20"/>
          <w:shd w:val="clear" w:color="auto" w:fill="FFFFFF"/>
          <w:lang w:val="en-GB"/>
        </w:rPr>
        <w:t>Lilydale</w:t>
      </w:r>
      <w:proofErr w:type="spellEnd"/>
      <w:r w:rsidRPr="006C7B74">
        <w:rPr>
          <w:rStyle w:val="normaltextrun"/>
          <w:rFonts w:cstheme="minorHAnsi"/>
          <w:color w:val="000000"/>
          <w:sz w:val="20"/>
          <w:szCs w:val="20"/>
          <w:shd w:val="clear" w:color="auto" w:fill="FFFFFF"/>
          <w:lang w:val="en-GB"/>
        </w:rPr>
        <w:t xml:space="preserve"> and Oakleigh</w:t>
      </w:r>
      <w:r w:rsidR="0017060E" w:rsidRPr="006C7B74">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offer a range of retailing, office and community uses.</w:t>
      </w:r>
      <w:r w:rsidR="00A059E3" w:rsidRPr="006C7B74">
        <w:rPr>
          <w:rStyle w:val="normaltextrun"/>
          <w:rFonts w:cstheme="minorHAnsi"/>
          <w:color w:val="000000"/>
          <w:sz w:val="20"/>
          <w:szCs w:val="20"/>
          <w:shd w:val="clear" w:color="auto" w:fill="FFFFFF"/>
          <w:lang w:val="en-GB"/>
        </w:rPr>
        <w:t xml:space="preserve"> </w:t>
      </w:r>
      <w:r w:rsidR="005E53DA" w:rsidRPr="006C7B74">
        <w:rPr>
          <w:rStyle w:val="normaltextrun"/>
          <w:rFonts w:cstheme="minorHAnsi"/>
          <w:color w:val="000000"/>
          <w:sz w:val="20"/>
          <w:szCs w:val="20"/>
          <w:shd w:val="clear" w:color="auto" w:fill="FFFFFF"/>
          <w:lang w:val="en-GB"/>
        </w:rPr>
        <w:t>Tally Ho</w:t>
      </w:r>
      <w:r w:rsidR="00B93676" w:rsidRPr="006C7B74">
        <w:rPr>
          <w:rStyle w:val="normaltextrun"/>
          <w:rFonts w:cstheme="minorHAnsi"/>
          <w:color w:val="000000"/>
          <w:sz w:val="20"/>
          <w:szCs w:val="20"/>
          <w:shd w:val="clear" w:color="auto" w:fill="FFFFFF"/>
          <w:lang w:val="en-GB"/>
        </w:rPr>
        <w:t xml:space="preserve"> Major Activity Centre acts as a regional employment node</w:t>
      </w:r>
      <w:r w:rsidR="00940234" w:rsidRPr="006C7B74">
        <w:rPr>
          <w:rStyle w:val="normaltextrun"/>
          <w:rFonts w:cstheme="minorHAnsi"/>
          <w:color w:val="000000"/>
          <w:sz w:val="20"/>
          <w:szCs w:val="20"/>
          <w:shd w:val="clear" w:color="auto" w:fill="FFFFFF"/>
          <w:lang w:val="en-GB"/>
        </w:rPr>
        <w:t xml:space="preserve"> with significant office space accommodating </w:t>
      </w:r>
      <w:r w:rsidR="002A25B4" w:rsidRPr="006C7B74">
        <w:rPr>
          <w:rStyle w:val="normaltextrun"/>
          <w:rFonts w:cstheme="minorHAnsi"/>
          <w:color w:val="000000"/>
          <w:sz w:val="20"/>
          <w:szCs w:val="20"/>
          <w:shd w:val="clear" w:color="auto" w:fill="FFFFFF"/>
          <w:lang w:val="en-GB"/>
        </w:rPr>
        <w:t xml:space="preserve">a range of professional services as well as </w:t>
      </w:r>
      <w:r w:rsidR="00862126" w:rsidRPr="006C7B74">
        <w:rPr>
          <w:rStyle w:val="normaltextrun"/>
          <w:rFonts w:cstheme="minorHAnsi"/>
          <w:color w:val="000000"/>
          <w:sz w:val="20"/>
          <w:szCs w:val="20"/>
          <w:shd w:val="clear" w:color="auto" w:fill="FFFFFF"/>
          <w:lang w:val="en-GB"/>
        </w:rPr>
        <w:t>government offices and headquarters for large corporations</w:t>
      </w:r>
      <w:r w:rsidR="00F1237F">
        <w:rPr>
          <w:rStyle w:val="normaltextrun"/>
          <w:rFonts w:cstheme="minorHAnsi"/>
          <w:color w:val="000000"/>
          <w:sz w:val="20"/>
          <w:szCs w:val="20"/>
          <w:shd w:val="clear" w:color="auto" w:fill="FFFFFF"/>
          <w:lang w:val="en-GB"/>
        </w:rPr>
        <w:t xml:space="preserve">. </w:t>
      </w:r>
      <w:r w:rsidRPr="006C7B74">
        <w:rPr>
          <w:rStyle w:val="normaltextrun"/>
          <w:rFonts w:cstheme="minorHAnsi"/>
          <w:color w:val="000000"/>
          <w:sz w:val="20"/>
          <w:szCs w:val="20"/>
          <w:shd w:val="clear" w:color="auto" w:fill="FFFFFF"/>
          <w:lang w:val="en-GB"/>
        </w:rPr>
        <w:t xml:space="preserve">These centres are supported by a range of large and small </w:t>
      </w:r>
      <w:r w:rsidR="003B169E" w:rsidRPr="006C7B74">
        <w:rPr>
          <w:rStyle w:val="normaltextrun"/>
          <w:rFonts w:cstheme="minorHAnsi"/>
          <w:color w:val="000000"/>
          <w:sz w:val="20"/>
          <w:szCs w:val="20"/>
          <w:shd w:val="clear" w:color="auto" w:fill="FFFFFF"/>
          <w:lang w:val="en-GB"/>
        </w:rPr>
        <w:t>n</w:t>
      </w:r>
      <w:r w:rsidRPr="006C7B74">
        <w:rPr>
          <w:rStyle w:val="normaltextrun"/>
          <w:rFonts w:cstheme="minorHAnsi"/>
          <w:color w:val="000000"/>
          <w:sz w:val="20"/>
          <w:szCs w:val="20"/>
          <w:shd w:val="clear" w:color="auto" w:fill="FFFFFF"/>
          <w:lang w:val="en-GB"/>
        </w:rPr>
        <w:t xml:space="preserve">eighbourhood </w:t>
      </w:r>
      <w:r w:rsidR="003B169E" w:rsidRPr="006C7B74">
        <w:rPr>
          <w:rStyle w:val="normaltextrun"/>
          <w:rFonts w:cstheme="minorHAnsi"/>
          <w:color w:val="000000"/>
          <w:sz w:val="20"/>
          <w:szCs w:val="20"/>
          <w:shd w:val="clear" w:color="auto" w:fill="FFFFFF"/>
          <w:lang w:val="en-GB"/>
        </w:rPr>
        <w:t>a</w:t>
      </w:r>
      <w:r w:rsidRPr="006C7B74">
        <w:rPr>
          <w:rStyle w:val="normaltextrun"/>
          <w:rFonts w:cstheme="minorHAnsi"/>
          <w:color w:val="000000"/>
          <w:sz w:val="20"/>
          <w:szCs w:val="20"/>
          <w:shd w:val="clear" w:color="auto" w:fill="FFFFFF"/>
          <w:lang w:val="en-GB"/>
        </w:rPr>
        <w:t xml:space="preserve">ctivity </w:t>
      </w:r>
      <w:r w:rsidR="003B169E" w:rsidRPr="006C7B74">
        <w:rPr>
          <w:rStyle w:val="normaltextrun"/>
          <w:rFonts w:cstheme="minorHAnsi"/>
          <w:color w:val="000000"/>
          <w:sz w:val="20"/>
          <w:szCs w:val="20"/>
          <w:shd w:val="clear" w:color="auto" w:fill="FFFFFF"/>
          <w:lang w:val="en-GB"/>
        </w:rPr>
        <w:t>c</w:t>
      </w:r>
      <w:r w:rsidRPr="006C7B74">
        <w:rPr>
          <w:rStyle w:val="normaltextrun"/>
          <w:rFonts w:cstheme="minorHAnsi"/>
          <w:color w:val="000000"/>
          <w:sz w:val="20"/>
          <w:szCs w:val="20"/>
          <w:shd w:val="clear" w:color="auto" w:fill="FFFFFF"/>
          <w:lang w:val="en-GB"/>
        </w:rPr>
        <w:t xml:space="preserve">entres. </w:t>
      </w:r>
    </w:p>
    <w:p w14:paraId="299E1422" w14:textId="77777777" w:rsidR="00DB3C3D" w:rsidRPr="006C7B74" w:rsidRDefault="00DB3C3D" w:rsidP="00934C4D">
      <w:pPr>
        <w:spacing w:after="120"/>
        <w:rPr>
          <w:rStyle w:val="normaltextrun"/>
          <w:rFonts w:cstheme="minorHAnsi"/>
          <w:color w:val="000000"/>
          <w:sz w:val="20"/>
          <w:szCs w:val="20"/>
          <w:shd w:val="clear" w:color="auto" w:fill="FFFFFF"/>
          <w:lang w:val="en-GB"/>
        </w:rPr>
      </w:pPr>
    </w:p>
    <w:p w14:paraId="431D1908" w14:textId="264084E6" w:rsidR="00DB3C3D" w:rsidRPr="006C7B74" w:rsidRDefault="00DB3C3D" w:rsidP="007420C4">
      <w:pPr>
        <w:spacing w:after="120"/>
        <w:rPr>
          <w:rFonts w:asciiTheme="majorHAnsi" w:eastAsiaTheme="majorEastAsia" w:hAnsiTheme="majorHAnsi" w:cstheme="majorBidi"/>
          <w:b/>
          <w:color w:val="4EBAC5" w:themeColor="accent1" w:themeShade="BF"/>
        </w:rPr>
      </w:pPr>
      <w:r w:rsidRPr="006C7B74">
        <w:rPr>
          <w:rFonts w:cstheme="minorHAnsi"/>
          <w:b/>
          <w:sz w:val="20"/>
          <w:szCs w:val="20"/>
        </w:rPr>
        <w:br w:type="page"/>
      </w:r>
    </w:p>
    <w:p w14:paraId="637358ED" w14:textId="6462F34F" w:rsidR="00732BE8" w:rsidRPr="006C7B74" w:rsidRDefault="00732BE8" w:rsidP="00934C4D">
      <w:pPr>
        <w:pStyle w:val="Heading2-Contenttable"/>
        <w:spacing w:after="120"/>
      </w:pPr>
      <w:bookmarkStart w:id="51" w:name="_Toc21694830"/>
      <w:r w:rsidRPr="006C7B74">
        <w:lastRenderedPageBreak/>
        <w:t>Supply and demand for industrial and commercial land across the region</w:t>
      </w:r>
      <w:bookmarkEnd w:id="51"/>
    </w:p>
    <w:p w14:paraId="122686B0" w14:textId="61DFC9F3" w:rsidR="00732BE8" w:rsidRPr="006C7B74" w:rsidRDefault="00732BE8" w:rsidP="00934C4D">
      <w:pPr>
        <w:pStyle w:val="Heading3"/>
        <w:spacing w:before="0" w:after="120"/>
      </w:pPr>
      <w:r w:rsidRPr="006C7B74">
        <w:t>Industrial land</w:t>
      </w:r>
    </w:p>
    <w:p w14:paraId="6EFAA070" w14:textId="567B1262" w:rsidR="00732BE8" w:rsidRPr="006C7B74" w:rsidRDefault="00732BE8" w:rsidP="00934C4D">
      <w:pPr>
        <w:spacing w:after="120"/>
        <w:rPr>
          <w:rFonts w:cstheme="minorHAnsi"/>
          <w:sz w:val="20"/>
          <w:szCs w:val="20"/>
        </w:rPr>
      </w:pPr>
      <w:r w:rsidRPr="006C7B74">
        <w:rPr>
          <w:rFonts w:cstheme="minorHAnsi"/>
          <w:sz w:val="20"/>
          <w:szCs w:val="20"/>
        </w:rPr>
        <w:t xml:space="preserve">The Eastern Region contains a total of </w:t>
      </w:r>
      <w:r w:rsidR="00D97C7B" w:rsidRPr="006C7B74">
        <w:rPr>
          <w:rFonts w:cstheme="minorHAnsi"/>
          <w:sz w:val="20"/>
          <w:szCs w:val="20"/>
        </w:rPr>
        <w:t>2,570</w:t>
      </w:r>
      <w:r w:rsidRPr="006C7B74">
        <w:rPr>
          <w:rFonts w:cstheme="minorHAnsi"/>
          <w:sz w:val="20"/>
          <w:szCs w:val="20"/>
        </w:rPr>
        <w:t xml:space="preserve"> hectares</w:t>
      </w:r>
      <w:r w:rsidR="000D1942" w:rsidRPr="006C7B74">
        <w:rPr>
          <w:rFonts w:cstheme="minorHAnsi"/>
          <w:sz w:val="20"/>
          <w:szCs w:val="20"/>
        </w:rPr>
        <w:t xml:space="preserve"> of land zoned </w:t>
      </w:r>
      <w:r w:rsidRPr="006C7B74">
        <w:rPr>
          <w:rFonts w:cstheme="minorHAnsi"/>
          <w:sz w:val="20"/>
          <w:szCs w:val="20"/>
        </w:rPr>
        <w:t xml:space="preserve">for industrial uses. Of this land, </w:t>
      </w:r>
      <w:r w:rsidR="00D97C7B" w:rsidRPr="006C7B74">
        <w:rPr>
          <w:rFonts w:cstheme="minorHAnsi"/>
          <w:sz w:val="20"/>
          <w:szCs w:val="20"/>
        </w:rPr>
        <w:t>2,435</w:t>
      </w:r>
      <w:r w:rsidRPr="006C7B74">
        <w:rPr>
          <w:rFonts w:cstheme="minorHAnsi"/>
          <w:sz w:val="20"/>
          <w:szCs w:val="20"/>
        </w:rPr>
        <w:t xml:space="preserve"> hectares is currently </w:t>
      </w:r>
      <w:proofErr w:type="gramStart"/>
      <w:r w:rsidRPr="006C7B74">
        <w:rPr>
          <w:rFonts w:cstheme="minorHAnsi"/>
          <w:sz w:val="20"/>
          <w:szCs w:val="20"/>
        </w:rPr>
        <w:t>occupied</w:t>
      </w:r>
      <w:proofErr w:type="gramEnd"/>
      <w:r w:rsidRPr="006C7B74">
        <w:rPr>
          <w:rFonts w:cstheme="minorHAnsi"/>
          <w:sz w:val="20"/>
          <w:szCs w:val="20"/>
        </w:rPr>
        <w:t xml:space="preserve"> and </w:t>
      </w:r>
      <w:r w:rsidR="00A972F2" w:rsidRPr="006C7B74">
        <w:rPr>
          <w:rFonts w:cstheme="minorHAnsi"/>
          <w:sz w:val="20"/>
          <w:szCs w:val="20"/>
        </w:rPr>
        <w:t>135</w:t>
      </w:r>
      <w:r w:rsidRPr="006C7B74">
        <w:rPr>
          <w:rFonts w:cstheme="minorHAnsi"/>
          <w:sz w:val="20"/>
          <w:szCs w:val="20"/>
        </w:rPr>
        <w:t xml:space="preserve"> hectares is vacant. </w:t>
      </w:r>
      <w:r w:rsidR="00DB2E12" w:rsidRPr="006C7B74">
        <w:rPr>
          <w:rFonts w:cstheme="minorHAnsi"/>
          <w:sz w:val="20"/>
          <w:szCs w:val="20"/>
        </w:rPr>
        <w:t>There is no future land identified for industrial purposes in the region.</w:t>
      </w:r>
    </w:p>
    <w:p w14:paraId="1FE9DC01" w14:textId="47D6B9BA" w:rsidR="00732BE8" w:rsidRPr="006C7B74" w:rsidRDefault="00732BE8" w:rsidP="00EA6EA3">
      <w:pPr>
        <w:pStyle w:val="Heading5"/>
      </w:pPr>
      <w:r w:rsidRPr="006C7B74">
        <w:t xml:space="preserve">Table </w:t>
      </w:r>
      <w:r w:rsidR="00D971AA" w:rsidRPr="006C7B74">
        <w:t>23</w:t>
      </w:r>
      <w:r w:rsidRPr="006C7B74">
        <w:t>: Industrial land supply</w:t>
      </w:r>
      <w:r w:rsidR="003C2995" w:rsidRPr="006C7B74">
        <w:t xml:space="preserve">, </w:t>
      </w:r>
      <w:r w:rsidR="00AD56F9" w:rsidRPr="006C7B74">
        <w:t>Eastern Region</w:t>
      </w:r>
    </w:p>
    <w:tbl>
      <w:tblPr>
        <w:tblW w:w="5000" w:type="pct"/>
        <w:tblLook w:val="04A0" w:firstRow="1" w:lastRow="0" w:firstColumn="1" w:lastColumn="0" w:noHBand="0" w:noVBand="1"/>
      </w:tblPr>
      <w:tblGrid>
        <w:gridCol w:w="3357"/>
        <w:gridCol w:w="1210"/>
        <w:gridCol w:w="1005"/>
        <w:gridCol w:w="1142"/>
        <w:gridCol w:w="2306"/>
      </w:tblGrid>
      <w:tr w:rsidR="00C622AE" w:rsidRPr="006C7B74" w14:paraId="1E728579" w14:textId="77777777" w:rsidTr="009D6578">
        <w:trPr>
          <w:trHeight w:val="567"/>
        </w:trPr>
        <w:tc>
          <w:tcPr>
            <w:tcW w:w="1861" w:type="pct"/>
            <w:tcBorders>
              <w:top w:val="nil"/>
              <w:left w:val="nil"/>
              <w:bottom w:val="single" w:sz="8" w:space="0" w:color="4D446C"/>
              <w:right w:val="nil"/>
            </w:tcBorders>
            <w:shd w:val="clear" w:color="000000" w:fill="4D446C"/>
            <w:noWrap/>
            <w:vAlign w:val="center"/>
            <w:hideMark/>
          </w:tcPr>
          <w:p w14:paraId="7D0B3628" w14:textId="73F3108D" w:rsidR="00C622AE" w:rsidRPr="006C7B74" w:rsidRDefault="00C622AE" w:rsidP="006542F0">
            <w:pPr>
              <w:pStyle w:val="TableHeaderRow"/>
            </w:pPr>
            <w:r w:rsidRPr="006C7B74">
              <w:t>Council</w:t>
            </w:r>
          </w:p>
        </w:tc>
        <w:tc>
          <w:tcPr>
            <w:tcW w:w="671" w:type="pct"/>
            <w:tcBorders>
              <w:top w:val="nil"/>
              <w:left w:val="nil"/>
              <w:bottom w:val="single" w:sz="8" w:space="0" w:color="4D446C"/>
              <w:right w:val="nil"/>
            </w:tcBorders>
            <w:shd w:val="clear" w:color="000000" w:fill="4D446C"/>
            <w:vAlign w:val="center"/>
            <w:hideMark/>
          </w:tcPr>
          <w:p w14:paraId="32298BF3" w14:textId="05F3FC5A" w:rsidR="00C622AE" w:rsidRPr="006C7B74" w:rsidRDefault="00C622AE" w:rsidP="006542F0">
            <w:pPr>
              <w:pStyle w:val="TableHeaderRow"/>
            </w:pPr>
            <w:r w:rsidRPr="006C7B74">
              <w:t>Zoned occupied (ha)</w:t>
            </w:r>
          </w:p>
        </w:tc>
        <w:tc>
          <w:tcPr>
            <w:tcW w:w="557" w:type="pct"/>
            <w:tcBorders>
              <w:top w:val="nil"/>
              <w:left w:val="nil"/>
              <w:bottom w:val="single" w:sz="8" w:space="0" w:color="4D446C"/>
              <w:right w:val="nil"/>
            </w:tcBorders>
            <w:shd w:val="clear" w:color="000000" w:fill="4D446C"/>
            <w:vAlign w:val="center"/>
            <w:hideMark/>
          </w:tcPr>
          <w:p w14:paraId="7EEAC702" w14:textId="27737FBF" w:rsidR="00C622AE" w:rsidRPr="006C7B74" w:rsidRDefault="00C622AE" w:rsidP="006542F0">
            <w:pPr>
              <w:pStyle w:val="TableHeaderRow"/>
            </w:pPr>
            <w:r w:rsidRPr="006C7B74">
              <w:t>Zoned vacant (ha)</w:t>
            </w:r>
          </w:p>
        </w:tc>
        <w:tc>
          <w:tcPr>
            <w:tcW w:w="633" w:type="pct"/>
            <w:tcBorders>
              <w:top w:val="nil"/>
              <w:left w:val="nil"/>
              <w:bottom w:val="single" w:sz="8" w:space="0" w:color="4D446C"/>
              <w:right w:val="nil"/>
            </w:tcBorders>
            <w:shd w:val="clear" w:color="000000" w:fill="4D446C"/>
            <w:vAlign w:val="center"/>
            <w:hideMark/>
          </w:tcPr>
          <w:p w14:paraId="0FE1A0D9" w14:textId="1CEAD8A5" w:rsidR="00C622AE" w:rsidRPr="006C7B74" w:rsidRDefault="00C622AE" w:rsidP="006542F0">
            <w:pPr>
              <w:pStyle w:val="TableHeaderRow"/>
            </w:pPr>
            <w:r w:rsidRPr="006C7B74">
              <w:t>Future supply (ha)</w:t>
            </w:r>
          </w:p>
        </w:tc>
        <w:tc>
          <w:tcPr>
            <w:tcW w:w="1278" w:type="pct"/>
            <w:tcBorders>
              <w:top w:val="nil"/>
              <w:left w:val="nil"/>
              <w:bottom w:val="single" w:sz="8" w:space="0" w:color="4D446C"/>
              <w:right w:val="nil"/>
            </w:tcBorders>
            <w:shd w:val="clear" w:color="000000" w:fill="4D446C"/>
            <w:vAlign w:val="center"/>
            <w:hideMark/>
          </w:tcPr>
          <w:p w14:paraId="5DE467E4" w14:textId="484E1709" w:rsidR="00C622AE" w:rsidRPr="006C7B74" w:rsidRDefault="00C622AE" w:rsidP="006542F0">
            <w:pPr>
              <w:pStyle w:val="TableHeaderRow"/>
            </w:pPr>
            <w:r w:rsidRPr="006C7B74">
              <w:t>Total available supply (ha)</w:t>
            </w:r>
          </w:p>
        </w:tc>
      </w:tr>
      <w:tr w:rsidR="00966359" w:rsidRPr="006C7B74" w14:paraId="50284CE4" w14:textId="77777777" w:rsidTr="006C7B74">
        <w:trPr>
          <w:trHeight w:val="315"/>
        </w:trPr>
        <w:tc>
          <w:tcPr>
            <w:tcW w:w="1861" w:type="pct"/>
            <w:tcBorders>
              <w:top w:val="nil"/>
              <w:left w:val="nil"/>
              <w:bottom w:val="single" w:sz="8" w:space="0" w:color="4D446C"/>
              <w:right w:val="nil"/>
            </w:tcBorders>
            <w:shd w:val="clear" w:color="auto" w:fill="auto"/>
            <w:noWrap/>
            <w:vAlign w:val="center"/>
            <w:hideMark/>
          </w:tcPr>
          <w:p w14:paraId="2A773F29" w14:textId="77777777" w:rsidR="00966359" w:rsidRPr="006C7B74" w:rsidRDefault="00966359" w:rsidP="00966359">
            <w:pPr>
              <w:rPr>
                <w:rFonts w:ascii="Calibri" w:hAnsi="Calibri" w:cs="Calibri"/>
                <w:color w:val="000000"/>
                <w:sz w:val="18"/>
                <w:szCs w:val="18"/>
                <w:lang w:eastAsia="en-AU"/>
              </w:rPr>
            </w:pPr>
            <w:r w:rsidRPr="006C7B74">
              <w:rPr>
                <w:rFonts w:ascii="Calibri" w:hAnsi="Calibri" w:cs="Calibri"/>
                <w:color w:val="000000"/>
                <w:sz w:val="18"/>
                <w:szCs w:val="18"/>
                <w:lang w:eastAsia="en-AU"/>
              </w:rPr>
              <w:t>Knox</w:t>
            </w:r>
          </w:p>
        </w:tc>
        <w:tc>
          <w:tcPr>
            <w:tcW w:w="671" w:type="pct"/>
            <w:tcBorders>
              <w:top w:val="nil"/>
              <w:left w:val="nil"/>
              <w:bottom w:val="single" w:sz="8" w:space="0" w:color="4D446C"/>
              <w:right w:val="nil"/>
            </w:tcBorders>
            <w:shd w:val="clear" w:color="auto" w:fill="auto"/>
            <w:noWrap/>
            <w:hideMark/>
          </w:tcPr>
          <w:p w14:paraId="3BBED752" w14:textId="206D5162" w:rsidR="00966359" w:rsidRPr="006C7B74" w:rsidRDefault="00966359" w:rsidP="00966359">
            <w:pPr>
              <w:jc w:val="center"/>
              <w:rPr>
                <w:rFonts w:ascii="Calibri" w:hAnsi="Calibri" w:cs="Calibri"/>
                <w:color w:val="363534"/>
                <w:sz w:val="18"/>
                <w:szCs w:val="18"/>
                <w:lang w:eastAsia="en-AU"/>
              </w:rPr>
            </w:pPr>
            <w:r w:rsidRPr="006C7B74">
              <w:rPr>
                <w:sz w:val="18"/>
                <w:szCs w:val="18"/>
              </w:rPr>
              <w:t>771.2</w:t>
            </w:r>
          </w:p>
        </w:tc>
        <w:tc>
          <w:tcPr>
            <w:tcW w:w="557" w:type="pct"/>
            <w:tcBorders>
              <w:top w:val="nil"/>
              <w:left w:val="nil"/>
              <w:bottom w:val="single" w:sz="8" w:space="0" w:color="4D446C"/>
              <w:right w:val="nil"/>
            </w:tcBorders>
            <w:shd w:val="clear" w:color="auto" w:fill="auto"/>
            <w:noWrap/>
            <w:hideMark/>
          </w:tcPr>
          <w:p w14:paraId="23572CF2" w14:textId="1CD7CDD5" w:rsidR="00966359" w:rsidRPr="006C7B74" w:rsidRDefault="00966359" w:rsidP="00966359">
            <w:pPr>
              <w:jc w:val="center"/>
              <w:rPr>
                <w:rFonts w:ascii="Calibri" w:hAnsi="Calibri" w:cs="Calibri"/>
                <w:color w:val="363534"/>
                <w:sz w:val="18"/>
                <w:szCs w:val="18"/>
                <w:lang w:eastAsia="en-AU"/>
              </w:rPr>
            </w:pPr>
            <w:r w:rsidRPr="006C7B74">
              <w:rPr>
                <w:sz w:val="18"/>
                <w:szCs w:val="18"/>
              </w:rPr>
              <w:t>44.1</w:t>
            </w:r>
          </w:p>
        </w:tc>
        <w:tc>
          <w:tcPr>
            <w:tcW w:w="633" w:type="pct"/>
            <w:tcBorders>
              <w:top w:val="nil"/>
              <w:left w:val="nil"/>
              <w:bottom w:val="single" w:sz="8" w:space="0" w:color="4D446C"/>
              <w:right w:val="nil"/>
            </w:tcBorders>
            <w:shd w:val="clear" w:color="auto" w:fill="auto"/>
            <w:noWrap/>
            <w:hideMark/>
          </w:tcPr>
          <w:p w14:paraId="626416AE" w14:textId="1E0024D2" w:rsidR="00966359" w:rsidRPr="006C7B74" w:rsidRDefault="00966359" w:rsidP="00966359">
            <w:pPr>
              <w:jc w:val="center"/>
              <w:rPr>
                <w:rFonts w:ascii="Calibri" w:hAnsi="Calibri" w:cs="Calibri"/>
                <w:color w:val="363534"/>
                <w:sz w:val="18"/>
                <w:szCs w:val="18"/>
                <w:lang w:eastAsia="en-AU"/>
              </w:rPr>
            </w:pPr>
            <w:r w:rsidRPr="006C7B74">
              <w:rPr>
                <w:sz w:val="18"/>
                <w:szCs w:val="18"/>
              </w:rPr>
              <w:t>0.0</w:t>
            </w:r>
          </w:p>
        </w:tc>
        <w:tc>
          <w:tcPr>
            <w:tcW w:w="1278" w:type="pct"/>
            <w:tcBorders>
              <w:top w:val="nil"/>
              <w:left w:val="nil"/>
              <w:bottom w:val="single" w:sz="8" w:space="0" w:color="4D446C"/>
              <w:right w:val="nil"/>
            </w:tcBorders>
            <w:shd w:val="clear" w:color="auto" w:fill="auto"/>
            <w:noWrap/>
            <w:hideMark/>
          </w:tcPr>
          <w:p w14:paraId="34C6F817" w14:textId="069147DC" w:rsidR="00966359" w:rsidRPr="006C7B74" w:rsidRDefault="00966359" w:rsidP="00966359">
            <w:pPr>
              <w:jc w:val="center"/>
              <w:rPr>
                <w:rFonts w:ascii="Calibri" w:hAnsi="Calibri" w:cs="Calibri"/>
                <w:color w:val="363534"/>
                <w:sz w:val="18"/>
                <w:szCs w:val="18"/>
                <w:lang w:eastAsia="en-AU"/>
              </w:rPr>
            </w:pPr>
            <w:r w:rsidRPr="006C7B74">
              <w:rPr>
                <w:sz w:val="18"/>
                <w:szCs w:val="18"/>
              </w:rPr>
              <w:t>44.1</w:t>
            </w:r>
          </w:p>
        </w:tc>
      </w:tr>
      <w:tr w:rsidR="00966359" w:rsidRPr="006C7B74" w14:paraId="30F20118" w14:textId="77777777" w:rsidTr="006C7B74">
        <w:trPr>
          <w:trHeight w:val="315"/>
        </w:trPr>
        <w:tc>
          <w:tcPr>
            <w:tcW w:w="1861" w:type="pct"/>
            <w:tcBorders>
              <w:top w:val="nil"/>
              <w:left w:val="nil"/>
              <w:bottom w:val="single" w:sz="8" w:space="0" w:color="4D446C"/>
              <w:right w:val="nil"/>
            </w:tcBorders>
            <w:shd w:val="clear" w:color="auto" w:fill="auto"/>
            <w:noWrap/>
            <w:vAlign w:val="center"/>
            <w:hideMark/>
          </w:tcPr>
          <w:p w14:paraId="351AAC0F" w14:textId="77777777" w:rsidR="00966359" w:rsidRPr="006C7B74" w:rsidRDefault="00966359" w:rsidP="00966359">
            <w:pPr>
              <w:rPr>
                <w:rFonts w:ascii="Calibri" w:hAnsi="Calibri" w:cs="Calibri"/>
                <w:color w:val="000000"/>
                <w:sz w:val="18"/>
                <w:szCs w:val="18"/>
                <w:lang w:eastAsia="en-AU"/>
              </w:rPr>
            </w:pPr>
            <w:r w:rsidRPr="006C7B74">
              <w:rPr>
                <w:rFonts w:ascii="Calibri" w:hAnsi="Calibri" w:cs="Calibri"/>
                <w:color w:val="000000"/>
                <w:sz w:val="18"/>
                <w:szCs w:val="18"/>
                <w:lang w:eastAsia="en-AU"/>
              </w:rPr>
              <w:t>Manningham</w:t>
            </w:r>
          </w:p>
        </w:tc>
        <w:tc>
          <w:tcPr>
            <w:tcW w:w="671" w:type="pct"/>
            <w:tcBorders>
              <w:top w:val="nil"/>
              <w:left w:val="nil"/>
              <w:bottom w:val="single" w:sz="8" w:space="0" w:color="4D446C"/>
              <w:right w:val="nil"/>
            </w:tcBorders>
            <w:shd w:val="clear" w:color="auto" w:fill="auto"/>
            <w:noWrap/>
            <w:hideMark/>
          </w:tcPr>
          <w:p w14:paraId="5B477E22" w14:textId="26E3FDF5" w:rsidR="00966359" w:rsidRPr="006C7B74" w:rsidRDefault="00966359" w:rsidP="00966359">
            <w:pPr>
              <w:jc w:val="center"/>
              <w:rPr>
                <w:rFonts w:ascii="Calibri" w:hAnsi="Calibri" w:cs="Calibri"/>
                <w:color w:val="363534"/>
                <w:sz w:val="18"/>
                <w:szCs w:val="18"/>
                <w:lang w:eastAsia="en-AU"/>
              </w:rPr>
            </w:pPr>
            <w:r w:rsidRPr="006C7B74">
              <w:rPr>
                <w:sz w:val="18"/>
                <w:szCs w:val="18"/>
              </w:rPr>
              <w:t>13.1</w:t>
            </w:r>
          </w:p>
        </w:tc>
        <w:tc>
          <w:tcPr>
            <w:tcW w:w="557" w:type="pct"/>
            <w:tcBorders>
              <w:top w:val="nil"/>
              <w:left w:val="nil"/>
              <w:bottom w:val="single" w:sz="8" w:space="0" w:color="4D446C"/>
              <w:right w:val="nil"/>
            </w:tcBorders>
            <w:shd w:val="clear" w:color="auto" w:fill="auto"/>
            <w:noWrap/>
            <w:hideMark/>
          </w:tcPr>
          <w:p w14:paraId="60BED184" w14:textId="13927054" w:rsidR="00966359" w:rsidRPr="006C7B74" w:rsidRDefault="00966359" w:rsidP="00966359">
            <w:pPr>
              <w:jc w:val="center"/>
              <w:rPr>
                <w:rFonts w:ascii="Calibri" w:hAnsi="Calibri" w:cs="Calibri"/>
                <w:color w:val="363534"/>
                <w:sz w:val="18"/>
                <w:szCs w:val="18"/>
                <w:lang w:eastAsia="en-AU"/>
              </w:rPr>
            </w:pPr>
            <w:r w:rsidRPr="006C7B74">
              <w:rPr>
                <w:sz w:val="18"/>
                <w:szCs w:val="18"/>
              </w:rPr>
              <w:t>0.0</w:t>
            </w:r>
          </w:p>
        </w:tc>
        <w:tc>
          <w:tcPr>
            <w:tcW w:w="633" w:type="pct"/>
            <w:tcBorders>
              <w:top w:val="nil"/>
              <w:left w:val="nil"/>
              <w:bottom w:val="single" w:sz="8" w:space="0" w:color="4D446C"/>
              <w:right w:val="nil"/>
            </w:tcBorders>
            <w:shd w:val="clear" w:color="auto" w:fill="auto"/>
            <w:noWrap/>
            <w:hideMark/>
          </w:tcPr>
          <w:p w14:paraId="137895C3" w14:textId="73EC1590" w:rsidR="00966359" w:rsidRPr="006C7B74" w:rsidRDefault="00966359" w:rsidP="00966359">
            <w:pPr>
              <w:jc w:val="center"/>
              <w:rPr>
                <w:rFonts w:ascii="Calibri" w:hAnsi="Calibri" w:cs="Calibri"/>
                <w:color w:val="363534"/>
                <w:sz w:val="18"/>
                <w:szCs w:val="18"/>
                <w:lang w:eastAsia="en-AU"/>
              </w:rPr>
            </w:pPr>
            <w:r w:rsidRPr="006C7B74">
              <w:rPr>
                <w:sz w:val="18"/>
                <w:szCs w:val="18"/>
              </w:rPr>
              <w:t>0.0</w:t>
            </w:r>
          </w:p>
        </w:tc>
        <w:tc>
          <w:tcPr>
            <w:tcW w:w="1278" w:type="pct"/>
            <w:tcBorders>
              <w:top w:val="nil"/>
              <w:left w:val="nil"/>
              <w:bottom w:val="single" w:sz="8" w:space="0" w:color="4D446C"/>
              <w:right w:val="nil"/>
            </w:tcBorders>
            <w:shd w:val="clear" w:color="auto" w:fill="auto"/>
            <w:noWrap/>
            <w:hideMark/>
          </w:tcPr>
          <w:p w14:paraId="14162765" w14:textId="4304275A" w:rsidR="00966359" w:rsidRPr="006C7B74" w:rsidRDefault="00966359" w:rsidP="00966359">
            <w:pPr>
              <w:jc w:val="center"/>
              <w:rPr>
                <w:rFonts w:ascii="Calibri" w:hAnsi="Calibri" w:cs="Calibri"/>
                <w:color w:val="363534"/>
                <w:sz w:val="18"/>
                <w:szCs w:val="18"/>
                <w:lang w:eastAsia="en-AU"/>
              </w:rPr>
            </w:pPr>
            <w:r w:rsidRPr="006C7B74">
              <w:rPr>
                <w:sz w:val="18"/>
                <w:szCs w:val="18"/>
              </w:rPr>
              <w:t>0.0</w:t>
            </w:r>
          </w:p>
        </w:tc>
      </w:tr>
      <w:tr w:rsidR="00966359" w:rsidRPr="006C7B74" w14:paraId="78AA554A" w14:textId="77777777" w:rsidTr="006C7B74">
        <w:trPr>
          <w:trHeight w:val="315"/>
        </w:trPr>
        <w:tc>
          <w:tcPr>
            <w:tcW w:w="1861" w:type="pct"/>
            <w:tcBorders>
              <w:top w:val="nil"/>
              <w:left w:val="nil"/>
              <w:bottom w:val="single" w:sz="8" w:space="0" w:color="4D446C"/>
              <w:right w:val="nil"/>
            </w:tcBorders>
            <w:shd w:val="clear" w:color="auto" w:fill="auto"/>
            <w:noWrap/>
            <w:vAlign w:val="center"/>
            <w:hideMark/>
          </w:tcPr>
          <w:p w14:paraId="4F20C06C" w14:textId="77777777" w:rsidR="00966359" w:rsidRPr="006C7B74" w:rsidRDefault="00966359" w:rsidP="00966359">
            <w:pPr>
              <w:rPr>
                <w:rFonts w:ascii="Calibri" w:hAnsi="Calibri" w:cs="Calibri"/>
                <w:color w:val="000000"/>
                <w:sz w:val="18"/>
                <w:szCs w:val="18"/>
                <w:lang w:eastAsia="en-AU"/>
              </w:rPr>
            </w:pPr>
            <w:r w:rsidRPr="006C7B74">
              <w:rPr>
                <w:rFonts w:ascii="Calibri" w:hAnsi="Calibri" w:cs="Calibri"/>
                <w:color w:val="000000"/>
                <w:sz w:val="18"/>
                <w:szCs w:val="18"/>
                <w:lang w:eastAsia="en-AU"/>
              </w:rPr>
              <w:t>Maroondah</w:t>
            </w:r>
          </w:p>
        </w:tc>
        <w:tc>
          <w:tcPr>
            <w:tcW w:w="671" w:type="pct"/>
            <w:tcBorders>
              <w:top w:val="nil"/>
              <w:left w:val="nil"/>
              <w:bottom w:val="single" w:sz="8" w:space="0" w:color="4D446C"/>
              <w:right w:val="nil"/>
            </w:tcBorders>
            <w:shd w:val="clear" w:color="auto" w:fill="auto"/>
            <w:noWrap/>
            <w:hideMark/>
          </w:tcPr>
          <w:p w14:paraId="3682CCBF" w14:textId="11669338" w:rsidR="00966359" w:rsidRPr="006C7B74" w:rsidRDefault="00966359" w:rsidP="00966359">
            <w:pPr>
              <w:jc w:val="center"/>
              <w:rPr>
                <w:rFonts w:ascii="Calibri" w:hAnsi="Calibri" w:cs="Calibri"/>
                <w:color w:val="363534"/>
                <w:sz w:val="18"/>
                <w:szCs w:val="18"/>
                <w:lang w:eastAsia="en-AU"/>
              </w:rPr>
            </w:pPr>
            <w:r w:rsidRPr="006C7B74">
              <w:rPr>
                <w:sz w:val="18"/>
                <w:szCs w:val="18"/>
              </w:rPr>
              <w:t>425.8</w:t>
            </w:r>
          </w:p>
        </w:tc>
        <w:tc>
          <w:tcPr>
            <w:tcW w:w="557" w:type="pct"/>
            <w:tcBorders>
              <w:top w:val="nil"/>
              <w:left w:val="nil"/>
              <w:bottom w:val="single" w:sz="8" w:space="0" w:color="4D446C"/>
              <w:right w:val="nil"/>
            </w:tcBorders>
            <w:shd w:val="clear" w:color="auto" w:fill="auto"/>
            <w:noWrap/>
            <w:hideMark/>
          </w:tcPr>
          <w:p w14:paraId="52F5893D" w14:textId="272A97EC" w:rsidR="00966359" w:rsidRPr="006C7B74" w:rsidRDefault="00966359" w:rsidP="00966359">
            <w:pPr>
              <w:jc w:val="center"/>
              <w:rPr>
                <w:rFonts w:ascii="Calibri" w:hAnsi="Calibri" w:cs="Calibri"/>
                <w:color w:val="363534"/>
                <w:sz w:val="18"/>
                <w:szCs w:val="18"/>
                <w:lang w:eastAsia="en-AU"/>
              </w:rPr>
            </w:pPr>
            <w:r w:rsidRPr="006C7B74">
              <w:rPr>
                <w:sz w:val="18"/>
                <w:szCs w:val="18"/>
              </w:rPr>
              <w:t>49.8</w:t>
            </w:r>
          </w:p>
        </w:tc>
        <w:tc>
          <w:tcPr>
            <w:tcW w:w="633" w:type="pct"/>
            <w:tcBorders>
              <w:top w:val="nil"/>
              <w:left w:val="nil"/>
              <w:bottom w:val="single" w:sz="8" w:space="0" w:color="4D446C"/>
              <w:right w:val="nil"/>
            </w:tcBorders>
            <w:shd w:val="clear" w:color="auto" w:fill="auto"/>
            <w:noWrap/>
            <w:hideMark/>
          </w:tcPr>
          <w:p w14:paraId="309EB870" w14:textId="281304A3" w:rsidR="00966359" w:rsidRPr="006C7B74" w:rsidRDefault="00966359" w:rsidP="00966359">
            <w:pPr>
              <w:jc w:val="center"/>
              <w:rPr>
                <w:rFonts w:ascii="Calibri" w:hAnsi="Calibri" w:cs="Calibri"/>
                <w:color w:val="363534"/>
                <w:sz w:val="18"/>
                <w:szCs w:val="18"/>
                <w:lang w:eastAsia="en-AU"/>
              </w:rPr>
            </w:pPr>
            <w:r w:rsidRPr="006C7B74">
              <w:rPr>
                <w:sz w:val="18"/>
                <w:szCs w:val="18"/>
              </w:rPr>
              <w:t>0.0</w:t>
            </w:r>
          </w:p>
        </w:tc>
        <w:tc>
          <w:tcPr>
            <w:tcW w:w="1278" w:type="pct"/>
            <w:tcBorders>
              <w:top w:val="nil"/>
              <w:left w:val="nil"/>
              <w:bottom w:val="single" w:sz="8" w:space="0" w:color="4D446C"/>
              <w:right w:val="nil"/>
            </w:tcBorders>
            <w:shd w:val="clear" w:color="auto" w:fill="auto"/>
            <w:noWrap/>
            <w:hideMark/>
          </w:tcPr>
          <w:p w14:paraId="54165AE8" w14:textId="7CA5BB20" w:rsidR="00966359" w:rsidRPr="006C7B74" w:rsidRDefault="00966359" w:rsidP="00966359">
            <w:pPr>
              <w:jc w:val="center"/>
              <w:rPr>
                <w:rFonts w:ascii="Calibri" w:hAnsi="Calibri" w:cs="Calibri"/>
                <w:color w:val="363534"/>
                <w:sz w:val="18"/>
                <w:szCs w:val="18"/>
                <w:lang w:eastAsia="en-AU"/>
              </w:rPr>
            </w:pPr>
            <w:r w:rsidRPr="006C7B74">
              <w:rPr>
                <w:sz w:val="18"/>
                <w:szCs w:val="18"/>
              </w:rPr>
              <w:t>49.8</w:t>
            </w:r>
          </w:p>
        </w:tc>
      </w:tr>
      <w:tr w:rsidR="00966359" w:rsidRPr="006C7B74" w14:paraId="396E8115" w14:textId="77777777" w:rsidTr="006C7B74">
        <w:trPr>
          <w:trHeight w:val="315"/>
        </w:trPr>
        <w:tc>
          <w:tcPr>
            <w:tcW w:w="1861" w:type="pct"/>
            <w:tcBorders>
              <w:top w:val="nil"/>
              <w:left w:val="nil"/>
              <w:bottom w:val="single" w:sz="8" w:space="0" w:color="4D446C"/>
              <w:right w:val="nil"/>
            </w:tcBorders>
            <w:shd w:val="clear" w:color="auto" w:fill="auto"/>
            <w:noWrap/>
            <w:vAlign w:val="center"/>
            <w:hideMark/>
          </w:tcPr>
          <w:p w14:paraId="3996DE03" w14:textId="77777777" w:rsidR="00966359" w:rsidRPr="006C7B74" w:rsidRDefault="00966359" w:rsidP="00966359">
            <w:pPr>
              <w:rPr>
                <w:rFonts w:ascii="Calibri" w:hAnsi="Calibri" w:cs="Calibri"/>
                <w:color w:val="000000"/>
                <w:sz w:val="18"/>
                <w:szCs w:val="18"/>
                <w:lang w:eastAsia="en-AU"/>
              </w:rPr>
            </w:pPr>
            <w:r w:rsidRPr="006C7B74">
              <w:rPr>
                <w:rFonts w:ascii="Calibri" w:hAnsi="Calibri" w:cs="Calibri"/>
                <w:color w:val="000000"/>
                <w:sz w:val="18"/>
                <w:szCs w:val="18"/>
                <w:lang w:eastAsia="en-AU"/>
              </w:rPr>
              <w:t>Monash</w:t>
            </w:r>
          </w:p>
        </w:tc>
        <w:tc>
          <w:tcPr>
            <w:tcW w:w="671" w:type="pct"/>
            <w:tcBorders>
              <w:top w:val="nil"/>
              <w:left w:val="nil"/>
              <w:bottom w:val="single" w:sz="8" w:space="0" w:color="4D446C"/>
              <w:right w:val="nil"/>
            </w:tcBorders>
            <w:shd w:val="clear" w:color="auto" w:fill="auto"/>
            <w:noWrap/>
            <w:hideMark/>
          </w:tcPr>
          <w:p w14:paraId="6BCFE2BE" w14:textId="7D08B9A0" w:rsidR="00966359" w:rsidRPr="006C7B74" w:rsidRDefault="00966359" w:rsidP="00966359">
            <w:pPr>
              <w:jc w:val="center"/>
              <w:rPr>
                <w:rFonts w:ascii="Calibri" w:hAnsi="Calibri" w:cs="Calibri"/>
                <w:color w:val="363534"/>
                <w:sz w:val="18"/>
                <w:szCs w:val="18"/>
                <w:lang w:eastAsia="en-AU"/>
              </w:rPr>
            </w:pPr>
            <w:r w:rsidRPr="006C7B74">
              <w:rPr>
                <w:sz w:val="18"/>
                <w:szCs w:val="18"/>
              </w:rPr>
              <w:t>703.5</w:t>
            </w:r>
          </w:p>
        </w:tc>
        <w:tc>
          <w:tcPr>
            <w:tcW w:w="557" w:type="pct"/>
            <w:tcBorders>
              <w:top w:val="nil"/>
              <w:left w:val="nil"/>
              <w:bottom w:val="single" w:sz="8" w:space="0" w:color="4D446C"/>
              <w:right w:val="nil"/>
            </w:tcBorders>
            <w:shd w:val="clear" w:color="auto" w:fill="auto"/>
            <w:noWrap/>
            <w:hideMark/>
          </w:tcPr>
          <w:p w14:paraId="213A8212" w14:textId="52C62AD5" w:rsidR="00966359" w:rsidRPr="006C7B74" w:rsidRDefault="00966359" w:rsidP="00966359">
            <w:pPr>
              <w:jc w:val="center"/>
              <w:rPr>
                <w:rFonts w:ascii="Calibri" w:hAnsi="Calibri" w:cs="Calibri"/>
                <w:color w:val="363534"/>
                <w:sz w:val="18"/>
                <w:szCs w:val="18"/>
                <w:lang w:eastAsia="en-AU"/>
              </w:rPr>
            </w:pPr>
            <w:r w:rsidRPr="006C7B74">
              <w:rPr>
                <w:sz w:val="18"/>
                <w:szCs w:val="18"/>
              </w:rPr>
              <w:t>7.6</w:t>
            </w:r>
          </w:p>
        </w:tc>
        <w:tc>
          <w:tcPr>
            <w:tcW w:w="633" w:type="pct"/>
            <w:tcBorders>
              <w:top w:val="nil"/>
              <w:left w:val="nil"/>
              <w:bottom w:val="single" w:sz="8" w:space="0" w:color="4D446C"/>
              <w:right w:val="nil"/>
            </w:tcBorders>
            <w:shd w:val="clear" w:color="auto" w:fill="auto"/>
            <w:noWrap/>
            <w:hideMark/>
          </w:tcPr>
          <w:p w14:paraId="5C9CA782" w14:textId="17660306" w:rsidR="00966359" w:rsidRPr="006C7B74" w:rsidRDefault="00966359" w:rsidP="00966359">
            <w:pPr>
              <w:jc w:val="center"/>
              <w:rPr>
                <w:rFonts w:ascii="Calibri" w:hAnsi="Calibri" w:cs="Calibri"/>
                <w:color w:val="363534"/>
                <w:sz w:val="18"/>
                <w:szCs w:val="18"/>
                <w:lang w:eastAsia="en-AU"/>
              </w:rPr>
            </w:pPr>
            <w:r w:rsidRPr="006C7B74">
              <w:rPr>
                <w:sz w:val="18"/>
                <w:szCs w:val="18"/>
              </w:rPr>
              <w:t>0.0</w:t>
            </w:r>
          </w:p>
        </w:tc>
        <w:tc>
          <w:tcPr>
            <w:tcW w:w="1278" w:type="pct"/>
            <w:tcBorders>
              <w:top w:val="nil"/>
              <w:left w:val="nil"/>
              <w:bottom w:val="single" w:sz="8" w:space="0" w:color="4D446C"/>
              <w:right w:val="nil"/>
            </w:tcBorders>
            <w:shd w:val="clear" w:color="auto" w:fill="auto"/>
            <w:noWrap/>
            <w:hideMark/>
          </w:tcPr>
          <w:p w14:paraId="00D2FE32" w14:textId="3F8EC842" w:rsidR="00966359" w:rsidRPr="006C7B74" w:rsidRDefault="00966359" w:rsidP="00966359">
            <w:pPr>
              <w:jc w:val="center"/>
              <w:rPr>
                <w:rFonts w:ascii="Calibri" w:hAnsi="Calibri" w:cs="Calibri"/>
                <w:color w:val="363534"/>
                <w:sz w:val="18"/>
                <w:szCs w:val="18"/>
                <w:lang w:eastAsia="en-AU"/>
              </w:rPr>
            </w:pPr>
            <w:r w:rsidRPr="006C7B74">
              <w:rPr>
                <w:sz w:val="18"/>
                <w:szCs w:val="18"/>
              </w:rPr>
              <w:t>7.6</w:t>
            </w:r>
          </w:p>
        </w:tc>
      </w:tr>
      <w:tr w:rsidR="00966359" w:rsidRPr="006C7B74" w14:paraId="6B5D422D" w14:textId="77777777" w:rsidTr="006C7B74">
        <w:trPr>
          <w:trHeight w:val="315"/>
        </w:trPr>
        <w:tc>
          <w:tcPr>
            <w:tcW w:w="1861" w:type="pct"/>
            <w:tcBorders>
              <w:top w:val="nil"/>
              <w:left w:val="nil"/>
              <w:bottom w:val="single" w:sz="8" w:space="0" w:color="4D446C"/>
              <w:right w:val="nil"/>
            </w:tcBorders>
            <w:shd w:val="clear" w:color="auto" w:fill="auto"/>
            <w:noWrap/>
            <w:vAlign w:val="center"/>
            <w:hideMark/>
          </w:tcPr>
          <w:p w14:paraId="5F5ACFF4" w14:textId="77777777" w:rsidR="00966359" w:rsidRPr="006C7B74" w:rsidRDefault="00966359" w:rsidP="00966359">
            <w:pPr>
              <w:rPr>
                <w:rFonts w:ascii="Calibri" w:hAnsi="Calibri" w:cs="Calibri"/>
                <w:color w:val="000000"/>
                <w:sz w:val="18"/>
                <w:szCs w:val="18"/>
                <w:lang w:eastAsia="en-AU"/>
              </w:rPr>
            </w:pPr>
            <w:r w:rsidRPr="006C7B74">
              <w:rPr>
                <w:rFonts w:ascii="Calibri" w:hAnsi="Calibri" w:cs="Calibri"/>
                <w:color w:val="000000"/>
                <w:sz w:val="18"/>
                <w:szCs w:val="18"/>
                <w:lang w:eastAsia="en-AU"/>
              </w:rPr>
              <w:t>Whitehorse</w:t>
            </w:r>
          </w:p>
        </w:tc>
        <w:tc>
          <w:tcPr>
            <w:tcW w:w="671" w:type="pct"/>
            <w:tcBorders>
              <w:top w:val="nil"/>
              <w:left w:val="nil"/>
              <w:bottom w:val="single" w:sz="8" w:space="0" w:color="4D446C"/>
              <w:right w:val="nil"/>
            </w:tcBorders>
            <w:shd w:val="clear" w:color="auto" w:fill="auto"/>
            <w:noWrap/>
            <w:hideMark/>
          </w:tcPr>
          <w:p w14:paraId="39E8BA54" w14:textId="63A565F7" w:rsidR="00966359" w:rsidRPr="006C7B74" w:rsidRDefault="00966359" w:rsidP="00966359">
            <w:pPr>
              <w:jc w:val="center"/>
              <w:rPr>
                <w:rFonts w:ascii="Calibri" w:hAnsi="Calibri" w:cs="Calibri"/>
                <w:color w:val="363534"/>
                <w:sz w:val="18"/>
                <w:szCs w:val="18"/>
                <w:lang w:eastAsia="en-AU"/>
              </w:rPr>
            </w:pPr>
            <w:r w:rsidRPr="006C7B74">
              <w:rPr>
                <w:sz w:val="18"/>
                <w:szCs w:val="18"/>
              </w:rPr>
              <w:t>226.2</w:t>
            </w:r>
          </w:p>
        </w:tc>
        <w:tc>
          <w:tcPr>
            <w:tcW w:w="557" w:type="pct"/>
            <w:tcBorders>
              <w:top w:val="nil"/>
              <w:left w:val="nil"/>
              <w:bottom w:val="single" w:sz="8" w:space="0" w:color="4D446C"/>
              <w:right w:val="nil"/>
            </w:tcBorders>
            <w:shd w:val="clear" w:color="auto" w:fill="auto"/>
            <w:noWrap/>
            <w:hideMark/>
          </w:tcPr>
          <w:p w14:paraId="3040F791" w14:textId="5B459456" w:rsidR="00966359" w:rsidRPr="006C7B74" w:rsidRDefault="00966359" w:rsidP="00966359">
            <w:pPr>
              <w:jc w:val="center"/>
              <w:rPr>
                <w:rFonts w:ascii="Calibri" w:hAnsi="Calibri" w:cs="Calibri"/>
                <w:color w:val="363534"/>
                <w:sz w:val="18"/>
                <w:szCs w:val="18"/>
                <w:lang w:eastAsia="en-AU"/>
              </w:rPr>
            </w:pPr>
            <w:r w:rsidRPr="006C7B74">
              <w:rPr>
                <w:sz w:val="18"/>
                <w:szCs w:val="18"/>
              </w:rPr>
              <w:t>2.9</w:t>
            </w:r>
          </w:p>
        </w:tc>
        <w:tc>
          <w:tcPr>
            <w:tcW w:w="633" w:type="pct"/>
            <w:tcBorders>
              <w:top w:val="nil"/>
              <w:left w:val="nil"/>
              <w:bottom w:val="single" w:sz="8" w:space="0" w:color="4D446C"/>
              <w:right w:val="nil"/>
            </w:tcBorders>
            <w:shd w:val="clear" w:color="auto" w:fill="auto"/>
            <w:noWrap/>
            <w:hideMark/>
          </w:tcPr>
          <w:p w14:paraId="4766415A" w14:textId="17589EC1" w:rsidR="00966359" w:rsidRPr="006C7B74" w:rsidRDefault="00966359" w:rsidP="00966359">
            <w:pPr>
              <w:jc w:val="center"/>
              <w:rPr>
                <w:rFonts w:ascii="Calibri" w:hAnsi="Calibri" w:cs="Calibri"/>
                <w:color w:val="363534"/>
                <w:sz w:val="18"/>
                <w:szCs w:val="18"/>
                <w:lang w:eastAsia="en-AU"/>
              </w:rPr>
            </w:pPr>
            <w:r w:rsidRPr="006C7B74">
              <w:rPr>
                <w:sz w:val="18"/>
                <w:szCs w:val="18"/>
              </w:rPr>
              <w:t>0.0</w:t>
            </w:r>
          </w:p>
        </w:tc>
        <w:tc>
          <w:tcPr>
            <w:tcW w:w="1278" w:type="pct"/>
            <w:tcBorders>
              <w:top w:val="nil"/>
              <w:left w:val="nil"/>
              <w:bottom w:val="single" w:sz="8" w:space="0" w:color="4D446C"/>
              <w:right w:val="nil"/>
            </w:tcBorders>
            <w:shd w:val="clear" w:color="auto" w:fill="auto"/>
            <w:noWrap/>
            <w:hideMark/>
          </w:tcPr>
          <w:p w14:paraId="38E60511" w14:textId="3DCF2117" w:rsidR="00966359" w:rsidRPr="006C7B74" w:rsidRDefault="00966359" w:rsidP="00966359">
            <w:pPr>
              <w:jc w:val="center"/>
              <w:rPr>
                <w:rFonts w:ascii="Calibri" w:hAnsi="Calibri" w:cs="Calibri"/>
                <w:color w:val="363534"/>
                <w:sz w:val="18"/>
                <w:szCs w:val="18"/>
                <w:lang w:eastAsia="en-AU"/>
              </w:rPr>
            </w:pPr>
            <w:r w:rsidRPr="006C7B74">
              <w:rPr>
                <w:sz w:val="18"/>
                <w:szCs w:val="18"/>
              </w:rPr>
              <w:t>2.9</w:t>
            </w:r>
          </w:p>
        </w:tc>
      </w:tr>
      <w:tr w:rsidR="00966359" w:rsidRPr="006C7B74" w14:paraId="56B5A639" w14:textId="77777777" w:rsidTr="006C7B74">
        <w:trPr>
          <w:trHeight w:val="315"/>
        </w:trPr>
        <w:tc>
          <w:tcPr>
            <w:tcW w:w="1861" w:type="pct"/>
            <w:tcBorders>
              <w:top w:val="nil"/>
              <w:left w:val="nil"/>
              <w:bottom w:val="single" w:sz="8" w:space="0" w:color="4D446C"/>
              <w:right w:val="nil"/>
            </w:tcBorders>
            <w:shd w:val="clear" w:color="auto" w:fill="auto"/>
            <w:noWrap/>
            <w:vAlign w:val="center"/>
            <w:hideMark/>
          </w:tcPr>
          <w:p w14:paraId="73C0B2DA" w14:textId="77777777" w:rsidR="00966359" w:rsidRPr="006C7B74" w:rsidRDefault="00966359" w:rsidP="00966359">
            <w:pPr>
              <w:rPr>
                <w:rFonts w:ascii="Calibri" w:hAnsi="Calibri" w:cs="Calibri"/>
                <w:color w:val="000000"/>
                <w:sz w:val="18"/>
                <w:szCs w:val="18"/>
                <w:lang w:eastAsia="en-AU"/>
              </w:rPr>
            </w:pPr>
            <w:r w:rsidRPr="006C7B74">
              <w:rPr>
                <w:rFonts w:ascii="Calibri" w:hAnsi="Calibri" w:cs="Calibri"/>
                <w:color w:val="000000"/>
                <w:sz w:val="18"/>
                <w:szCs w:val="18"/>
                <w:lang w:eastAsia="en-AU"/>
              </w:rPr>
              <w:t>Yarra Ranges</w:t>
            </w:r>
          </w:p>
        </w:tc>
        <w:tc>
          <w:tcPr>
            <w:tcW w:w="671" w:type="pct"/>
            <w:tcBorders>
              <w:top w:val="nil"/>
              <w:left w:val="nil"/>
              <w:bottom w:val="single" w:sz="8" w:space="0" w:color="4D446C"/>
              <w:right w:val="nil"/>
            </w:tcBorders>
            <w:shd w:val="clear" w:color="auto" w:fill="auto"/>
            <w:noWrap/>
            <w:hideMark/>
          </w:tcPr>
          <w:p w14:paraId="429A54CC" w14:textId="4E353410" w:rsidR="00966359" w:rsidRPr="006C7B74" w:rsidRDefault="00966359" w:rsidP="00966359">
            <w:pPr>
              <w:jc w:val="center"/>
              <w:rPr>
                <w:rFonts w:ascii="Calibri" w:hAnsi="Calibri" w:cs="Calibri"/>
                <w:color w:val="363534"/>
                <w:sz w:val="18"/>
                <w:szCs w:val="18"/>
                <w:lang w:eastAsia="en-AU"/>
              </w:rPr>
            </w:pPr>
            <w:r w:rsidRPr="006C7B74">
              <w:rPr>
                <w:sz w:val="18"/>
                <w:szCs w:val="18"/>
              </w:rPr>
              <w:t>295.3</w:t>
            </w:r>
          </w:p>
        </w:tc>
        <w:tc>
          <w:tcPr>
            <w:tcW w:w="557" w:type="pct"/>
            <w:tcBorders>
              <w:top w:val="nil"/>
              <w:left w:val="nil"/>
              <w:bottom w:val="single" w:sz="8" w:space="0" w:color="4D446C"/>
              <w:right w:val="nil"/>
            </w:tcBorders>
            <w:shd w:val="clear" w:color="auto" w:fill="auto"/>
            <w:noWrap/>
            <w:hideMark/>
          </w:tcPr>
          <w:p w14:paraId="35B3FCD6" w14:textId="6A1B394E" w:rsidR="00966359" w:rsidRPr="006C7B74" w:rsidRDefault="00966359" w:rsidP="00966359">
            <w:pPr>
              <w:jc w:val="center"/>
              <w:rPr>
                <w:rFonts w:ascii="Calibri" w:hAnsi="Calibri" w:cs="Calibri"/>
                <w:color w:val="363534"/>
                <w:sz w:val="18"/>
                <w:szCs w:val="18"/>
                <w:lang w:eastAsia="en-AU"/>
              </w:rPr>
            </w:pPr>
            <w:r w:rsidRPr="006C7B74">
              <w:rPr>
                <w:sz w:val="18"/>
                <w:szCs w:val="18"/>
              </w:rPr>
              <w:t>30.7</w:t>
            </w:r>
          </w:p>
        </w:tc>
        <w:tc>
          <w:tcPr>
            <w:tcW w:w="633" w:type="pct"/>
            <w:tcBorders>
              <w:top w:val="nil"/>
              <w:left w:val="nil"/>
              <w:bottom w:val="single" w:sz="8" w:space="0" w:color="4D446C"/>
              <w:right w:val="nil"/>
            </w:tcBorders>
            <w:shd w:val="clear" w:color="auto" w:fill="auto"/>
            <w:noWrap/>
            <w:hideMark/>
          </w:tcPr>
          <w:p w14:paraId="54F778B4" w14:textId="317249F7" w:rsidR="00966359" w:rsidRPr="006C7B74" w:rsidRDefault="00966359" w:rsidP="00966359">
            <w:pPr>
              <w:jc w:val="center"/>
              <w:rPr>
                <w:rFonts w:ascii="Calibri" w:hAnsi="Calibri" w:cs="Calibri"/>
                <w:color w:val="363534"/>
                <w:sz w:val="18"/>
                <w:szCs w:val="18"/>
                <w:lang w:eastAsia="en-AU"/>
              </w:rPr>
            </w:pPr>
            <w:r w:rsidRPr="006C7B74">
              <w:rPr>
                <w:sz w:val="18"/>
                <w:szCs w:val="18"/>
              </w:rPr>
              <w:t>0.0</w:t>
            </w:r>
          </w:p>
        </w:tc>
        <w:tc>
          <w:tcPr>
            <w:tcW w:w="1278" w:type="pct"/>
            <w:tcBorders>
              <w:top w:val="nil"/>
              <w:left w:val="nil"/>
              <w:bottom w:val="single" w:sz="8" w:space="0" w:color="4D446C"/>
              <w:right w:val="nil"/>
            </w:tcBorders>
            <w:shd w:val="clear" w:color="auto" w:fill="auto"/>
            <w:noWrap/>
            <w:hideMark/>
          </w:tcPr>
          <w:p w14:paraId="34DE7EDD" w14:textId="088C6066" w:rsidR="00966359" w:rsidRPr="006C7B74" w:rsidRDefault="00966359" w:rsidP="00966359">
            <w:pPr>
              <w:jc w:val="center"/>
              <w:rPr>
                <w:rFonts w:ascii="Calibri" w:hAnsi="Calibri" w:cs="Calibri"/>
                <w:color w:val="363534"/>
                <w:sz w:val="18"/>
                <w:szCs w:val="18"/>
                <w:lang w:eastAsia="en-AU"/>
              </w:rPr>
            </w:pPr>
            <w:r w:rsidRPr="006C7B74">
              <w:rPr>
                <w:sz w:val="18"/>
                <w:szCs w:val="18"/>
              </w:rPr>
              <w:t>30.7</w:t>
            </w:r>
          </w:p>
        </w:tc>
      </w:tr>
      <w:tr w:rsidR="00966359" w:rsidRPr="006C7B74" w14:paraId="35D1281A" w14:textId="77777777" w:rsidTr="006C7B74">
        <w:trPr>
          <w:trHeight w:val="315"/>
        </w:trPr>
        <w:tc>
          <w:tcPr>
            <w:tcW w:w="1861" w:type="pct"/>
            <w:tcBorders>
              <w:top w:val="nil"/>
              <w:left w:val="nil"/>
              <w:bottom w:val="single" w:sz="8" w:space="0" w:color="4D446C"/>
              <w:right w:val="nil"/>
            </w:tcBorders>
            <w:shd w:val="clear" w:color="auto" w:fill="auto"/>
            <w:noWrap/>
            <w:vAlign w:val="center"/>
            <w:hideMark/>
          </w:tcPr>
          <w:p w14:paraId="11B6AC8E" w14:textId="77777777" w:rsidR="00966359" w:rsidRPr="006C7B74" w:rsidRDefault="00966359" w:rsidP="00966359">
            <w:pPr>
              <w:rPr>
                <w:rFonts w:ascii="Calibri" w:hAnsi="Calibri" w:cs="Calibri"/>
                <w:b/>
                <w:bCs/>
                <w:color w:val="000000"/>
                <w:sz w:val="18"/>
                <w:szCs w:val="18"/>
                <w:lang w:eastAsia="en-AU"/>
              </w:rPr>
            </w:pPr>
            <w:r w:rsidRPr="006C7B74">
              <w:rPr>
                <w:rFonts w:ascii="Calibri" w:hAnsi="Calibri" w:cs="Calibri"/>
                <w:b/>
                <w:bCs/>
                <w:color w:val="000000"/>
                <w:sz w:val="18"/>
                <w:szCs w:val="18"/>
                <w:lang w:eastAsia="en-AU"/>
              </w:rPr>
              <w:t>Eastern Region</w:t>
            </w:r>
          </w:p>
        </w:tc>
        <w:tc>
          <w:tcPr>
            <w:tcW w:w="671" w:type="pct"/>
            <w:tcBorders>
              <w:top w:val="nil"/>
              <w:left w:val="nil"/>
              <w:bottom w:val="single" w:sz="8" w:space="0" w:color="4D446C"/>
              <w:right w:val="nil"/>
            </w:tcBorders>
            <w:shd w:val="clear" w:color="auto" w:fill="auto"/>
            <w:noWrap/>
            <w:hideMark/>
          </w:tcPr>
          <w:p w14:paraId="280680E1" w14:textId="0C5AF077" w:rsidR="00966359" w:rsidRPr="006C7B74" w:rsidRDefault="00966359" w:rsidP="00966359">
            <w:pPr>
              <w:jc w:val="center"/>
              <w:rPr>
                <w:rFonts w:ascii="Calibri" w:hAnsi="Calibri" w:cs="Calibri"/>
                <w:b/>
                <w:color w:val="363534"/>
                <w:sz w:val="18"/>
                <w:szCs w:val="18"/>
                <w:lang w:eastAsia="en-AU"/>
              </w:rPr>
            </w:pPr>
            <w:r w:rsidRPr="006C7B74">
              <w:rPr>
                <w:b/>
                <w:sz w:val="18"/>
                <w:szCs w:val="18"/>
              </w:rPr>
              <w:t>2,435.0</w:t>
            </w:r>
          </w:p>
        </w:tc>
        <w:tc>
          <w:tcPr>
            <w:tcW w:w="557" w:type="pct"/>
            <w:tcBorders>
              <w:top w:val="nil"/>
              <w:left w:val="nil"/>
              <w:bottom w:val="single" w:sz="8" w:space="0" w:color="4D446C"/>
              <w:right w:val="nil"/>
            </w:tcBorders>
            <w:shd w:val="clear" w:color="auto" w:fill="auto"/>
            <w:noWrap/>
            <w:hideMark/>
          </w:tcPr>
          <w:p w14:paraId="1C8B018C" w14:textId="17C7BCAE" w:rsidR="00966359" w:rsidRPr="006C7B74" w:rsidRDefault="00966359" w:rsidP="00966359">
            <w:pPr>
              <w:jc w:val="center"/>
              <w:rPr>
                <w:rFonts w:ascii="Calibri" w:hAnsi="Calibri" w:cs="Calibri"/>
                <w:b/>
                <w:color w:val="363534"/>
                <w:sz w:val="18"/>
                <w:szCs w:val="18"/>
                <w:lang w:eastAsia="en-AU"/>
              </w:rPr>
            </w:pPr>
            <w:r w:rsidRPr="006C7B74">
              <w:rPr>
                <w:b/>
                <w:sz w:val="18"/>
                <w:szCs w:val="18"/>
              </w:rPr>
              <w:t>135.1</w:t>
            </w:r>
          </w:p>
        </w:tc>
        <w:tc>
          <w:tcPr>
            <w:tcW w:w="633" w:type="pct"/>
            <w:tcBorders>
              <w:top w:val="nil"/>
              <w:left w:val="nil"/>
              <w:bottom w:val="single" w:sz="8" w:space="0" w:color="4D446C"/>
              <w:right w:val="nil"/>
            </w:tcBorders>
            <w:shd w:val="clear" w:color="auto" w:fill="auto"/>
            <w:noWrap/>
            <w:hideMark/>
          </w:tcPr>
          <w:p w14:paraId="1BC7081E" w14:textId="649E2292" w:rsidR="00966359" w:rsidRPr="006C7B74" w:rsidRDefault="00966359" w:rsidP="00966359">
            <w:pPr>
              <w:jc w:val="center"/>
              <w:rPr>
                <w:rFonts w:ascii="Calibri" w:hAnsi="Calibri" w:cs="Calibri"/>
                <w:b/>
                <w:color w:val="363534"/>
                <w:sz w:val="18"/>
                <w:szCs w:val="18"/>
                <w:lang w:eastAsia="en-AU"/>
              </w:rPr>
            </w:pPr>
            <w:r w:rsidRPr="006C7B74">
              <w:rPr>
                <w:b/>
                <w:sz w:val="18"/>
                <w:szCs w:val="18"/>
              </w:rPr>
              <w:t>0.0</w:t>
            </w:r>
          </w:p>
        </w:tc>
        <w:tc>
          <w:tcPr>
            <w:tcW w:w="1278" w:type="pct"/>
            <w:tcBorders>
              <w:top w:val="nil"/>
              <w:left w:val="nil"/>
              <w:bottom w:val="single" w:sz="8" w:space="0" w:color="4D446C"/>
              <w:right w:val="nil"/>
            </w:tcBorders>
            <w:shd w:val="clear" w:color="auto" w:fill="auto"/>
            <w:noWrap/>
            <w:hideMark/>
          </w:tcPr>
          <w:p w14:paraId="3D8F197A" w14:textId="21A12032" w:rsidR="00966359" w:rsidRPr="006C7B74" w:rsidRDefault="00966359" w:rsidP="00966359">
            <w:pPr>
              <w:jc w:val="center"/>
              <w:rPr>
                <w:rFonts w:ascii="Calibri" w:hAnsi="Calibri" w:cs="Calibri"/>
                <w:b/>
                <w:color w:val="363534"/>
                <w:sz w:val="18"/>
                <w:szCs w:val="18"/>
                <w:lang w:eastAsia="en-AU"/>
              </w:rPr>
            </w:pPr>
            <w:r w:rsidRPr="006C7B74">
              <w:rPr>
                <w:b/>
                <w:sz w:val="18"/>
                <w:szCs w:val="18"/>
              </w:rPr>
              <w:t>135.1</w:t>
            </w:r>
          </w:p>
        </w:tc>
      </w:tr>
    </w:tbl>
    <w:p w14:paraId="4CD77C84" w14:textId="3EF45566" w:rsidR="00732BE8" w:rsidRPr="006C7B74" w:rsidRDefault="00DC580D" w:rsidP="006542F0">
      <w:pPr>
        <w:pStyle w:val="Quote"/>
        <w:rPr>
          <w:rFonts w:cstheme="minorHAnsi"/>
          <w:sz w:val="20"/>
          <w:szCs w:val="20"/>
        </w:rPr>
      </w:pPr>
      <w:r w:rsidRPr="006C7B74">
        <w:t>Source: Department of Environment, Land, Water and Planning, Urban Development Program – Melbourne Metropolitan Industrial 2018</w:t>
      </w:r>
    </w:p>
    <w:p w14:paraId="4F115F92" w14:textId="4B7BF120" w:rsidR="00764AB8" w:rsidRPr="006C7B74" w:rsidRDefault="006C2402" w:rsidP="00934C4D">
      <w:pPr>
        <w:spacing w:after="120"/>
        <w:rPr>
          <w:rFonts w:cstheme="minorHAnsi"/>
          <w:sz w:val="20"/>
          <w:szCs w:val="20"/>
        </w:rPr>
      </w:pPr>
      <w:r w:rsidRPr="006C7B74">
        <w:rPr>
          <w:rFonts w:cstheme="minorHAnsi"/>
          <w:sz w:val="20"/>
          <w:szCs w:val="20"/>
        </w:rPr>
        <w:t>Over</w:t>
      </w:r>
      <w:r w:rsidR="00115BD5" w:rsidRPr="006C7B74">
        <w:rPr>
          <w:rFonts w:cstheme="minorHAnsi"/>
          <w:sz w:val="20"/>
          <w:szCs w:val="20"/>
        </w:rPr>
        <w:t>all</w:t>
      </w:r>
      <w:r w:rsidR="008A55EF" w:rsidRPr="006C7B74">
        <w:rPr>
          <w:rFonts w:cstheme="minorHAnsi"/>
          <w:sz w:val="20"/>
          <w:szCs w:val="20"/>
        </w:rPr>
        <w:t>, there is very little available supply of zoned industrial land across the region</w:t>
      </w:r>
      <w:r w:rsidR="00BC3384" w:rsidRPr="006C7B74">
        <w:rPr>
          <w:rFonts w:cstheme="minorHAnsi"/>
          <w:sz w:val="20"/>
          <w:szCs w:val="20"/>
        </w:rPr>
        <w:t xml:space="preserve">. Around </w:t>
      </w:r>
      <w:r w:rsidR="000129C6" w:rsidRPr="006C7B74">
        <w:rPr>
          <w:rFonts w:cstheme="minorHAnsi"/>
          <w:sz w:val="20"/>
          <w:szCs w:val="20"/>
        </w:rPr>
        <w:t>7</w:t>
      </w:r>
      <w:r w:rsidRPr="006C7B74">
        <w:rPr>
          <w:rFonts w:cstheme="minorHAnsi"/>
          <w:sz w:val="20"/>
          <w:szCs w:val="20"/>
        </w:rPr>
        <w:t xml:space="preserve">0 per cent of the overall supply </w:t>
      </w:r>
      <w:r w:rsidR="00F27C4A" w:rsidRPr="006C7B74">
        <w:rPr>
          <w:rFonts w:cstheme="minorHAnsi"/>
          <w:sz w:val="20"/>
          <w:szCs w:val="20"/>
        </w:rPr>
        <w:t>in the region is located within the municipalities of Kno</w:t>
      </w:r>
      <w:r w:rsidR="00CC199C" w:rsidRPr="006C7B74">
        <w:rPr>
          <w:rFonts w:cstheme="minorHAnsi"/>
          <w:sz w:val="20"/>
          <w:szCs w:val="20"/>
        </w:rPr>
        <w:t>x</w:t>
      </w:r>
      <w:r w:rsidR="000129C6" w:rsidRPr="006C7B74">
        <w:rPr>
          <w:rFonts w:cstheme="minorHAnsi"/>
          <w:sz w:val="20"/>
          <w:szCs w:val="20"/>
        </w:rPr>
        <w:t xml:space="preserve"> and </w:t>
      </w:r>
      <w:r w:rsidR="001E70AD" w:rsidRPr="006C7B74">
        <w:rPr>
          <w:rFonts w:cstheme="minorHAnsi"/>
          <w:sz w:val="20"/>
          <w:szCs w:val="20"/>
        </w:rPr>
        <w:t>Maroondah</w:t>
      </w:r>
      <w:r w:rsidR="00E54D0E" w:rsidRPr="006C7B74">
        <w:rPr>
          <w:rFonts w:cstheme="minorHAnsi"/>
          <w:sz w:val="20"/>
          <w:szCs w:val="20"/>
        </w:rPr>
        <w:t>.</w:t>
      </w:r>
    </w:p>
    <w:p w14:paraId="66C14A29" w14:textId="0A34A898" w:rsidR="000F3AF7" w:rsidRPr="006C7B74" w:rsidRDefault="00296C15" w:rsidP="00934C4D">
      <w:pPr>
        <w:spacing w:after="120"/>
        <w:rPr>
          <w:rFonts w:cstheme="minorHAnsi"/>
          <w:sz w:val="20"/>
          <w:szCs w:val="20"/>
        </w:rPr>
      </w:pPr>
      <w:r w:rsidRPr="006C7B74">
        <w:rPr>
          <w:rFonts w:cstheme="minorHAnsi"/>
          <w:sz w:val="20"/>
          <w:szCs w:val="20"/>
        </w:rPr>
        <w:t xml:space="preserve">Manningham has </w:t>
      </w:r>
      <w:r w:rsidR="00E76400" w:rsidRPr="006C7B74">
        <w:rPr>
          <w:rFonts w:cstheme="minorHAnsi"/>
          <w:sz w:val="20"/>
          <w:szCs w:val="20"/>
        </w:rPr>
        <w:t xml:space="preserve">the </w:t>
      </w:r>
      <w:r w:rsidR="000129C6" w:rsidRPr="006C7B74">
        <w:rPr>
          <w:rFonts w:cstheme="minorHAnsi"/>
          <w:sz w:val="20"/>
          <w:szCs w:val="20"/>
        </w:rPr>
        <w:t xml:space="preserve">lowest </w:t>
      </w:r>
      <w:r w:rsidR="00E76400" w:rsidRPr="006C7B74">
        <w:rPr>
          <w:rFonts w:cstheme="minorHAnsi"/>
          <w:sz w:val="20"/>
          <w:szCs w:val="20"/>
        </w:rPr>
        <w:t xml:space="preserve">supply of </w:t>
      </w:r>
      <w:r w:rsidRPr="006C7B74">
        <w:rPr>
          <w:rFonts w:cstheme="minorHAnsi"/>
          <w:sz w:val="20"/>
          <w:szCs w:val="20"/>
        </w:rPr>
        <w:t>zoned industrial land</w:t>
      </w:r>
      <w:r w:rsidR="0023457C" w:rsidRPr="006C7B74">
        <w:rPr>
          <w:rFonts w:cstheme="minorHAnsi"/>
          <w:sz w:val="20"/>
          <w:szCs w:val="20"/>
        </w:rPr>
        <w:t xml:space="preserve"> </w:t>
      </w:r>
      <w:r w:rsidR="00E76400" w:rsidRPr="006C7B74">
        <w:rPr>
          <w:rFonts w:cstheme="minorHAnsi"/>
          <w:sz w:val="20"/>
          <w:szCs w:val="20"/>
        </w:rPr>
        <w:t xml:space="preserve">in the region, none of which is vacant. </w:t>
      </w:r>
      <w:r w:rsidR="00815208" w:rsidRPr="006C7B74">
        <w:rPr>
          <w:rFonts w:cstheme="minorHAnsi"/>
          <w:sz w:val="20"/>
          <w:szCs w:val="20"/>
        </w:rPr>
        <w:t>The vast majority of</w:t>
      </w:r>
      <w:r w:rsidR="00556235" w:rsidRPr="006C7B74">
        <w:rPr>
          <w:rFonts w:cstheme="minorHAnsi"/>
          <w:sz w:val="20"/>
          <w:szCs w:val="20"/>
        </w:rPr>
        <w:t xml:space="preserve"> </w:t>
      </w:r>
      <w:r w:rsidR="00815208" w:rsidRPr="006C7B74">
        <w:rPr>
          <w:rFonts w:cstheme="minorHAnsi"/>
          <w:sz w:val="20"/>
          <w:szCs w:val="20"/>
        </w:rPr>
        <w:t>t</w:t>
      </w:r>
      <w:r w:rsidR="00556235" w:rsidRPr="006C7B74">
        <w:rPr>
          <w:rFonts w:cstheme="minorHAnsi"/>
          <w:sz w:val="20"/>
          <w:szCs w:val="20"/>
        </w:rPr>
        <w:t xml:space="preserve">his land is </w:t>
      </w:r>
      <w:r w:rsidR="00935938" w:rsidRPr="006C7B74">
        <w:rPr>
          <w:rFonts w:cstheme="minorHAnsi"/>
          <w:sz w:val="20"/>
          <w:szCs w:val="20"/>
        </w:rPr>
        <w:t xml:space="preserve">located within </w:t>
      </w:r>
      <w:r w:rsidR="00556235" w:rsidRPr="006C7B74">
        <w:rPr>
          <w:rFonts w:cstheme="minorHAnsi"/>
          <w:sz w:val="20"/>
          <w:szCs w:val="20"/>
        </w:rPr>
        <w:t xml:space="preserve">one </w:t>
      </w:r>
      <w:r w:rsidR="00935938" w:rsidRPr="006C7B74">
        <w:rPr>
          <w:rFonts w:cstheme="minorHAnsi"/>
          <w:sz w:val="20"/>
          <w:szCs w:val="20"/>
        </w:rPr>
        <w:t xml:space="preserve">precinct, </w:t>
      </w:r>
      <w:r w:rsidR="00556235" w:rsidRPr="006C7B74">
        <w:rPr>
          <w:rFonts w:cstheme="minorHAnsi"/>
          <w:sz w:val="20"/>
          <w:szCs w:val="20"/>
        </w:rPr>
        <w:t>where Manningham and Temp</w:t>
      </w:r>
      <w:r w:rsidR="00935938" w:rsidRPr="006C7B74">
        <w:rPr>
          <w:rFonts w:cstheme="minorHAnsi"/>
          <w:sz w:val="20"/>
          <w:szCs w:val="20"/>
        </w:rPr>
        <w:t>lestow</w:t>
      </w:r>
      <w:r w:rsidR="00CF51DC" w:rsidRPr="006C7B74">
        <w:rPr>
          <w:rFonts w:cstheme="minorHAnsi"/>
          <w:sz w:val="20"/>
          <w:szCs w:val="20"/>
        </w:rPr>
        <w:t>e</w:t>
      </w:r>
      <w:r w:rsidR="00935938" w:rsidRPr="006C7B74">
        <w:rPr>
          <w:rFonts w:cstheme="minorHAnsi"/>
          <w:sz w:val="20"/>
          <w:szCs w:val="20"/>
        </w:rPr>
        <w:t xml:space="preserve"> Roads intersect</w:t>
      </w:r>
      <w:r w:rsidR="00E76400" w:rsidRPr="006C7B74">
        <w:rPr>
          <w:rFonts w:cstheme="minorHAnsi"/>
          <w:sz w:val="20"/>
          <w:szCs w:val="20"/>
        </w:rPr>
        <w:t xml:space="preserve">. </w:t>
      </w:r>
      <w:r w:rsidR="00556235" w:rsidRPr="006C7B74">
        <w:rPr>
          <w:rFonts w:cstheme="minorHAnsi"/>
          <w:sz w:val="20"/>
          <w:szCs w:val="20"/>
        </w:rPr>
        <w:t xml:space="preserve">This land </w:t>
      </w:r>
      <w:r w:rsidR="00301D50" w:rsidRPr="006C7B74">
        <w:rPr>
          <w:rFonts w:cstheme="minorHAnsi"/>
          <w:sz w:val="20"/>
          <w:szCs w:val="20"/>
        </w:rPr>
        <w:t>is proposed to</w:t>
      </w:r>
      <w:r w:rsidR="00556235" w:rsidRPr="006C7B74">
        <w:rPr>
          <w:rFonts w:cstheme="minorHAnsi"/>
          <w:sz w:val="20"/>
          <w:szCs w:val="20"/>
        </w:rPr>
        <w:t xml:space="preserve"> be used </w:t>
      </w:r>
      <w:r w:rsidR="00301D50" w:rsidRPr="006C7B74">
        <w:rPr>
          <w:rFonts w:cstheme="minorHAnsi"/>
          <w:sz w:val="20"/>
          <w:szCs w:val="20"/>
        </w:rPr>
        <w:t>as an interchange for the North East Link.</w:t>
      </w:r>
    </w:p>
    <w:p w14:paraId="3C71A463" w14:textId="139FF921" w:rsidR="00732BE8" w:rsidRPr="006C7B74" w:rsidRDefault="0047575D" w:rsidP="00934C4D">
      <w:pPr>
        <w:spacing w:after="120"/>
        <w:rPr>
          <w:rFonts w:cstheme="minorHAnsi"/>
          <w:sz w:val="20"/>
          <w:szCs w:val="20"/>
        </w:rPr>
      </w:pPr>
      <w:r w:rsidRPr="006C7B74">
        <w:rPr>
          <w:rFonts w:cstheme="minorHAnsi"/>
          <w:sz w:val="20"/>
          <w:szCs w:val="20"/>
        </w:rPr>
        <w:t xml:space="preserve">While there is limited remaining vacant land available across the region, there is opportunity for existing underutilised land to be redeveloped and </w:t>
      </w:r>
      <w:r w:rsidR="001D624D" w:rsidRPr="006C7B74">
        <w:rPr>
          <w:rFonts w:cstheme="minorHAnsi"/>
          <w:sz w:val="20"/>
          <w:szCs w:val="20"/>
        </w:rPr>
        <w:t xml:space="preserve">evidence of </w:t>
      </w:r>
      <w:r w:rsidR="00AD66E6" w:rsidRPr="006C7B74">
        <w:rPr>
          <w:rFonts w:cstheme="minorHAnsi"/>
          <w:sz w:val="20"/>
          <w:szCs w:val="20"/>
        </w:rPr>
        <w:t>buildings</w:t>
      </w:r>
      <w:r w:rsidR="001D624D" w:rsidRPr="006C7B74">
        <w:rPr>
          <w:rFonts w:cstheme="minorHAnsi"/>
          <w:sz w:val="20"/>
          <w:szCs w:val="20"/>
        </w:rPr>
        <w:t xml:space="preserve"> being </w:t>
      </w:r>
      <w:proofErr w:type="gramStart"/>
      <w:r w:rsidR="00AD66E6" w:rsidRPr="006C7B74">
        <w:rPr>
          <w:rFonts w:cstheme="minorHAnsi"/>
          <w:sz w:val="20"/>
          <w:szCs w:val="20"/>
        </w:rPr>
        <w:t>demolished</w:t>
      </w:r>
      <w:proofErr w:type="gramEnd"/>
      <w:r w:rsidR="00AD66E6" w:rsidRPr="006C7B74">
        <w:rPr>
          <w:rFonts w:cstheme="minorHAnsi"/>
          <w:sz w:val="20"/>
          <w:szCs w:val="20"/>
        </w:rPr>
        <w:t xml:space="preserve"> and the land being </w:t>
      </w:r>
      <w:r w:rsidR="001D624D" w:rsidRPr="006C7B74">
        <w:rPr>
          <w:rFonts w:cstheme="minorHAnsi"/>
          <w:sz w:val="20"/>
          <w:szCs w:val="20"/>
        </w:rPr>
        <w:t xml:space="preserve">recycled </w:t>
      </w:r>
      <w:r w:rsidR="00AD66E6" w:rsidRPr="006C7B74">
        <w:rPr>
          <w:rFonts w:cstheme="minorHAnsi"/>
          <w:sz w:val="20"/>
          <w:szCs w:val="20"/>
        </w:rPr>
        <w:t>for new industrial use</w:t>
      </w:r>
      <w:r w:rsidR="00D82B2A" w:rsidRPr="006C7B74">
        <w:rPr>
          <w:rFonts w:cstheme="minorHAnsi"/>
          <w:sz w:val="20"/>
          <w:szCs w:val="20"/>
        </w:rPr>
        <w:t>s</w:t>
      </w:r>
      <w:r w:rsidR="006F0F8D" w:rsidRPr="006C7B74">
        <w:rPr>
          <w:rFonts w:cstheme="minorHAnsi"/>
          <w:sz w:val="20"/>
          <w:szCs w:val="20"/>
        </w:rPr>
        <w:t>.</w:t>
      </w:r>
      <w:r w:rsidR="0099101B" w:rsidRPr="006C7B74">
        <w:rPr>
          <w:rFonts w:cstheme="minorHAnsi"/>
          <w:sz w:val="20"/>
          <w:szCs w:val="20"/>
        </w:rPr>
        <w:t xml:space="preserve"> </w:t>
      </w:r>
    </w:p>
    <w:p w14:paraId="0041A4C2" w14:textId="77777777" w:rsidR="00183789" w:rsidRPr="006C7B74" w:rsidRDefault="00183789" w:rsidP="00934C4D">
      <w:pPr>
        <w:spacing w:after="120"/>
        <w:rPr>
          <w:rFonts w:cstheme="minorHAnsi"/>
          <w:sz w:val="20"/>
          <w:szCs w:val="20"/>
        </w:rPr>
      </w:pPr>
    </w:p>
    <w:p w14:paraId="6EBC3412" w14:textId="76A936C8" w:rsidR="00732BE8" w:rsidRPr="006C7B74" w:rsidRDefault="00732BE8" w:rsidP="00C802F6">
      <w:pPr>
        <w:pStyle w:val="Heading5"/>
      </w:pPr>
      <w:r w:rsidRPr="006C7B74">
        <w:t xml:space="preserve">Table </w:t>
      </w:r>
      <w:r w:rsidR="00D971AA" w:rsidRPr="006C7B74">
        <w:t>24</w:t>
      </w:r>
      <w:r w:rsidRPr="006C7B74">
        <w:t xml:space="preserve">: Industrial </w:t>
      </w:r>
      <w:r w:rsidR="009C6C79" w:rsidRPr="006C7B74">
        <w:t>l</w:t>
      </w:r>
      <w:r w:rsidRPr="006C7B74">
        <w:t xml:space="preserve">and </w:t>
      </w:r>
      <w:r w:rsidR="009C6C79" w:rsidRPr="006C7B74">
        <w:t>c</w:t>
      </w:r>
      <w:r w:rsidRPr="006C7B74">
        <w:t>onsumption</w:t>
      </w:r>
      <w:r w:rsidR="00D26FAC" w:rsidRPr="006C7B74">
        <w:t>,</w:t>
      </w:r>
      <w:r w:rsidR="00E85C4A" w:rsidRPr="006C7B74">
        <w:t xml:space="preserve"> Eastern Region, 20</w:t>
      </w:r>
      <w:r w:rsidR="00B639A9" w:rsidRPr="006C7B74">
        <w:t>15-</w:t>
      </w:r>
      <w:r w:rsidR="00E85C4A" w:rsidRPr="006C7B74">
        <w:t>16 to 20</w:t>
      </w:r>
      <w:r w:rsidR="00B639A9" w:rsidRPr="006C7B74">
        <w:t>17-</w:t>
      </w:r>
      <w:r w:rsidR="00E85C4A" w:rsidRPr="006C7B74">
        <w:t>18</w:t>
      </w:r>
    </w:p>
    <w:tbl>
      <w:tblPr>
        <w:tblW w:w="5000" w:type="pct"/>
        <w:tblLook w:val="04A0" w:firstRow="1" w:lastRow="0" w:firstColumn="1" w:lastColumn="0" w:noHBand="0" w:noVBand="1"/>
      </w:tblPr>
      <w:tblGrid>
        <w:gridCol w:w="3874"/>
        <w:gridCol w:w="1716"/>
        <w:gridCol w:w="1716"/>
        <w:gridCol w:w="1714"/>
      </w:tblGrid>
      <w:tr w:rsidR="00490F9E" w:rsidRPr="006C7B74" w14:paraId="30DD17C2" w14:textId="77777777" w:rsidTr="00DC580D">
        <w:trPr>
          <w:trHeight w:val="283"/>
        </w:trPr>
        <w:tc>
          <w:tcPr>
            <w:tcW w:w="2147" w:type="pct"/>
            <w:tcBorders>
              <w:top w:val="nil"/>
              <w:left w:val="nil"/>
              <w:bottom w:val="single" w:sz="8" w:space="0" w:color="4D446C"/>
              <w:right w:val="nil"/>
            </w:tcBorders>
            <w:shd w:val="clear" w:color="000000" w:fill="4D446C"/>
            <w:noWrap/>
            <w:vAlign w:val="center"/>
            <w:hideMark/>
          </w:tcPr>
          <w:p w14:paraId="0838E83C" w14:textId="13E38D1D" w:rsidR="00490F9E" w:rsidRPr="006542F0" w:rsidRDefault="00490F9E" w:rsidP="006542F0">
            <w:pPr>
              <w:pStyle w:val="TableHeaderRow"/>
            </w:pPr>
            <w:r w:rsidRPr="006542F0">
              <w:t>Council</w:t>
            </w:r>
          </w:p>
        </w:tc>
        <w:tc>
          <w:tcPr>
            <w:tcW w:w="951" w:type="pct"/>
            <w:tcBorders>
              <w:top w:val="nil"/>
              <w:left w:val="nil"/>
              <w:bottom w:val="single" w:sz="8" w:space="0" w:color="4D446C"/>
              <w:right w:val="nil"/>
            </w:tcBorders>
            <w:shd w:val="clear" w:color="000000" w:fill="4D446C"/>
            <w:vAlign w:val="center"/>
            <w:hideMark/>
          </w:tcPr>
          <w:p w14:paraId="0A31FE5F" w14:textId="6793D2A5" w:rsidR="00490F9E" w:rsidRPr="006542F0" w:rsidRDefault="00490F9E" w:rsidP="006542F0">
            <w:pPr>
              <w:pStyle w:val="TableHeaderRow"/>
              <w:jc w:val="center"/>
            </w:pPr>
            <w:r w:rsidRPr="006542F0">
              <w:t>2015-16</w:t>
            </w:r>
            <w:r w:rsidR="00931E3A" w:rsidRPr="006542F0">
              <w:t xml:space="preserve"> (ha)</w:t>
            </w:r>
          </w:p>
        </w:tc>
        <w:tc>
          <w:tcPr>
            <w:tcW w:w="951" w:type="pct"/>
            <w:tcBorders>
              <w:top w:val="nil"/>
              <w:left w:val="nil"/>
              <w:bottom w:val="single" w:sz="8" w:space="0" w:color="4D446C"/>
              <w:right w:val="nil"/>
            </w:tcBorders>
            <w:shd w:val="clear" w:color="000000" w:fill="4D446C"/>
            <w:vAlign w:val="center"/>
            <w:hideMark/>
          </w:tcPr>
          <w:p w14:paraId="3AF83B4F" w14:textId="3ABE6EC5" w:rsidR="00490F9E" w:rsidRPr="006542F0" w:rsidRDefault="00490F9E" w:rsidP="006542F0">
            <w:pPr>
              <w:pStyle w:val="TableHeaderRow"/>
              <w:jc w:val="center"/>
            </w:pPr>
            <w:r w:rsidRPr="006542F0">
              <w:t>2016-17</w:t>
            </w:r>
            <w:r w:rsidR="00931E3A" w:rsidRPr="006542F0">
              <w:t xml:space="preserve"> (ha)</w:t>
            </w:r>
          </w:p>
        </w:tc>
        <w:tc>
          <w:tcPr>
            <w:tcW w:w="950" w:type="pct"/>
            <w:tcBorders>
              <w:top w:val="nil"/>
              <w:left w:val="nil"/>
              <w:bottom w:val="single" w:sz="8" w:space="0" w:color="4D446C"/>
              <w:right w:val="nil"/>
            </w:tcBorders>
            <w:shd w:val="clear" w:color="000000" w:fill="4D446C"/>
            <w:vAlign w:val="center"/>
            <w:hideMark/>
          </w:tcPr>
          <w:p w14:paraId="60081366" w14:textId="055C25A8" w:rsidR="00490F9E" w:rsidRPr="006542F0" w:rsidRDefault="00490F9E" w:rsidP="006542F0">
            <w:pPr>
              <w:pStyle w:val="TableHeaderRow"/>
              <w:jc w:val="center"/>
            </w:pPr>
            <w:r w:rsidRPr="006542F0">
              <w:t>2017-18</w:t>
            </w:r>
            <w:r w:rsidR="00931E3A" w:rsidRPr="006542F0">
              <w:t xml:space="preserve"> (ha)</w:t>
            </w:r>
          </w:p>
        </w:tc>
      </w:tr>
      <w:tr w:rsidR="009D6578" w:rsidRPr="006C7B74" w14:paraId="1DD18393" w14:textId="77777777" w:rsidTr="00DC580D">
        <w:trPr>
          <w:trHeight w:val="283"/>
        </w:trPr>
        <w:tc>
          <w:tcPr>
            <w:tcW w:w="2147" w:type="pct"/>
            <w:tcBorders>
              <w:top w:val="nil"/>
              <w:left w:val="nil"/>
              <w:bottom w:val="single" w:sz="8" w:space="0" w:color="4D446C"/>
              <w:right w:val="nil"/>
            </w:tcBorders>
            <w:shd w:val="clear" w:color="auto" w:fill="auto"/>
            <w:noWrap/>
            <w:vAlign w:val="center"/>
            <w:hideMark/>
          </w:tcPr>
          <w:p w14:paraId="2CE52FF0" w14:textId="77777777" w:rsidR="009D6578" w:rsidRPr="006C7B74" w:rsidRDefault="009D6578" w:rsidP="009D6578">
            <w:pPr>
              <w:rPr>
                <w:rFonts w:ascii="Calibri" w:hAnsi="Calibri" w:cs="Calibri"/>
                <w:color w:val="000000"/>
                <w:sz w:val="18"/>
                <w:szCs w:val="18"/>
                <w:lang w:eastAsia="en-AU"/>
              </w:rPr>
            </w:pPr>
            <w:r w:rsidRPr="006C7B74">
              <w:rPr>
                <w:rFonts w:ascii="Calibri" w:hAnsi="Calibri" w:cs="Calibri"/>
                <w:color w:val="000000"/>
                <w:sz w:val="18"/>
                <w:szCs w:val="18"/>
                <w:lang w:eastAsia="en-AU"/>
              </w:rPr>
              <w:t>Knox</w:t>
            </w:r>
          </w:p>
        </w:tc>
        <w:tc>
          <w:tcPr>
            <w:tcW w:w="951" w:type="pct"/>
            <w:tcBorders>
              <w:top w:val="nil"/>
              <w:left w:val="nil"/>
              <w:bottom w:val="single" w:sz="8" w:space="0" w:color="4D446C"/>
              <w:right w:val="nil"/>
            </w:tcBorders>
            <w:shd w:val="clear" w:color="auto" w:fill="auto"/>
            <w:noWrap/>
            <w:vAlign w:val="center"/>
            <w:hideMark/>
          </w:tcPr>
          <w:p w14:paraId="6F6CE872" w14:textId="77777777" w:rsidR="009D6578" w:rsidRPr="006C7B74" w:rsidRDefault="009D6578" w:rsidP="009D6578">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7.6</w:t>
            </w:r>
          </w:p>
        </w:tc>
        <w:tc>
          <w:tcPr>
            <w:tcW w:w="951" w:type="pct"/>
            <w:tcBorders>
              <w:top w:val="nil"/>
              <w:left w:val="nil"/>
              <w:bottom w:val="single" w:sz="8" w:space="0" w:color="4D446C"/>
              <w:right w:val="nil"/>
            </w:tcBorders>
            <w:shd w:val="clear" w:color="auto" w:fill="auto"/>
            <w:noWrap/>
            <w:vAlign w:val="center"/>
            <w:hideMark/>
          </w:tcPr>
          <w:p w14:paraId="401E4A96" w14:textId="77777777" w:rsidR="009D6578" w:rsidRPr="006C7B74" w:rsidRDefault="009D6578" w:rsidP="009D6578">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13.9</w:t>
            </w:r>
          </w:p>
        </w:tc>
        <w:tc>
          <w:tcPr>
            <w:tcW w:w="950" w:type="pct"/>
            <w:tcBorders>
              <w:top w:val="nil"/>
              <w:left w:val="nil"/>
              <w:bottom w:val="single" w:sz="8" w:space="0" w:color="4D446C"/>
              <w:right w:val="nil"/>
            </w:tcBorders>
            <w:shd w:val="clear" w:color="auto" w:fill="auto"/>
            <w:noWrap/>
            <w:vAlign w:val="center"/>
            <w:hideMark/>
          </w:tcPr>
          <w:p w14:paraId="652028FE" w14:textId="77777777" w:rsidR="009D6578" w:rsidRPr="006C7B74" w:rsidRDefault="009D6578" w:rsidP="009D6578">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1.2</w:t>
            </w:r>
          </w:p>
        </w:tc>
      </w:tr>
      <w:tr w:rsidR="009D6578" w:rsidRPr="006C7B74" w14:paraId="19DBAB00" w14:textId="77777777" w:rsidTr="00DC580D">
        <w:trPr>
          <w:trHeight w:val="283"/>
        </w:trPr>
        <w:tc>
          <w:tcPr>
            <w:tcW w:w="2147" w:type="pct"/>
            <w:tcBorders>
              <w:top w:val="nil"/>
              <w:left w:val="nil"/>
              <w:bottom w:val="single" w:sz="8" w:space="0" w:color="4D446C"/>
              <w:right w:val="nil"/>
            </w:tcBorders>
            <w:shd w:val="clear" w:color="auto" w:fill="auto"/>
            <w:noWrap/>
            <w:vAlign w:val="center"/>
            <w:hideMark/>
          </w:tcPr>
          <w:p w14:paraId="09B15614" w14:textId="77777777" w:rsidR="009D6578" w:rsidRPr="006C7B74" w:rsidRDefault="009D6578" w:rsidP="009D6578">
            <w:pPr>
              <w:rPr>
                <w:rFonts w:ascii="Calibri" w:hAnsi="Calibri" w:cs="Calibri"/>
                <w:color w:val="000000"/>
                <w:sz w:val="18"/>
                <w:szCs w:val="18"/>
                <w:lang w:eastAsia="en-AU"/>
              </w:rPr>
            </w:pPr>
            <w:r w:rsidRPr="006C7B74">
              <w:rPr>
                <w:rFonts w:ascii="Calibri" w:hAnsi="Calibri" w:cs="Calibri"/>
                <w:color w:val="000000"/>
                <w:sz w:val="18"/>
                <w:szCs w:val="18"/>
                <w:lang w:eastAsia="en-AU"/>
              </w:rPr>
              <w:t>Manningham</w:t>
            </w:r>
          </w:p>
        </w:tc>
        <w:tc>
          <w:tcPr>
            <w:tcW w:w="951" w:type="pct"/>
            <w:tcBorders>
              <w:top w:val="nil"/>
              <w:left w:val="nil"/>
              <w:bottom w:val="single" w:sz="8" w:space="0" w:color="4D446C"/>
              <w:right w:val="nil"/>
            </w:tcBorders>
            <w:shd w:val="clear" w:color="auto" w:fill="auto"/>
            <w:noWrap/>
            <w:vAlign w:val="center"/>
            <w:hideMark/>
          </w:tcPr>
          <w:p w14:paraId="733FEF2A" w14:textId="77777777" w:rsidR="009D6578" w:rsidRPr="006C7B74" w:rsidRDefault="009D6578" w:rsidP="009D6578">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0.0</w:t>
            </w:r>
          </w:p>
        </w:tc>
        <w:tc>
          <w:tcPr>
            <w:tcW w:w="951" w:type="pct"/>
            <w:tcBorders>
              <w:top w:val="nil"/>
              <w:left w:val="nil"/>
              <w:bottom w:val="single" w:sz="8" w:space="0" w:color="4D446C"/>
              <w:right w:val="nil"/>
            </w:tcBorders>
            <w:shd w:val="clear" w:color="auto" w:fill="auto"/>
            <w:noWrap/>
            <w:vAlign w:val="center"/>
            <w:hideMark/>
          </w:tcPr>
          <w:p w14:paraId="76C71D68" w14:textId="77777777" w:rsidR="009D6578" w:rsidRPr="006C7B74" w:rsidRDefault="009D6578" w:rsidP="009D6578">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0.0</w:t>
            </w:r>
          </w:p>
        </w:tc>
        <w:tc>
          <w:tcPr>
            <w:tcW w:w="950" w:type="pct"/>
            <w:tcBorders>
              <w:top w:val="nil"/>
              <w:left w:val="nil"/>
              <w:bottom w:val="single" w:sz="8" w:space="0" w:color="4D446C"/>
              <w:right w:val="nil"/>
            </w:tcBorders>
            <w:shd w:val="clear" w:color="auto" w:fill="auto"/>
            <w:noWrap/>
            <w:vAlign w:val="center"/>
            <w:hideMark/>
          </w:tcPr>
          <w:p w14:paraId="4FC0286D" w14:textId="77777777" w:rsidR="009D6578" w:rsidRPr="006C7B74" w:rsidRDefault="009D6578" w:rsidP="009D6578">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0.0</w:t>
            </w:r>
          </w:p>
        </w:tc>
      </w:tr>
      <w:tr w:rsidR="009D6578" w:rsidRPr="006C7B74" w14:paraId="544BA539" w14:textId="77777777" w:rsidTr="00DC580D">
        <w:trPr>
          <w:trHeight w:val="283"/>
        </w:trPr>
        <w:tc>
          <w:tcPr>
            <w:tcW w:w="2147" w:type="pct"/>
            <w:tcBorders>
              <w:top w:val="nil"/>
              <w:left w:val="nil"/>
              <w:bottom w:val="single" w:sz="8" w:space="0" w:color="4D446C"/>
              <w:right w:val="nil"/>
            </w:tcBorders>
            <w:shd w:val="clear" w:color="auto" w:fill="auto"/>
            <w:noWrap/>
            <w:vAlign w:val="center"/>
            <w:hideMark/>
          </w:tcPr>
          <w:p w14:paraId="1B3BEAD4" w14:textId="77777777" w:rsidR="009D6578" w:rsidRPr="006C7B74" w:rsidRDefault="009D6578" w:rsidP="009D6578">
            <w:pPr>
              <w:rPr>
                <w:rFonts w:ascii="Calibri" w:hAnsi="Calibri" w:cs="Calibri"/>
                <w:color w:val="000000"/>
                <w:sz w:val="18"/>
                <w:szCs w:val="18"/>
                <w:lang w:eastAsia="en-AU"/>
              </w:rPr>
            </w:pPr>
            <w:r w:rsidRPr="006C7B74">
              <w:rPr>
                <w:rFonts w:ascii="Calibri" w:hAnsi="Calibri" w:cs="Calibri"/>
                <w:color w:val="000000"/>
                <w:sz w:val="18"/>
                <w:szCs w:val="18"/>
                <w:lang w:eastAsia="en-AU"/>
              </w:rPr>
              <w:t>Maroondah</w:t>
            </w:r>
          </w:p>
        </w:tc>
        <w:tc>
          <w:tcPr>
            <w:tcW w:w="951" w:type="pct"/>
            <w:tcBorders>
              <w:top w:val="nil"/>
              <w:left w:val="nil"/>
              <w:bottom w:val="single" w:sz="8" w:space="0" w:color="4D446C"/>
              <w:right w:val="nil"/>
            </w:tcBorders>
            <w:shd w:val="clear" w:color="auto" w:fill="auto"/>
            <w:noWrap/>
            <w:vAlign w:val="center"/>
            <w:hideMark/>
          </w:tcPr>
          <w:p w14:paraId="64AC99F6" w14:textId="77777777" w:rsidR="009D6578" w:rsidRPr="006C7B74" w:rsidRDefault="009D6578" w:rsidP="009D6578">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3.4</w:t>
            </w:r>
          </w:p>
        </w:tc>
        <w:tc>
          <w:tcPr>
            <w:tcW w:w="951" w:type="pct"/>
            <w:tcBorders>
              <w:top w:val="nil"/>
              <w:left w:val="nil"/>
              <w:bottom w:val="single" w:sz="8" w:space="0" w:color="4D446C"/>
              <w:right w:val="nil"/>
            </w:tcBorders>
            <w:shd w:val="clear" w:color="auto" w:fill="auto"/>
            <w:noWrap/>
            <w:vAlign w:val="center"/>
            <w:hideMark/>
          </w:tcPr>
          <w:p w14:paraId="4C9B4F21" w14:textId="77777777" w:rsidR="009D6578" w:rsidRPr="006C7B74" w:rsidRDefault="009D6578" w:rsidP="009D6578">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3.6</w:t>
            </w:r>
          </w:p>
        </w:tc>
        <w:tc>
          <w:tcPr>
            <w:tcW w:w="950" w:type="pct"/>
            <w:tcBorders>
              <w:top w:val="nil"/>
              <w:left w:val="nil"/>
              <w:bottom w:val="single" w:sz="8" w:space="0" w:color="4D446C"/>
              <w:right w:val="nil"/>
            </w:tcBorders>
            <w:shd w:val="clear" w:color="auto" w:fill="auto"/>
            <w:noWrap/>
            <w:vAlign w:val="center"/>
            <w:hideMark/>
          </w:tcPr>
          <w:p w14:paraId="7D3779E1" w14:textId="77777777" w:rsidR="009D6578" w:rsidRPr="006C7B74" w:rsidRDefault="009D6578" w:rsidP="009D6578">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1.8</w:t>
            </w:r>
          </w:p>
        </w:tc>
      </w:tr>
      <w:tr w:rsidR="009D6578" w:rsidRPr="006C7B74" w14:paraId="72A1F488" w14:textId="77777777" w:rsidTr="00DC580D">
        <w:trPr>
          <w:trHeight w:val="283"/>
        </w:trPr>
        <w:tc>
          <w:tcPr>
            <w:tcW w:w="2147" w:type="pct"/>
            <w:tcBorders>
              <w:top w:val="nil"/>
              <w:left w:val="nil"/>
              <w:bottom w:val="single" w:sz="8" w:space="0" w:color="4D446C"/>
              <w:right w:val="nil"/>
            </w:tcBorders>
            <w:shd w:val="clear" w:color="auto" w:fill="auto"/>
            <w:noWrap/>
            <w:vAlign w:val="center"/>
            <w:hideMark/>
          </w:tcPr>
          <w:p w14:paraId="750E588A" w14:textId="77777777" w:rsidR="009D6578" w:rsidRPr="006C7B74" w:rsidRDefault="009D6578" w:rsidP="009D6578">
            <w:pPr>
              <w:rPr>
                <w:rFonts w:ascii="Calibri" w:hAnsi="Calibri" w:cs="Calibri"/>
                <w:color w:val="000000"/>
                <w:sz w:val="18"/>
                <w:szCs w:val="18"/>
                <w:lang w:eastAsia="en-AU"/>
              </w:rPr>
            </w:pPr>
            <w:r w:rsidRPr="006C7B74">
              <w:rPr>
                <w:rFonts w:ascii="Calibri" w:hAnsi="Calibri" w:cs="Calibri"/>
                <w:color w:val="000000"/>
                <w:sz w:val="18"/>
                <w:szCs w:val="18"/>
                <w:lang w:eastAsia="en-AU"/>
              </w:rPr>
              <w:t>Monash</w:t>
            </w:r>
          </w:p>
        </w:tc>
        <w:tc>
          <w:tcPr>
            <w:tcW w:w="951" w:type="pct"/>
            <w:tcBorders>
              <w:top w:val="nil"/>
              <w:left w:val="nil"/>
              <w:bottom w:val="single" w:sz="8" w:space="0" w:color="4D446C"/>
              <w:right w:val="nil"/>
            </w:tcBorders>
            <w:shd w:val="clear" w:color="auto" w:fill="auto"/>
            <w:noWrap/>
            <w:vAlign w:val="center"/>
            <w:hideMark/>
          </w:tcPr>
          <w:p w14:paraId="4267A85C" w14:textId="77777777" w:rsidR="009D6578" w:rsidRPr="006C7B74" w:rsidRDefault="009D6578" w:rsidP="009D6578">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6.6</w:t>
            </w:r>
          </w:p>
        </w:tc>
        <w:tc>
          <w:tcPr>
            <w:tcW w:w="951" w:type="pct"/>
            <w:tcBorders>
              <w:top w:val="nil"/>
              <w:left w:val="nil"/>
              <w:bottom w:val="single" w:sz="8" w:space="0" w:color="4D446C"/>
              <w:right w:val="nil"/>
            </w:tcBorders>
            <w:shd w:val="clear" w:color="auto" w:fill="auto"/>
            <w:noWrap/>
            <w:vAlign w:val="center"/>
            <w:hideMark/>
          </w:tcPr>
          <w:p w14:paraId="1DB29F93" w14:textId="77777777" w:rsidR="009D6578" w:rsidRPr="006C7B74" w:rsidRDefault="009D6578" w:rsidP="009D6578">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3.0</w:t>
            </w:r>
          </w:p>
        </w:tc>
        <w:tc>
          <w:tcPr>
            <w:tcW w:w="950" w:type="pct"/>
            <w:tcBorders>
              <w:top w:val="nil"/>
              <w:left w:val="nil"/>
              <w:bottom w:val="single" w:sz="8" w:space="0" w:color="4D446C"/>
              <w:right w:val="nil"/>
            </w:tcBorders>
            <w:shd w:val="clear" w:color="auto" w:fill="auto"/>
            <w:noWrap/>
            <w:vAlign w:val="center"/>
            <w:hideMark/>
          </w:tcPr>
          <w:p w14:paraId="68A08F2F" w14:textId="77777777" w:rsidR="009D6578" w:rsidRPr="006C7B74" w:rsidRDefault="009D6578" w:rsidP="009D6578">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-1.4</w:t>
            </w:r>
          </w:p>
        </w:tc>
      </w:tr>
      <w:tr w:rsidR="009D6578" w:rsidRPr="006C7B74" w14:paraId="0B6486E7" w14:textId="77777777" w:rsidTr="00DC580D">
        <w:trPr>
          <w:trHeight w:val="283"/>
        </w:trPr>
        <w:tc>
          <w:tcPr>
            <w:tcW w:w="2147" w:type="pct"/>
            <w:tcBorders>
              <w:top w:val="nil"/>
              <w:left w:val="nil"/>
              <w:bottom w:val="single" w:sz="8" w:space="0" w:color="4D446C"/>
              <w:right w:val="nil"/>
            </w:tcBorders>
            <w:shd w:val="clear" w:color="auto" w:fill="auto"/>
            <w:noWrap/>
            <w:vAlign w:val="center"/>
            <w:hideMark/>
          </w:tcPr>
          <w:p w14:paraId="4A2F0C47" w14:textId="77777777" w:rsidR="009D6578" w:rsidRPr="006C7B74" w:rsidRDefault="009D6578" w:rsidP="009D6578">
            <w:pPr>
              <w:rPr>
                <w:rFonts w:ascii="Calibri" w:hAnsi="Calibri" w:cs="Calibri"/>
                <w:color w:val="000000"/>
                <w:sz w:val="18"/>
                <w:szCs w:val="18"/>
                <w:lang w:eastAsia="en-AU"/>
              </w:rPr>
            </w:pPr>
            <w:r w:rsidRPr="006C7B74">
              <w:rPr>
                <w:rFonts w:ascii="Calibri" w:hAnsi="Calibri" w:cs="Calibri"/>
                <w:color w:val="000000"/>
                <w:sz w:val="18"/>
                <w:szCs w:val="18"/>
                <w:lang w:eastAsia="en-AU"/>
              </w:rPr>
              <w:t>Whitehorse</w:t>
            </w:r>
          </w:p>
        </w:tc>
        <w:tc>
          <w:tcPr>
            <w:tcW w:w="951" w:type="pct"/>
            <w:tcBorders>
              <w:top w:val="nil"/>
              <w:left w:val="nil"/>
              <w:bottom w:val="single" w:sz="8" w:space="0" w:color="4D446C"/>
              <w:right w:val="nil"/>
            </w:tcBorders>
            <w:shd w:val="clear" w:color="auto" w:fill="auto"/>
            <w:noWrap/>
            <w:vAlign w:val="center"/>
            <w:hideMark/>
          </w:tcPr>
          <w:p w14:paraId="09F6D7D6" w14:textId="77777777" w:rsidR="009D6578" w:rsidRPr="006C7B74" w:rsidRDefault="009D6578" w:rsidP="009D6578">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-1.5</w:t>
            </w:r>
          </w:p>
        </w:tc>
        <w:tc>
          <w:tcPr>
            <w:tcW w:w="951" w:type="pct"/>
            <w:tcBorders>
              <w:top w:val="nil"/>
              <w:left w:val="nil"/>
              <w:bottom w:val="single" w:sz="8" w:space="0" w:color="4D446C"/>
              <w:right w:val="nil"/>
            </w:tcBorders>
            <w:shd w:val="clear" w:color="auto" w:fill="auto"/>
            <w:noWrap/>
            <w:vAlign w:val="center"/>
            <w:hideMark/>
          </w:tcPr>
          <w:p w14:paraId="5DC2F0A0" w14:textId="77777777" w:rsidR="009D6578" w:rsidRPr="006C7B74" w:rsidRDefault="009D6578" w:rsidP="009D6578">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1.8</w:t>
            </w:r>
          </w:p>
        </w:tc>
        <w:tc>
          <w:tcPr>
            <w:tcW w:w="950" w:type="pct"/>
            <w:tcBorders>
              <w:top w:val="nil"/>
              <w:left w:val="nil"/>
              <w:bottom w:val="single" w:sz="8" w:space="0" w:color="4D446C"/>
              <w:right w:val="nil"/>
            </w:tcBorders>
            <w:shd w:val="clear" w:color="auto" w:fill="auto"/>
            <w:noWrap/>
            <w:vAlign w:val="center"/>
            <w:hideMark/>
          </w:tcPr>
          <w:p w14:paraId="1A9619B2" w14:textId="77777777" w:rsidR="009D6578" w:rsidRPr="006C7B74" w:rsidRDefault="009D6578" w:rsidP="009D6578">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0.3</w:t>
            </w:r>
          </w:p>
        </w:tc>
      </w:tr>
      <w:tr w:rsidR="009D6578" w:rsidRPr="006C7B74" w14:paraId="7886C828" w14:textId="77777777" w:rsidTr="00DC580D">
        <w:trPr>
          <w:trHeight w:val="283"/>
        </w:trPr>
        <w:tc>
          <w:tcPr>
            <w:tcW w:w="2147" w:type="pct"/>
            <w:tcBorders>
              <w:top w:val="nil"/>
              <w:left w:val="nil"/>
              <w:bottom w:val="single" w:sz="8" w:space="0" w:color="4D446C"/>
              <w:right w:val="nil"/>
            </w:tcBorders>
            <w:shd w:val="clear" w:color="auto" w:fill="auto"/>
            <w:noWrap/>
            <w:vAlign w:val="center"/>
            <w:hideMark/>
          </w:tcPr>
          <w:p w14:paraId="2A97F91A" w14:textId="77777777" w:rsidR="009D6578" w:rsidRPr="006C7B74" w:rsidRDefault="009D6578" w:rsidP="009D6578">
            <w:pPr>
              <w:rPr>
                <w:rFonts w:ascii="Calibri" w:hAnsi="Calibri" w:cs="Calibri"/>
                <w:color w:val="000000"/>
                <w:sz w:val="18"/>
                <w:szCs w:val="18"/>
                <w:lang w:eastAsia="en-AU"/>
              </w:rPr>
            </w:pPr>
            <w:r w:rsidRPr="006C7B74">
              <w:rPr>
                <w:rFonts w:ascii="Calibri" w:hAnsi="Calibri" w:cs="Calibri"/>
                <w:color w:val="000000"/>
                <w:sz w:val="18"/>
                <w:szCs w:val="18"/>
                <w:lang w:eastAsia="en-AU"/>
              </w:rPr>
              <w:t>Yarra Ranges</w:t>
            </w:r>
          </w:p>
        </w:tc>
        <w:tc>
          <w:tcPr>
            <w:tcW w:w="951" w:type="pct"/>
            <w:tcBorders>
              <w:top w:val="nil"/>
              <w:left w:val="nil"/>
              <w:bottom w:val="single" w:sz="8" w:space="0" w:color="4D446C"/>
              <w:right w:val="nil"/>
            </w:tcBorders>
            <w:shd w:val="clear" w:color="auto" w:fill="auto"/>
            <w:noWrap/>
            <w:vAlign w:val="center"/>
            <w:hideMark/>
          </w:tcPr>
          <w:p w14:paraId="233C223B" w14:textId="77777777" w:rsidR="009D6578" w:rsidRPr="006C7B74" w:rsidRDefault="009D6578" w:rsidP="009D6578">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1.7</w:t>
            </w:r>
          </w:p>
        </w:tc>
        <w:tc>
          <w:tcPr>
            <w:tcW w:w="951" w:type="pct"/>
            <w:tcBorders>
              <w:top w:val="nil"/>
              <w:left w:val="nil"/>
              <w:bottom w:val="single" w:sz="8" w:space="0" w:color="4D446C"/>
              <w:right w:val="nil"/>
            </w:tcBorders>
            <w:shd w:val="clear" w:color="auto" w:fill="auto"/>
            <w:noWrap/>
            <w:vAlign w:val="center"/>
            <w:hideMark/>
          </w:tcPr>
          <w:p w14:paraId="54F9E55C" w14:textId="77777777" w:rsidR="009D6578" w:rsidRPr="006C7B74" w:rsidRDefault="009D6578" w:rsidP="009D6578">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-9.6</w:t>
            </w:r>
          </w:p>
        </w:tc>
        <w:tc>
          <w:tcPr>
            <w:tcW w:w="950" w:type="pct"/>
            <w:tcBorders>
              <w:top w:val="nil"/>
              <w:left w:val="nil"/>
              <w:bottom w:val="single" w:sz="8" w:space="0" w:color="4D446C"/>
              <w:right w:val="nil"/>
            </w:tcBorders>
            <w:shd w:val="clear" w:color="auto" w:fill="auto"/>
            <w:noWrap/>
            <w:vAlign w:val="center"/>
            <w:hideMark/>
          </w:tcPr>
          <w:p w14:paraId="11E0CF8B" w14:textId="77777777" w:rsidR="009D6578" w:rsidRPr="006C7B74" w:rsidRDefault="009D6578" w:rsidP="009D6578">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1.6</w:t>
            </w:r>
          </w:p>
        </w:tc>
      </w:tr>
      <w:tr w:rsidR="009D6578" w:rsidRPr="006C7B74" w14:paraId="7E8A8989" w14:textId="77777777" w:rsidTr="00DC580D">
        <w:trPr>
          <w:trHeight w:val="283"/>
        </w:trPr>
        <w:tc>
          <w:tcPr>
            <w:tcW w:w="2147" w:type="pct"/>
            <w:tcBorders>
              <w:top w:val="nil"/>
              <w:left w:val="nil"/>
              <w:bottom w:val="single" w:sz="8" w:space="0" w:color="4D446C"/>
              <w:right w:val="nil"/>
            </w:tcBorders>
            <w:shd w:val="clear" w:color="auto" w:fill="auto"/>
            <w:noWrap/>
            <w:vAlign w:val="center"/>
            <w:hideMark/>
          </w:tcPr>
          <w:p w14:paraId="65B99D5E" w14:textId="77777777" w:rsidR="009D6578" w:rsidRPr="006C7B74" w:rsidRDefault="009D6578" w:rsidP="009D6578">
            <w:pPr>
              <w:rPr>
                <w:rFonts w:ascii="Calibri" w:hAnsi="Calibri" w:cs="Calibri"/>
                <w:b/>
                <w:bCs/>
                <w:color w:val="000000"/>
                <w:sz w:val="18"/>
                <w:szCs w:val="18"/>
                <w:lang w:eastAsia="en-AU"/>
              </w:rPr>
            </w:pPr>
            <w:r w:rsidRPr="006C7B74">
              <w:rPr>
                <w:rFonts w:ascii="Calibri" w:hAnsi="Calibri" w:cs="Calibri"/>
                <w:b/>
                <w:bCs/>
                <w:color w:val="000000"/>
                <w:sz w:val="18"/>
                <w:szCs w:val="18"/>
                <w:lang w:eastAsia="en-AU"/>
              </w:rPr>
              <w:t>Eastern Region</w:t>
            </w:r>
          </w:p>
        </w:tc>
        <w:tc>
          <w:tcPr>
            <w:tcW w:w="951" w:type="pct"/>
            <w:tcBorders>
              <w:top w:val="nil"/>
              <w:left w:val="nil"/>
              <w:bottom w:val="single" w:sz="8" w:space="0" w:color="4D446C"/>
              <w:right w:val="nil"/>
            </w:tcBorders>
            <w:shd w:val="clear" w:color="auto" w:fill="auto"/>
            <w:noWrap/>
            <w:vAlign w:val="center"/>
            <w:hideMark/>
          </w:tcPr>
          <w:p w14:paraId="1CD6FC49" w14:textId="77777777" w:rsidR="009D6578" w:rsidRPr="006C7B74" w:rsidRDefault="009D6578" w:rsidP="009D6578">
            <w:pPr>
              <w:jc w:val="center"/>
              <w:rPr>
                <w:rFonts w:ascii="Calibri" w:hAnsi="Calibri" w:cs="Calibri"/>
                <w:b/>
                <w:bCs/>
                <w:color w:val="363534"/>
                <w:sz w:val="18"/>
                <w:szCs w:val="18"/>
                <w:lang w:eastAsia="en-AU"/>
              </w:rPr>
            </w:pPr>
            <w:r w:rsidRPr="006C7B74">
              <w:rPr>
                <w:rFonts w:ascii="Calibri" w:hAnsi="Calibri" w:cs="Calibri"/>
                <w:b/>
                <w:bCs/>
                <w:color w:val="363534"/>
                <w:sz w:val="18"/>
                <w:szCs w:val="18"/>
                <w:lang w:eastAsia="en-AU"/>
              </w:rPr>
              <w:t>17.8</w:t>
            </w:r>
          </w:p>
        </w:tc>
        <w:tc>
          <w:tcPr>
            <w:tcW w:w="951" w:type="pct"/>
            <w:tcBorders>
              <w:top w:val="nil"/>
              <w:left w:val="nil"/>
              <w:bottom w:val="single" w:sz="8" w:space="0" w:color="4D446C"/>
              <w:right w:val="nil"/>
            </w:tcBorders>
            <w:shd w:val="clear" w:color="auto" w:fill="auto"/>
            <w:noWrap/>
            <w:vAlign w:val="center"/>
            <w:hideMark/>
          </w:tcPr>
          <w:p w14:paraId="7E994DE3" w14:textId="77777777" w:rsidR="009D6578" w:rsidRPr="006C7B74" w:rsidRDefault="009D6578" w:rsidP="009D6578">
            <w:pPr>
              <w:jc w:val="center"/>
              <w:rPr>
                <w:rFonts w:ascii="Calibri" w:hAnsi="Calibri" w:cs="Calibri"/>
                <w:b/>
                <w:bCs/>
                <w:color w:val="363534"/>
                <w:sz w:val="18"/>
                <w:szCs w:val="18"/>
                <w:lang w:eastAsia="en-AU"/>
              </w:rPr>
            </w:pPr>
            <w:r w:rsidRPr="006C7B74">
              <w:rPr>
                <w:rFonts w:ascii="Calibri" w:hAnsi="Calibri" w:cs="Calibri"/>
                <w:b/>
                <w:bCs/>
                <w:color w:val="363534"/>
                <w:sz w:val="18"/>
                <w:szCs w:val="18"/>
                <w:lang w:eastAsia="en-AU"/>
              </w:rPr>
              <w:t>12.7</w:t>
            </w:r>
          </w:p>
        </w:tc>
        <w:tc>
          <w:tcPr>
            <w:tcW w:w="950" w:type="pct"/>
            <w:tcBorders>
              <w:top w:val="nil"/>
              <w:left w:val="nil"/>
              <w:bottom w:val="single" w:sz="8" w:space="0" w:color="4D446C"/>
              <w:right w:val="nil"/>
            </w:tcBorders>
            <w:shd w:val="clear" w:color="auto" w:fill="auto"/>
            <w:noWrap/>
            <w:vAlign w:val="center"/>
            <w:hideMark/>
          </w:tcPr>
          <w:p w14:paraId="5A4E07B5" w14:textId="77777777" w:rsidR="009D6578" w:rsidRPr="006C7B74" w:rsidRDefault="009D6578" w:rsidP="009D6578">
            <w:pPr>
              <w:jc w:val="center"/>
              <w:rPr>
                <w:rFonts w:ascii="Calibri" w:hAnsi="Calibri" w:cs="Calibri"/>
                <w:b/>
                <w:bCs/>
                <w:color w:val="363534"/>
                <w:sz w:val="18"/>
                <w:szCs w:val="18"/>
                <w:lang w:eastAsia="en-AU"/>
              </w:rPr>
            </w:pPr>
            <w:r w:rsidRPr="006C7B74">
              <w:rPr>
                <w:rFonts w:ascii="Calibri" w:hAnsi="Calibri" w:cs="Calibri"/>
                <w:b/>
                <w:bCs/>
                <w:color w:val="363534"/>
                <w:sz w:val="18"/>
                <w:szCs w:val="18"/>
                <w:lang w:eastAsia="en-AU"/>
              </w:rPr>
              <w:t>3.5</w:t>
            </w:r>
          </w:p>
        </w:tc>
      </w:tr>
    </w:tbl>
    <w:p w14:paraId="2464E887" w14:textId="27B51245" w:rsidR="00732BE8" w:rsidRPr="006C7B74" w:rsidRDefault="00DC580D" w:rsidP="006542F0">
      <w:pPr>
        <w:pStyle w:val="Quote"/>
        <w:rPr>
          <w:rFonts w:cstheme="minorHAnsi"/>
          <w:sz w:val="20"/>
          <w:szCs w:val="20"/>
        </w:rPr>
      </w:pPr>
      <w:r w:rsidRPr="006C7B74">
        <w:t>Source: Department of Environment, Land, Water and Planning, Urban Development Program – Melbourne Metropolitan Industrial 2018</w:t>
      </w:r>
    </w:p>
    <w:p w14:paraId="4E395563" w14:textId="436CB21D" w:rsidR="00732BE8" w:rsidRPr="006C7B74" w:rsidRDefault="000129C6" w:rsidP="00934C4D">
      <w:pPr>
        <w:spacing w:after="120"/>
        <w:rPr>
          <w:rFonts w:cstheme="minorHAnsi"/>
          <w:sz w:val="20"/>
          <w:szCs w:val="20"/>
        </w:rPr>
      </w:pPr>
      <w:r w:rsidRPr="006C7B74">
        <w:rPr>
          <w:rFonts w:cstheme="minorHAnsi"/>
          <w:sz w:val="20"/>
          <w:szCs w:val="20"/>
        </w:rPr>
        <w:t xml:space="preserve">Over the period </w:t>
      </w:r>
      <w:r w:rsidR="006F0F8D" w:rsidRPr="006C7B74">
        <w:rPr>
          <w:rFonts w:cstheme="minorHAnsi"/>
          <w:sz w:val="20"/>
          <w:szCs w:val="20"/>
        </w:rPr>
        <w:t xml:space="preserve">2015-16 </w:t>
      </w:r>
      <w:r w:rsidRPr="006C7B74">
        <w:rPr>
          <w:rFonts w:cstheme="minorHAnsi"/>
          <w:sz w:val="20"/>
          <w:szCs w:val="20"/>
        </w:rPr>
        <w:t>to</w:t>
      </w:r>
      <w:r w:rsidR="006F0F8D" w:rsidRPr="006C7B74">
        <w:rPr>
          <w:rFonts w:cstheme="minorHAnsi"/>
          <w:sz w:val="20"/>
          <w:szCs w:val="20"/>
        </w:rPr>
        <w:t xml:space="preserve"> 2017-18</w:t>
      </w:r>
      <w:r w:rsidRPr="006C7B74">
        <w:rPr>
          <w:rFonts w:cstheme="minorHAnsi"/>
          <w:sz w:val="20"/>
          <w:szCs w:val="20"/>
        </w:rPr>
        <w:t xml:space="preserve"> a total of 34 hectares of industrial land was consumed in the region at an </w:t>
      </w:r>
      <w:r w:rsidR="00732BE8" w:rsidRPr="006C7B74">
        <w:rPr>
          <w:rFonts w:cstheme="minorHAnsi"/>
          <w:sz w:val="20"/>
          <w:szCs w:val="20"/>
        </w:rPr>
        <w:t xml:space="preserve">average annual rate of </w:t>
      </w:r>
      <w:r w:rsidRPr="006C7B74">
        <w:rPr>
          <w:rFonts w:cstheme="minorHAnsi"/>
          <w:sz w:val="20"/>
          <w:szCs w:val="20"/>
        </w:rPr>
        <w:t xml:space="preserve">approximately </w:t>
      </w:r>
      <w:r w:rsidR="00732BE8" w:rsidRPr="006C7B74">
        <w:rPr>
          <w:rFonts w:cstheme="minorHAnsi"/>
          <w:sz w:val="20"/>
          <w:szCs w:val="20"/>
        </w:rPr>
        <w:t xml:space="preserve">11 hectares per annum. </w:t>
      </w:r>
      <w:r w:rsidR="00E168F1" w:rsidRPr="006C7B74">
        <w:rPr>
          <w:rFonts w:cstheme="minorHAnsi"/>
          <w:sz w:val="20"/>
          <w:szCs w:val="20"/>
        </w:rPr>
        <w:t xml:space="preserve">Consumption of industrial land </w:t>
      </w:r>
      <w:r w:rsidR="00DF3A1F" w:rsidRPr="006C7B74">
        <w:rPr>
          <w:rFonts w:cstheme="minorHAnsi"/>
          <w:sz w:val="20"/>
          <w:szCs w:val="20"/>
        </w:rPr>
        <w:t xml:space="preserve">dropped off </w:t>
      </w:r>
      <w:r w:rsidRPr="006C7B74">
        <w:rPr>
          <w:rFonts w:cstheme="minorHAnsi"/>
          <w:sz w:val="20"/>
          <w:szCs w:val="20"/>
        </w:rPr>
        <w:t xml:space="preserve">significantly </w:t>
      </w:r>
      <w:r w:rsidR="00DF3A1F" w:rsidRPr="006C7B74">
        <w:rPr>
          <w:rFonts w:cstheme="minorHAnsi"/>
          <w:sz w:val="20"/>
          <w:szCs w:val="20"/>
        </w:rPr>
        <w:t xml:space="preserve">during the </w:t>
      </w:r>
      <w:r w:rsidR="00D77CAA" w:rsidRPr="006C7B74">
        <w:rPr>
          <w:rFonts w:cstheme="minorHAnsi"/>
          <w:sz w:val="20"/>
          <w:szCs w:val="20"/>
        </w:rPr>
        <w:t>2017-18 period</w:t>
      </w:r>
      <w:r w:rsidR="000A7577" w:rsidRPr="006C7B74">
        <w:rPr>
          <w:rFonts w:cstheme="minorHAnsi"/>
          <w:sz w:val="20"/>
          <w:szCs w:val="20"/>
        </w:rPr>
        <w:t xml:space="preserve"> (3.5 hectares)</w:t>
      </w:r>
      <w:r w:rsidR="001B2E70" w:rsidRPr="006C7B74">
        <w:rPr>
          <w:rFonts w:cstheme="minorHAnsi"/>
          <w:sz w:val="20"/>
          <w:szCs w:val="20"/>
        </w:rPr>
        <w:t xml:space="preserve">. </w:t>
      </w:r>
      <w:r w:rsidR="002A0B31" w:rsidRPr="006C7B74">
        <w:rPr>
          <w:rFonts w:cstheme="minorHAnsi"/>
          <w:sz w:val="20"/>
          <w:szCs w:val="20"/>
        </w:rPr>
        <w:t xml:space="preserve">Prior to that </w:t>
      </w:r>
      <w:r w:rsidR="00BD69CF" w:rsidRPr="006C7B74">
        <w:rPr>
          <w:rFonts w:cstheme="minorHAnsi"/>
          <w:sz w:val="20"/>
          <w:szCs w:val="20"/>
        </w:rPr>
        <w:t>period the rate of consumption</w:t>
      </w:r>
      <w:r w:rsidR="002A0B31" w:rsidRPr="006C7B74">
        <w:rPr>
          <w:rFonts w:cstheme="minorHAnsi"/>
          <w:sz w:val="20"/>
          <w:szCs w:val="20"/>
        </w:rPr>
        <w:t xml:space="preserve"> was </w:t>
      </w:r>
      <w:r w:rsidR="000A7577" w:rsidRPr="006C7B74">
        <w:rPr>
          <w:rFonts w:cstheme="minorHAnsi"/>
          <w:sz w:val="20"/>
          <w:szCs w:val="20"/>
        </w:rPr>
        <w:t xml:space="preserve">much </w:t>
      </w:r>
      <w:r w:rsidR="002A0B31" w:rsidRPr="006C7B74">
        <w:rPr>
          <w:rFonts w:cstheme="minorHAnsi"/>
          <w:sz w:val="20"/>
          <w:szCs w:val="20"/>
        </w:rPr>
        <w:t>higher</w:t>
      </w:r>
      <w:r w:rsidR="00732BE8" w:rsidRPr="006C7B74">
        <w:rPr>
          <w:rFonts w:cstheme="minorHAnsi"/>
          <w:sz w:val="20"/>
          <w:szCs w:val="20"/>
        </w:rPr>
        <w:t xml:space="preserve">. </w:t>
      </w:r>
    </w:p>
    <w:p w14:paraId="72F38996" w14:textId="6E58BDAE" w:rsidR="000A7577" w:rsidRPr="006C7B74" w:rsidRDefault="000A7577" w:rsidP="00934C4D">
      <w:pPr>
        <w:spacing w:after="120"/>
        <w:rPr>
          <w:rFonts w:cstheme="minorHAnsi"/>
          <w:sz w:val="20"/>
          <w:szCs w:val="20"/>
        </w:rPr>
      </w:pPr>
      <w:r w:rsidRPr="006C7B74">
        <w:rPr>
          <w:rFonts w:cstheme="minorHAnsi"/>
          <w:sz w:val="20"/>
          <w:szCs w:val="20"/>
        </w:rPr>
        <w:t>Based on an average annual consumption rate of 11 hectares per annum, there is approximately 12 years supply of industrial land remaining in the region</w:t>
      </w:r>
      <w:r w:rsidR="0089766C" w:rsidRPr="006C7B74">
        <w:rPr>
          <w:rFonts w:cstheme="minorHAnsi"/>
          <w:sz w:val="20"/>
          <w:szCs w:val="20"/>
        </w:rPr>
        <w:t>,</w:t>
      </w:r>
      <w:r w:rsidRPr="006C7B74">
        <w:rPr>
          <w:rFonts w:cstheme="minorHAnsi"/>
          <w:sz w:val="20"/>
          <w:szCs w:val="20"/>
        </w:rPr>
        <w:t xml:space="preserve"> with the only significant supplies in Knox (4 years supply), Maroondah (4.5 years supply) and Yarra Ranges (just under 3 years supply).</w:t>
      </w:r>
    </w:p>
    <w:p w14:paraId="0A5347BE" w14:textId="77777777" w:rsidR="00732BE8" w:rsidRPr="006C7B74" w:rsidRDefault="00732BE8" w:rsidP="00934C4D">
      <w:pPr>
        <w:spacing w:after="120"/>
        <w:rPr>
          <w:rFonts w:cstheme="minorHAnsi"/>
          <w:sz w:val="20"/>
          <w:szCs w:val="20"/>
        </w:rPr>
      </w:pPr>
    </w:p>
    <w:p w14:paraId="206C6CFF" w14:textId="4C41B34A" w:rsidR="00852AD9" w:rsidRPr="006C7B74" w:rsidRDefault="00852AD9" w:rsidP="006542F0">
      <w:pPr>
        <w:pStyle w:val="Heading5"/>
      </w:pPr>
      <w:r w:rsidRPr="006C7B74">
        <w:t xml:space="preserve">Figure </w:t>
      </w:r>
      <w:r w:rsidR="00D971AA" w:rsidRPr="006C7B74">
        <w:t>2</w:t>
      </w:r>
      <w:r w:rsidR="00DC23D3" w:rsidRPr="006C7B74">
        <w:t>5</w:t>
      </w:r>
      <w:r w:rsidRPr="006C7B74">
        <w:t>: Change of zoned industrial land, Eastern Region, 2000-01 to 2017-18</w:t>
      </w:r>
    </w:p>
    <w:p w14:paraId="7A9E486E" w14:textId="287193C0" w:rsidR="00852AD9" w:rsidRPr="006C7B74" w:rsidRDefault="003D3C38" w:rsidP="00852AD9">
      <w:pPr>
        <w:spacing w:after="120"/>
        <w:rPr>
          <w:rFonts w:cstheme="minorHAnsi"/>
          <w:sz w:val="20"/>
          <w:szCs w:val="20"/>
        </w:rPr>
      </w:pPr>
      <w:r w:rsidRPr="006C7B74">
        <w:rPr>
          <w:noProof/>
        </w:rPr>
        <w:drawing>
          <wp:inline distT="0" distB="0" distL="0" distR="0" wp14:anchorId="283DF43C" wp14:editId="0D6A0AB9">
            <wp:extent cx="6037965" cy="4238625"/>
            <wp:effectExtent l="0" t="0" r="1270" b="0"/>
            <wp:docPr id="1984355090" name="Picture 1984355090" descr="Map showing change of zoned industrial land, Eastern Region, 2000-01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039983" cy="4240042"/>
                    </a:xfrm>
                    <a:prstGeom prst="rect">
                      <a:avLst/>
                    </a:prstGeom>
                  </pic:spPr>
                </pic:pic>
              </a:graphicData>
            </a:graphic>
          </wp:inline>
        </w:drawing>
      </w:r>
    </w:p>
    <w:p w14:paraId="2C32CCF1" w14:textId="4DA275D5" w:rsidR="00852AD9" w:rsidRPr="006C7B74" w:rsidRDefault="00DC580D" w:rsidP="00852AD9">
      <w:pPr>
        <w:spacing w:after="120"/>
        <w:rPr>
          <w:rFonts w:cstheme="minorHAnsi"/>
          <w:sz w:val="20"/>
          <w:szCs w:val="20"/>
        </w:rPr>
      </w:pPr>
      <w:r w:rsidRPr="006C7B74">
        <w:rPr>
          <w:rFonts w:cstheme="minorHAnsi"/>
          <w:i/>
          <w:sz w:val="18"/>
          <w:szCs w:val="20"/>
        </w:rPr>
        <w:t>Source: Department of Environment, Land, Water and Planning, Urban Development Program – Melbourne Metropolitan Industrial 2018</w:t>
      </w:r>
    </w:p>
    <w:p w14:paraId="0CB98048" w14:textId="3ECD3CA8" w:rsidR="00F96EC6" w:rsidRPr="006C7B74" w:rsidRDefault="000A7577" w:rsidP="000A7577">
      <w:pPr>
        <w:spacing w:after="120"/>
        <w:rPr>
          <w:rFonts w:cstheme="minorHAnsi"/>
          <w:sz w:val="20"/>
          <w:szCs w:val="20"/>
        </w:rPr>
      </w:pPr>
      <w:r w:rsidRPr="006C7B74">
        <w:rPr>
          <w:rFonts w:cstheme="minorHAnsi"/>
          <w:sz w:val="20"/>
          <w:szCs w:val="20"/>
        </w:rPr>
        <w:t>Between 2000-01 and 2017-18 a total of 231 hectares of industrial land was rezoned across the region for non-industrial uses. The largest loss of industrial land over this period was within Knox where 20 sites were rezoned resulting in an overall loss of 80 hectares of industrial land.</w:t>
      </w:r>
    </w:p>
    <w:p w14:paraId="1F31A68D" w14:textId="3BE17CE8" w:rsidR="000A7577" w:rsidRPr="006C7B74" w:rsidRDefault="00F96EC6" w:rsidP="000A7577">
      <w:pPr>
        <w:spacing w:after="120"/>
        <w:rPr>
          <w:rFonts w:cstheme="minorHAnsi"/>
          <w:sz w:val="20"/>
          <w:szCs w:val="20"/>
        </w:rPr>
      </w:pPr>
      <w:r w:rsidRPr="006C7B74">
        <w:rPr>
          <w:rFonts w:cstheme="minorHAnsi"/>
          <w:sz w:val="20"/>
          <w:szCs w:val="20"/>
        </w:rPr>
        <w:t>The largest single loss of industrial land over this period was in Knox where a site of just over</w:t>
      </w:r>
      <w:r w:rsidR="000A7577" w:rsidRPr="006C7B74">
        <w:rPr>
          <w:rFonts w:cstheme="minorHAnsi"/>
          <w:sz w:val="20"/>
          <w:szCs w:val="20"/>
        </w:rPr>
        <w:t xml:space="preserve"> 5</w:t>
      </w:r>
      <w:r w:rsidRPr="006C7B74">
        <w:rPr>
          <w:rFonts w:cstheme="minorHAnsi"/>
          <w:sz w:val="20"/>
          <w:szCs w:val="20"/>
        </w:rPr>
        <w:t xml:space="preserve">6 hectares was rezoned from </w:t>
      </w:r>
      <w:r w:rsidR="000A7577" w:rsidRPr="006C7B74">
        <w:rPr>
          <w:rFonts w:cstheme="minorHAnsi"/>
          <w:sz w:val="20"/>
          <w:szCs w:val="20"/>
        </w:rPr>
        <w:t xml:space="preserve">industrial land </w:t>
      </w:r>
      <w:r w:rsidRPr="006C7B74">
        <w:rPr>
          <w:rFonts w:cstheme="minorHAnsi"/>
          <w:sz w:val="20"/>
          <w:szCs w:val="20"/>
        </w:rPr>
        <w:t xml:space="preserve">to allow for </w:t>
      </w:r>
      <w:r w:rsidR="000A7577" w:rsidRPr="006C7B74">
        <w:rPr>
          <w:rFonts w:cstheme="minorHAnsi"/>
          <w:sz w:val="20"/>
          <w:szCs w:val="20"/>
        </w:rPr>
        <w:t>residential</w:t>
      </w:r>
      <w:r w:rsidRPr="006C7B74">
        <w:rPr>
          <w:rFonts w:cstheme="minorHAnsi"/>
          <w:sz w:val="20"/>
          <w:szCs w:val="20"/>
        </w:rPr>
        <w:t xml:space="preserve"> development</w:t>
      </w:r>
      <w:r w:rsidR="000A7577" w:rsidRPr="006C7B74">
        <w:rPr>
          <w:rFonts w:cstheme="minorHAnsi"/>
          <w:sz w:val="20"/>
          <w:szCs w:val="20"/>
        </w:rPr>
        <w:t>.</w:t>
      </w:r>
    </w:p>
    <w:p w14:paraId="4ECF37AE" w14:textId="2CAF49C2" w:rsidR="000A7577" w:rsidRPr="006C7B74" w:rsidRDefault="000A7577" w:rsidP="000A7577">
      <w:pPr>
        <w:spacing w:after="120"/>
        <w:rPr>
          <w:rFonts w:cstheme="minorHAnsi"/>
          <w:sz w:val="20"/>
          <w:szCs w:val="20"/>
        </w:rPr>
      </w:pPr>
      <w:r w:rsidRPr="006C7B74">
        <w:rPr>
          <w:rFonts w:cstheme="minorHAnsi"/>
          <w:sz w:val="20"/>
          <w:szCs w:val="20"/>
        </w:rPr>
        <w:t xml:space="preserve">Of the remaining </w:t>
      </w:r>
      <w:proofErr w:type="spellStart"/>
      <w:r w:rsidRPr="006C7B74">
        <w:rPr>
          <w:rFonts w:cstheme="minorHAnsi"/>
          <w:sz w:val="20"/>
          <w:szCs w:val="20"/>
        </w:rPr>
        <w:t>rezonings</w:t>
      </w:r>
      <w:proofErr w:type="spellEnd"/>
      <w:r w:rsidRPr="006C7B74">
        <w:rPr>
          <w:rFonts w:cstheme="minorHAnsi"/>
          <w:sz w:val="20"/>
          <w:szCs w:val="20"/>
        </w:rPr>
        <w:t xml:space="preserve"> that occurred over this period, approximately 65 per cent involved sites of less than 2 hectares in size.</w:t>
      </w:r>
      <w:r w:rsidR="00F96EC6" w:rsidRPr="006C7B74">
        <w:rPr>
          <w:rFonts w:cstheme="minorHAnsi"/>
          <w:sz w:val="20"/>
          <w:szCs w:val="20"/>
        </w:rPr>
        <w:t xml:space="preserve"> Of all the industrial land rezoned over the period, almost 60 per cent were rezoned to allow for residential development.</w:t>
      </w:r>
    </w:p>
    <w:p w14:paraId="7E97DA7C" w14:textId="77777777" w:rsidR="000A7577" w:rsidRPr="006C7B74" w:rsidRDefault="000A7577" w:rsidP="000A7577">
      <w:pPr>
        <w:spacing w:after="120"/>
        <w:rPr>
          <w:rFonts w:cstheme="minorHAnsi"/>
          <w:sz w:val="20"/>
          <w:szCs w:val="20"/>
        </w:rPr>
      </w:pPr>
    </w:p>
    <w:p w14:paraId="60563EC0" w14:textId="2C8D5FFC" w:rsidR="00732BE8" w:rsidRPr="006C7B74" w:rsidRDefault="00732BE8" w:rsidP="00934C4D">
      <w:pPr>
        <w:pStyle w:val="Heading3"/>
        <w:spacing w:before="0" w:after="120"/>
      </w:pPr>
      <w:r w:rsidRPr="006C7B74">
        <w:t>Commercial land</w:t>
      </w:r>
    </w:p>
    <w:p w14:paraId="67B2353F" w14:textId="6D2CA0BC" w:rsidR="00732BE8" w:rsidRPr="006C7B74" w:rsidRDefault="00732BE8" w:rsidP="00934C4D">
      <w:pPr>
        <w:spacing w:after="120"/>
        <w:rPr>
          <w:rFonts w:cstheme="minorHAnsi"/>
          <w:sz w:val="20"/>
          <w:szCs w:val="20"/>
        </w:rPr>
      </w:pPr>
      <w:r w:rsidRPr="006C7B74">
        <w:rPr>
          <w:rFonts w:cstheme="minorHAnsi"/>
          <w:sz w:val="20"/>
          <w:szCs w:val="20"/>
        </w:rPr>
        <w:t xml:space="preserve">Currently across the region there is a total of </w:t>
      </w:r>
      <w:r w:rsidR="00550001" w:rsidRPr="006C7B74">
        <w:rPr>
          <w:rFonts w:cstheme="minorHAnsi"/>
          <w:sz w:val="20"/>
          <w:szCs w:val="20"/>
        </w:rPr>
        <w:t xml:space="preserve">761 </w:t>
      </w:r>
      <w:r w:rsidRPr="006C7B74">
        <w:rPr>
          <w:rFonts w:cstheme="minorHAnsi"/>
          <w:sz w:val="20"/>
          <w:szCs w:val="20"/>
        </w:rPr>
        <w:t xml:space="preserve">hectares of land </w:t>
      </w:r>
      <w:r w:rsidR="006466A5" w:rsidRPr="006C7B74">
        <w:rPr>
          <w:rFonts w:cstheme="minorHAnsi"/>
          <w:sz w:val="20"/>
          <w:szCs w:val="20"/>
        </w:rPr>
        <w:t xml:space="preserve">that has been identified as being </w:t>
      </w:r>
      <w:r w:rsidRPr="006C7B74">
        <w:rPr>
          <w:rFonts w:cstheme="minorHAnsi"/>
          <w:sz w:val="20"/>
          <w:szCs w:val="20"/>
        </w:rPr>
        <w:t xml:space="preserve">zoned for commercial purposes. It is estimated that there is approximately </w:t>
      </w:r>
      <w:r w:rsidR="00485077" w:rsidRPr="006C7B74">
        <w:rPr>
          <w:rFonts w:cstheme="minorHAnsi"/>
          <w:sz w:val="20"/>
          <w:szCs w:val="20"/>
        </w:rPr>
        <w:t xml:space="preserve">2.8 </w:t>
      </w:r>
      <w:r w:rsidRPr="006C7B74">
        <w:rPr>
          <w:rFonts w:cstheme="minorHAnsi"/>
          <w:sz w:val="20"/>
          <w:szCs w:val="20"/>
        </w:rPr>
        <w:t xml:space="preserve">million square metres of floorspace used or available for commercial purposes on this land. </w:t>
      </w:r>
      <w:r w:rsidR="006466A5" w:rsidRPr="006C7B74">
        <w:rPr>
          <w:rFonts w:cstheme="minorHAnsi"/>
          <w:sz w:val="20"/>
          <w:szCs w:val="20"/>
        </w:rPr>
        <w:t xml:space="preserve">Approximately </w:t>
      </w:r>
      <w:r w:rsidR="00755C5B" w:rsidRPr="006C7B74">
        <w:rPr>
          <w:rFonts w:cstheme="minorHAnsi"/>
          <w:sz w:val="20"/>
          <w:szCs w:val="20"/>
        </w:rPr>
        <w:t xml:space="preserve">49 </w:t>
      </w:r>
      <w:r w:rsidR="006466A5" w:rsidRPr="006C7B74">
        <w:rPr>
          <w:rFonts w:cstheme="minorHAnsi"/>
          <w:sz w:val="20"/>
          <w:szCs w:val="20"/>
        </w:rPr>
        <w:t>per cent of all the existing floorspace supply is located within the municipalities of Monash and Whitehorse.</w:t>
      </w:r>
    </w:p>
    <w:p w14:paraId="0633FCC2" w14:textId="641F39D7" w:rsidR="006466A5" w:rsidRPr="006C7B74" w:rsidRDefault="00732BE8" w:rsidP="00934C4D">
      <w:pPr>
        <w:spacing w:after="120"/>
        <w:rPr>
          <w:rFonts w:cstheme="minorHAnsi"/>
          <w:sz w:val="20"/>
          <w:szCs w:val="20"/>
        </w:rPr>
      </w:pPr>
      <w:r w:rsidRPr="006C7B74">
        <w:rPr>
          <w:rFonts w:cstheme="minorHAnsi"/>
          <w:sz w:val="20"/>
          <w:szCs w:val="20"/>
        </w:rPr>
        <w:t>Across the region</w:t>
      </w:r>
      <w:r w:rsidR="00703D91" w:rsidRPr="006C7B74">
        <w:rPr>
          <w:rFonts w:cstheme="minorHAnsi"/>
          <w:sz w:val="20"/>
          <w:szCs w:val="20"/>
        </w:rPr>
        <w:t>,</w:t>
      </w:r>
      <w:r w:rsidRPr="006C7B74">
        <w:rPr>
          <w:rFonts w:cstheme="minorHAnsi"/>
          <w:sz w:val="20"/>
          <w:szCs w:val="20"/>
        </w:rPr>
        <w:t xml:space="preserve"> a total of 28</w:t>
      </w:r>
      <w:r w:rsidR="00C00B0B" w:rsidRPr="006C7B74">
        <w:rPr>
          <w:rFonts w:cstheme="minorHAnsi"/>
          <w:sz w:val="20"/>
          <w:szCs w:val="20"/>
        </w:rPr>
        <w:t>6</w:t>
      </w:r>
      <w:r w:rsidRPr="006C7B74">
        <w:rPr>
          <w:rFonts w:cstheme="minorHAnsi"/>
          <w:sz w:val="20"/>
          <w:szCs w:val="20"/>
        </w:rPr>
        <w:t xml:space="preserve"> commercial areas or centres have been identified. </w:t>
      </w:r>
      <w:r w:rsidR="007C4A78" w:rsidRPr="006C7B74">
        <w:rPr>
          <w:rFonts w:cstheme="minorHAnsi"/>
          <w:sz w:val="20"/>
          <w:szCs w:val="20"/>
        </w:rPr>
        <w:t xml:space="preserve">This is the most of all metropolitan regions, </w:t>
      </w:r>
      <w:r w:rsidR="00826E75" w:rsidRPr="006C7B74">
        <w:rPr>
          <w:rFonts w:cstheme="minorHAnsi"/>
          <w:sz w:val="20"/>
          <w:szCs w:val="20"/>
        </w:rPr>
        <w:t xml:space="preserve">and </w:t>
      </w:r>
      <w:r w:rsidR="007C4A78" w:rsidRPr="006C7B74">
        <w:rPr>
          <w:rFonts w:cstheme="minorHAnsi"/>
          <w:sz w:val="20"/>
          <w:szCs w:val="20"/>
        </w:rPr>
        <w:t xml:space="preserve">of </w:t>
      </w:r>
      <w:r w:rsidR="00E93D28" w:rsidRPr="006C7B74">
        <w:rPr>
          <w:rFonts w:cstheme="minorHAnsi"/>
          <w:sz w:val="20"/>
          <w:szCs w:val="20"/>
        </w:rPr>
        <w:t xml:space="preserve">these </w:t>
      </w:r>
      <w:r w:rsidR="006466A5" w:rsidRPr="006C7B74">
        <w:rPr>
          <w:rFonts w:cstheme="minorHAnsi"/>
          <w:sz w:val="20"/>
          <w:szCs w:val="20"/>
        </w:rPr>
        <w:t>almost 80 per cent (226 centres) have</w:t>
      </w:r>
      <w:r w:rsidR="00C22E2B" w:rsidRPr="006C7B74">
        <w:rPr>
          <w:rFonts w:cstheme="minorHAnsi"/>
          <w:sz w:val="20"/>
          <w:szCs w:val="20"/>
        </w:rPr>
        <w:t xml:space="preserve"> less than </w:t>
      </w:r>
      <w:r w:rsidR="006466A5" w:rsidRPr="006C7B74">
        <w:rPr>
          <w:rFonts w:cstheme="minorHAnsi"/>
          <w:sz w:val="20"/>
          <w:szCs w:val="20"/>
        </w:rPr>
        <w:t>10</w:t>
      </w:r>
      <w:r w:rsidR="00C22E2B" w:rsidRPr="006C7B74">
        <w:rPr>
          <w:rFonts w:cstheme="minorHAnsi"/>
          <w:sz w:val="20"/>
          <w:szCs w:val="20"/>
        </w:rPr>
        <w:t>,000 square metres of floorspace</w:t>
      </w:r>
      <w:r w:rsidRPr="006C7B74">
        <w:rPr>
          <w:rFonts w:cstheme="minorHAnsi"/>
          <w:sz w:val="20"/>
          <w:szCs w:val="20"/>
        </w:rPr>
        <w:t xml:space="preserve">. </w:t>
      </w:r>
      <w:r w:rsidR="006466A5" w:rsidRPr="006C7B74">
        <w:rPr>
          <w:rFonts w:cstheme="minorHAnsi"/>
          <w:sz w:val="20"/>
          <w:szCs w:val="20"/>
        </w:rPr>
        <w:t xml:space="preserve">While numerous in number, these smaller centres only account for around </w:t>
      </w:r>
      <w:r w:rsidR="000B09C0" w:rsidRPr="006C7B74">
        <w:rPr>
          <w:rFonts w:cstheme="minorHAnsi"/>
          <w:sz w:val="20"/>
          <w:szCs w:val="20"/>
        </w:rPr>
        <w:t xml:space="preserve">16 </w:t>
      </w:r>
      <w:r w:rsidR="006466A5" w:rsidRPr="006C7B74">
        <w:rPr>
          <w:rFonts w:cstheme="minorHAnsi"/>
          <w:sz w:val="20"/>
          <w:szCs w:val="20"/>
        </w:rPr>
        <w:t xml:space="preserve">per cent of the region’s total floorspace. </w:t>
      </w:r>
    </w:p>
    <w:p w14:paraId="6A00BC65" w14:textId="1CFADC87" w:rsidR="007A2942" w:rsidRPr="006C7B74" w:rsidRDefault="00730599" w:rsidP="00934C4D">
      <w:pPr>
        <w:spacing w:after="120"/>
        <w:rPr>
          <w:rFonts w:cstheme="minorHAnsi"/>
          <w:sz w:val="20"/>
          <w:szCs w:val="20"/>
        </w:rPr>
      </w:pPr>
      <w:r w:rsidRPr="006C7B74">
        <w:rPr>
          <w:rFonts w:cstheme="minorHAnsi"/>
          <w:sz w:val="20"/>
          <w:szCs w:val="20"/>
        </w:rPr>
        <w:lastRenderedPageBreak/>
        <w:t>Only f</w:t>
      </w:r>
      <w:r w:rsidR="00732BE8" w:rsidRPr="006C7B74">
        <w:rPr>
          <w:rFonts w:cstheme="minorHAnsi"/>
          <w:sz w:val="20"/>
          <w:szCs w:val="20"/>
        </w:rPr>
        <w:t xml:space="preserve">ive centres </w:t>
      </w:r>
      <w:r w:rsidRPr="006C7B74">
        <w:rPr>
          <w:rFonts w:cstheme="minorHAnsi"/>
          <w:sz w:val="20"/>
          <w:szCs w:val="20"/>
        </w:rPr>
        <w:t xml:space="preserve">in the region </w:t>
      </w:r>
      <w:r w:rsidR="00732BE8" w:rsidRPr="006C7B74">
        <w:rPr>
          <w:rFonts w:cstheme="minorHAnsi"/>
          <w:sz w:val="20"/>
          <w:szCs w:val="20"/>
        </w:rPr>
        <w:t xml:space="preserve">have more than 100,000 square metres of floorspace. </w:t>
      </w:r>
      <w:r w:rsidRPr="006C7B74">
        <w:rPr>
          <w:rFonts w:cstheme="minorHAnsi"/>
          <w:sz w:val="20"/>
          <w:szCs w:val="20"/>
        </w:rPr>
        <w:t>All of these centre</w:t>
      </w:r>
      <w:r w:rsidR="00070F8A" w:rsidRPr="006C7B74">
        <w:rPr>
          <w:rFonts w:cstheme="minorHAnsi"/>
          <w:sz w:val="20"/>
          <w:szCs w:val="20"/>
        </w:rPr>
        <w:t>s</w:t>
      </w:r>
      <w:r w:rsidRPr="006C7B74">
        <w:rPr>
          <w:rFonts w:cstheme="minorHAnsi"/>
          <w:sz w:val="20"/>
          <w:szCs w:val="20"/>
        </w:rPr>
        <w:t xml:space="preserve"> include large free-standing shopping centres at Doncaster, Ringwood, Wantirna South, Glen Waverley and Box Hill. Combined, these centres account for</w:t>
      </w:r>
      <w:r w:rsidR="007A2942" w:rsidRPr="006C7B74">
        <w:rPr>
          <w:rFonts w:cstheme="minorHAnsi"/>
          <w:sz w:val="20"/>
          <w:szCs w:val="20"/>
        </w:rPr>
        <w:t xml:space="preserve"> </w:t>
      </w:r>
      <w:r w:rsidR="009229AD" w:rsidRPr="006C7B74">
        <w:rPr>
          <w:rFonts w:cstheme="minorHAnsi"/>
          <w:sz w:val="20"/>
          <w:szCs w:val="20"/>
        </w:rPr>
        <w:t xml:space="preserve">32 </w:t>
      </w:r>
      <w:r w:rsidR="007A2942" w:rsidRPr="006C7B74">
        <w:rPr>
          <w:rFonts w:cstheme="minorHAnsi"/>
          <w:sz w:val="20"/>
          <w:szCs w:val="20"/>
        </w:rPr>
        <w:t>per cent of all identified floorspace across the region.</w:t>
      </w:r>
    </w:p>
    <w:p w14:paraId="4AC869ED" w14:textId="32CE1C3A" w:rsidR="00732BE8" w:rsidRPr="006C7B74" w:rsidRDefault="00732BE8" w:rsidP="007A2942">
      <w:pPr>
        <w:spacing w:after="120"/>
        <w:rPr>
          <w:rFonts w:cstheme="minorHAnsi"/>
          <w:sz w:val="18"/>
          <w:szCs w:val="20"/>
        </w:rPr>
      </w:pPr>
      <w:r w:rsidRPr="006C7B74">
        <w:rPr>
          <w:rFonts w:cstheme="minorHAnsi"/>
          <w:sz w:val="20"/>
          <w:szCs w:val="20"/>
        </w:rPr>
        <w:t>Monash has the largest number of centres (7</w:t>
      </w:r>
      <w:r w:rsidR="00575B7F" w:rsidRPr="006C7B74">
        <w:rPr>
          <w:rFonts w:cstheme="minorHAnsi"/>
          <w:sz w:val="20"/>
          <w:szCs w:val="20"/>
        </w:rPr>
        <w:t>3</w:t>
      </w:r>
      <w:r w:rsidRPr="006C7B74">
        <w:rPr>
          <w:rFonts w:cstheme="minorHAnsi"/>
          <w:sz w:val="20"/>
          <w:szCs w:val="20"/>
        </w:rPr>
        <w:t>) and Knox the fewest (3</w:t>
      </w:r>
      <w:r w:rsidR="00EE0D77" w:rsidRPr="006C7B74">
        <w:rPr>
          <w:rFonts w:cstheme="minorHAnsi"/>
          <w:sz w:val="20"/>
          <w:szCs w:val="20"/>
        </w:rPr>
        <w:t>1</w:t>
      </w:r>
      <w:r w:rsidRPr="006C7B74">
        <w:rPr>
          <w:rFonts w:cstheme="minorHAnsi"/>
          <w:sz w:val="20"/>
          <w:szCs w:val="20"/>
        </w:rPr>
        <w:t xml:space="preserve">). </w:t>
      </w:r>
    </w:p>
    <w:p w14:paraId="05949419" w14:textId="77777777" w:rsidR="00732BE8" w:rsidRPr="006C7B74" w:rsidRDefault="00732BE8" w:rsidP="00934C4D">
      <w:pPr>
        <w:spacing w:after="120"/>
        <w:rPr>
          <w:rFonts w:cstheme="minorHAnsi"/>
          <w:sz w:val="20"/>
          <w:szCs w:val="20"/>
        </w:rPr>
      </w:pPr>
    </w:p>
    <w:p w14:paraId="4313A00E" w14:textId="6EBAB8A5" w:rsidR="00732BE8" w:rsidRPr="006C7B74" w:rsidRDefault="00732BE8" w:rsidP="003514AD">
      <w:pPr>
        <w:pStyle w:val="Heading5"/>
      </w:pPr>
      <w:r w:rsidRPr="006C7B74">
        <w:t xml:space="preserve">Table </w:t>
      </w:r>
      <w:r w:rsidR="00D971AA" w:rsidRPr="006C7B74">
        <w:t>25</w:t>
      </w:r>
      <w:r w:rsidRPr="006C7B74">
        <w:t>: Existing commercial floorspace by centre size,</w:t>
      </w:r>
      <w:r w:rsidR="004C382E" w:rsidRPr="006C7B74">
        <w:t xml:space="preserve"> </w:t>
      </w:r>
      <w:r w:rsidR="00463EE0" w:rsidRPr="006C7B74">
        <w:t>Eastern Region</w:t>
      </w:r>
    </w:p>
    <w:tbl>
      <w:tblPr>
        <w:tblW w:w="5332" w:type="pct"/>
        <w:tblLayout w:type="fixed"/>
        <w:tblLook w:val="04A0" w:firstRow="1" w:lastRow="0" w:firstColumn="1" w:lastColumn="0" w:noHBand="0" w:noVBand="1"/>
      </w:tblPr>
      <w:tblGrid>
        <w:gridCol w:w="1082"/>
        <w:gridCol w:w="675"/>
        <w:gridCol w:w="879"/>
        <w:gridCol w:w="643"/>
        <w:gridCol w:w="837"/>
        <w:gridCol w:w="639"/>
        <w:gridCol w:w="1058"/>
        <w:gridCol w:w="918"/>
        <w:gridCol w:w="939"/>
        <w:gridCol w:w="814"/>
        <w:gridCol w:w="1135"/>
      </w:tblGrid>
      <w:tr w:rsidR="0025572F" w:rsidRPr="006C7B74" w14:paraId="28F16401" w14:textId="77777777" w:rsidTr="006C7B74">
        <w:trPr>
          <w:trHeight w:val="255"/>
        </w:trPr>
        <w:tc>
          <w:tcPr>
            <w:tcW w:w="563" w:type="pct"/>
            <w:tcBorders>
              <w:top w:val="nil"/>
              <w:left w:val="nil"/>
              <w:bottom w:val="nil"/>
              <w:right w:val="nil"/>
            </w:tcBorders>
            <w:shd w:val="clear" w:color="000000" w:fill="4D446C"/>
            <w:noWrap/>
            <w:vAlign w:val="center"/>
            <w:hideMark/>
          </w:tcPr>
          <w:p w14:paraId="7CD39CCB" w14:textId="77777777" w:rsidR="0025572F" w:rsidRPr="006C7B74" w:rsidRDefault="0025572F" w:rsidP="0025572F">
            <w:pPr>
              <w:rPr>
                <w:rFonts w:ascii="Calibri" w:hAnsi="Calibri" w:cs="Calibri"/>
                <w:b/>
                <w:bCs/>
                <w:color w:val="FFFFFF"/>
                <w:sz w:val="16"/>
                <w:szCs w:val="16"/>
                <w:lang w:eastAsia="en-AU"/>
              </w:rPr>
            </w:pPr>
            <w:r w:rsidRPr="006C7B74">
              <w:rPr>
                <w:rFonts w:ascii="Calibri" w:hAnsi="Calibri" w:cs="Calibri"/>
                <w:b/>
                <w:bCs/>
                <w:color w:val="FFFFFF"/>
                <w:sz w:val="16"/>
                <w:szCs w:val="16"/>
                <w:lang w:eastAsia="en-AU"/>
              </w:rPr>
              <w:t>Council</w:t>
            </w:r>
          </w:p>
        </w:tc>
        <w:tc>
          <w:tcPr>
            <w:tcW w:w="808" w:type="pct"/>
            <w:gridSpan w:val="2"/>
            <w:tcBorders>
              <w:top w:val="single" w:sz="4" w:space="0" w:color="auto"/>
              <w:left w:val="nil"/>
              <w:bottom w:val="nil"/>
              <w:right w:val="nil"/>
            </w:tcBorders>
            <w:shd w:val="clear" w:color="000000" w:fill="4D446C"/>
            <w:noWrap/>
            <w:vAlign w:val="center"/>
            <w:hideMark/>
          </w:tcPr>
          <w:p w14:paraId="5D330B5C" w14:textId="155269A1" w:rsidR="0025572F" w:rsidRPr="006C7B74" w:rsidRDefault="0025572F" w:rsidP="0025572F">
            <w:pPr>
              <w:jc w:val="center"/>
              <w:rPr>
                <w:rFonts w:ascii="Calibri" w:hAnsi="Calibri" w:cs="Calibri"/>
                <w:b/>
                <w:bCs/>
                <w:color w:val="FFFFFF"/>
                <w:sz w:val="16"/>
                <w:szCs w:val="16"/>
                <w:lang w:eastAsia="en-AU"/>
              </w:rPr>
            </w:pPr>
            <w:r w:rsidRPr="006C7B74">
              <w:rPr>
                <w:rFonts w:ascii="Calibri" w:hAnsi="Calibri" w:cs="Calibri"/>
                <w:b/>
                <w:bCs/>
                <w:color w:val="FFFFFF"/>
                <w:sz w:val="16"/>
                <w:szCs w:val="16"/>
                <w:lang w:eastAsia="en-AU"/>
              </w:rPr>
              <w:t>Less than 2</w:t>
            </w:r>
            <w:r w:rsidR="00275BA2" w:rsidRPr="006C7B74">
              <w:rPr>
                <w:rFonts w:ascii="Calibri" w:hAnsi="Calibri" w:cs="Calibri"/>
                <w:b/>
                <w:bCs/>
                <w:color w:val="FFFFFF"/>
                <w:sz w:val="16"/>
                <w:szCs w:val="16"/>
                <w:lang w:eastAsia="en-AU"/>
              </w:rPr>
              <w:t>,</w:t>
            </w:r>
            <w:r w:rsidRPr="006C7B74">
              <w:rPr>
                <w:rFonts w:ascii="Calibri" w:hAnsi="Calibri" w:cs="Calibri"/>
                <w:b/>
                <w:bCs/>
                <w:color w:val="FFFFFF"/>
                <w:sz w:val="16"/>
                <w:szCs w:val="16"/>
                <w:lang w:eastAsia="en-AU"/>
              </w:rPr>
              <w:t>000 (m</w:t>
            </w:r>
            <w:r w:rsidRPr="006C7B74">
              <w:rPr>
                <w:rFonts w:ascii="Calibri" w:hAnsi="Calibri" w:cs="Calibri"/>
                <w:b/>
                <w:bCs/>
                <w:color w:val="FFFFFF"/>
                <w:sz w:val="16"/>
                <w:szCs w:val="16"/>
                <w:vertAlign w:val="superscript"/>
                <w:lang w:eastAsia="en-AU"/>
              </w:rPr>
              <w:t>2</w:t>
            </w:r>
            <w:r w:rsidRPr="006C7B74">
              <w:rPr>
                <w:rFonts w:ascii="Calibri" w:hAnsi="Calibri" w:cs="Calibri"/>
                <w:b/>
                <w:bCs/>
                <w:color w:val="FFFFFF"/>
                <w:sz w:val="16"/>
                <w:szCs w:val="16"/>
                <w:lang w:eastAsia="en-AU"/>
              </w:rPr>
              <w:t>)</w:t>
            </w:r>
          </w:p>
        </w:tc>
        <w:tc>
          <w:tcPr>
            <w:tcW w:w="769" w:type="pct"/>
            <w:gridSpan w:val="2"/>
            <w:tcBorders>
              <w:top w:val="single" w:sz="4" w:space="0" w:color="auto"/>
              <w:left w:val="nil"/>
              <w:bottom w:val="nil"/>
              <w:right w:val="nil"/>
            </w:tcBorders>
            <w:shd w:val="clear" w:color="000000" w:fill="4D446C"/>
            <w:noWrap/>
            <w:vAlign w:val="center"/>
            <w:hideMark/>
          </w:tcPr>
          <w:p w14:paraId="0A47ACC1" w14:textId="77777777" w:rsidR="0025572F" w:rsidRPr="006C7B74" w:rsidRDefault="0025572F" w:rsidP="0025572F">
            <w:pPr>
              <w:jc w:val="center"/>
              <w:rPr>
                <w:rFonts w:ascii="Calibri" w:hAnsi="Calibri" w:cs="Calibri"/>
                <w:b/>
                <w:bCs/>
                <w:color w:val="FFFFFF"/>
                <w:sz w:val="16"/>
                <w:szCs w:val="16"/>
                <w:lang w:eastAsia="en-AU"/>
              </w:rPr>
            </w:pPr>
            <w:r w:rsidRPr="006C7B74">
              <w:rPr>
                <w:rFonts w:ascii="Calibri" w:hAnsi="Calibri" w:cs="Calibri"/>
                <w:b/>
                <w:bCs/>
                <w:color w:val="FFFFFF"/>
                <w:sz w:val="16"/>
                <w:szCs w:val="16"/>
                <w:lang w:eastAsia="en-AU"/>
              </w:rPr>
              <w:t>2,000 to 9,999 (m</w:t>
            </w:r>
            <w:r w:rsidRPr="006C7B74">
              <w:rPr>
                <w:rFonts w:ascii="Calibri" w:hAnsi="Calibri" w:cs="Calibri"/>
                <w:b/>
                <w:bCs/>
                <w:color w:val="FFFFFF"/>
                <w:sz w:val="16"/>
                <w:szCs w:val="16"/>
                <w:vertAlign w:val="superscript"/>
                <w:lang w:eastAsia="en-AU"/>
              </w:rPr>
              <w:t>2</w:t>
            </w:r>
            <w:r w:rsidRPr="006C7B74">
              <w:rPr>
                <w:rFonts w:ascii="Calibri" w:hAnsi="Calibri" w:cs="Calibri"/>
                <w:b/>
                <w:bCs/>
                <w:color w:val="FFFFFF"/>
                <w:sz w:val="16"/>
                <w:szCs w:val="16"/>
                <w:lang w:eastAsia="en-AU"/>
              </w:rPr>
              <w:t>)</w:t>
            </w:r>
          </w:p>
        </w:tc>
        <w:tc>
          <w:tcPr>
            <w:tcW w:w="882" w:type="pct"/>
            <w:gridSpan w:val="2"/>
            <w:tcBorders>
              <w:top w:val="single" w:sz="4" w:space="0" w:color="auto"/>
              <w:left w:val="nil"/>
              <w:bottom w:val="nil"/>
              <w:right w:val="nil"/>
            </w:tcBorders>
            <w:shd w:val="clear" w:color="000000" w:fill="4D446C"/>
            <w:noWrap/>
            <w:vAlign w:val="center"/>
            <w:hideMark/>
          </w:tcPr>
          <w:p w14:paraId="7ABB23E7" w14:textId="77777777" w:rsidR="0025572F" w:rsidRPr="006C7B74" w:rsidRDefault="0025572F" w:rsidP="0025572F">
            <w:pPr>
              <w:jc w:val="center"/>
              <w:rPr>
                <w:rFonts w:ascii="Calibri" w:hAnsi="Calibri" w:cs="Calibri"/>
                <w:b/>
                <w:bCs/>
                <w:color w:val="FFFFFF"/>
                <w:sz w:val="16"/>
                <w:szCs w:val="16"/>
                <w:lang w:eastAsia="en-AU"/>
              </w:rPr>
            </w:pPr>
            <w:r w:rsidRPr="006C7B74">
              <w:rPr>
                <w:rFonts w:ascii="Calibri" w:hAnsi="Calibri" w:cs="Calibri"/>
                <w:b/>
                <w:bCs/>
                <w:color w:val="FFFFFF"/>
                <w:sz w:val="16"/>
                <w:szCs w:val="16"/>
                <w:lang w:eastAsia="en-AU"/>
              </w:rPr>
              <w:t>10,000 to 49,999 (m</w:t>
            </w:r>
            <w:r w:rsidRPr="006C7B74">
              <w:rPr>
                <w:rFonts w:ascii="Calibri" w:hAnsi="Calibri" w:cs="Calibri"/>
                <w:b/>
                <w:bCs/>
                <w:color w:val="FFFFFF"/>
                <w:sz w:val="16"/>
                <w:szCs w:val="16"/>
                <w:vertAlign w:val="superscript"/>
                <w:lang w:eastAsia="en-AU"/>
              </w:rPr>
              <w:t>2</w:t>
            </w:r>
            <w:r w:rsidRPr="006C7B74">
              <w:rPr>
                <w:rFonts w:ascii="Calibri" w:hAnsi="Calibri" w:cs="Calibri"/>
                <w:b/>
                <w:bCs/>
                <w:color w:val="FFFFFF"/>
                <w:sz w:val="16"/>
                <w:szCs w:val="16"/>
                <w:lang w:eastAsia="en-AU"/>
              </w:rPr>
              <w:t>)</w:t>
            </w:r>
          </w:p>
        </w:tc>
        <w:tc>
          <w:tcPr>
            <w:tcW w:w="965" w:type="pct"/>
            <w:gridSpan w:val="2"/>
            <w:tcBorders>
              <w:top w:val="single" w:sz="4" w:space="0" w:color="auto"/>
              <w:left w:val="nil"/>
              <w:bottom w:val="nil"/>
              <w:right w:val="nil"/>
            </w:tcBorders>
            <w:shd w:val="clear" w:color="000000" w:fill="4D446C"/>
            <w:noWrap/>
            <w:vAlign w:val="center"/>
            <w:hideMark/>
          </w:tcPr>
          <w:p w14:paraId="785D532B" w14:textId="77777777" w:rsidR="0025572F" w:rsidRPr="006C7B74" w:rsidRDefault="0025572F" w:rsidP="0025572F">
            <w:pPr>
              <w:jc w:val="center"/>
              <w:rPr>
                <w:rFonts w:ascii="Calibri" w:hAnsi="Calibri" w:cs="Calibri"/>
                <w:b/>
                <w:bCs/>
                <w:color w:val="FFFFFF"/>
                <w:sz w:val="16"/>
                <w:szCs w:val="16"/>
                <w:lang w:eastAsia="en-AU"/>
              </w:rPr>
            </w:pPr>
            <w:r w:rsidRPr="006C7B74">
              <w:rPr>
                <w:rFonts w:ascii="Calibri" w:hAnsi="Calibri" w:cs="Calibri"/>
                <w:b/>
                <w:bCs/>
                <w:color w:val="FFFFFF"/>
                <w:sz w:val="16"/>
                <w:szCs w:val="16"/>
                <w:lang w:eastAsia="en-AU"/>
              </w:rPr>
              <w:t>50,000 to 99,999 (m</w:t>
            </w:r>
            <w:r w:rsidRPr="006C7B74">
              <w:rPr>
                <w:rFonts w:ascii="Calibri" w:hAnsi="Calibri" w:cs="Calibri"/>
                <w:b/>
                <w:bCs/>
                <w:color w:val="FFFFFF"/>
                <w:sz w:val="16"/>
                <w:szCs w:val="16"/>
                <w:vertAlign w:val="superscript"/>
                <w:lang w:eastAsia="en-AU"/>
              </w:rPr>
              <w:t>2</w:t>
            </w:r>
            <w:r w:rsidRPr="006C7B74">
              <w:rPr>
                <w:rFonts w:ascii="Calibri" w:hAnsi="Calibri" w:cs="Calibri"/>
                <w:b/>
                <w:bCs/>
                <w:color w:val="FFFFFF"/>
                <w:sz w:val="16"/>
                <w:szCs w:val="16"/>
                <w:lang w:eastAsia="en-AU"/>
              </w:rPr>
              <w:t>)</w:t>
            </w:r>
          </w:p>
        </w:tc>
        <w:tc>
          <w:tcPr>
            <w:tcW w:w="1014" w:type="pct"/>
            <w:gridSpan w:val="2"/>
            <w:tcBorders>
              <w:top w:val="single" w:sz="4" w:space="0" w:color="auto"/>
              <w:left w:val="nil"/>
              <w:bottom w:val="nil"/>
              <w:right w:val="nil"/>
            </w:tcBorders>
            <w:shd w:val="clear" w:color="000000" w:fill="4D446C"/>
            <w:noWrap/>
            <w:vAlign w:val="center"/>
            <w:hideMark/>
          </w:tcPr>
          <w:p w14:paraId="2F4C9B5F" w14:textId="77777777" w:rsidR="0025572F" w:rsidRPr="006C7B74" w:rsidRDefault="0025572F" w:rsidP="0025572F">
            <w:pPr>
              <w:jc w:val="center"/>
              <w:rPr>
                <w:rFonts w:ascii="Calibri" w:hAnsi="Calibri" w:cs="Calibri"/>
                <w:b/>
                <w:bCs/>
                <w:color w:val="FFFFFF"/>
                <w:sz w:val="16"/>
                <w:szCs w:val="16"/>
                <w:lang w:eastAsia="en-AU"/>
              </w:rPr>
            </w:pPr>
            <w:r w:rsidRPr="006C7B74">
              <w:rPr>
                <w:rFonts w:ascii="Calibri" w:hAnsi="Calibri" w:cs="Calibri"/>
                <w:b/>
                <w:bCs/>
                <w:color w:val="FFFFFF"/>
                <w:sz w:val="16"/>
                <w:szCs w:val="16"/>
                <w:lang w:eastAsia="en-AU"/>
              </w:rPr>
              <w:t>Greater than 100,000 (m</w:t>
            </w:r>
            <w:r w:rsidRPr="006C7B74">
              <w:rPr>
                <w:rFonts w:ascii="Calibri" w:hAnsi="Calibri" w:cs="Calibri"/>
                <w:b/>
                <w:bCs/>
                <w:color w:val="FFFFFF"/>
                <w:sz w:val="16"/>
                <w:szCs w:val="16"/>
                <w:vertAlign w:val="superscript"/>
                <w:lang w:eastAsia="en-AU"/>
              </w:rPr>
              <w:t>2</w:t>
            </w:r>
            <w:r w:rsidRPr="006C7B74">
              <w:rPr>
                <w:rFonts w:ascii="Calibri" w:hAnsi="Calibri" w:cs="Calibri"/>
                <w:b/>
                <w:bCs/>
                <w:color w:val="FFFFFF"/>
                <w:sz w:val="16"/>
                <w:szCs w:val="16"/>
                <w:lang w:eastAsia="en-AU"/>
              </w:rPr>
              <w:t>)</w:t>
            </w:r>
          </w:p>
        </w:tc>
      </w:tr>
      <w:tr w:rsidR="0025572F" w:rsidRPr="006C7B74" w14:paraId="6D926580" w14:textId="77777777" w:rsidTr="006C7B74">
        <w:trPr>
          <w:trHeight w:val="349"/>
        </w:trPr>
        <w:tc>
          <w:tcPr>
            <w:tcW w:w="563" w:type="pct"/>
            <w:tcBorders>
              <w:top w:val="nil"/>
              <w:left w:val="nil"/>
              <w:bottom w:val="single" w:sz="8" w:space="0" w:color="44546A"/>
              <w:right w:val="nil"/>
            </w:tcBorders>
            <w:shd w:val="clear" w:color="auto" w:fill="auto"/>
            <w:vAlign w:val="center"/>
            <w:hideMark/>
          </w:tcPr>
          <w:p w14:paraId="4F9641B2" w14:textId="77777777" w:rsidR="0025572F" w:rsidRPr="006C7B74" w:rsidRDefault="0025572F" w:rsidP="0025572F">
            <w:pPr>
              <w:rPr>
                <w:rFonts w:ascii="Calibri" w:hAnsi="Calibri" w:cs="Calibri"/>
                <w:b/>
                <w:bCs/>
                <w:color w:val="000000"/>
                <w:sz w:val="16"/>
                <w:szCs w:val="16"/>
                <w:lang w:eastAsia="en-AU"/>
              </w:rPr>
            </w:pPr>
            <w:r w:rsidRPr="006C7B74">
              <w:rPr>
                <w:rFonts w:ascii="Calibri" w:hAnsi="Calibri" w:cs="Calibri"/>
                <w:b/>
                <w:bCs/>
                <w:color w:val="000000"/>
                <w:sz w:val="16"/>
                <w:szCs w:val="16"/>
                <w:lang w:eastAsia="en-AU"/>
              </w:rPr>
              <w:t> </w:t>
            </w:r>
          </w:p>
        </w:tc>
        <w:tc>
          <w:tcPr>
            <w:tcW w:w="351" w:type="pct"/>
            <w:tcBorders>
              <w:top w:val="nil"/>
              <w:left w:val="nil"/>
              <w:bottom w:val="single" w:sz="8" w:space="0" w:color="44546A"/>
              <w:right w:val="nil"/>
            </w:tcBorders>
            <w:shd w:val="clear" w:color="auto" w:fill="auto"/>
            <w:vAlign w:val="center"/>
            <w:hideMark/>
          </w:tcPr>
          <w:p w14:paraId="52632081" w14:textId="77777777" w:rsidR="0025572F" w:rsidRPr="006C7B74" w:rsidRDefault="0025572F" w:rsidP="0025572F">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No. of centres</w:t>
            </w:r>
          </w:p>
        </w:tc>
        <w:tc>
          <w:tcPr>
            <w:tcW w:w="457" w:type="pct"/>
            <w:tcBorders>
              <w:top w:val="nil"/>
              <w:left w:val="nil"/>
              <w:bottom w:val="single" w:sz="8" w:space="0" w:color="44546A"/>
              <w:right w:val="nil"/>
            </w:tcBorders>
            <w:shd w:val="clear" w:color="auto" w:fill="auto"/>
            <w:vAlign w:val="center"/>
            <w:hideMark/>
          </w:tcPr>
          <w:p w14:paraId="3FE2E2B5" w14:textId="77777777" w:rsidR="0025572F" w:rsidRPr="006C7B74" w:rsidRDefault="0025572F" w:rsidP="0025572F">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Floorspace (m</w:t>
            </w:r>
            <w:r w:rsidRPr="006C7B74">
              <w:rPr>
                <w:rFonts w:ascii="Calibri" w:hAnsi="Calibri" w:cs="Calibri"/>
                <w:color w:val="000000"/>
                <w:sz w:val="14"/>
                <w:szCs w:val="16"/>
                <w:vertAlign w:val="superscript"/>
                <w:lang w:eastAsia="en-AU"/>
              </w:rPr>
              <w:t>2</w:t>
            </w:r>
            <w:r w:rsidRPr="006C7B74">
              <w:rPr>
                <w:rFonts w:ascii="Calibri" w:hAnsi="Calibri" w:cs="Calibri"/>
                <w:color w:val="000000"/>
                <w:sz w:val="14"/>
                <w:szCs w:val="16"/>
                <w:lang w:eastAsia="en-AU"/>
              </w:rPr>
              <w:t>)</w:t>
            </w:r>
          </w:p>
        </w:tc>
        <w:tc>
          <w:tcPr>
            <w:tcW w:w="334" w:type="pct"/>
            <w:tcBorders>
              <w:top w:val="nil"/>
              <w:left w:val="nil"/>
              <w:bottom w:val="single" w:sz="8" w:space="0" w:color="44546A"/>
              <w:right w:val="nil"/>
            </w:tcBorders>
            <w:shd w:val="clear" w:color="auto" w:fill="auto"/>
            <w:vAlign w:val="center"/>
            <w:hideMark/>
          </w:tcPr>
          <w:p w14:paraId="7E201E87" w14:textId="77777777" w:rsidR="0025572F" w:rsidRPr="006C7B74" w:rsidRDefault="0025572F" w:rsidP="0025572F">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No. of centres</w:t>
            </w:r>
          </w:p>
        </w:tc>
        <w:tc>
          <w:tcPr>
            <w:tcW w:w="435" w:type="pct"/>
            <w:tcBorders>
              <w:top w:val="nil"/>
              <w:left w:val="nil"/>
              <w:bottom w:val="single" w:sz="8" w:space="0" w:color="44546A"/>
              <w:right w:val="nil"/>
            </w:tcBorders>
            <w:shd w:val="clear" w:color="auto" w:fill="auto"/>
            <w:vAlign w:val="center"/>
            <w:hideMark/>
          </w:tcPr>
          <w:p w14:paraId="31402D03" w14:textId="77777777" w:rsidR="0025572F" w:rsidRPr="006C7B74" w:rsidRDefault="0025572F" w:rsidP="0025572F">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Floorspace (m</w:t>
            </w:r>
            <w:r w:rsidRPr="006C7B74">
              <w:rPr>
                <w:rFonts w:ascii="Calibri" w:hAnsi="Calibri" w:cs="Calibri"/>
                <w:color w:val="000000"/>
                <w:sz w:val="14"/>
                <w:szCs w:val="16"/>
                <w:vertAlign w:val="superscript"/>
                <w:lang w:eastAsia="en-AU"/>
              </w:rPr>
              <w:t>2</w:t>
            </w:r>
            <w:r w:rsidRPr="006C7B74">
              <w:rPr>
                <w:rFonts w:ascii="Calibri" w:hAnsi="Calibri" w:cs="Calibri"/>
                <w:color w:val="000000"/>
                <w:sz w:val="14"/>
                <w:szCs w:val="16"/>
                <w:lang w:eastAsia="en-AU"/>
              </w:rPr>
              <w:t>)</w:t>
            </w:r>
          </w:p>
        </w:tc>
        <w:tc>
          <w:tcPr>
            <w:tcW w:w="332" w:type="pct"/>
            <w:tcBorders>
              <w:top w:val="nil"/>
              <w:left w:val="nil"/>
              <w:bottom w:val="single" w:sz="8" w:space="0" w:color="44546A"/>
              <w:right w:val="nil"/>
            </w:tcBorders>
            <w:shd w:val="clear" w:color="auto" w:fill="auto"/>
            <w:vAlign w:val="center"/>
            <w:hideMark/>
          </w:tcPr>
          <w:p w14:paraId="060B8B42" w14:textId="77777777" w:rsidR="0025572F" w:rsidRPr="006C7B74" w:rsidRDefault="0025572F" w:rsidP="0025572F">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No. of centres</w:t>
            </w:r>
          </w:p>
        </w:tc>
        <w:tc>
          <w:tcPr>
            <w:tcW w:w="549" w:type="pct"/>
            <w:tcBorders>
              <w:top w:val="nil"/>
              <w:left w:val="nil"/>
              <w:bottom w:val="single" w:sz="8" w:space="0" w:color="44546A"/>
              <w:right w:val="nil"/>
            </w:tcBorders>
            <w:shd w:val="clear" w:color="auto" w:fill="auto"/>
            <w:vAlign w:val="center"/>
            <w:hideMark/>
          </w:tcPr>
          <w:p w14:paraId="03EA1B2D" w14:textId="77777777" w:rsidR="0025572F" w:rsidRPr="006C7B74" w:rsidRDefault="0025572F" w:rsidP="0025572F">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Floorspace (m</w:t>
            </w:r>
            <w:r w:rsidRPr="006C7B74">
              <w:rPr>
                <w:rFonts w:ascii="Calibri" w:hAnsi="Calibri" w:cs="Calibri"/>
                <w:color w:val="000000"/>
                <w:sz w:val="14"/>
                <w:szCs w:val="16"/>
                <w:vertAlign w:val="superscript"/>
                <w:lang w:eastAsia="en-AU"/>
              </w:rPr>
              <w:t>2</w:t>
            </w:r>
            <w:r w:rsidRPr="006C7B74">
              <w:rPr>
                <w:rFonts w:ascii="Calibri" w:hAnsi="Calibri" w:cs="Calibri"/>
                <w:color w:val="000000"/>
                <w:sz w:val="14"/>
                <w:szCs w:val="16"/>
                <w:lang w:eastAsia="en-AU"/>
              </w:rPr>
              <w:t>)</w:t>
            </w:r>
          </w:p>
        </w:tc>
        <w:tc>
          <w:tcPr>
            <w:tcW w:w="477" w:type="pct"/>
            <w:tcBorders>
              <w:top w:val="nil"/>
              <w:left w:val="nil"/>
              <w:bottom w:val="single" w:sz="8" w:space="0" w:color="44546A"/>
              <w:right w:val="nil"/>
            </w:tcBorders>
            <w:shd w:val="clear" w:color="auto" w:fill="auto"/>
            <w:vAlign w:val="center"/>
            <w:hideMark/>
          </w:tcPr>
          <w:p w14:paraId="472149AA" w14:textId="77777777" w:rsidR="0025572F" w:rsidRPr="006C7B74" w:rsidRDefault="0025572F" w:rsidP="0025572F">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No. of centres</w:t>
            </w:r>
          </w:p>
        </w:tc>
        <w:tc>
          <w:tcPr>
            <w:tcW w:w="488" w:type="pct"/>
            <w:tcBorders>
              <w:top w:val="nil"/>
              <w:left w:val="nil"/>
              <w:bottom w:val="single" w:sz="8" w:space="0" w:color="44546A"/>
              <w:right w:val="nil"/>
            </w:tcBorders>
            <w:shd w:val="clear" w:color="auto" w:fill="auto"/>
            <w:vAlign w:val="center"/>
            <w:hideMark/>
          </w:tcPr>
          <w:p w14:paraId="6313E110" w14:textId="77777777" w:rsidR="0025572F" w:rsidRPr="006C7B74" w:rsidRDefault="0025572F" w:rsidP="0025572F">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Floorspace (m</w:t>
            </w:r>
            <w:r w:rsidRPr="006C7B74">
              <w:rPr>
                <w:rFonts w:ascii="Calibri" w:hAnsi="Calibri" w:cs="Calibri"/>
                <w:color w:val="000000"/>
                <w:sz w:val="14"/>
                <w:szCs w:val="16"/>
                <w:vertAlign w:val="superscript"/>
                <w:lang w:eastAsia="en-AU"/>
              </w:rPr>
              <w:t>2</w:t>
            </w:r>
            <w:r w:rsidRPr="006C7B74">
              <w:rPr>
                <w:rFonts w:ascii="Calibri" w:hAnsi="Calibri" w:cs="Calibri"/>
                <w:color w:val="000000"/>
                <w:sz w:val="14"/>
                <w:szCs w:val="16"/>
                <w:lang w:eastAsia="en-AU"/>
              </w:rPr>
              <w:t>)</w:t>
            </w:r>
          </w:p>
        </w:tc>
        <w:tc>
          <w:tcPr>
            <w:tcW w:w="423" w:type="pct"/>
            <w:tcBorders>
              <w:top w:val="nil"/>
              <w:left w:val="nil"/>
              <w:bottom w:val="single" w:sz="8" w:space="0" w:color="44546A"/>
              <w:right w:val="nil"/>
            </w:tcBorders>
            <w:shd w:val="clear" w:color="auto" w:fill="auto"/>
            <w:vAlign w:val="center"/>
            <w:hideMark/>
          </w:tcPr>
          <w:p w14:paraId="0CAE08A5" w14:textId="77777777" w:rsidR="0025572F" w:rsidRPr="006C7B74" w:rsidRDefault="0025572F" w:rsidP="0025572F">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No. of centres</w:t>
            </w:r>
          </w:p>
        </w:tc>
        <w:tc>
          <w:tcPr>
            <w:tcW w:w="591" w:type="pct"/>
            <w:tcBorders>
              <w:top w:val="nil"/>
              <w:left w:val="nil"/>
              <w:bottom w:val="single" w:sz="8" w:space="0" w:color="44546A"/>
              <w:right w:val="nil"/>
            </w:tcBorders>
            <w:shd w:val="clear" w:color="auto" w:fill="auto"/>
            <w:vAlign w:val="center"/>
            <w:hideMark/>
          </w:tcPr>
          <w:p w14:paraId="0B8E4FA7" w14:textId="77777777" w:rsidR="0025572F" w:rsidRPr="006C7B74" w:rsidRDefault="0025572F" w:rsidP="0025572F">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Floorspace (m</w:t>
            </w:r>
            <w:r w:rsidRPr="006C7B74">
              <w:rPr>
                <w:rFonts w:ascii="Calibri" w:hAnsi="Calibri" w:cs="Calibri"/>
                <w:color w:val="000000"/>
                <w:sz w:val="14"/>
                <w:szCs w:val="16"/>
                <w:vertAlign w:val="superscript"/>
                <w:lang w:eastAsia="en-AU"/>
              </w:rPr>
              <w:t>2</w:t>
            </w:r>
            <w:r w:rsidRPr="006C7B74">
              <w:rPr>
                <w:rFonts w:ascii="Calibri" w:hAnsi="Calibri" w:cs="Calibri"/>
                <w:color w:val="000000"/>
                <w:sz w:val="14"/>
                <w:szCs w:val="16"/>
                <w:lang w:eastAsia="en-AU"/>
              </w:rPr>
              <w:t>)</w:t>
            </w:r>
          </w:p>
        </w:tc>
      </w:tr>
      <w:tr w:rsidR="0025572F" w:rsidRPr="006C7B74" w14:paraId="7999CFDB" w14:textId="77777777" w:rsidTr="006C7B74">
        <w:trPr>
          <w:trHeight w:val="240"/>
        </w:trPr>
        <w:tc>
          <w:tcPr>
            <w:tcW w:w="563" w:type="pct"/>
            <w:tcBorders>
              <w:top w:val="nil"/>
              <w:left w:val="nil"/>
              <w:bottom w:val="single" w:sz="8" w:space="0" w:color="44546A"/>
              <w:right w:val="nil"/>
            </w:tcBorders>
            <w:shd w:val="clear" w:color="auto" w:fill="auto"/>
            <w:vAlign w:val="center"/>
            <w:hideMark/>
          </w:tcPr>
          <w:p w14:paraId="244CC34E" w14:textId="77777777" w:rsidR="0025572F" w:rsidRPr="006C7B74" w:rsidRDefault="0025572F" w:rsidP="0025572F">
            <w:pPr>
              <w:rPr>
                <w:rFonts w:ascii="Calibri" w:hAnsi="Calibri" w:cs="Calibri"/>
                <w:color w:val="000000"/>
                <w:sz w:val="16"/>
                <w:szCs w:val="16"/>
                <w:lang w:eastAsia="en-AU"/>
              </w:rPr>
            </w:pPr>
            <w:r w:rsidRPr="006C7B74">
              <w:rPr>
                <w:rFonts w:ascii="Calibri" w:hAnsi="Calibri" w:cs="Calibri"/>
                <w:color w:val="000000"/>
                <w:sz w:val="16"/>
                <w:szCs w:val="16"/>
                <w:lang w:eastAsia="en-AU"/>
              </w:rPr>
              <w:t>Knox</w:t>
            </w:r>
          </w:p>
        </w:tc>
        <w:tc>
          <w:tcPr>
            <w:tcW w:w="351" w:type="pct"/>
            <w:tcBorders>
              <w:top w:val="nil"/>
              <w:left w:val="nil"/>
              <w:bottom w:val="single" w:sz="8" w:space="0" w:color="44546A"/>
              <w:right w:val="nil"/>
            </w:tcBorders>
            <w:shd w:val="clear" w:color="auto" w:fill="auto"/>
            <w:vAlign w:val="center"/>
            <w:hideMark/>
          </w:tcPr>
          <w:p w14:paraId="2FED5F14"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10</w:t>
            </w:r>
          </w:p>
        </w:tc>
        <w:tc>
          <w:tcPr>
            <w:tcW w:w="457" w:type="pct"/>
            <w:tcBorders>
              <w:top w:val="nil"/>
              <w:left w:val="nil"/>
              <w:bottom w:val="single" w:sz="8" w:space="0" w:color="44546A"/>
              <w:right w:val="nil"/>
            </w:tcBorders>
            <w:shd w:val="clear" w:color="auto" w:fill="auto"/>
            <w:vAlign w:val="center"/>
            <w:hideMark/>
          </w:tcPr>
          <w:p w14:paraId="406550A4"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6,900</w:t>
            </w:r>
          </w:p>
        </w:tc>
        <w:tc>
          <w:tcPr>
            <w:tcW w:w="334" w:type="pct"/>
            <w:tcBorders>
              <w:top w:val="nil"/>
              <w:left w:val="nil"/>
              <w:bottom w:val="single" w:sz="8" w:space="0" w:color="44546A"/>
              <w:right w:val="nil"/>
            </w:tcBorders>
            <w:shd w:val="clear" w:color="auto" w:fill="auto"/>
            <w:vAlign w:val="center"/>
            <w:hideMark/>
          </w:tcPr>
          <w:p w14:paraId="09D37D45"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12</w:t>
            </w:r>
          </w:p>
        </w:tc>
        <w:tc>
          <w:tcPr>
            <w:tcW w:w="435" w:type="pct"/>
            <w:tcBorders>
              <w:top w:val="nil"/>
              <w:left w:val="nil"/>
              <w:bottom w:val="single" w:sz="8" w:space="0" w:color="44546A"/>
              <w:right w:val="nil"/>
            </w:tcBorders>
            <w:shd w:val="clear" w:color="auto" w:fill="auto"/>
            <w:vAlign w:val="center"/>
            <w:hideMark/>
          </w:tcPr>
          <w:p w14:paraId="117983CE"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55,300</w:t>
            </w:r>
          </w:p>
        </w:tc>
        <w:tc>
          <w:tcPr>
            <w:tcW w:w="332" w:type="pct"/>
            <w:tcBorders>
              <w:top w:val="nil"/>
              <w:left w:val="nil"/>
              <w:bottom w:val="single" w:sz="8" w:space="0" w:color="44546A"/>
              <w:right w:val="nil"/>
            </w:tcBorders>
            <w:shd w:val="clear" w:color="auto" w:fill="auto"/>
            <w:vAlign w:val="center"/>
            <w:hideMark/>
          </w:tcPr>
          <w:p w14:paraId="7DC2311A"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7</w:t>
            </w:r>
          </w:p>
        </w:tc>
        <w:tc>
          <w:tcPr>
            <w:tcW w:w="549" w:type="pct"/>
            <w:tcBorders>
              <w:top w:val="nil"/>
              <w:left w:val="nil"/>
              <w:bottom w:val="single" w:sz="8" w:space="0" w:color="44546A"/>
              <w:right w:val="nil"/>
            </w:tcBorders>
            <w:shd w:val="clear" w:color="auto" w:fill="auto"/>
            <w:vAlign w:val="center"/>
            <w:hideMark/>
          </w:tcPr>
          <w:p w14:paraId="1DE2A649" w14:textId="2B4E628A" w:rsidR="0025572F" w:rsidRPr="006C7B74" w:rsidRDefault="003264D2"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28,250</w:t>
            </w:r>
          </w:p>
        </w:tc>
        <w:tc>
          <w:tcPr>
            <w:tcW w:w="477" w:type="pct"/>
            <w:tcBorders>
              <w:top w:val="nil"/>
              <w:left w:val="nil"/>
              <w:bottom w:val="single" w:sz="8" w:space="0" w:color="44546A"/>
              <w:right w:val="nil"/>
            </w:tcBorders>
            <w:shd w:val="clear" w:color="auto" w:fill="auto"/>
            <w:vAlign w:val="center"/>
            <w:hideMark/>
          </w:tcPr>
          <w:p w14:paraId="1B121178"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w:t>
            </w:r>
          </w:p>
        </w:tc>
        <w:tc>
          <w:tcPr>
            <w:tcW w:w="488" w:type="pct"/>
            <w:tcBorders>
              <w:top w:val="nil"/>
              <w:left w:val="nil"/>
              <w:bottom w:val="single" w:sz="8" w:space="0" w:color="44546A"/>
              <w:right w:val="nil"/>
            </w:tcBorders>
            <w:shd w:val="clear" w:color="auto" w:fill="auto"/>
            <w:vAlign w:val="center"/>
            <w:hideMark/>
          </w:tcPr>
          <w:p w14:paraId="1F34DEFE"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94,250</w:t>
            </w:r>
          </w:p>
        </w:tc>
        <w:tc>
          <w:tcPr>
            <w:tcW w:w="423" w:type="pct"/>
            <w:tcBorders>
              <w:top w:val="nil"/>
              <w:left w:val="nil"/>
              <w:bottom w:val="single" w:sz="8" w:space="0" w:color="44546A"/>
              <w:right w:val="nil"/>
            </w:tcBorders>
            <w:shd w:val="clear" w:color="auto" w:fill="auto"/>
            <w:vAlign w:val="center"/>
            <w:hideMark/>
          </w:tcPr>
          <w:p w14:paraId="4A5B8B2B"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w:t>
            </w:r>
          </w:p>
        </w:tc>
        <w:tc>
          <w:tcPr>
            <w:tcW w:w="591" w:type="pct"/>
            <w:tcBorders>
              <w:top w:val="nil"/>
              <w:left w:val="nil"/>
              <w:bottom w:val="single" w:sz="8" w:space="0" w:color="44546A"/>
              <w:right w:val="nil"/>
            </w:tcBorders>
            <w:shd w:val="clear" w:color="auto" w:fill="auto"/>
            <w:vAlign w:val="center"/>
            <w:hideMark/>
          </w:tcPr>
          <w:p w14:paraId="34F6C2BE"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153,100</w:t>
            </w:r>
          </w:p>
        </w:tc>
      </w:tr>
      <w:tr w:rsidR="0025572F" w:rsidRPr="006C7B74" w14:paraId="1BCCD21E" w14:textId="77777777" w:rsidTr="006C7B74">
        <w:trPr>
          <w:trHeight w:val="240"/>
        </w:trPr>
        <w:tc>
          <w:tcPr>
            <w:tcW w:w="563" w:type="pct"/>
            <w:tcBorders>
              <w:top w:val="nil"/>
              <w:left w:val="nil"/>
              <w:bottom w:val="single" w:sz="8" w:space="0" w:color="44546A"/>
              <w:right w:val="nil"/>
            </w:tcBorders>
            <w:shd w:val="clear" w:color="auto" w:fill="auto"/>
            <w:vAlign w:val="center"/>
            <w:hideMark/>
          </w:tcPr>
          <w:p w14:paraId="1CC806C9" w14:textId="77777777" w:rsidR="0025572F" w:rsidRPr="006C7B74" w:rsidRDefault="0025572F" w:rsidP="0025572F">
            <w:pPr>
              <w:rPr>
                <w:rFonts w:ascii="Calibri" w:hAnsi="Calibri" w:cs="Calibri"/>
                <w:color w:val="000000"/>
                <w:sz w:val="16"/>
                <w:szCs w:val="16"/>
                <w:lang w:eastAsia="en-AU"/>
              </w:rPr>
            </w:pPr>
            <w:r w:rsidRPr="006C7B74">
              <w:rPr>
                <w:rFonts w:ascii="Calibri" w:hAnsi="Calibri" w:cs="Calibri"/>
                <w:color w:val="000000"/>
                <w:sz w:val="16"/>
                <w:szCs w:val="16"/>
                <w:lang w:eastAsia="en-AU"/>
              </w:rPr>
              <w:t>Manningham</w:t>
            </w:r>
          </w:p>
        </w:tc>
        <w:tc>
          <w:tcPr>
            <w:tcW w:w="351" w:type="pct"/>
            <w:tcBorders>
              <w:top w:val="nil"/>
              <w:left w:val="nil"/>
              <w:bottom w:val="single" w:sz="8" w:space="0" w:color="44546A"/>
              <w:right w:val="nil"/>
            </w:tcBorders>
            <w:shd w:val="clear" w:color="auto" w:fill="auto"/>
            <w:vAlign w:val="center"/>
            <w:hideMark/>
          </w:tcPr>
          <w:p w14:paraId="40B91B2C"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17</w:t>
            </w:r>
          </w:p>
        </w:tc>
        <w:tc>
          <w:tcPr>
            <w:tcW w:w="457" w:type="pct"/>
            <w:tcBorders>
              <w:top w:val="nil"/>
              <w:left w:val="nil"/>
              <w:bottom w:val="single" w:sz="8" w:space="0" w:color="44546A"/>
              <w:right w:val="nil"/>
            </w:tcBorders>
            <w:shd w:val="clear" w:color="auto" w:fill="auto"/>
            <w:vAlign w:val="center"/>
            <w:hideMark/>
          </w:tcPr>
          <w:p w14:paraId="18542BC5"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17,850</w:t>
            </w:r>
          </w:p>
        </w:tc>
        <w:tc>
          <w:tcPr>
            <w:tcW w:w="334" w:type="pct"/>
            <w:tcBorders>
              <w:top w:val="nil"/>
              <w:left w:val="nil"/>
              <w:bottom w:val="single" w:sz="8" w:space="0" w:color="44546A"/>
              <w:right w:val="nil"/>
            </w:tcBorders>
            <w:shd w:val="clear" w:color="auto" w:fill="auto"/>
            <w:vAlign w:val="center"/>
            <w:hideMark/>
          </w:tcPr>
          <w:p w14:paraId="701FF4AA"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8</w:t>
            </w:r>
          </w:p>
        </w:tc>
        <w:tc>
          <w:tcPr>
            <w:tcW w:w="435" w:type="pct"/>
            <w:tcBorders>
              <w:top w:val="nil"/>
              <w:left w:val="nil"/>
              <w:bottom w:val="single" w:sz="8" w:space="0" w:color="44546A"/>
              <w:right w:val="nil"/>
            </w:tcBorders>
            <w:shd w:val="clear" w:color="auto" w:fill="auto"/>
            <w:vAlign w:val="center"/>
            <w:hideMark/>
          </w:tcPr>
          <w:p w14:paraId="14F9FE45"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37,800</w:t>
            </w:r>
          </w:p>
        </w:tc>
        <w:tc>
          <w:tcPr>
            <w:tcW w:w="332" w:type="pct"/>
            <w:tcBorders>
              <w:top w:val="nil"/>
              <w:left w:val="nil"/>
              <w:bottom w:val="single" w:sz="8" w:space="0" w:color="44546A"/>
              <w:right w:val="nil"/>
            </w:tcBorders>
            <w:shd w:val="clear" w:color="auto" w:fill="auto"/>
            <w:vAlign w:val="center"/>
            <w:hideMark/>
          </w:tcPr>
          <w:p w14:paraId="559C4EBE"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7</w:t>
            </w:r>
          </w:p>
        </w:tc>
        <w:tc>
          <w:tcPr>
            <w:tcW w:w="549" w:type="pct"/>
            <w:tcBorders>
              <w:top w:val="nil"/>
              <w:left w:val="nil"/>
              <w:bottom w:val="single" w:sz="8" w:space="0" w:color="44546A"/>
              <w:right w:val="nil"/>
            </w:tcBorders>
            <w:shd w:val="clear" w:color="auto" w:fill="auto"/>
            <w:vAlign w:val="center"/>
            <w:hideMark/>
          </w:tcPr>
          <w:p w14:paraId="6885B945"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120,500</w:t>
            </w:r>
          </w:p>
        </w:tc>
        <w:tc>
          <w:tcPr>
            <w:tcW w:w="477" w:type="pct"/>
            <w:tcBorders>
              <w:top w:val="nil"/>
              <w:left w:val="nil"/>
              <w:bottom w:val="single" w:sz="8" w:space="0" w:color="44546A"/>
              <w:right w:val="nil"/>
            </w:tcBorders>
            <w:shd w:val="clear" w:color="auto" w:fill="auto"/>
            <w:vAlign w:val="center"/>
            <w:hideMark/>
          </w:tcPr>
          <w:p w14:paraId="6D217BA2"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0</w:t>
            </w:r>
          </w:p>
        </w:tc>
        <w:tc>
          <w:tcPr>
            <w:tcW w:w="488" w:type="pct"/>
            <w:tcBorders>
              <w:top w:val="nil"/>
              <w:left w:val="nil"/>
              <w:bottom w:val="single" w:sz="8" w:space="0" w:color="44546A"/>
              <w:right w:val="nil"/>
            </w:tcBorders>
            <w:shd w:val="clear" w:color="auto" w:fill="auto"/>
            <w:vAlign w:val="center"/>
            <w:hideMark/>
          </w:tcPr>
          <w:p w14:paraId="3890E173"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0</w:t>
            </w:r>
          </w:p>
        </w:tc>
        <w:tc>
          <w:tcPr>
            <w:tcW w:w="423" w:type="pct"/>
            <w:tcBorders>
              <w:top w:val="nil"/>
              <w:left w:val="nil"/>
              <w:bottom w:val="single" w:sz="8" w:space="0" w:color="44546A"/>
              <w:right w:val="nil"/>
            </w:tcBorders>
            <w:shd w:val="clear" w:color="auto" w:fill="auto"/>
            <w:vAlign w:val="center"/>
            <w:hideMark/>
          </w:tcPr>
          <w:p w14:paraId="2925CC53"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w:t>
            </w:r>
          </w:p>
        </w:tc>
        <w:tc>
          <w:tcPr>
            <w:tcW w:w="591" w:type="pct"/>
            <w:tcBorders>
              <w:top w:val="nil"/>
              <w:left w:val="nil"/>
              <w:bottom w:val="single" w:sz="8" w:space="0" w:color="44546A"/>
              <w:right w:val="nil"/>
            </w:tcBorders>
            <w:shd w:val="clear" w:color="auto" w:fill="auto"/>
            <w:vAlign w:val="center"/>
            <w:hideMark/>
          </w:tcPr>
          <w:p w14:paraId="2A1C53EF"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176,850</w:t>
            </w:r>
          </w:p>
        </w:tc>
      </w:tr>
      <w:tr w:rsidR="0025572F" w:rsidRPr="006C7B74" w14:paraId="4F142A3D" w14:textId="77777777" w:rsidTr="006C7B74">
        <w:trPr>
          <w:trHeight w:val="240"/>
        </w:trPr>
        <w:tc>
          <w:tcPr>
            <w:tcW w:w="563" w:type="pct"/>
            <w:tcBorders>
              <w:top w:val="nil"/>
              <w:left w:val="nil"/>
              <w:bottom w:val="single" w:sz="8" w:space="0" w:color="44546A"/>
              <w:right w:val="nil"/>
            </w:tcBorders>
            <w:shd w:val="clear" w:color="auto" w:fill="auto"/>
            <w:vAlign w:val="center"/>
            <w:hideMark/>
          </w:tcPr>
          <w:p w14:paraId="1BA577A8" w14:textId="77777777" w:rsidR="0025572F" w:rsidRPr="006C7B74" w:rsidRDefault="0025572F" w:rsidP="0025572F">
            <w:pPr>
              <w:rPr>
                <w:rFonts w:ascii="Calibri" w:hAnsi="Calibri" w:cs="Calibri"/>
                <w:color w:val="000000"/>
                <w:sz w:val="16"/>
                <w:szCs w:val="16"/>
                <w:lang w:eastAsia="en-AU"/>
              </w:rPr>
            </w:pPr>
            <w:r w:rsidRPr="006C7B74">
              <w:rPr>
                <w:rFonts w:ascii="Calibri" w:hAnsi="Calibri" w:cs="Calibri"/>
                <w:color w:val="000000"/>
                <w:sz w:val="16"/>
                <w:szCs w:val="16"/>
                <w:lang w:eastAsia="en-AU"/>
              </w:rPr>
              <w:t>Maroondah</w:t>
            </w:r>
          </w:p>
        </w:tc>
        <w:tc>
          <w:tcPr>
            <w:tcW w:w="351" w:type="pct"/>
            <w:tcBorders>
              <w:top w:val="nil"/>
              <w:left w:val="nil"/>
              <w:bottom w:val="single" w:sz="8" w:space="0" w:color="44546A"/>
              <w:right w:val="nil"/>
            </w:tcBorders>
            <w:shd w:val="clear" w:color="auto" w:fill="auto"/>
            <w:vAlign w:val="center"/>
            <w:hideMark/>
          </w:tcPr>
          <w:p w14:paraId="35EC28B2"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22</w:t>
            </w:r>
          </w:p>
        </w:tc>
        <w:tc>
          <w:tcPr>
            <w:tcW w:w="457" w:type="pct"/>
            <w:tcBorders>
              <w:top w:val="nil"/>
              <w:left w:val="nil"/>
              <w:bottom w:val="single" w:sz="8" w:space="0" w:color="44546A"/>
              <w:right w:val="nil"/>
            </w:tcBorders>
            <w:shd w:val="clear" w:color="auto" w:fill="auto"/>
            <w:vAlign w:val="center"/>
            <w:hideMark/>
          </w:tcPr>
          <w:p w14:paraId="3FE20523"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21,600</w:t>
            </w:r>
          </w:p>
        </w:tc>
        <w:tc>
          <w:tcPr>
            <w:tcW w:w="334" w:type="pct"/>
            <w:tcBorders>
              <w:top w:val="nil"/>
              <w:left w:val="nil"/>
              <w:bottom w:val="single" w:sz="8" w:space="0" w:color="44546A"/>
              <w:right w:val="nil"/>
            </w:tcBorders>
            <w:shd w:val="clear" w:color="auto" w:fill="auto"/>
            <w:vAlign w:val="center"/>
            <w:hideMark/>
          </w:tcPr>
          <w:p w14:paraId="5CEBECB3"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14</w:t>
            </w:r>
          </w:p>
        </w:tc>
        <w:tc>
          <w:tcPr>
            <w:tcW w:w="435" w:type="pct"/>
            <w:tcBorders>
              <w:top w:val="nil"/>
              <w:left w:val="nil"/>
              <w:bottom w:val="single" w:sz="8" w:space="0" w:color="44546A"/>
              <w:right w:val="nil"/>
            </w:tcBorders>
            <w:shd w:val="clear" w:color="auto" w:fill="auto"/>
            <w:vAlign w:val="center"/>
            <w:hideMark/>
          </w:tcPr>
          <w:p w14:paraId="61E478D3"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58,850</w:t>
            </w:r>
          </w:p>
        </w:tc>
        <w:tc>
          <w:tcPr>
            <w:tcW w:w="332" w:type="pct"/>
            <w:tcBorders>
              <w:top w:val="nil"/>
              <w:left w:val="nil"/>
              <w:bottom w:val="single" w:sz="8" w:space="0" w:color="44546A"/>
              <w:right w:val="nil"/>
            </w:tcBorders>
            <w:shd w:val="clear" w:color="auto" w:fill="auto"/>
            <w:vAlign w:val="center"/>
            <w:hideMark/>
          </w:tcPr>
          <w:p w14:paraId="14FC22C7"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w:t>
            </w:r>
          </w:p>
        </w:tc>
        <w:tc>
          <w:tcPr>
            <w:tcW w:w="549" w:type="pct"/>
            <w:tcBorders>
              <w:top w:val="nil"/>
              <w:left w:val="nil"/>
              <w:bottom w:val="single" w:sz="8" w:space="0" w:color="44546A"/>
              <w:right w:val="nil"/>
            </w:tcBorders>
            <w:shd w:val="clear" w:color="auto" w:fill="auto"/>
            <w:vAlign w:val="center"/>
            <w:hideMark/>
          </w:tcPr>
          <w:p w14:paraId="27CEE3E4"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25,600</w:t>
            </w:r>
          </w:p>
        </w:tc>
        <w:tc>
          <w:tcPr>
            <w:tcW w:w="477" w:type="pct"/>
            <w:tcBorders>
              <w:top w:val="nil"/>
              <w:left w:val="nil"/>
              <w:bottom w:val="single" w:sz="8" w:space="0" w:color="44546A"/>
              <w:right w:val="nil"/>
            </w:tcBorders>
            <w:shd w:val="clear" w:color="auto" w:fill="auto"/>
            <w:vAlign w:val="center"/>
            <w:hideMark/>
          </w:tcPr>
          <w:p w14:paraId="47097320"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w:t>
            </w:r>
          </w:p>
        </w:tc>
        <w:tc>
          <w:tcPr>
            <w:tcW w:w="488" w:type="pct"/>
            <w:tcBorders>
              <w:top w:val="nil"/>
              <w:left w:val="nil"/>
              <w:bottom w:val="single" w:sz="8" w:space="0" w:color="44546A"/>
              <w:right w:val="nil"/>
            </w:tcBorders>
            <w:shd w:val="clear" w:color="auto" w:fill="auto"/>
            <w:vAlign w:val="center"/>
            <w:hideMark/>
          </w:tcPr>
          <w:p w14:paraId="50926F89"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53,100</w:t>
            </w:r>
          </w:p>
        </w:tc>
        <w:tc>
          <w:tcPr>
            <w:tcW w:w="423" w:type="pct"/>
            <w:tcBorders>
              <w:top w:val="nil"/>
              <w:left w:val="nil"/>
              <w:bottom w:val="single" w:sz="8" w:space="0" w:color="44546A"/>
              <w:right w:val="nil"/>
            </w:tcBorders>
            <w:shd w:val="clear" w:color="auto" w:fill="auto"/>
            <w:vAlign w:val="center"/>
            <w:hideMark/>
          </w:tcPr>
          <w:p w14:paraId="1CCDBD9A"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w:t>
            </w:r>
          </w:p>
        </w:tc>
        <w:tc>
          <w:tcPr>
            <w:tcW w:w="591" w:type="pct"/>
            <w:tcBorders>
              <w:top w:val="nil"/>
              <w:left w:val="nil"/>
              <w:bottom w:val="single" w:sz="8" w:space="0" w:color="44546A"/>
              <w:right w:val="nil"/>
            </w:tcBorders>
            <w:shd w:val="clear" w:color="auto" w:fill="auto"/>
            <w:vAlign w:val="center"/>
            <w:hideMark/>
          </w:tcPr>
          <w:p w14:paraId="1BEF86D4"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256,550</w:t>
            </w:r>
          </w:p>
        </w:tc>
      </w:tr>
      <w:tr w:rsidR="0025572F" w:rsidRPr="006C7B74" w14:paraId="38200B18" w14:textId="77777777" w:rsidTr="006C7B74">
        <w:trPr>
          <w:trHeight w:val="240"/>
        </w:trPr>
        <w:tc>
          <w:tcPr>
            <w:tcW w:w="563" w:type="pct"/>
            <w:tcBorders>
              <w:top w:val="nil"/>
              <w:left w:val="nil"/>
              <w:bottom w:val="single" w:sz="8" w:space="0" w:color="44546A"/>
              <w:right w:val="nil"/>
            </w:tcBorders>
            <w:shd w:val="clear" w:color="auto" w:fill="auto"/>
            <w:vAlign w:val="center"/>
            <w:hideMark/>
          </w:tcPr>
          <w:p w14:paraId="53A53AFA" w14:textId="77777777" w:rsidR="0025572F" w:rsidRPr="006C7B74" w:rsidRDefault="0025572F" w:rsidP="0025572F">
            <w:pPr>
              <w:rPr>
                <w:rFonts w:ascii="Calibri" w:hAnsi="Calibri" w:cs="Calibri"/>
                <w:color w:val="000000"/>
                <w:sz w:val="16"/>
                <w:szCs w:val="16"/>
                <w:lang w:eastAsia="en-AU"/>
              </w:rPr>
            </w:pPr>
            <w:r w:rsidRPr="006C7B74">
              <w:rPr>
                <w:rFonts w:ascii="Calibri" w:hAnsi="Calibri" w:cs="Calibri"/>
                <w:color w:val="000000"/>
                <w:sz w:val="16"/>
                <w:szCs w:val="16"/>
                <w:lang w:eastAsia="en-AU"/>
              </w:rPr>
              <w:t>Monash</w:t>
            </w:r>
          </w:p>
        </w:tc>
        <w:tc>
          <w:tcPr>
            <w:tcW w:w="351" w:type="pct"/>
            <w:tcBorders>
              <w:top w:val="nil"/>
              <w:left w:val="nil"/>
              <w:bottom w:val="single" w:sz="8" w:space="0" w:color="44546A"/>
              <w:right w:val="nil"/>
            </w:tcBorders>
            <w:shd w:val="clear" w:color="auto" w:fill="auto"/>
            <w:vAlign w:val="center"/>
            <w:hideMark/>
          </w:tcPr>
          <w:p w14:paraId="04D47A57"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45</w:t>
            </w:r>
          </w:p>
        </w:tc>
        <w:tc>
          <w:tcPr>
            <w:tcW w:w="457" w:type="pct"/>
            <w:tcBorders>
              <w:top w:val="nil"/>
              <w:left w:val="nil"/>
              <w:bottom w:val="single" w:sz="8" w:space="0" w:color="44546A"/>
              <w:right w:val="nil"/>
            </w:tcBorders>
            <w:shd w:val="clear" w:color="auto" w:fill="auto"/>
            <w:vAlign w:val="center"/>
            <w:hideMark/>
          </w:tcPr>
          <w:p w14:paraId="66661633"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45,950</w:t>
            </w:r>
          </w:p>
        </w:tc>
        <w:tc>
          <w:tcPr>
            <w:tcW w:w="334" w:type="pct"/>
            <w:tcBorders>
              <w:top w:val="nil"/>
              <w:left w:val="nil"/>
              <w:bottom w:val="single" w:sz="8" w:space="0" w:color="44546A"/>
              <w:right w:val="nil"/>
            </w:tcBorders>
            <w:shd w:val="clear" w:color="auto" w:fill="auto"/>
            <w:vAlign w:val="center"/>
            <w:hideMark/>
          </w:tcPr>
          <w:p w14:paraId="756E7E03"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13</w:t>
            </w:r>
          </w:p>
        </w:tc>
        <w:tc>
          <w:tcPr>
            <w:tcW w:w="435" w:type="pct"/>
            <w:tcBorders>
              <w:top w:val="nil"/>
              <w:left w:val="nil"/>
              <w:bottom w:val="single" w:sz="8" w:space="0" w:color="44546A"/>
              <w:right w:val="nil"/>
            </w:tcBorders>
            <w:shd w:val="clear" w:color="auto" w:fill="auto"/>
            <w:vAlign w:val="center"/>
            <w:hideMark/>
          </w:tcPr>
          <w:p w14:paraId="2AE530FA"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37,650</w:t>
            </w:r>
          </w:p>
        </w:tc>
        <w:tc>
          <w:tcPr>
            <w:tcW w:w="332" w:type="pct"/>
            <w:tcBorders>
              <w:top w:val="nil"/>
              <w:left w:val="nil"/>
              <w:bottom w:val="single" w:sz="8" w:space="0" w:color="44546A"/>
              <w:right w:val="nil"/>
            </w:tcBorders>
            <w:shd w:val="clear" w:color="auto" w:fill="auto"/>
            <w:vAlign w:val="center"/>
            <w:hideMark/>
          </w:tcPr>
          <w:p w14:paraId="3594B246"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12</w:t>
            </w:r>
          </w:p>
        </w:tc>
        <w:tc>
          <w:tcPr>
            <w:tcW w:w="549" w:type="pct"/>
            <w:tcBorders>
              <w:top w:val="nil"/>
              <w:left w:val="nil"/>
              <w:bottom w:val="single" w:sz="8" w:space="0" w:color="44546A"/>
              <w:right w:val="nil"/>
            </w:tcBorders>
            <w:shd w:val="clear" w:color="auto" w:fill="auto"/>
            <w:vAlign w:val="center"/>
            <w:hideMark/>
          </w:tcPr>
          <w:p w14:paraId="2487FDE6"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307,600</w:t>
            </w:r>
          </w:p>
        </w:tc>
        <w:tc>
          <w:tcPr>
            <w:tcW w:w="477" w:type="pct"/>
            <w:tcBorders>
              <w:top w:val="nil"/>
              <w:left w:val="nil"/>
              <w:bottom w:val="single" w:sz="8" w:space="0" w:color="44546A"/>
              <w:right w:val="nil"/>
            </w:tcBorders>
            <w:shd w:val="clear" w:color="auto" w:fill="auto"/>
            <w:vAlign w:val="center"/>
            <w:hideMark/>
          </w:tcPr>
          <w:p w14:paraId="10242B90"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w:t>
            </w:r>
          </w:p>
        </w:tc>
        <w:tc>
          <w:tcPr>
            <w:tcW w:w="488" w:type="pct"/>
            <w:tcBorders>
              <w:top w:val="nil"/>
              <w:left w:val="nil"/>
              <w:bottom w:val="single" w:sz="8" w:space="0" w:color="44546A"/>
              <w:right w:val="nil"/>
            </w:tcBorders>
            <w:shd w:val="clear" w:color="auto" w:fill="auto"/>
            <w:vAlign w:val="center"/>
            <w:hideMark/>
          </w:tcPr>
          <w:p w14:paraId="56A7DFF8"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157,700</w:t>
            </w:r>
          </w:p>
        </w:tc>
        <w:tc>
          <w:tcPr>
            <w:tcW w:w="423" w:type="pct"/>
            <w:tcBorders>
              <w:top w:val="nil"/>
              <w:left w:val="nil"/>
              <w:bottom w:val="single" w:sz="8" w:space="0" w:color="44546A"/>
              <w:right w:val="nil"/>
            </w:tcBorders>
            <w:shd w:val="clear" w:color="auto" w:fill="auto"/>
            <w:vAlign w:val="center"/>
            <w:hideMark/>
          </w:tcPr>
          <w:p w14:paraId="014810D4"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w:t>
            </w:r>
          </w:p>
        </w:tc>
        <w:tc>
          <w:tcPr>
            <w:tcW w:w="591" w:type="pct"/>
            <w:tcBorders>
              <w:top w:val="nil"/>
              <w:left w:val="nil"/>
              <w:bottom w:val="single" w:sz="8" w:space="0" w:color="44546A"/>
              <w:right w:val="nil"/>
            </w:tcBorders>
            <w:shd w:val="clear" w:color="auto" w:fill="auto"/>
            <w:vAlign w:val="center"/>
            <w:hideMark/>
          </w:tcPr>
          <w:p w14:paraId="44BA3F6D"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133,800</w:t>
            </w:r>
          </w:p>
        </w:tc>
      </w:tr>
      <w:tr w:rsidR="0025572F" w:rsidRPr="006C7B74" w14:paraId="3518CA57" w14:textId="77777777" w:rsidTr="006C7B74">
        <w:trPr>
          <w:trHeight w:val="240"/>
        </w:trPr>
        <w:tc>
          <w:tcPr>
            <w:tcW w:w="563" w:type="pct"/>
            <w:tcBorders>
              <w:top w:val="nil"/>
              <w:left w:val="nil"/>
              <w:bottom w:val="single" w:sz="8" w:space="0" w:color="44546A"/>
              <w:right w:val="nil"/>
            </w:tcBorders>
            <w:shd w:val="clear" w:color="auto" w:fill="auto"/>
            <w:vAlign w:val="center"/>
            <w:hideMark/>
          </w:tcPr>
          <w:p w14:paraId="40567C7F" w14:textId="77777777" w:rsidR="0025572F" w:rsidRPr="006C7B74" w:rsidRDefault="0025572F" w:rsidP="0025572F">
            <w:pPr>
              <w:rPr>
                <w:rFonts w:ascii="Calibri" w:hAnsi="Calibri" w:cs="Calibri"/>
                <w:color w:val="000000"/>
                <w:sz w:val="16"/>
                <w:szCs w:val="16"/>
                <w:lang w:eastAsia="en-AU"/>
              </w:rPr>
            </w:pPr>
            <w:r w:rsidRPr="006C7B74">
              <w:rPr>
                <w:rFonts w:ascii="Calibri" w:hAnsi="Calibri" w:cs="Calibri"/>
                <w:color w:val="000000"/>
                <w:sz w:val="16"/>
                <w:szCs w:val="16"/>
                <w:lang w:eastAsia="en-AU"/>
              </w:rPr>
              <w:t>Whitehorse</w:t>
            </w:r>
          </w:p>
        </w:tc>
        <w:tc>
          <w:tcPr>
            <w:tcW w:w="351" w:type="pct"/>
            <w:tcBorders>
              <w:top w:val="nil"/>
              <w:left w:val="nil"/>
              <w:bottom w:val="single" w:sz="8" w:space="0" w:color="44546A"/>
              <w:right w:val="nil"/>
            </w:tcBorders>
            <w:shd w:val="clear" w:color="auto" w:fill="auto"/>
            <w:vAlign w:val="center"/>
            <w:hideMark/>
          </w:tcPr>
          <w:p w14:paraId="50F2F9BD"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34</w:t>
            </w:r>
          </w:p>
        </w:tc>
        <w:tc>
          <w:tcPr>
            <w:tcW w:w="457" w:type="pct"/>
            <w:tcBorders>
              <w:top w:val="nil"/>
              <w:left w:val="nil"/>
              <w:bottom w:val="single" w:sz="8" w:space="0" w:color="44546A"/>
              <w:right w:val="nil"/>
            </w:tcBorders>
            <w:shd w:val="clear" w:color="auto" w:fill="auto"/>
            <w:vAlign w:val="center"/>
            <w:hideMark/>
          </w:tcPr>
          <w:p w14:paraId="1463AD31"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35,250</w:t>
            </w:r>
          </w:p>
        </w:tc>
        <w:tc>
          <w:tcPr>
            <w:tcW w:w="334" w:type="pct"/>
            <w:tcBorders>
              <w:top w:val="nil"/>
              <w:left w:val="nil"/>
              <w:bottom w:val="single" w:sz="8" w:space="0" w:color="44546A"/>
              <w:right w:val="nil"/>
            </w:tcBorders>
            <w:shd w:val="clear" w:color="auto" w:fill="auto"/>
            <w:vAlign w:val="center"/>
            <w:hideMark/>
          </w:tcPr>
          <w:p w14:paraId="4EF7E8FF"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17</w:t>
            </w:r>
          </w:p>
        </w:tc>
        <w:tc>
          <w:tcPr>
            <w:tcW w:w="435" w:type="pct"/>
            <w:tcBorders>
              <w:top w:val="nil"/>
              <w:left w:val="nil"/>
              <w:bottom w:val="single" w:sz="8" w:space="0" w:color="44546A"/>
              <w:right w:val="nil"/>
            </w:tcBorders>
            <w:shd w:val="clear" w:color="auto" w:fill="auto"/>
            <w:vAlign w:val="center"/>
            <w:hideMark/>
          </w:tcPr>
          <w:p w14:paraId="17B26152"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68,250</w:t>
            </w:r>
          </w:p>
        </w:tc>
        <w:tc>
          <w:tcPr>
            <w:tcW w:w="332" w:type="pct"/>
            <w:tcBorders>
              <w:top w:val="nil"/>
              <w:left w:val="nil"/>
              <w:bottom w:val="single" w:sz="8" w:space="0" w:color="44546A"/>
              <w:right w:val="nil"/>
            </w:tcBorders>
            <w:shd w:val="clear" w:color="auto" w:fill="auto"/>
            <w:vAlign w:val="center"/>
            <w:hideMark/>
          </w:tcPr>
          <w:p w14:paraId="314C42BC"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9</w:t>
            </w:r>
          </w:p>
        </w:tc>
        <w:tc>
          <w:tcPr>
            <w:tcW w:w="549" w:type="pct"/>
            <w:tcBorders>
              <w:top w:val="nil"/>
              <w:left w:val="nil"/>
              <w:bottom w:val="single" w:sz="8" w:space="0" w:color="44546A"/>
              <w:right w:val="nil"/>
            </w:tcBorders>
            <w:shd w:val="clear" w:color="auto" w:fill="auto"/>
            <w:vAlign w:val="center"/>
            <w:hideMark/>
          </w:tcPr>
          <w:p w14:paraId="55A8E5C3"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181,050</w:t>
            </w:r>
          </w:p>
        </w:tc>
        <w:tc>
          <w:tcPr>
            <w:tcW w:w="477" w:type="pct"/>
            <w:tcBorders>
              <w:top w:val="nil"/>
              <w:left w:val="nil"/>
              <w:bottom w:val="single" w:sz="8" w:space="0" w:color="44546A"/>
              <w:right w:val="nil"/>
            </w:tcBorders>
            <w:shd w:val="clear" w:color="auto" w:fill="auto"/>
            <w:vAlign w:val="center"/>
            <w:hideMark/>
          </w:tcPr>
          <w:p w14:paraId="4B833DE9"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3</w:t>
            </w:r>
          </w:p>
        </w:tc>
        <w:tc>
          <w:tcPr>
            <w:tcW w:w="488" w:type="pct"/>
            <w:tcBorders>
              <w:top w:val="nil"/>
              <w:left w:val="nil"/>
              <w:bottom w:val="single" w:sz="8" w:space="0" w:color="44546A"/>
              <w:right w:val="nil"/>
            </w:tcBorders>
            <w:shd w:val="clear" w:color="auto" w:fill="auto"/>
            <w:vAlign w:val="center"/>
            <w:hideMark/>
          </w:tcPr>
          <w:p w14:paraId="04EAE5D8"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233,300</w:t>
            </w:r>
          </w:p>
        </w:tc>
        <w:tc>
          <w:tcPr>
            <w:tcW w:w="423" w:type="pct"/>
            <w:tcBorders>
              <w:top w:val="nil"/>
              <w:left w:val="nil"/>
              <w:bottom w:val="single" w:sz="8" w:space="0" w:color="44546A"/>
              <w:right w:val="nil"/>
            </w:tcBorders>
            <w:shd w:val="clear" w:color="auto" w:fill="auto"/>
            <w:vAlign w:val="center"/>
            <w:hideMark/>
          </w:tcPr>
          <w:p w14:paraId="42804CE9"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w:t>
            </w:r>
          </w:p>
        </w:tc>
        <w:tc>
          <w:tcPr>
            <w:tcW w:w="591" w:type="pct"/>
            <w:tcBorders>
              <w:top w:val="nil"/>
              <w:left w:val="nil"/>
              <w:bottom w:val="single" w:sz="8" w:space="0" w:color="44546A"/>
              <w:right w:val="nil"/>
            </w:tcBorders>
            <w:shd w:val="clear" w:color="auto" w:fill="auto"/>
            <w:vAlign w:val="center"/>
            <w:hideMark/>
          </w:tcPr>
          <w:p w14:paraId="4F135E63"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180,850</w:t>
            </w:r>
          </w:p>
        </w:tc>
      </w:tr>
      <w:tr w:rsidR="0025572F" w:rsidRPr="006C7B74" w14:paraId="1503C681" w14:textId="77777777" w:rsidTr="006C7B74">
        <w:trPr>
          <w:trHeight w:val="240"/>
        </w:trPr>
        <w:tc>
          <w:tcPr>
            <w:tcW w:w="563" w:type="pct"/>
            <w:tcBorders>
              <w:top w:val="nil"/>
              <w:left w:val="nil"/>
              <w:bottom w:val="single" w:sz="8" w:space="0" w:color="44546A"/>
              <w:right w:val="nil"/>
            </w:tcBorders>
            <w:shd w:val="clear" w:color="auto" w:fill="auto"/>
            <w:vAlign w:val="center"/>
            <w:hideMark/>
          </w:tcPr>
          <w:p w14:paraId="1317454C" w14:textId="77777777" w:rsidR="0025572F" w:rsidRPr="006C7B74" w:rsidRDefault="0025572F" w:rsidP="0025572F">
            <w:pPr>
              <w:rPr>
                <w:rFonts w:ascii="Calibri" w:hAnsi="Calibri" w:cs="Calibri"/>
                <w:color w:val="000000"/>
                <w:sz w:val="16"/>
                <w:szCs w:val="16"/>
                <w:lang w:eastAsia="en-AU"/>
              </w:rPr>
            </w:pPr>
            <w:r w:rsidRPr="006C7B74">
              <w:rPr>
                <w:rFonts w:ascii="Calibri" w:hAnsi="Calibri" w:cs="Calibri"/>
                <w:color w:val="000000"/>
                <w:sz w:val="16"/>
                <w:szCs w:val="16"/>
                <w:lang w:eastAsia="en-AU"/>
              </w:rPr>
              <w:t xml:space="preserve">Yarra Ranges </w:t>
            </w:r>
          </w:p>
        </w:tc>
        <w:tc>
          <w:tcPr>
            <w:tcW w:w="351" w:type="pct"/>
            <w:tcBorders>
              <w:top w:val="nil"/>
              <w:left w:val="nil"/>
              <w:bottom w:val="single" w:sz="8" w:space="0" w:color="44546A"/>
              <w:right w:val="nil"/>
            </w:tcBorders>
            <w:shd w:val="clear" w:color="auto" w:fill="auto"/>
            <w:vAlign w:val="center"/>
            <w:hideMark/>
          </w:tcPr>
          <w:p w14:paraId="7ECA3857"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22</w:t>
            </w:r>
          </w:p>
        </w:tc>
        <w:tc>
          <w:tcPr>
            <w:tcW w:w="457" w:type="pct"/>
            <w:tcBorders>
              <w:top w:val="nil"/>
              <w:left w:val="nil"/>
              <w:bottom w:val="single" w:sz="8" w:space="0" w:color="44546A"/>
              <w:right w:val="nil"/>
            </w:tcBorders>
            <w:shd w:val="clear" w:color="auto" w:fill="auto"/>
            <w:vAlign w:val="center"/>
            <w:hideMark/>
          </w:tcPr>
          <w:p w14:paraId="2EE0699A"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12,100</w:t>
            </w:r>
          </w:p>
        </w:tc>
        <w:tc>
          <w:tcPr>
            <w:tcW w:w="334" w:type="pct"/>
            <w:tcBorders>
              <w:top w:val="nil"/>
              <w:left w:val="nil"/>
              <w:bottom w:val="single" w:sz="8" w:space="0" w:color="44546A"/>
              <w:right w:val="nil"/>
            </w:tcBorders>
            <w:shd w:val="clear" w:color="auto" w:fill="auto"/>
            <w:vAlign w:val="center"/>
            <w:hideMark/>
          </w:tcPr>
          <w:p w14:paraId="7240067E"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12</w:t>
            </w:r>
          </w:p>
        </w:tc>
        <w:tc>
          <w:tcPr>
            <w:tcW w:w="435" w:type="pct"/>
            <w:tcBorders>
              <w:top w:val="nil"/>
              <w:left w:val="nil"/>
              <w:bottom w:val="single" w:sz="8" w:space="0" w:color="44546A"/>
              <w:right w:val="nil"/>
            </w:tcBorders>
            <w:shd w:val="clear" w:color="auto" w:fill="auto"/>
            <w:vAlign w:val="center"/>
            <w:hideMark/>
          </w:tcPr>
          <w:p w14:paraId="1D460FE7"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52,350</w:t>
            </w:r>
          </w:p>
        </w:tc>
        <w:tc>
          <w:tcPr>
            <w:tcW w:w="332" w:type="pct"/>
            <w:tcBorders>
              <w:top w:val="nil"/>
              <w:left w:val="nil"/>
              <w:bottom w:val="single" w:sz="8" w:space="0" w:color="44546A"/>
              <w:right w:val="nil"/>
            </w:tcBorders>
            <w:shd w:val="clear" w:color="auto" w:fill="auto"/>
            <w:vAlign w:val="center"/>
            <w:hideMark/>
          </w:tcPr>
          <w:p w14:paraId="23DCDBC6"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10</w:t>
            </w:r>
          </w:p>
        </w:tc>
        <w:tc>
          <w:tcPr>
            <w:tcW w:w="549" w:type="pct"/>
            <w:tcBorders>
              <w:top w:val="nil"/>
              <w:left w:val="nil"/>
              <w:bottom w:val="single" w:sz="8" w:space="0" w:color="44546A"/>
              <w:right w:val="nil"/>
            </w:tcBorders>
            <w:shd w:val="clear" w:color="auto" w:fill="auto"/>
            <w:vAlign w:val="center"/>
            <w:hideMark/>
          </w:tcPr>
          <w:p w14:paraId="6AE80003"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182,750</w:t>
            </w:r>
          </w:p>
        </w:tc>
        <w:tc>
          <w:tcPr>
            <w:tcW w:w="477" w:type="pct"/>
            <w:tcBorders>
              <w:top w:val="nil"/>
              <w:left w:val="nil"/>
              <w:bottom w:val="single" w:sz="8" w:space="0" w:color="44546A"/>
              <w:right w:val="nil"/>
            </w:tcBorders>
            <w:shd w:val="clear" w:color="auto" w:fill="auto"/>
            <w:vAlign w:val="center"/>
            <w:hideMark/>
          </w:tcPr>
          <w:p w14:paraId="61555F0F"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w:t>
            </w:r>
          </w:p>
        </w:tc>
        <w:tc>
          <w:tcPr>
            <w:tcW w:w="488" w:type="pct"/>
            <w:tcBorders>
              <w:top w:val="nil"/>
              <w:left w:val="nil"/>
              <w:bottom w:val="single" w:sz="8" w:space="0" w:color="44546A"/>
              <w:right w:val="nil"/>
            </w:tcBorders>
            <w:shd w:val="clear" w:color="auto" w:fill="auto"/>
            <w:vAlign w:val="center"/>
            <w:hideMark/>
          </w:tcPr>
          <w:p w14:paraId="232CB8EA"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82,550</w:t>
            </w:r>
          </w:p>
        </w:tc>
        <w:tc>
          <w:tcPr>
            <w:tcW w:w="423" w:type="pct"/>
            <w:tcBorders>
              <w:top w:val="nil"/>
              <w:left w:val="nil"/>
              <w:bottom w:val="single" w:sz="8" w:space="0" w:color="44546A"/>
              <w:right w:val="nil"/>
            </w:tcBorders>
            <w:shd w:val="clear" w:color="auto" w:fill="auto"/>
            <w:vAlign w:val="center"/>
            <w:hideMark/>
          </w:tcPr>
          <w:p w14:paraId="05BEA328"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0</w:t>
            </w:r>
          </w:p>
        </w:tc>
        <w:tc>
          <w:tcPr>
            <w:tcW w:w="591" w:type="pct"/>
            <w:tcBorders>
              <w:top w:val="nil"/>
              <w:left w:val="nil"/>
              <w:bottom w:val="single" w:sz="8" w:space="0" w:color="44546A"/>
              <w:right w:val="nil"/>
            </w:tcBorders>
            <w:shd w:val="clear" w:color="auto" w:fill="auto"/>
            <w:vAlign w:val="center"/>
            <w:hideMark/>
          </w:tcPr>
          <w:p w14:paraId="7D85E735" w14:textId="77777777" w:rsidR="0025572F" w:rsidRPr="006C7B74" w:rsidRDefault="0025572F" w:rsidP="0025572F">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0</w:t>
            </w:r>
          </w:p>
        </w:tc>
      </w:tr>
      <w:tr w:rsidR="0025572F" w:rsidRPr="006C7B74" w14:paraId="12A99D76" w14:textId="77777777" w:rsidTr="006C7B74">
        <w:trPr>
          <w:trHeight w:val="240"/>
        </w:trPr>
        <w:tc>
          <w:tcPr>
            <w:tcW w:w="563" w:type="pct"/>
            <w:tcBorders>
              <w:top w:val="nil"/>
              <w:left w:val="nil"/>
              <w:bottom w:val="single" w:sz="8" w:space="0" w:color="44546A"/>
              <w:right w:val="nil"/>
            </w:tcBorders>
            <w:shd w:val="clear" w:color="auto" w:fill="auto"/>
            <w:vAlign w:val="center"/>
            <w:hideMark/>
          </w:tcPr>
          <w:p w14:paraId="4CE30C38" w14:textId="77777777" w:rsidR="0025572F" w:rsidRPr="006C7B74" w:rsidRDefault="0025572F" w:rsidP="0025572F">
            <w:pPr>
              <w:rPr>
                <w:rFonts w:ascii="Calibri" w:hAnsi="Calibri" w:cs="Calibri"/>
                <w:b/>
                <w:bCs/>
                <w:color w:val="000000"/>
                <w:sz w:val="16"/>
                <w:szCs w:val="16"/>
                <w:lang w:eastAsia="en-AU"/>
              </w:rPr>
            </w:pPr>
            <w:r w:rsidRPr="006C7B74">
              <w:rPr>
                <w:rFonts w:ascii="Calibri" w:hAnsi="Calibri" w:cs="Calibri"/>
                <w:b/>
                <w:bCs/>
                <w:color w:val="000000"/>
                <w:sz w:val="16"/>
                <w:szCs w:val="16"/>
                <w:lang w:eastAsia="en-AU"/>
              </w:rPr>
              <w:t>Total</w:t>
            </w:r>
          </w:p>
        </w:tc>
        <w:tc>
          <w:tcPr>
            <w:tcW w:w="351" w:type="pct"/>
            <w:tcBorders>
              <w:top w:val="nil"/>
              <w:left w:val="nil"/>
              <w:bottom w:val="single" w:sz="8" w:space="0" w:color="44546A"/>
              <w:right w:val="nil"/>
            </w:tcBorders>
            <w:shd w:val="clear" w:color="auto" w:fill="auto"/>
            <w:vAlign w:val="center"/>
            <w:hideMark/>
          </w:tcPr>
          <w:p w14:paraId="3D589384" w14:textId="77777777" w:rsidR="0025572F" w:rsidRPr="006C7B74" w:rsidRDefault="0025572F" w:rsidP="0025572F">
            <w:pPr>
              <w:jc w:val="center"/>
              <w:rPr>
                <w:rFonts w:ascii="Calibri" w:hAnsi="Calibri" w:cs="Calibri"/>
                <w:b/>
                <w:bCs/>
                <w:color w:val="000000"/>
                <w:sz w:val="16"/>
                <w:szCs w:val="16"/>
                <w:lang w:eastAsia="en-AU"/>
              </w:rPr>
            </w:pPr>
            <w:r w:rsidRPr="006C7B74">
              <w:rPr>
                <w:rFonts w:ascii="Calibri" w:hAnsi="Calibri" w:cs="Calibri"/>
                <w:b/>
                <w:bCs/>
                <w:color w:val="000000"/>
                <w:sz w:val="16"/>
                <w:szCs w:val="16"/>
                <w:lang w:eastAsia="en-AU"/>
              </w:rPr>
              <w:t>150</w:t>
            </w:r>
          </w:p>
        </w:tc>
        <w:tc>
          <w:tcPr>
            <w:tcW w:w="457" w:type="pct"/>
            <w:tcBorders>
              <w:top w:val="nil"/>
              <w:left w:val="nil"/>
              <w:bottom w:val="single" w:sz="8" w:space="0" w:color="44546A"/>
              <w:right w:val="nil"/>
            </w:tcBorders>
            <w:shd w:val="clear" w:color="auto" w:fill="auto"/>
            <w:vAlign w:val="center"/>
            <w:hideMark/>
          </w:tcPr>
          <w:p w14:paraId="0A1FFA42" w14:textId="77777777" w:rsidR="0025572F" w:rsidRPr="006C7B74" w:rsidRDefault="0025572F" w:rsidP="0025572F">
            <w:pPr>
              <w:jc w:val="center"/>
              <w:rPr>
                <w:rFonts w:ascii="Calibri" w:hAnsi="Calibri" w:cs="Calibri"/>
                <w:b/>
                <w:bCs/>
                <w:color w:val="000000"/>
                <w:sz w:val="16"/>
                <w:szCs w:val="16"/>
                <w:lang w:eastAsia="en-AU"/>
              </w:rPr>
            </w:pPr>
            <w:r w:rsidRPr="006C7B74">
              <w:rPr>
                <w:rFonts w:ascii="Calibri" w:hAnsi="Calibri" w:cs="Calibri"/>
                <w:b/>
                <w:bCs/>
                <w:color w:val="000000"/>
                <w:sz w:val="16"/>
                <w:szCs w:val="16"/>
                <w:lang w:eastAsia="en-AU"/>
              </w:rPr>
              <w:t>139,650</w:t>
            </w:r>
          </w:p>
        </w:tc>
        <w:tc>
          <w:tcPr>
            <w:tcW w:w="334" w:type="pct"/>
            <w:tcBorders>
              <w:top w:val="nil"/>
              <w:left w:val="nil"/>
              <w:bottom w:val="single" w:sz="8" w:space="0" w:color="44546A"/>
              <w:right w:val="nil"/>
            </w:tcBorders>
            <w:shd w:val="clear" w:color="auto" w:fill="auto"/>
            <w:vAlign w:val="center"/>
            <w:hideMark/>
          </w:tcPr>
          <w:p w14:paraId="07D07E83" w14:textId="77777777" w:rsidR="0025572F" w:rsidRPr="006C7B74" w:rsidRDefault="0025572F" w:rsidP="0025572F">
            <w:pPr>
              <w:jc w:val="center"/>
              <w:rPr>
                <w:rFonts w:ascii="Calibri" w:hAnsi="Calibri" w:cs="Calibri"/>
                <w:b/>
                <w:bCs/>
                <w:color w:val="000000"/>
                <w:sz w:val="16"/>
                <w:szCs w:val="16"/>
                <w:lang w:eastAsia="en-AU"/>
              </w:rPr>
            </w:pPr>
            <w:r w:rsidRPr="006C7B74">
              <w:rPr>
                <w:rFonts w:ascii="Calibri" w:hAnsi="Calibri" w:cs="Calibri"/>
                <w:b/>
                <w:bCs/>
                <w:color w:val="000000"/>
                <w:sz w:val="16"/>
                <w:szCs w:val="16"/>
                <w:lang w:eastAsia="en-AU"/>
              </w:rPr>
              <w:t>76</w:t>
            </w:r>
          </w:p>
        </w:tc>
        <w:tc>
          <w:tcPr>
            <w:tcW w:w="435" w:type="pct"/>
            <w:tcBorders>
              <w:top w:val="nil"/>
              <w:left w:val="nil"/>
              <w:bottom w:val="single" w:sz="8" w:space="0" w:color="44546A"/>
              <w:right w:val="nil"/>
            </w:tcBorders>
            <w:shd w:val="clear" w:color="auto" w:fill="auto"/>
            <w:vAlign w:val="center"/>
            <w:hideMark/>
          </w:tcPr>
          <w:p w14:paraId="64921478" w14:textId="77777777" w:rsidR="0025572F" w:rsidRPr="006C7B74" w:rsidRDefault="0025572F" w:rsidP="0025572F">
            <w:pPr>
              <w:jc w:val="center"/>
              <w:rPr>
                <w:rFonts w:ascii="Calibri" w:hAnsi="Calibri" w:cs="Calibri"/>
                <w:b/>
                <w:bCs/>
                <w:color w:val="000000"/>
                <w:sz w:val="16"/>
                <w:szCs w:val="16"/>
                <w:lang w:eastAsia="en-AU"/>
              </w:rPr>
            </w:pPr>
            <w:r w:rsidRPr="006C7B74">
              <w:rPr>
                <w:rFonts w:ascii="Calibri" w:hAnsi="Calibri" w:cs="Calibri"/>
                <w:b/>
                <w:bCs/>
                <w:color w:val="000000"/>
                <w:sz w:val="16"/>
                <w:szCs w:val="16"/>
                <w:lang w:eastAsia="en-AU"/>
              </w:rPr>
              <w:t>310,200</w:t>
            </w:r>
          </w:p>
        </w:tc>
        <w:tc>
          <w:tcPr>
            <w:tcW w:w="332" w:type="pct"/>
            <w:tcBorders>
              <w:top w:val="nil"/>
              <w:left w:val="nil"/>
              <w:bottom w:val="single" w:sz="8" w:space="0" w:color="44546A"/>
              <w:right w:val="nil"/>
            </w:tcBorders>
            <w:shd w:val="clear" w:color="auto" w:fill="auto"/>
            <w:vAlign w:val="center"/>
            <w:hideMark/>
          </w:tcPr>
          <w:p w14:paraId="5328383A" w14:textId="77777777" w:rsidR="0025572F" w:rsidRPr="006C7B74" w:rsidRDefault="0025572F" w:rsidP="0025572F">
            <w:pPr>
              <w:jc w:val="center"/>
              <w:rPr>
                <w:rFonts w:ascii="Calibri" w:hAnsi="Calibri" w:cs="Calibri"/>
                <w:b/>
                <w:bCs/>
                <w:color w:val="000000"/>
                <w:sz w:val="16"/>
                <w:szCs w:val="16"/>
                <w:lang w:eastAsia="en-AU"/>
              </w:rPr>
            </w:pPr>
            <w:r w:rsidRPr="006C7B74">
              <w:rPr>
                <w:rFonts w:ascii="Calibri" w:hAnsi="Calibri" w:cs="Calibri"/>
                <w:b/>
                <w:bCs/>
                <w:color w:val="000000"/>
                <w:sz w:val="16"/>
                <w:szCs w:val="16"/>
                <w:lang w:eastAsia="en-AU"/>
              </w:rPr>
              <w:t>47</w:t>
            </w:r>
          </w:p>
        </w:tc>
        <w:tc>
          <w:tcPr>
            <w:tcW w:w="549" w:type="pct"/>
            <w:tcBorders>
              <w:top w:val="nil"/>
              <w:left w:val="nil"/>
              <w:bottom w:val="single" w:sz="8" w:space="0" w:color="44546A"/>
              <w:right w:val="nil"/>
            </w:tcBorders>
            <w:shd w:val="clear" w:color="auto" w:fill="auto"/>
            <w:vAlign w:val="center"/>
            <w:hideMark/>
          </w:tcPr>
          <w:p w14:paraId="4901F3D8" w14:textId="79272018" w:rsidR="0025572F" w:rsidRPr="006C7B74" w:rsidRDefault="00047343" w:rsidP="0025572F">
            <w:pPr>
              <w:jc w:val="center"/>
              <w:rPr>
                <w:rFonts w:ascii="Calibri" w:hAnsi="Calibri" w:cs="Calibri"/>
                <w:b/>
                <w:bCs/>
                <w:color w:val="000000"/>
                <w:sz w:val="16"/>
                <w:szCs w:val="16"/>
                <w:lang w:eastAsia="en-AU"/>
              </w:rPr>
            </w:pPr>
            <w:r w:rsidRPr="006C7B74">
              <w:rPr>
                <w:rFonts w:ascii="Calibri" w:hAnsi="Calibri" w:cs="Calibri"/>
                <w:b/>
                <w:color w:val="000000"/>
                <w:sz w:val="16"/>
                <w:szCs w:val="16"/>
                <w:lang w:eastAsia="en-AU"/>
              </w:rPr>
              <w:t>845,750</w:t>
            </w:r>
          </w:p>
        </w:tc>
        <w:tc>
          <w:tcPr>
            <w:tcW w:w="477" w:type="pct"/>
            <w:tcBorders>
              <w:top w:val="nil"/>
              <w:left w:val="nil"/>
              <w:bottom w:val="single" w:sz="8" w:space="0" w:color="44546A"/>
              <w:right w:val="nil"/>
            </w:tcBorders>
            <w:shd w:val="clear" w:color="auto" w:fill="auto"/>
            <w:vAlign w:val="center"/>
            <w:hideMark/>
          </w:tcPr>
          <w:p w14:paraId="6AF47916" w14:textId="77777777" w:rsidR="0025572F" w:rsidRPr="006C7B74" w:rsidRDefault="0025572F" w:rsidP="0025572F">
            <w:pPr>
              <w:jc w:val="center"/>
              <w:rPr>
                <w:rFonts w:ascii="Calibri" w:hAnsi="Calibri" w:cs="Calibri"/>
                <w:b/>
                <w:bCs/>
                <w:color w:val="000000"/>
                <w:sz w:val="16"/>
                <w:szCs w:val="16"/>
                <w:lang w:eastAsia="en-AU"/>
              </w:rPr>
            </w:pPr>
            <w:r w:rsidRPr="006C7B74">
              <w:rPr>
                <w:rFonts w:ascii="Calibri" w:hAnsi="Calibri" w:cs="Calibri"/>
                <w:b/>
                <w:bCs/>
                <w:color w:val="000000"/>
                <w:sz w:val="16"/>
                <w:szCs w:val="16"/>
                <w:lang w:eastAsia="en-AU"/>
              </w:rPr>
              <w:t>8</w:t>
            </w:r>
          </w:p>
        </w:tc>
        <w:tc>
          <w:tcPr>
            <w:tcW w:w="488" w:type="pct"/>
            <w:tcBorders>
              <w:top w:val="nil"/>
              <w:left w:val="nil"/>
              <w:bottom w:val="single" w:sz="8" w:space="0" w:color="44546A"/>
              <w:right w:val="nil"/>
            </w:tcBorders>
            <w:shd w:val="clear" w:color="auto" w:fill="auto"/>
            <w:vAlign w:val="center"/>
            <w:hideMark/>
          </w:tcPr>
          <w:p w14:paraId="3FD6361B" w14:textId="77777777" w:rsidR="0025572F" w:rsidRPr="006C7B74" w:rsidRDefault="0025572F" w:rsidP="0025572F">
            <w:pPr>
              <w:jc w:val="center"/>
              <w:rPr>
                <w:rFonts w:ascii="Calibri" w:hAnsi="Calibri" w:cs="Calibri"/>
                <w:b/>
                <w:bCs/>
                <w:color w:val="000000"/>
                <w:sz w:val="16"/>
                <w:szCs w:val="16"/>
                <w:lang w:eastAsia="en-AU"/>
              </w:rPr>
            </w:pPr>
            <w:r w:rsidRPr="006C7B74">
              <w:rPr>
                <w:rFonts w:ascii="Calibri" w:hAnsi="Calibri" w:cs="Calibri"/>
                <w:b/>
                <w:bCs/>
                <w:color w:val="000000"/>
                <w:sz w:val="16"/>
                <w:szCs w:val="16"/>
                <w:lang w:eastAsia="en-AU"/>
              </w:rPr>
              <w:t>620,900</w:t>
            </w:r>
          </w:p>
        </w:tc>
        <w:tc>
          <w:tcPr>
            <w:tcW w:w="423" w:type="pct"/>
            <w:tcBorders>
              <w:top w:val="nil"/>
              <w:left w:val="nil"/>
              <w:bottom w:val="single" w:sz="8" w:space="0" w:color="44546A"/>
              <w:right w:val="nil"/>
            </w:tcBorders>
            <w:shd w:val="clear" w:color="auto" w:fill="auto"/>
            <w:vAlign w:val="center"/>
            <w:hideMark/>
          </w:tcPr>
          <w:p w14:paraId="17E6800E" w14:textId="77777777" w:rsidR="0025572F" w:rsidRPr="006C7B74" w:rsidRDefault="0025572F" w:rsidP="0025572F">
            <w:pPr>
              <w:jc w:val="center"/>
              <w:rPr>
                <w:rFonts w:ascii="Calibri" w:hAnsi="Calibri" w:cs="Calibri"/>
                <w:b/>
                <w:bCs/>
                <w:color w:val="000000"/>
                <w:sz w:val="16"/>
                <w:szCs w:val="16"/>
                <w:lang w:eastAsia="en-AU"/>
              </w:rPr>
            </w:pPr>
            <w:r w:rsidRPr="006C7B74">
              <w:rPr>
                <w:rFonts w:ascii="Calibri" w:hAnsi="Calibri" w:cs="Calibri"/>
                <w:b/>
                <w:bCs/>
                <w:color w:val="000000"/>
                <w:sz w:val="16"/>
                <w:szCs w:val="16"/>
                <w:lang w:eastAsia="en-AU"/>
              </w:rPr>
              <w:t>5</w:t>
            </w:r>
          </w:p>
        </w:tc>
        <w:tc>
          <w:tcPr>
            <w:tcW w:w="591" w:type="pct"/>
            <w:tcBorders>
              <w:top w:val="nil"/>
              <w:left w:val="nil"/>
              <w:bottom w:val="single" w:sz="8" w:space="0" w:color="44546A"/>
              <w:right w:val="nil"/>
            </w:tcBorders>
            <w:shd w:val="clear" w:color="auto" w:fill="auto"/>
            <w:vAlign w:val="center"/>
            <w:hideMark/>
          </w:tcPr>
          <w:p w14:paraId="00CB4F30" w14:textId="77777777" w:rsidR="0025572F" w:rsidRPr="006C7B74" w:rsidRDefault="0025572F" w:rsidP="0025572F">
            <w:pPr>
              <w:jc w:val="center"/>
              <w:rPr>
                <w:rFonts w:ascii="Calibri" w:hAnsi="Calibri" w:cs="Calibri"/>
                <w:b/>
                <w:bCs/>
                <w:color w:val="000000"/>
                <w:sz w:val="16"/>
                <w:szCs w:val="16"/>
                <w:lang w:eastAsia="en-AU"/>
              </w:rPr>
            </w:pPr>
            <w:r w:rsidRPr="006C7B74">
              <w:rPr>
                <w:rFonts w:ascii="Calibri" w:hAnsi="Calibri" w:cs="Calibri"/>
                <w:b/>
                <w:bCs/>
                <w:color w:val="000000"/>
                <w:sz w:val="16"/>
                <w:szCs w:val="16"/>
                <w:lang w:eastAsia="en-AU"/>
              </w:rPr>
              <w:t>901,150</w:t>
            </w:r>
          </w:p>
        </w:tc>
      </w:tr>
    </w:tbl>
    <w:p w14:paraId="6B8E8402" w14:textId="0C4A7F31" w:rsidR="00765E47" w:rsidRPr="006C7B74" w:rsidRDefault="00765E47" w:rsidP="00765E47">
      <w:pPr>
        <w:pStyle w:val="Quote"/>
        <w:rPr>
          <w:rFonts w:cstheme="minorHAnsi"/>
          <w:sz w:val="20"/>
          <w:szCs w:val="20"/>
        </w:rPr>
      </w:pPr>
      <w:r w:rsidRPr="006C7B74">
        <w:t>Source: Department of Environment, Land, Water and Planning, unpublished data (</w:t>
      </w:r>
      <w:r w:rsidR="00516209" w:rsidRPr="006C7B74">
        <w:t>20</w:t>
      </w:r>
      <w:r w:rsidR="00516209">
        <w:t>20</w:t>
      </w:r>
      <w:r w:rsidRPr="006C7B74">
        <w:t>)</w:t>
      </w:r>
    </w:p>
    <w:p w14:paraId="0C4DF751" w14:textId="77777777" w:rsidR="00765E47" w:rsidRPr="006C7B74" w:rsidRDefault="00765E47" w:rsidP="00934C4D">
      <w:pPr>
        <w:spacing w:after="120"/>
        <w:rPr>
          <w:rFonts w:cstheme="minorHAnsi"/>
          <w:sz w:val="20"/>
          <w:szCs w:val="20"/>
        </w:rPr>
      </w:pPr>
    </w:p>
    <w:p w14:paraId="189C86F9" w14:textId="4C5CFCAB" w:rsidR="00732BE8" w:rsidRPr="006C7B74" w:rsidRDefault="00732BE8" w:rsidP="00934C4D">
      <w:pPr>
        <w:spacing w:after="120"/>
        <w:rPr>
          <w:rFonts w:cstheme="minorHAnsi"/>
          <w:sz w:val="20"/>
          <w:szCs w:val="20"/>
        </w:rPr>
      </w:pPr>
      <w:r w:rsidRPr="006C7B74">
        <w:rPr>
          <w:rFonts w:cstheme="minorHAnsi"/>
          <w:sz w:val="20"/>
          <w:szCs w:val="20"/>
        </w:rPr>
        <w:t xml:space="preserve">Based on projected growth, by 2031 it is anticipated that </w:t>
      </w:r>
      <w:r w:rsidR="004E53B9" w:rsidRPr="006C7B74">
        <w:rPr>
          <w:rFonts w:cstheme="minorHAnsi"/>
          <w:sz w:val="20"/>
          <w:szCs w:val="20"/>
        </w:rPr>
        <w:t>83</w:t>
      </w:r>
      <w:r w:rsidR="004E53B9">
        <w:rPr>
          <w:rFonts w:cstheme="minorHAnsi"/>
          <w:sz w:val="20"/>
          <w:szCs w:val="20"/>
        </w:rPr>
        <w:t>7</w:t>
      </w:r>
      <w:r w:rsidR="00DE12FD" w:rsidRPr="006C7B74">
        <w:rPr>
          <w:rFonts w:cstheme="minorHAnsi"/>
          <w:sz w:val="20"/>
          <w:szCs w:val="20"/>
        </w:rPr>
        <w:t>,</w:t>
      </w:r>
      <w:r w:rsidR="004D792B" w:rsidRPr="006C7B74">
        <w:rPr>
          <w:rFonts w:cstheme="minorHAnsi"/>
          <w:sz w:val="20"/>
          <w:szCs w:val="20"/>
        </w:rPr>
        <w:t>000</w:t>
      </w:r>
      <w:r w:rsidR="008F3C9E" w:rsidRPr="006C7B74">
        <w:rPr>
          <w:rFonts w:cstheme="minorHAnsi"/>
          <w:sz w:val="20"/>
          <w:szCs w:val="20"/>
        </w:rPr>
        <w:t xml:space="preserve"> </w:t>
      </w:r>
      <w:r w:rsidRPr="006C7B74">
        <w:rPr>
          <w:rFonts w:cstheme="minorHAnsi"/>
          <w:sz w:val="20"/>
          <w:szCs w:val="20"/>
        </w:rPr>
        <w:t xml:space="preserve">square metres of </w:t>
      </w:r>
      <w:r w:rsidR="008E0B39" w:rsidRPr="006C7B74">
        <w:rPr>
          <w:rFonts w:cstheme="minorHAnsi"/>
          <w:sz w:val="20"/>
          <w:szCs w:val="20"/>
        </w:rPr>
        <w:t xml:space="preserve">additional </w:t>
      </w:r>
      <w:r w:rsidRPr="006C7B74">
        <w:rPr>
          <w:rFonts w:cstheme="minorHAnsi"/>
          <w:sz w:val="20"/>
          <w:szCs w:val="20"/>
        </w:rPr>
        <w:t xml:space="preserve">commercial floorspace will be required across the Eastern Region. Approximately </w:t>
      </w:r>
      <w:r w:rsidR="00411987" w:rsidRPr="006C7B74">
        <w:rPr>
          <w:rFonts w:cstheme="minorHAnsi"/>
          <w:sz w:val="20"/>
          <w:szCs w:val="20"/>
        </w:rPr>
        <w:t>614</w:t>
      </w:r>
      <w:r w:rsidR="009B3197" w:rsidRPr="006C7B74">
        <w:rPr>
          <w:rFonts w:cstheme="minorHAnsi"/>
          <w:sz w:val="20"/>
          <w:szCs w:val="20"/>
        </w:rPr>
        <w:t>,</w:t>
      </w:r>
      <w:r w:rsidR="00157795">
        <w:rPr>
          <w:rFonts w:cstheme="minorHAnsi"/>
          <w:sz w:val="20"/>
          <w:szCs w:val="20"/>
        </w:rPr>
        <w:t>0</w:t>
      </w:r>
      <w:r w:rsidR="00157795" w:rsidRPr="006C7B74">
        <w:rPr>
          <w:rFonts w:cstheme="minorHAnsi"/>
          <w:sz w:val="20"/>
          <w:szCs w:val="20"/>
        </w:rPr>
        <w:t xml:space="preserve">00 </w:t>
      </w:r>
      <w:r w:rsidRPr="006C7B74">
        <w:rPr>
          <w:rFonts w:cstheme="minorHAnsi"/>
          <w:sz w:val="20"/>
          <w:szCs w:val="20"/>
        </w:rPr>
        <w:t xml:space="preserve">square metres will be required for office uses and the remaining </w:t>
      </w:r>
      <w:r w:rsidR="00411987" w:rsidRPr="006C7B74">
        <w:rPr>
          <w:rFonts w:cstheme="minorHAnsi"/>
          <w:sz w:val="20"/>
          <w:szCs w:val="20"/>
        </w:rPr>
        <w:t>22</w:t>
      </w:r>
      <w:r w:rsidR="001D404F" w:rsidRPr="006C7B74">
        <w:rPr>
          <w:rFonts w:cstheme="minorHAnsi"/>
          <w:sz w:val="20"/>
          <w:szCs w:val="20"/>
        </w:rPr>
        <w:t>3,</w:t>
      </w:r>
      <w:r w:rsidR="00157795">
        <w:rPr>
          <w:rFonts w:cstheme="minorHAnsi"/>
          <w:sz w:val="20"/>
          <w:szCs w:val="20"/>
        </w:rPr>
        <w:t>0</w:t>
      </w:r>
      <w:r w:rsidR="00157795" w:rsidRPr="006C7B74">
        <w:rPr>
          <w:rFonts w:cstheme="minorHAnsi"/>
          <w:sz w:val="20"/>
          <w:szCs w:val="20"/>
        </w:rPr>
        <w:t xml:space="preserve">00 </w:t>
      </w:r>
      <w:r w:rsidRPr="006C7B74">
        <w:rPr>
          <w:rFonts w:cstheme="minorHAnsi"/>
          <w:sz w:val="20"/>
          <w:szCs w:val="20"/>
        </w:rPr>
        <w:t xml:space="preserve">square metres will be required for retail. </w:t>
      </w:r>
      <w:r w:rsidR="003A4F05" w:rsidRPr="006C7B74">
        <w:rPr>
          <w:rFonts w:cstheme="minorHAnsi"/>
          <w:sz w:val="20"/>
          <w:szCs w:val="20"/>
        </w:rPr>
        <w:t>Around</w:t>
      </w:r>
      <w:r w:rsidR="00A94620" w:rsidRPr="006C7B74">
        <w:rPr>
          <w:rFonts w:cstheme="minorHAnsi"/>
          <w:sz w:val="20"/>
          <w:szCs w:val="20"/>
        </w:rPr>
        <w:t xml:space="preserve"> </w:t>
      </w:r>
      <w:r w:rsidR="003A4F05" w:rsidRPr="006C7B74">
        <w:rPr>
          <w:rFonts w:cstheme="minorHAnsi"/>
          <w:sz w:val="20"/>
          <w:szCs w:val="20"/>
        </w:rPr>
        <w:t xml:space="preserve">53 </w:t>
      </w:r>
      <w:r w:rsidRPr="006C7B74">
        <w:rPr>
          <w:rFonts w:cstheme="minorHAnsi"/>
          <w:sz w:val="20"/>
          <w:szCs w:val="20"/>
        </w:rPr>
        <w:t xml:space="preserve">per cent of this additional floorspace will need to be provided in the municipalities of Monash and Whitehorse. </w:t>
      </w:r>
    </w:p>
    <w:p w14:paraId="477DEE85" w14:textId="7D318D67" w:rsidR="00732BE8" w:rsidRPr="006C7B74" w:rsidRDefault="008E0B39" w:rsidP="00934C4D">
      <w:pPr>
        <w:spacing w:after="120"/>
        <w:rPr>
          <w:rFonts w:cstheme="minorHAnsi"/>
          <w:sz w:val="20"/>
          <w:szCs w:val="20"/>
        </w:rPr>
      </w:pPr>
      <w:r w:rsidRPr="006C7B74">
        <w:rPr>
          <w:rFonts w:cstheme="minorHAnsi"/>
          <w:sz w:val="20"/>
          <w:szCs w:val="20"/>
        </w:rPr>
        <w:t xml:space="preserve">As there </w:t>
      </w:r>
      <w:r w:rsidR="00DA2911" w:rsidRPr="006C7B74">
        <w:rPr>
          <w:rFonts w:cstheme="minorHAnsi"/>
          <w:sz w:val="20"/>
          <w:szCs w:val="20"/>
        </w:rPr>
        <w:t>are</w:t>
      </w:r>
      <w:r w:rsidRPr="006C7B74">
        <w:rPr>
          <w:rFonts w:cstheme="minorHAnsi"/>
          <w:sz w:val="20"/>
          <w:szCs w:val="20"/>
        </w:rPr>
        <w:t xml:space="preserve"> no future commercial areas identified in the region, councils will </w:t>
      </w:r>
      <w:r w:rsidR="00732BE8" w:rsidRPr="006C7B74">
        <w:rPr>
          <w:rFonts w:cstheme="minorHAnsi"/>
          <w:sz w:val="20"/>
          <w:szCs w:val="20"/>
        </w:rPr>
        <w:t>need to look at ways to accommodate project demand for commercial floorspace within existing commercial areas, as well as considering areas that could accommodate future floorspace requirements</w:t>
      </w:r>
      <w:r w:rsidRPr="006C7B74">
        <w:rPr>
          <w:rFonts w:cstheme="minorHAnsi"/>
          <w:sz w:val="20"/>
          <w:szCs w:val="20"/>
        </w:rPr>
        <w:t xml:space="preserve"> through </w:t>
      </w:r>
      <w:proofErr w:type="spellStart"/>
      <w:r w:rsidRPr="006C7B74">
        <w:rPr>
          <w:rFonts w:cstheme="minorHAnsi"/>
          <w:sz w:val="20"/>
          <w:szCs w:val="20"/>
        </w:rPr>
        <w:t>rezonings</w:t>
      </w:r>
      <w:proofErr w:type="spellEnd"/>
      <w:r w:rsidRPr="006C7B74">
        <w:rPr>
          <w:rFonts w:cstheme="minorHAnsi"/>
          <w:sz w:val="20"/>
          <w:szCs w:val="20"/>
        </w:rPr>
        <w:t>.</w:t>
      </w:r>
    </w:p>
    <w:p w14:paraId="45342EA5" w14:textId="77777777" w:rsidR="00732BE8" w:rsidRPr="006C7B74" w:rsidRDefault="00732BE8" w:rsidP="00934C4D">
      <w:pPr>
        <w:spacing w:after="120"/>
        <w:rPr>
          <w:rFonts w:cstheme="minorHAnsi"/>
          <w:sz w:val="20"/>
          <w:szCs w:val="20"/>
        </w:rPr>
      </w:pPr>
    </w:p>
    <w:p w14:paraId="7DEE50F8" w14:textId="5645D06A" w:rsidR="00732BE8" w:rsidRPr="006C7B74" w:rsidRDefault="00732BE8" w:rsidP="00D6654E">
      <w:pPr>
        <w:pStyle w:val="Heading5"/>
      </w:pPr>
      <w:r w:rsidRPr="006C7B74">
        <w:t xml:space="preserve">Table </w:t>
      </w:r>
      <w:r w:rsidR="00D971AA" w:rsidRPr="006C7B74">
        <w:t>26</w:t>
      </w:r>
      <w:r w:rsidRPr="006C7B74">
        <w:t xml:space="preserve">: Commercial floorspace supply and </w:t>
      </w:r>
      <w:r w:rsidR="00627997">
        <w:t>estimate</w:t>
      </w:r>
      <w:r w:rsidRPr="006C7B74">
        <w:t xml:space="preserve">, </w:t>
      </w:r>
      <w:r w:rsidR="005E0E39" w:rsidRPr="006C7B74">
        <w:t>Eastern Region</w:t>
      </w:r>
    </w:p>
    <w:tbl>
      <w:tblPr>
        <w:tblW w:w="5000" w:type="pct"/>
        <w:tblCellMar>
          <w:left w:w="0" w:type="dxa"/>
          <w:right w:w="0" w:type="dxa"/>
        </w:tblCellMar>
        <w:tblLook w:val="04A0" w:firstRow="1" w:lastRow="0" w:firstColumn="1" w:lastColumn="0" w:noHBand="0" w:noVBand="1"/>
      </w:tblPr>
      <w:tblGrid>
        <w:gridCol w:w="3646"/>
        <w:gridCol w:w="2479"/>
        <w:gridCol w:w="2895"/>
      </w:tblGrid>
      <w:tr w:rsidR="00A06647" w:rsidRPr="006C7B74" w14:paraId="3A8A2B38" w14:textId="77777777" w:rsidTr="004E229C">
        <w:trPr>
          <w:trHeight w:val="690"/>
        </w:trPr>
        <w:tc>
          <w:tcPr>
            <w:tcW w:w="2021" w:type="pct"/>
            <w:tcBorders>
              <w:top w:val="nil"/>
              <w:left w:val="nil"/>
              <w:bottom w:val="nil"/>
              <w:right w:val="nil"/>
            </w:tcBorders>
            <w:shd w:val="clear" w:color="000000" w:fill="4D446C"/>
            <w:noWrap/>
            <w:tcMar>
              <w:top w:w="15" w:type="dxa"/>
              <w:left w:w="15" w:type="dxa"/>
              <w:bottom w:w="0" w:type="dxa"/>
              <w:right w:w="15" w:type="dxa"/>
            </w:tcMar>
            <w:vAlign w:val="center"/>
            <w:hideMark/>
          </w:tcPr>
          <w:p w14:paraId="692FF09A" w14:textId="00E46C04" w:rsidR="00A06647" w:rsidRPr="006C7B74" w:rsidRDefault="00A06647" w:rsidP="006542F0">
            <w:pPr>
              <w:pStyle w:val="TableHeaderRow"/>
              <w:jc w:val="center"/>
              <w:rPr>
                <w:sz w:val="16"/>
              </w:rPr>
            </w:pPr>
            <w:r w:rsidRPr="006C7B74">
              <w:t>Council</w:t>
            </w:r>
          </w:p>
        </w:tc>
        <w:tc>
          <w:tcPr>
            <w:tcW w:w="1374" w:type="pct"/>
            <w:tcBorders>
              <w:top w:val="single" w:sz="4" w:space="0" w:color="auto"/>
              <w:left w:val="nil"/>
              <w:bottom w:val="nil"/>
              <w:right w:val="nil"/>
            </w:tcBorders>
            <w:shd w:val="clear" w:color="000000" w:fill="4D446C"/>
            <w:tcMar>
              <w:top w:w="15" w:type="dxa"/>
              <w:left w:w="15" w:type="dxa"/>
              <w:bottom w:w="0" w:type="dxa"/>
              <w:right w:w="15" w:type="dxa"/>
            </w:tcMar>
            <w:vAlign w:val="center"/>
            <w:hideMark/>
          </w:tcPr>
          <w:p w14:paraId="6F2E3084" w14:textId="00E42B74" w:rsidR="00A06647" w:rsidRPr="006C7B74" w:rsidRDefault="00A06647" w:rsidP="006542F0">
            <w:pPr>
              <w:pStyle w:val="TableHeaderRow"/>
              <w:jc w:val="center"/>
              <w:rPr>
                <w:sz w:val="16"/>
              </w:rPr>
            </w:pPr>
            <w:r w:rsidRPr="006C7B74">
              <w:t>Existing commercial</w:t>
            </w:r>
            <w:r w:rsidRPr="006C7B74">
              <w:br/>
              <w:t>floorspace</w:t>
            </w:r>
            <w:r w:rsidR="00AC4C1F" w:rsidRPr="006C7B74">
              <w:t xml:space="preserve"> 2018 </w:t>
            </w:r>
            <w:r w:rsidRPr="006C7B74">
              <w:t>(m</w:t>
            </w:r>
            <w:r w:rsidRPr="006C7B74">
              <w:rPr>
                <w:vertAlign w:val="superscript"/>
              </w:rPr>
              <w:t>2</w:t>
            </w:r>
            <w:r w:rsidRPr="006C7B74">
              <w:t>)</w:t>
            </w:r>
          </w:p>
        </w:tc>
        <w:tc>
          <w:tcPr>
            <w:tcW w:w="1605" w:type="pct"/>
            <w:tcBorders>
              <w:top w:val="nil"/>
              <w:left w:val="nil"/>
              <w:bottom w:val="nil"/>
              <w:right w:val="nil"/>
            </w:tcBorders>
            <w:shd w:val="clear" w:color="000000" w:fill="4D446C"/>
            <w:tcMar>
              <w:top w:w="15" w:type="dxa"/>
              <w:left w:w="15" w:type="dxa"/>
              <w:bottom w:w="0" w:type="dxa"/>
              <w:right w:w="15" w:type="dxa"/>
            </w:tcMar>
            <w:vAlign w:val="center"/>
            <w:hideMark/>
          </w:tcPr>
          <w:p w14:paraId="3A4C83BB" w14:textId="5971B043" w:rsidR="00161973" w:rsidRPr="006C7B74" w:rsidRDefault="004E53B9" w:rsidP="006542F0">
            <w:pPr>
              <w:pStyle w:val="TableHeaderRow"/>
              <w:jc w:val="center"/>
            </w:pPr>
            <w:r>
              <w:t xml:space="preserve">Estimated </w:t>
            </w:r>
            <w:r w:rsidR="0014244A">
              <w:t>a</w:t>
            </w:r>
            <w:r w:rsidR="00161973" w:rsidRPr="006C7B74">
              <w:t>dditional commercial floorspace</w:t>
            </w:r>
          </w:p>
          <w:p w14:paraId="5A08195C" w14:textId="60828DCD" w:rsidR="00A06647" w:rsidRPr="006C7B74" w:rsidRDefault="00161973" w:rsidP="006542F0">
            <w:pPr>
              <w:pStyle w:val="TableHeaderRow"/>
              <w:jc w:val="center"/>
              <w:rPr>
                <w:sz w:val="16"/>
              </w:rPr>
            </w:pPr>
            <w:r w:rsidRPr="006C7B74">
              <w:t>2016 to 2031 (m</w:t>
            </w:r>
            <w:r w:rsidRPr="006C7B74">
              <w:rPr>
                <w:vertAlign w:val="superscript"/>
              </w:rPr>
              <w:t>2</w:t>
            </w:r>
            <w:r w:rsidRPr="006C7B74">
              <w:t>)</w:t>
            </w:r>
          </w:p>
        </w:tc>
      </w:tr>
      <w:tr w:rsidR="006D739B" w:rsidRPr="006C7B74" w14:paraId="3FC6814B" w14:textId="77777777" w:rsidTr="006C7B74">
        <w:trPr>
          <w:trHeight w:val="240"/>
        </w:trPr>
        <w:tc>
          <w:tcPr>
            <w:tcW w:w="2021"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61A8D10B" w14:textId="77777777" w:rsidR="006D739B" w:rsidRPr="006C7B74" w:rsidRDefault="006D739B">
            <w:pPr>
              <w:rPr>
                <w:rFonts w:ascii="Calibri" w:hAnsi="Calibri" w:cs="Calibri"/>
                <w:color w:val="000000"/>
                <w:sz w:val="16"/>
                <w:szCs w:val="16"/>
              </w:rPr>
            </w:pPr>
            <w:r w:rsidRPr="006C7B74">
              <w:rPr>
                <w:rFonts w:ascii="Calibri" w:hAnsi="Calibri" w:cs="Calibri"/>
                <w:color w:val="000000"/>
                <w:sz w:val="16"/>
                <w:szCs w:val="16"/>
              </w:rPr>
              <w:t>Knox</w:t>
            </w:r>
          </w:p>
        </w:tc>
        <w:tc>
          <w:tcPr>
            <w:tcW w:w="1374"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24687AB3" w14:textId="0B86D61B" w:rsidR="006D739B" w:rsidRPr="006C7B74" w:rsidRDefault="00124AFE">
            <w:pPr>
              <w:jc w:val="center"/>
              <w:rPr>
                <w:rFonts w:ascii="Calibri" w:hAnsi="Calibri" w:cs="Calibri"/>
                <w:color w:val="000000"/>
                <w:sz w:val="16"/>
                <w:szCs w:val="16"/>
              </w:rPr>
            </w:pPr>
            <w:r w:rsidRPr="006C7B74">
              <w:rPr>
                <w:rFonts w:ascii="Calibri" w:hAnsi="Calibri" w:cs="Calibri"/>
                <w:color w:val="000000"/>
                <w:sz w:val="16"/>
                <w:szCs w:val="16"/>
              </w:rPr>
              <w:t>337,800</w:t>
            </w:r>
          </w:p>
        </w:tc>
        <w:tc>
          <w:tcPr>
            <w:tcW w:w="1605"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5737E77D" w14:textId="4ED07B1C" w:rsidR="006D739B" w:rsidRPr="003025DF" w:rsidRDefault="00630AF7">
            <w:pPr>
              <w:jc w:val="center"/>
              <w:rPr>
                <w:rFonts w:ascii="Calibri" w:hAnsi="Calibri" w:cs="Calibri"/>
                <w:color w:val="000000"/>
                <w:sz w:val="16"/>
                <w:szCs w:val="16"/>
              </w:rPr>
            </w:pPr>
            <w:r w:rsidRPr="003025DF">
              <w:rPr>
                <w:rFonts w:ascii="Calibri" w:hAnsi="Calibri" w:cs="Calibri"/>
                <w:color w:val="000000"/>
                <w:sz w:val="16"/>
                <w:szCs w:val="16"/>
              </w:rPr>
              <w:t xml:space="preserve">121,000 </w:t>
            </w:r>
          </w:p>
        </w:tc>
      </w:tr>
      <w:tr w:rsidR="006D739B" w:rsidRPr="006C7B74" w14:paraId="4B13D79C" w14:textId="77777777" w:rsidTr="006C7B74">
        <w:trPr>
          <w:trHeight w:val="240"/>
        </w:trPr>
        <w:tc>
          <w:tcPr>
            <w:tcW w:w="2021"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3D5AE6AC" w14:textId="77777777" w:rsidR="006D739B" w:rsidRPr="006C7B74" w:rsidRDefault="006D739B">
            <w:pPr>
              <w:rPr>
                <w:rFonts w:ascii="Calibri" w:hAnsi="Calibri" w:cs="Calibri"/>
                <w:color w:val="000000"/>
                <w:sz w:val="16"/>
                <w:szCs w:val="16"/>
              </w:rPr>
            </w:pPr>
            <w:r w:rsidRPr="006C7B74">
              <w:rPr>
                <w:rFonts w:ascii="Calibri" w:hAnsi="Calibri" w:cs="Calibri"/>
                <w:color w:val="000000"/>
                <w:sz w:val="16"/>
                <w:szCs w:val="16"/>
              </w:rPr>
              <w:t>Manningham</w:t>
            </w:r>
          </w:p>
        </w:tc>
        <w:tc>
          <w:tcPr>
            <w:tcW w:w="1374"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635038D0" w14:textId="77777777" w:rsidR="006D739B" w:rsidRPr="006C7B74" w:rsidRDefault="006D739B">
            <w:pPr>
              <w:jc w:val="center"/>
              <w:rPr>
                <w:rFonts w:ascii="Calibri" w:hAnsi="Calibri" w:cs="Calibri"/>
                <w:color w:val="000000"/>
                <w:sz w:val="16"/>
                <w:szCs w:val="16"/>
              </w:rPr>
            </w:pPr>
            <w:r w:rsidRPr="006C7B74">
              <w:rPr>
                <w:rFonts w:ascii="Calibri" w:hAnsi="Calibri" w:cs="Calibri"/>
                <w:color w:val="000000"/>
                <w:sz w:val="16"/>
                <w:szCs w:val="16"/>
              </w:rPr>
              <w:t>353,000</w:t>
            </w:r>
          </w:p>
        </w:tc>
        <w:tc>
          <w:tcPr>
            <w:tcW w:w="1605"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17A065B9" w14:textId="2F0FCEF1" w:rsidR="006D739B" w:rsidRPr="003025DF" w:rsidRDefault="00630AF7">
            <w:pPr>
              <w:jc w:val="center"/>
              <w:rPr>
                <w:rFonts w:ascii="Calibri" w:hAnsi="Calibri" w:cs="Calibri"/>
                <w:color w:val="000000"/>
                <w:sz w:val="16"/>
                <w:szCs w:val="16"/>
              </w:rPr>
            </w:pPr>
            <w:r w:rsidRPr="003025DF">
              <w:rPr>
                <w:rFonts w:ascii="Calibri" w:hAnsi="Calibri" w:cs="Calibri"/>
                <w:color w:val="000000"/>
                <w:sz w:val="16"/>
                <w:szCs w:val="16"/>
              </w:rPr>
              <w:t xml:space="preserve">84,000 </w:t>
            </w:r>
          </w:p>
        </w:tc>
      </w:tr>
      <w:tr w:rsidR="006D739B" w:rsidRPr="006C7B74" w14:paraId="05369A53" w14:textId="77777777" w:rsidTr="006C7B74">
        <w:trPr>
          <w:trHeight w:val="240"/>
        </w:trPr>
        <w:tc>
          <w:tcPr>
            <w:tcW w:w="2021"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53434D1E" w14:textId="77777777" w:rsidR="006D739B" w:rsidRPr="006C7B74" w:rsidRDefault="006D739B">
            <w:pPr>
              <w:rPr>
                <w:rFonts w:ascii="Calibri" w:hAnsi="Calibri" w:cs="Calibri"/>
                <w:color w:val="000000"/>
                <w:sz w:val="16"/>
                <w:szCs w:val="16"/>
              </w:rPr>
            </w:pPr>
            <w:r w:rsidRPr="006C7B74">
              <w:rPr>
                <w:rFonts w:ascii="Calibri" w:hAnsi="Calibri" w:cs="Calibri"/>
                <w:color w:val="000000"/>
                <w:sz w:val="16"/>
                <w:szCs w:val="16"/>
              </w:rPr>
              <w:t>Maroondah</w:t>
            </w:r>
          </w:p>
        </w:tc>
        <w:tc>
          <w:tcPr>
            <w:tcW w:w="1374"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57F262BF" w14:textId="77777777" w:rsidR="006D739B" w:rsidRPr="006C7B74" w:rsidRDefault="006D739B">
            <w:pPr>
              <w:jc w:val="center"/>
              <w:rPr>
                <w:rFonts w:ascii="Calibri" w:hAnsi="Calibri" w:cs="Calibri"/>
                <w:color w:val="000000"/>
                <w:sz w:val="16"/>
                <w:szCs w:val="16"/>
              </w:rPr>
            </w:pPr>
            <w:r w:rsidRPr="006C7B74">
              <w:rPr>
                <w:rFonts w:ascii="Calibri" w:hAnsi="Calibri" w:cs="Calibri"/>
                <w:color w:val="000000"/>
                <w:sz w:val="16"/>
                <w:szCs w:val="16"/>
              </w:rPr>
              <w:t>415,700</w:t>
            </w:r>
          </w:p>
        </w:tc>
        <w:tc>
          <w:tcPr>
            <w:tcW w:w="1605"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08C313FB" w14:textId="0C82D15D" w:rsidR="006D739B" w:rsidRPr="003025DF" w:rsidRDefault="00630AF7">
            <w:pPr>
              <w:jc w:val="center"/>
              <w:rPr>
                <w:rFonts w:ascii="Calibri" w:hAnsi="Calibri" w:cs="Calibri"/>
                <w:color w:val="000000"/>
                <w:sz w:val="16"/>
                <w:szCs w:val="16"/>
              </w:rPr>
            </w:pPr>
            <w:r w:rsidRPr="003025DF">
              <w:rPr>
                <w:rFonts w:ascii="Calibri" w:hAnsi="Calibri" w:cs="Calibri"/>
                <w:color w:val="000000"/>
                <w:sz w:val="16"/>
                <w:szCs w:val="16"/>
              </w:rPr>
              <w:t xml:space="preserve">87,000 </w:t>
            </w:r>
          </w:p>
        </w:tc>
      </w:tr>
      <w:tr w:rsidR="006D739B" w:rsidRPr="006C7B74" w14:paraId="1A7C6866" w14:textId="77777777" w:rsidTr="006C7B74">
        <w:trPr>
          <w:trHeight w:val="240"/>
        </w:trPr>
        <w:tc>
          <w:tcPr>
            <w:tcW w:w="2021"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1ACB0DC3" w14:textId="77777777" w:rsidR="006D739B" w:rsidRPr="006C7B74" w:rsidRDefault="006D739B">
            <w:pPr>
              <w:rPr>
                <w:rFonts w:ascii="Calibri" w:hAnsi="Calibri" w:cs="Calibri"/>
                <w:color w:val="000000"/>
                <w:sz w:val="16"/>
                <w:szCs w:val="16"/>
              </w:rPr>
            </w:pPr>
            <w:r w:rsidRPr="006C7B74">
              <w:rPr>
                <w:rFonts w:ascii="Calibri" w:hAnsi="Calibri" w:cs="Calibri"/>
                <w:color w:val="000000"/>
                <w:sz w:val="16"/>
                <w:szCs w:val="16"/>
              </w:rPr>
              <w:t>Monash</w:t>
            </w:r>
          </w:p>
        </w:tc>
        <w:tc>
          <w:tcPr>
            <w:tcW w:w="1374"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7ADBC0BC" w14:textId="77777777" w:rsidR="006D739B" w:rsidRPr="006C7B74" w:rsidRDefault="006D739B">
            <w:pPr>
              <w:jc w:val="center"/>
              <w:rPr>
                <w:rFonts w:ascii="Calibri" w:hAnsi="Calibri" w:cs="Calibri"/>
                <w:color w:val="000000"/>
                <w:sz w:val="16"/>
                <w:szCs w:val="16"/>
              </w:rPr>
            </w:pPr>
            <w:r w:rsidRPr="006C7B74">
              <w:rPr>
                <w:rFonts w:ascii="Calibri" w:hAnsi="Calibri" w:cs="Calibri"/>
                <w:color w:val="000000"/>
                <w:sz w:val="16"/>
                <w:szCs w:val="16"/>
              </w:rPr>
              <w:t>682,700</w:t>
            </w:r>
          </w:p>
        </w:tc>
        <w:tc>
          <w:tcPr>
            <w:tcW w:w="1605"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5B7DF6C3" w14:textId="11A6A026" w:rsidR="006D739B" w:rsidRPr="003025DF" w:rsidRDefault="00630AF7">
            <w:pPr>
              <w:jc w:val="center"/>
              <w:rPr>
                <w:rFonts w:ascii="Calibri" w:hAnsi="Calibri" w:cs="Calibri"/>
                <w:color w:val="000000"/>
                <w:sz w:val="16"/>
                <w:szCs w:val="16"/>
              </w:rPr>
            </w:pPr>
            <w:r w:rsidRPr="003025DF">
              <w:rPr>
                <w:rFonts w:ascii="Calibri" w:hAnsi="Calibri" w:cs="Calibri"/>
                <w:color w:val="000000"/>
                <w:sz w:val="16"/>
                <w:szCs w:val="16"/>
              </w:rPr>
              <w:t xml:space="preserve">214,000 </w:t>
            </w:r>
          </w:p>
        </w:tc>
      </w:tr>
      <w:tr w:rsidR="006D739B" w:rsidRPr="006C7B74" w14:paraId="22A39E60" w14:textId="77777777" w:rsidTr="006C7B74">
        <w:trPr>
          <w:trHeight w:val="240"/>
        </w:trPr>
        <w:tc>
          <w:tcPr>
            <w:tcW w:w="2021"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31BDC5E1" w14:textId="77777777" w:rsidR="006D739B" w:rsidRPr="006C7B74" w:rsidRDefault="006D739B">
            <w:pPr>
              <w:rPr>
                <w:rFonts w:ascii="Calibri" w:hAnsi="Calibri" w:cs="Calibri"/>
                <w:color w:val="000000"/>
                <w:sz w:val="16"/>
                <w:szCs w:val="16"/>
              </w:rPr>
            </w:pPr>
            <w:r w:rsidRPr="006C7B74">
              <w:rPr>
                <w:rFonts w:ascii="Calibri" w:hAnsi="Calibri" w:cs="Calibri"/>
                <w:color w:val="000000"/>
                <w:sz w:val="16"/>
                <w:szCs w:val="16"/>
              </w:rPr>
              <w:t>Whitehorse</w:t>
            </w:r>
          </w:p>
        </w:tc>
        <w:tc>
          <w:tcPr>
            <w:tcW w:w="1374"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585D24C0" w14:textId="77777777" w:rsidR="006D739B" w:rsidRPr="006C7B74" w:rsidRDefault="006D739B">
            <w:pPr>
              <w:jc w:val="center"/>
              <w:rPr>
                <w:rFonts w:ascii="Calibri" w:hAnsi="Calibri" w:cs="Calibri"/>
                <w:color w:val="000000"/>
                <w:sz w:val="16"/>
                <w:szCs w:val="16"/>
              </w:rPr>
            </w:pPr>
            <w:r w:rsidRPr="006C7B74">
              <w:rPr>
                <w:rFonts w:ascii="Calibri" w:hAnsi="Calibri" w:cs="Calibri"/>
                <w:color w:val="000000"/>
                <w:sz w:val="16"/>
                <w:szCs w:val="16"/>
              </w:rPr>
              <w:t>698,700</w:t>
            </w:r>
          </w:p>
        </w:tc>
        <w:tc>
          <w:tcPr>
            <w:tcW w:w="1605"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0857B5B1" w14:textId="158DCFE6" w:rsidR="006D739B" w:rsidRPr="003025DF" w:rsidRDefault="00630AF7">
            <w:pPr>
              <w:jc w:val="center"/>
              <w:rPr>
                <w:rFonts w:ascii="Calibri" w:hAnsi="Calibri" w:cs="Calibri"/>
                <w:color w:val="000000"/>
                <w:sz w:val="16"/>
                <w:szCs w:val="16"/>
              </w:rPr>
            </w:pPr>
            <w:r w:rsidRPr="003025DF">
              <w:rPr>
                <w:rFonts w:ascii="Calibri" w:hAnsi="Calibri" w:cs="Calibri"/>
                <w:color w:val="000000"/>
                <w:sz w:val="16"/>
                <w:szCs w:val="16"/>
              </w:rPr>
              <w:t xml:space="preserve">229,000 </w:t>
            </w:r>
          </w:p>
        </w:tc>
      </w:tr>
      <w:tr w:rsidR="006D739B" w:rsidRPr="006C7B74" w14:paraId="380AD588" w14:textId="77777777" w:rsidTr="006C7B74">
        <w:trPr>
          <w:trHeight w:val="240"/>
        </w:trPr>
        <w:tc>
          <w:tcPr>
            <w:tcW w:w="2021"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79FF7B39" w14:textId="77777777" w:rsidR="006D739B" w:rsidRPr="006C7B74" w:rsidRDefault="006D739B">
            <w:pPr>
              <w:rPr>
                <w:rFonts w:ascii="Calibri" w:hAnsi="Calibri" w:cs="Calibri"/>
                <w:color w:val="000000"/>
                <w:sz w:val="16"/>
                <w:szCs w:val="16"/>
              </w:rPr>
            </w:pPr>
            <w:r w:rsidRPr="006C7B74">
              <w:rPr>
                <w:rFonts w:ascii="Calibri" w:hAnsi="Calibri" w:cs="Calibri"/>
                <w:color w:val="000000"/>
                <w:sz w:val="16"/>
                <w:szCs w:val="16"/>
              </w:rPr>
              <w:t xml:space="preserve">Yarra Ranges </w:t>
            </w:r>
          </w:p>
        </w:tc>
        <w:tc>
          <w:tcPr>
            <w:tcW w:w="1374"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59273C4E" w14:textId="77777777" w:rsidR="006D739B" w:rsidRPr="006C7B74" w:rsidRDefault="006D739B">
            <w:pPr>
              <w:jc w:val="center"/>
              <w:rPr>
                <w:rFonts w:ascii="Calibri" w:hAnsi="Calibri" w:cs="Calibri"/>
                <w:color w:val="000000"/>
                <w:sz w:val="16"/>
                <w:szCs w:val="16"/>
              </w:rPr>
            </w:pPr>
            <w:r w:rsidRPr="006C7B74">
              <w:rPr>
                <w:rFonts w:ascii="Calibri" w:hAnsi="Calibri" w:cs="Calibri"/>
                <w:color w:val="000000"/>
                <w:sz w:val="16"/>
                <w:szCs w:val="16"/>
              </w:rPr>
              <w:t>329,750</w:t>
            </w:r>
          </w:p>
        </w:tc>
        <w:tc>
          <w:tcPr>
            <w:tcW w:w="1605"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51416D41" w14:textId="7C6D649F" w:rsidR="006D739B" w:rsidRPr="003025DF" w:rsidRDefault="00630AF7">
            <w:pPr>
              <w:jc w:val="center"/>
              <w:rPr>
                <w:rFonts w:ascii="Calibri" w:hAnsi="Calibri" w:cs="Calibri"/>
                <w:color w:val="000000"/>
                <w:sz w:val="16"/>
                <w:szCs w:val="16"/>
              </w:rPr>
            </w:pPr>
            <w:r w:rsidRPr="003025DF">
              <w:rPr>
                <w:rFonts w:ascii="Calibri" w:hAnsi="Calibri" w:cs="Calibri"/>
                <w:color w:val="000000"/>
                <w:sz w:val="16"/>
                <w:szCs w:val="16"/>
              </w:rPr>
              <w:t xml:space="preserve">102,000 </w:t>
            </w:r>
          </w:p>
        </w:tc>
      </w:tr>
      <w:tr w:rsidR="006D739B" w:rsidRPr="00FE452A" w14:paraId="48402E6A" w14:textId="77777777" w:rsidTr="006C7B74">
        <w:trPr>
          <w:trHeight w:val="240"/>
        </w:trPr>
        <w:tc>
          <w:tcPr>
            <w:tcW w:w="2021"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12AE90EF" w14:textId="77777777" w:rsidR="006D739B" w:rsidRPr="00FE452A" w:rsidRDefault="006D739B">
            <w:pPr>
              <w:rPr>
                <w:rFonts w:ascii="Calibri" w:hAnsi="Calibri" w:cs="Calibri"/>
                <w:b/>
                <w:bCs/>
                <w:color w:val="000000"/>
                <w:sz w:val="16"/>
                <w:szCs w:val="16"/>
              </w:rPr>
            </w:pPr>
            <w:r w:rsidRPr="00FE452A">
              <w:rPr>
                <w:rFonts w:ascii="Calibri" w:hAnsi="Calibri" w:cs="Calibri"/>
                <w:b/>
                <w:bCs/>
                <w:color w:val="000000"/>
                <w:sz w:val="16"/>
                <w:szCs w:val="16"/>
              </w:rPr>
              <w:t>Total</w:t>
            </w:r>
          </w:p>
        </w:tc>
        <w:tc>
          <w:tcPr>
            <w:tcW w:w="1374"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4DFAE216" w14:textId="0BBA1F33" w:rsidR="006D739B" w:rsidRPr="00FE452A" w:rsidRDefault="00124AFE">
            <w:pPr>
              <w:jc w:val="center"/>
              <w:rPr>
                <w:rFonts w:ascii="Calibri" w:hAnsi="Calibri" w:cs="Calibri"/>
                <w:b/>
                <w:bCs/>
                <w:color w:val="000000"/>
                <w:sz w:val="16"/>
                <w:szCs w:val="16"/>
              </w:rPr>
            </w:pPr>
            <w:r w:rsidRPr="00FE452A">
              <w:rPr>
                <w:rFonts w:ascii="Calibri" w:hAnsi="Calibri" w:cs="Calibri"/>
                <w:b/>
                <w:bCs/>
                <w:color w:val="000000"/>
                <w:sz w:val="16"/>
                <w:szCs w:val="16"/>
              </w:rPr>
              <w:t>2,817,650</w:t>
            </w:r>
          </w:p>
        </w:tc>
        <w:tc>
          <w:tcPr>
            <w:tcW w:w="1605"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2CC047DA" w14:textId="7E4BAFAE" w:rsidR="006D739B" w:rsidRPr="003025DF" w:rsidRDefault="00630AF7">
            <w:pPr>
              <w:jc w:val="center"/>
              <w:rPr>
                <w:rFonts w:ascii="Calibri" w:hAnsi="Calibri" w:cs="Calibri"/>
                <w:b/>
                <w:bCs/>
                <w:color w:val="000000"/>
                <w:sz w:val="16"/>
                <w:szCs w:val="16"/>
              </w:rPr>
            </w:pPr>
            <w:r w:rsidRPr="003025DF">
              <w:rPr>
                <w:rFonts w:ascii="Calibri" w:hAnsi="Calibri" w:cs="Calibri"/>
                <w:b/>
                <w:bCs/>
                <w:color w:val="000000"/>
                <w:sz w:val="16"/>
                <w:szCs w:val="16"/>
              </w:rPr>
              <w:t xml:space="preserve">837,000 </w:t>
            </w:r>
          </w:p>
        </w:tc>
      </w:tr>
    </w:tbl>
    <w:p w14:paraId="4DC1CD87" w14:textId="7983D4C6" w:rsidR="00732BE8" w:rsidRPr="006C7B74" w:rsidRDefault="00DC580D" w:rsidP="00DC580D">
      <w:pPr>
        <w:pStyle w:val="Quote"/>
        <w:rPr>
          <w:rFonts w:cstheme="minorHAnsi"/>
          <w:b/>
          <w:sz w:val="20"/>
          <w:szCs w:val="20"/>
        </w:rPr>
      </w:pPr>
      <w:r w:rsidRPr="006C7B74">
        <w:t>Source:</w:t>
      </w:r>
      <w:r w:rsidR="007C154C" w:rsidRPr="006C7B74">
        <w:t xml:space="preserve"> </w:t>
      </w:r>
      <w:r w:rsidRPr="006C7B74">
        <w:t>Department of Environment, Land, Water and Planning, unpublished data (</w:t>
      </w:r>
      <w:r w:rsidR="00BE3759" w:rsidRPr="006C7B74">
        <w:t>20</w:t>
      </w:r>
      <w:r w:rsidR="00BE3759">
        <w:t>20</w:t>
      </w:r>
      <w:r w:rsidRPr="006C7B74">
        <w:t>)</w:t>
      </w:r>
    </w:p>
    <w:p w14:paraId="054E5047" w14:textId="77777777" w:rsidR="00615ED9" w:rsidRPr="006C7B74" w:rsidRDefault="00615ED9">
      <w:pPr>
        <w:rPr>
          <w:rFonts w:eastAsiaTheme="majorEastAsia" w:cstheme="majorBidi"/>
          <w:b/>
          <w:color w:val="642667"/>
          <w:sz w:val="20"/>
        </w:rPr>
      </w:pPr>
      <w:r w:rsidRPr="006C7B74">
        <w:br w:type="page"/>
      </w:r>
    </w:p>
    <w:p w14:paraId="1EF6917B" w14:textId="5DA698FC" w:rsidR="00732BE8" w:rsidRPr="006C7B74" w:rsidRDefault="00732BE8" w:rsidP="006D739B">
      <w:pPr>
        <w:pStyle w:val="Heading5"/>
      </w:pPr>
      <w:r w:rsidRPr="006C7B74">
        <w:lastRenderedPageBreak/>
        <w:t xml:space="preserve">Figure </w:t>
      </w:r>
      <w:r w:rsidR="00253EB3" w:rsidRPr="006C7B74">
        <w:t>2</w:t>
      </w:r>
      <w:r w:rsidR="00DC23D3" w:rsidRPr="006C7B74">
        <w:t>6</w:t>
      </w:r>
      <w:r w:rsidRPr="006C7B74">
        <w:t xml:space="preserve">: </w:t>
      </w:r>
      <w:r w:rsidR="007C0192">
        <w:t xml:space="preserve">Estimated additional </w:t>
      </w:r>
      <w:r w:rsidR="007C0192" w:rsidRPr="006C7B74">
        <w:t>commercial floorspace</w:t>
      </w:r>
      <w:r w:rsidR="007C0192" w:rsidRPr="006C7B74" w:rsidDel="007C0192">
        <w:t xml:space="preserve"> </w:t>
      </w:r>
      <w:r w:rsidRPr="006C7B74">
        <w:t xml:space="preserve">by type and municipality, </w:t>
      </w:r>
      <w:r w:rsidR="00683A2D" w:rsidRPr="006C7B74">
        <w:t xml:space="preserve">Eastern Region, </w:t>
      </w:r>
      <w:r w:rsidRPr="006C7B74">
        <w:t>201</w:t>
      </w:r>
      <w:r w:rsidR="00EF7134" w:rsidRPr="006C7B74">
        <w:t>6</w:t>
      </w:r>
      <w:r w:rsidRPr="006C7B74">
        <w:t xml:space="preserve"> to 2031</w:t>
      </w:r>
    </w:p>
    <w:p w14:paraId="6ADE3CA1" w14:textId="2681E17A" w:rsidR="00732BE8" w:rsidRPr="006C7B74" w:rsidRDefault="006F1AF0" w:rsidP="00DC580D">
      <w:pPr>
        <w:pStyle w:val="Quote"/>
        <w:rPr>
          <w:rFonts w:eastAsiaTheme="majorEastAsia" w:cstheme="minorHAnsi"/>
          <w:color w:val="4EBAC5" w:themeColor="accent1" w:themeShade="BF"/>
          <w:sz w:val="26"/>
          <w:szCs w:val="26"/>
        </w:rPr>
      </w:pPr>
      <w:r>
        <w:rPr>
          <w:noProof/>
        </w:rPr>
        <w:drawing>
          <wp:inline distT="0" distB="0" distL="0" distR="0" wp14:anchorId="5FB3BA5E" wp14:editId="79A5C194">
            <wp:extent cx="5727700" cy="3009265"/>
            <wp:effectExtent l="0" t="0" r="0" b="0"/>
            <wp:docPr id="21" name="Chart 21" descr="Bar graph - Estimated additional commercial floorspace for Eastern Region, 2016 to 2031. Shows estimates required for each council for office and retail floorspace.">
              <a:extLst xmlns:a="http://schemas.openxmlformats.org/drawingml/2006/main">
                <a:ext uri="{FF2B5EF4-FFF2-40B4-BE49-F238E27FC236}">
                  <a16:creationId xmlns:a16="http://schemas.microsoft.com/office/drawing/2014/main" id="{83C7C965-C626-400B-8803-6AE5257AC5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00DC580D" w:rsidRPr="006C7B74">
        <w:t>Source:</w:t>
      </w:r>
      <w:r w:rsidR="007C154C" w:rsidRPr="006C7B74">
        <w:t xml:space="preserve"> </w:t>
      </w:r>
      <w:r w:rsidR="00DC580D" w:rsidRPr="006C7B74">
        <w:t>Department of Environment, Land, Water and Planning, unpublished data (</w:t>
      </w:r>
      <w:r w:rsidR="00BE3759" w:rsidRPr="006C7B74">
        <w:t>20</w:t>
      </w:r>
      <w:r w:rsidR="00BE3759">
        <w:t>20</w:t>
      </w:r>
      <w:r w:rsidR="00DC580D" w:rsidRPr="006C7B74">
        <w:t>)</w:t>
      </w:r>
      <w:r w:rsidR="00732BE8" w:rsidRPr="006C7B74">
        <w:rPr>
          <w:rFonts w:cstheme="minorHAnsi"/>
        </w:rPr>
        <w:br w:type="page"/>
      </w:r>
    </w:p>
    <w:p w14:paraId="7244D5FA" w14:textId="77777777" w:rsidR="00DB3C3D" w:rsidRPr="006C7B74" w:rsidRDefault="00DB3C3D" w:rsidP="00934C4D">
      <w:pPr>
        <w:pStyle w:val="Heading2-Contenttable"/>
        <w:spacing w:after="120"/>
      </w:pPr>
      <w:bookmarkStart w:id="52" w:name="_Toc21694831"/>
      <w:r w:rsidRPr="006C7B74">
        <w:lastRenderedPageBreak/>
        <w:t>Planning framework for industrial and commercial land across the region</w:t>
      </w:r>
      <w:bookmarkEnd w:id="52"/>
    </w:p>
    <w:p w14:paraId="003FD692" w14:textId="5B1562DB" w:rsidR="00686198" w:rsidRPr="006C7B74" w:rsidRDefault="001423FC" w:rsidP="00686198">
      <w:pPr>
        <w:pStyle w:val="paragraph"/>
        <w:spacing w:before="0" w:beforeAutospacing="0" w:after="120" w:afterAutospacing="0"/>
        <w:textAlignment w:val="baseline"/>
        <w:rPr>
          <w:rFonts w:cstheme="minorHAnsi"/>
          <w:sz w:val="20"/>
          <w:szCs w:val="20"/>
        </w:rPr>
      </w:pPr>
      <w:r w:rsidRPr="006C7B74">
        <w:rPr>
          <w:rFonts w:cstheme="minorHAnsi"/>
          <w:sz w:val="20"/>
          <w:szCs w:val="20"/>
        </w:rPr>
        <w:t>T</w:t>
      </w:r>
      <w:r w:rsidR="0014744C" w:rsidRPr="006C7B74">
        <w:rPr>
          <w:rFonts w:cstheme="minorHAnsi"/>
          <w:sz w:val="20"/>
          <w:szCs w:val="20"/>
        </w:rPr>
        <w:t>h</w:t>
      </w:r>
      <w:r w:rsidR="004965BE" w:rsidRPr="006C7B74">
        <w:rPr>
          <w:rFonts w:cstheme="minorHAnsi"/>
          <w:sz w:val="20"/>
          <w:szCs w:val="20"/>
        </w:rPr>
        <w:t>e Eastern Region has relatively</w:t>
      </w:r>
      <w:r w:rsidR="00A25E1C" w:rsidRPr="006C7B74">
        <w:rPr>
          <w:rFonts w:cstheme="minorHAnsi"/>
          <w:sz w:val="20"/>
          <w:szCs w:val="20"/>
        </w:rPr>
        <w:t xml:space="preserve"> </w:t>
      </w:r>
      <w:r w:rsidR="00DB3C3D" w:rsidRPr="006C7B74">
        <w:rPr>
          <w:rFonts w:cstheme="minorHAnsi"/>
          <w:sz w:val="20"/>
          <w:szCs w:val="20"/>
        </w:rPr>
        <w:t>moderate</w:t>
      </w:r>
      <w:r w:rsidR="00A25E1C" w:rsidRPr="006C7B74">
        <w:rPr>
          <w:rFonts w:cstheme="minorHAnsi"/>
          <w:sz w:val="20"/>
          <w:szCs w:val="20"/>
        </w:rPr>
        <w:t xml:space="preserve"> </w:t>
      </w:r>
      <w:r w:rsidR="00450205" w:rsidRPr="006C7B74">
        <w:rPr>
          <w:rFonts w:cstheme="minorHAnsi"/>
          <w:sz w:val="20"/>
          <w:szCs w:val="20"/>
        </w:rPr>
        <w:t xml:space="preserve">levels </w:t>
      </w:r>
      <w:r w:rsidR="00DB3C3D" w:rsidRPr="006C7B74">
        <w:rPr>
          <w:rFonts w:cstheme="minorHAnsi"/>
          <w:sz w:val="20"/>
          <w:szCs w:val="20"/>
        </w:rPr>
        <w:t xml:space="preserve">of industrial </w:t>
      </w:r>
      <w:r w:rsidR="002C7541" w:rsidRPr="006C7B74">
        <w:rPr>
          <w:rFonts w:cstheme="minorHAnsi"/>
          <w:sz w:val="20"/>
          <w:szCs w:val="20"/>
        </w:rPr>
        <w:t xml:space="preserve">and commercial </w:t>
      </w:r>
      <w:r w:rsidR="00DB3C3D" w:rsidRPr="006C7B74">
        <w:rPr>
          <w:rFonts w:cstheme="minorHAnsi"/>
          <w:sz w:val="20"/>
          <w:szCs w:val="20"/>
        </w:rPr>
        <w:t xml:space="preserve">land </w:t>
      </w:r>
      <w:r w:rsidR="002C7541" w:rsidRPr="006C7B74">
        <w:rPr>
          <w:rFonts w:cstheme="minorHAnsi"/>
          <w:sz w:val="20"/>
          <w:szCs w:val="20"/>
        </w:rPr>
        <w:t>compared to other</w:t>
      </w:r>
      <w:r w:rsidR="004C191C" w:rsidRPr="006C7B74">
        <w:rPr>
          <w:rFonts w:cstheme="minorHAnsi"/>
          <w:sz w:val="20"/>
          <w:szCs w:val="20"/>
        </w:rPr>
        <w:t xml:space="preserve"> region</w:t>
      </w:r>
      <w:r w:rsidR="00686198" w:rsidRPr="006C7B74">
        <w:rPr>
          <w:rFonts w:cstheme="minorHAnsi"/>
          <w:sz w:val="20"/>
          <w:szCs w:val="20"/>
        </w:rPr>
        <w:t>s</w:t>
      </w:r>
      <w:r w:rsidR="003907B4" w:rsidRPr="006C7B74">
        <w:rPr>
          <w:rFonts w:cstheme="minorHAnsi"/>
          <w:sz w:val="20"/>
          <w:szCs w:val="20"/>
        </w:rPr>
        <w:t>,</w:t>
      </w:r>
      <w:r w:rsidR="002C7541" w:rsidRPr="006C7B74">
        <w:rPr>
          <w:rFonts w:cstheme="minorHAnsi"/>
          <w:sz w:val="20"/>
          <w:szCs w:val="20"/>
        </w:rPr>
        <w:t xml:space="preserve"> </w:t>
      </w:r>
      <w:r w:rsidRPr="006C7B74">
        <w:rPr>
          <w:rFonts w:cstheme="minorHAnsi"/>
          <w:sz w:val="20"/>
          <w:szCs w:val="20"/>
        </w:rPr>
        <w:t xml:space="preserve">however </w:t>
      </w:r>
      <w:r w:rsidR="002C7541" w:rsidRPr="006C7B74">
        <w:rPr>
          <w:rFonts w:cstheme="minorHAnsi"/>
          <w:sz w:val="20"/>
          <w:szCs w:val="20"/>
        </w:rPr>
        <w:t>it’s contribution to metropolitan Melbourne’s economy is significant and second only to the Inner Metro Region.</w:t>
      </w:r>
      <w:r w:rsidR="00686198" w:rsidRPr="006C7B74">
        <w:rPr>
          <w:rFonts w:cstheme="minorHAnsi"/>
          <w:sz w:val="20"/>
          <w:szCs w:val="20"/>
        </w:rPr>
        <w:t xml:space="preserve"> Overall it </w:t>
      </w:r>
      <w:r w:rsidR="002C7541" w:rsidRPr="006C7B74">
        <w:rPr>
          <w:rFonts w:cstheme="minorHAnsi"/>
          <w:sz w:val="20"/>
          <w:szCs w:val="20"/>
        </w:rPr>
        <w:t>account</w:t>
      </w:r>
      <w:r w:rsidR="00686198" w:rsidRPr="006C7B74">
        <w:rPr>
          <w:rFonts w:cstheme="minorHAnsi"/>
          <w:sz w:val="20"/>
          <w:szCs w:val="20"/>
        </w:rPr>
        <w:t>s</w:t>
      </w:r>
      <w:r w:rsidR="002C7541" w:rsidRPr="006C7B74">
        <w:rPr>
          <w:rFonts w:cstheme="minorHAnsi"/>
          <w:sz w:val="20"/>
          <w:szCs w:val="20"/>
        </w:rPr>
        <w:t xml:space="preserve"> for around 16 per cent of metro</w:t>
      </w:r>
      <w:r w:rsidR="00686198" w:rsidRPr="006C7B74">
        <w:rPr>
          <w:rFonts w:cstheme="minorHAnsi"/>
          <w:sz w:val="20"/>
          <w:szCs w:val="20"/>
        </w:rPr>
        <w:t xml:space="preserve">politan Melbourne’s GRP generating </w:t>
      </w:r>
      <w:r w:rsidR="00DB3C3D" w:rsidRPr="006C7B74">
        <w:rPr>
          <w:rFonts w:cstheme="minorHAnsi"/>
          <w:sz w:val="20"/>
          <w:szCs w:val="20"/>
        </w:rPr>
        <w:t>significant employment and economic functions</w:t>
      </w:r>
      <w:r w:rsidR="00686198" w:rsidRPr="006C7B74">
        <w:rPr>
          <w:rFonts w:cstheme="minorHAnsi"/>
          <w:sz w:val="20"/>
          <w:szCs w:val="20"/>
        </w:rPr>
        <w:t>.</w:t>
      </w:r>
    </w:p>
    <w:p w14:paraId="085D58AC" w14:textId="0F2B4C11" w:rsidR="00F66E75" w:rsidRPr="006C7B74" w:rsidRDefault="003907B4" w:rsidP="004C191C">
      <w:pPr>
        <w:pStyle w:val="paragraph"/>
        <w:spacing w:before="0" w:beforeAutospacing="0" w:after="120" w:afterAutospacing="0"/>
        <w:textAlignment w:val="baseline"/>
        <w:rPr>
          <w:rFonts w:cstheme="minorHAnsi"/>
          <w:sz w:val="20"/>
          <w:szCs w:val="20"/>
        </w:rPr>
      </w:pPr>
      <w:r w:rsidRPr="006C7B74">
        <w:rPr>
          <w:rFonts w:cstheme="minorHAnsi"/>
          <w:sz w:val="20"/>
          <w:szCs w:val="20"/>
        </w:rPr>
        <w:t xml:space="preserve">The region is home to a number of significant industrial precincts </w:t>
      </w:r>
      <w:r w:rsidR="00734A54" w:rsidRPr="006C7B74">
        <w:rPr>
          <w:rFonts w:cstheme="minorHAnsi"/>
          <w:sz w:val="20"/>
          <w:szCs w:val="20"/>
        </w:rPr>
        <w:t>at</w:t>
      </w:r>
      <w:r w:rsidRPr="006C7B74">
        <w:rPr>
          <w:rFonts w:cstheme="minorHAnsi"/>
          <w:sz w:val="20"/>
          <w:szCs w:val="20"/>
        </w:rPr>
        <w:t xml:space="preserve"> Clayton</w:t>
      </w:r>
      <w:r w:rsidR="00477AF0" w:rsidRPr="006C7B74">
        <w:rPr>
          <w:rFonts w:cstheme="minorHAnsi"/>
          <w:sz w:val="20"/>
          <w:szCs w:val="20"/>
        </w:rPr>
        <w:t>-</w:t>
      </w:r>
      <w:r w:rsidR="004C191C" w:rsidRPr="006C7B74">
        <w:rPr>
          <w:rFonts w:cstheme="minorHAnsi"/>
          <w:sz w:val="20"/>
          <w:szCs w:val="20"/>
        </w:rPr>
        <w:t>Mulgrave</w:t>
      </w:r>
      <w:r w:rsidRPr="006C7B74">
        <w:rPr>
          <w:rFonts w:cstheme="minorHAnsi"/>
          <w:sz w:val="20"/>
          <w:szCs w:val="20"/>
        </w:rPr>
        <w:t>, Scoresby</w:t>
      </w:r>
      <w:r w:rsidR="00477AF0" w:rsidRPr="006C7B74">
        <w:rPr>
          <w:rFonts w:cstheme="minorHAnsi"/>
          <w:sz w:val="20"/>
          <w:szCs w:val="20"/>
        </w:rPr>
        <w:t>-</w:t>
      </w:r>
      <w:r w:rsidR="004C191C" w:rsidRPr="006C7B74">
        <w:rPr>
          <w:rFonts w:cstheme="minorHAnsi"/>
          <w:sz w:val="20"/>
          <w:szCs w:val="20"/>
        </w:rPr>
        <w:t>Rowville</w:t>
      </w:r>
      <w:r w:rsidRPr="006C7B74">
        <w:rPr>
          <w:rFonts w:cstheme="minorHAnsi"/>
          <w:sz w:val="20"/>
          <w:szCs w:val="20"/>
        </w:rPr>
        <w:t xml:space="preserve"> and Bayswater</w:t>
      </w:r>
      <w:r w:rsidR="00477AF0" w:rsidRPr="006C7B74">
        <w:rPr>
          <w:rFonts w:cstheme="minorHAnsi"/>
          <w:sz w:val="20"/>
          <w:szCs w:val="20"/>
        </w:rPr>
        <w:t>-</w:t>
      </w:r>
      <w:r w:rsidR="004C191C" w:rsidRPr="006C7B74">
        <w:rPr>
          <w:rFonts w:cstheme="minorHAnsi"/>
          <w:sz w:val="20"/>
          <w:szCs w:val="20"/>
        </w:rPr>
        <w:t>Kilsyth</w:t>
      </w:r>
      <w:r w:rsidRPr="006C7B74">
        <w:rPr>
          <w:rFonts w:cstheme="minorHAnsi"/>
          <w:sz w:val="20"/>
          <w:szCs w:val="20"/>
        </w:rPr>
        <w:t>, important not just to the region, but also to broader metropolitan areas.</w:t>
      </w:r>
      <w:r w:rsidR="00734A54" w:rsidRPr="006C7B74">
        <w:rPr>
          <w:rFonts w:cstheme="minorHAnsi"/>
          <w:sz w:val="20"/>
          <w:szCs w:val="20"/>
        </w:rPr>
        <w:t xml:space="preserve"> The industrial areas around Clayton</w:t>
      </w:r>
      <w:r w:rsidR="00477AF0" w:rsidRPr="006C7B74">
        <w:rPr>
          <w:rFonts w:cstheme="minorHAnsi"/>
          <w:sz w:val="20"/>
          <w:szCs w:val="20"/>
        </w:rPr>
        <w:t>-</w:t>
      </w:r>
      <w:r w:rsidR="004C191C" w:rsidRPr="006C7B74">
        <w:rPr>
          <w:rFonts w:cstheme="minorHAnsi"/>
          <w:sz w:val="20"/>
          <w:szCs w:val="20"/>
        </w:rPr>
        <w:t>Mulgrave</w:t>
      </w:r>
      <w:r w:rsidR="00734A54" w:rsidRPr="006C7B74">
        <w:rPr>
          <w:rFonts w:cstheme="minorHAnsi"/>
          <w:sz w:val="20"/>
          <w:szCs w:val="20"/>
        </w:rPr>
        <w:t xml:space="preserve"> form part of the broader Monash NEIC</w:t>
      </w:r>
      <w:r w:rsidR="00D121DB" w:rsidRPr="006C7B74">
        <w:rPr>
          <w:rFonts w:cstheme="minorHAnsi"/>
          <w:sz w:val="20"/>
          <w:szCs w:val="20"/>
        </w:rPr>
        <w:t xml:space="preserve"> and the areas around Scoresby</w:t>
      </w:r>
      <w:r w:rsidR="00AB3CAA" w:rsidRPr="006C7B74">
        <w:rPr>
          <w:rFonts w:cstheme="minorHAnsi"/>
          <w:sz w:val="20"/>
          <w:szCs w:val="20"/>
        </w:rPr>
        <w:t>-</w:t>
      </w:r>
      <w:r w:rsidR="004C191C" w:rsidRPr="006C7B74">
        <w:rPr>
          <w:rFonts w:cstheme="minorHAnsi"/>
          <w:sz w:val="20"/>
          <w:szCs w:val="20"/>
        </w:rPr>
        <w:t>Rowville</w:t>
      </w:r>
      <w:r w:rsidR="00D121DB" w:rsidRPr="006C7B74">
        <w:rPr>
          <w:rFonts w:cstheme="minorHAnsi"/>
          <w:sz w:val="20"/>
          <w:szCs w:val="20"/>
        </w:rPr>
        <w:t xml:space="preserve"> and Bayswater</w:t>
      </w:r>
      <w:r w:rsidR="00477AF0" w:rsidRPr="006C7B74">
        <w:rPr>
          <w:rFonts w:cstheme="minorHAnsi"/>
          <w:sz w:val="20"/>
          <w:szCs w:val="20"/>
        </w:rPr>
        <w:t>-</w:t>
      </w:r>
      <w:r w:rsidR="004C191C" w:rsidRPr="006C7B74">
        <w:rPr>
          <w:rFonts w:cstheme="minorHAnsi"/>
          <w:sz w:val="20"/>
          <w:szCs w:val="20"/>
        </w:rPr>
        <w:t>Kilsyth</w:t>
      </w:r>
      <w:r w:rsidR="00D121DB" w:rsidRPr="006C7B74">
        <w:rPr>
          <w:rFonts w:cstheme="minorHAnsi"/>
          <w:sz w:val="20"/>
          <w:szCs w:val="20"/>
        </w:rPr>
        <w:t xml:space="preserve"> have good and relatively easy access to broader metropolitan </w:t>
      </w:r>
      <w:r w:rsidR="004C191C" w:rsidRPr="006C7B74">
        <w:rPr>
          <w:rFonts w:cstheme="minorHAnsi"/>
          <w:sz w:val="20"/>
          <w:szCs w:val="20"/>
        </w:rPr>
        <w:t>areas</w:t>
      </w:r>
      <w:r w:rsidR="00D121DB" w:rsidRPr="006C7B74">
        <w:rPr>
          <w:rFonts w:cstheme="minorHAnsi"/>
          <w:sz w:val="20"/>
          <w:szCs w:val="20"/>
        </w:rPr>
        <w:t xml:space="preserve"> via </w:t>
      </w:r>
      <w:proofErr w:type="spellStart"/>
      <w:r w:rsidR="00D121DB" w:rsidRPr="006C7B74">
        <w:rPr>
          <w:rFonts w:cstheme="minorHAnsi"/>
          <w:sz w:val="20"/>
          <w:szCs w:val="20"/>
        </w:rPr>
        <w:t>EastLink</w:t>
      </w:r>
      <w:proofErr w:type="spellEnd"/>
      <w:r w:rsidR="00D121DB" w:rsidRPr="006C7B74">
        <w:rPr>
          <w:rFonts w:cstheme="minorHAnsi"/>
          <w:sz w:val="20"/>
          <w:szCs w:val="20"/>
        </w:rPr>
        <w:t xml:space="preserve">. </w:t>
      </w:r>
      <w:r w:rsidR="000C6E2F" w:rsidRPr="006C7B74">
        <w:rPr>
          <w:rFonts w:cstheme="minorHAnsi"/>
          <w:sz w:val="20"/>
          <w:szCs w:val="20"/>
        </w:rPr>
        <w:t>A number of other smaller industrial areas at Ringwood</w:t>
      </w:r>
      <w:r w:rsidR="000C31E1" w:rsidRPr="006C7B74">
        <w:rPr>
          <w:rFonts w:cstheme="minorHAnsi"/>
          <w:sz w:val="20"/>
          <w:szCs w:val="20"/>
        </w:rPr>
        <w:t>,</w:t>
      </w:r>
      <w:r w:rsidR="000C6E2F" w:rsidRPr="006C7B74">
        <w:rPr>
          <w:rFonts w:cstheme="minorHAnsi"/>
          <w:sz w:val="20"/>
          <w:szCs w:val="20"/>
        </w:rPr>
        <w:t xml:space="preserve"> Mitcham and Nunawading</w:t>
      </w:r>
      <w:r w:rsidR="004C191C" w:rsidRPr="006C7B74">
        <w:rPr>
          <w:rFonts w:cstheme="minorHAnsi"/>
          <w:sz w:val="20"/>
          <w:szCs w:val="20"/>
        </w:rPr>
        <w:t>,</w:t>
      </w:r>
      <w:r w:rsidR="000C6E2F" w:rsidRPr="006C7B74">
        <w:rPr>
          <w:rFonts w:cstheme="minorHAnsi"/>
          <w:sz w:val="20"/>
          <w:szCs w:val="20"/>
        </w:rPr>
        <w:t xml:space="preserve"> while not as large</w:t>
      </w:r>
      <w:r w:rsidR="004C191C" w:rsidRPr="006C7B74">
        <w:rPr>
          <w:rFonts w:cstheme="minorHAnsi"/>
          <w:sz w:val="20"/>
          <w:szCs w:val="20"/>
        </w:rPr>
        <w:t>,</w:t>
      </w:r>
      <w:r w:rsidR="000C6E2F" w:rsidRPr="006C7B74">
        <w:rPr>
          <w:rFonts w:cstheme="minorHAnsi"/>
          <w:sz w:val="20"/>
          <w:szCs w:val="20"/>
        </w:rPr>
        <w:t xml:space="preserve"> are also considered important to the broader region</w:t>
      </w:r>
      <w:r w:rsidR="004C191C" w:rsidRPr="006C7B74">
        <w:rPr>
          <w:rFonts w:cstheme="minorHAnsi"/>
          <w:sz w:val="20"/>
          <w:szCs w:val="20"/>
        </w:rPr>
        <w:t xml:space="preserve">. </w:t>
      </w:r>
    </w:p>
    <w:p w14:paraId="6F9676F8" w14:textId="2AAD0D5F" w:rsidR="00182ADD" w:rsidRPr="006C7B74" w:rsidRDefault="004C191C" w:rsidP="004C191C">
      <w:pPr>
        <w:pStyle w:val="paragraph"/>
        <w:spacing w:before="0" w:beforeAutospacing="0" w:after="120" w:afterAutospacing="0"/>
        <w:textAlignment w:val="baseline"/>
        <w:rPr>
          <w:rFonts w:cstheme="minorHAnsi"/>
          <w:sz w:val="20"/>
          <w:szCs w:val="20"/>
        </w:rPr>
      </w:pPr>
      <w:r w:rsidRPr="006C7B74">
        <w:rPr>
          <w:rFonts w:cstheme="minorHAnsi"/>
          <w:sz w:val="20"/>
          <w:szCs w:val="20"/>
        </w:rPr>
        <w:t xml:space="preserve">To support and maintain the contribution these </w:t>
      </w:r>
      <w:r w:rsidR="00F66E75" w:rsidRPr="006C7B74">
        <w:rPr>
          <w:rFonts w:cstheme="minorHAnsi"/>
          <w:sz w:val="20"/>
          <w:szCs w:val="20"/>
        </w:rPr>
        <w:t xml:space="preserve">industrial </w:t>
      </w:r>
      <w:r w:rsidRPr="006C7B74">
        <w:rPr>
          <w:rFonts w:cstheme="minorHAnsi"/>
          <w:sz w:val="20"/>
          <w:szCs w:val="20"/>
        </w:rPr>
        <w:t xml:space="preserve">areas make to the region’s economy and as </w:t>
      </w:r>
      <w:r w:rsidR="00F66E75" w:rsidRPr="006C7B74">
        <w:rPr>
          <w:rFonts w:cstheme="minorHAnsi"/>
          <w:sz w:val="20"/>
          <w:szCs w:val="20"/>
        </w:rPr>
        <w:t xml:space="preserve">important </w:t>
      </w:r>
      <w:r w:rsidRPr="006C7B74">
        <w:rPr>
          <w:rFonts w:cstheme="minorHAnsi"/>
          <w:sz w:val="20"/>
          <w:szCs w:val="20"/>
        </w:rPr>
        <w:t xml:space="preserve">places of </w:t>
      </w:r>
      <w:r w:rsidR="00F66E75" w:rsidRPr="006C7B74">
        <w:rPr>
          <w:rFonts w:cstheme="minorHAnsi"/>
          <w:sz w:val="20"/>
          <w:szCs w:val="20"/>
        </w:rPr>
        <w:t>employment</w:t>
      </w:r>
      <w:r w:rsidRPr="006C7B74">
        <w:rPr>
          <w:rFonts w:cstheme="minorHAnsi"/>
          <w:sz w:val="20"/>
          <w:szCs w:val="20"/>
        </w:rPr>
        <w:t xml:space="preserve">, they </w:t>
      </w:r>
      <w:r w:rsidR="000C6E2F" w:rsidRPr="006C7B74">
        <w:rPr>
          <w:rFonts w:cstheme="minorHAnsi"/>
          <w:sz w:val="20"/>
          <w:szCs w:val="20"/>
        </w:rPr>
        <w:t xml:space="preserve">should </w:t>
      </w:r>
      <w:r w:rsidR="00F66E75" w:rsidRPr="006C7B74">
        <w:rPr>
          <w:rFonts w:cstheme="minorHAnsi"/>
          <w:sz w:val="20"/>
          <w:szCs w:val="20"/>
        </w:rPr>
        <w:t>be retained and carefully planned for. As many of the precincts traverse municipal boundaries, consideration should be given to a coordinated approach that provides for consistent planning for the areas.</w:t>
      </w:r>
    </w:p>
    <w:p w14:paraId="74C6FCD1" w14:textId="0B11EF83" w:rsidR="003D4B01" w:rsidRPr="006C7B74" w:rsidRDefault="003A2FC1" w:rsidP="004C191C">
      <w:pPr>
        <w:pStyle w:val="paragraph"/>
        <w:spacing w:before="0" w:beforeAutospacing="0" w:after="120" w:afterAutospacing="0"/>
        <w:textAlignment w:val="baseline"/>
        <w:rPr>
          <w:rFonts w:cstheme="minorHAnsi"/>
          <w:sz w:val="20"/>
          <w:szCs w:val="20"/>
        </w:rPr>
      </w:pPr>
      <w:r w:rsidRPr="006C7B74">
        <w:rPr>
          <w:rFonts w:cstheme="minorHAnsi"/>
          <w:sz w:val="20"/>
          <w:szCs w:val="20"/>
        </w:rPr>
        <w:t xml:space="preserve">As an established region, there is limited opportunity for expansion of commercial areas beyond those that exist. Areas around Chirnside Park offer </w:t>
      </w:r>
      <w:r w:rsidR="003D4B01" w:rsidRPr="006C7B74">
        <w:rPr>
          <w:rFonts w:cstheme="minorHAnsi"/>
          <w:sz w:val="20"/>
          <w:szCs w:val="20"/>
        </w:rPr>
        <w:t xml:space="preserve">some </w:t>
      </w:r>
      <w:r w:rsidRPr="006C7B74">
        <w:rPr>
          <w:rFonts w:cstheme="minorHAnsi"/>
          <w:sz w:val="20"/>
          <w:szCs w:val="20"/>
        </w:rPr>
        <w:t>opportunity for new commercial development</w:t>
      </w:r>
      <w:r w:rsidR="000C31E1" w:rsidRPr="006C7B74">
        <w:rPr>
          <w:rFonts w:cstheme="minorHAnsi"/>
          <w:sz w:val="20"/>
          <w:szCs w:val="20"/>
        </w:rPr>
        <w:t>,</w:t>
      </w:r>
      <w:r w:rsidRPr="006C7B74">
        <w:rPr>
          <w:rFonts w:cstheme="minorHAnsi"/>
          <w:sz w:val="20"/>
          <w:szCs w:val="20"/>
        </w:rPr>
        <w:t xml:space="preserve"> however in other areas there will be an ongoing need to allow for expansion </w:t>
      </w:r>
      <w:r w:rsidR="007F481E" w:rsidRPr="006C7B74">
        <w:rPr>
          <w:rFonts w:cstheme="minorHAnsi"/>
          <w:sz w:val="20"/>
          <w:szCs w:val="20"/>
        </w:rPr>
        <w:t xml:space="preserve">and development </w:t>
      </w:r>
      <w:r w:rsidR="003D4B01" w:rsidRPr="006C7B74">
        <w:rPr>
          <w:rFonts w:cstheme="minorHAnsi"/>
          <w:sz w:val="20"/>
          <w:szCs w:val="20"/>
        </w:rPr>
        <w:t xml:space="preserve">through intensification </w:t>
      </w:r>
      <w:r w:rsidR="007F481E" w:rsidRPr="006C7B74">
        <w:rPr>
          <w:rFonts w:cstheme="minorHAnsi"/>
          <w:sz w:val="20"/>
          <w:szCs w:val="20"/>
        </w:rPr>
        <w:t xml:space="preserve">of </w:t>
      </w:r>
      <w:r w:rsidRPr="006C7B74">
        <w:rPr>
          <w:rFonts w:cstheme="minorHAnsi"/>
          <w:sz w:val="20"/>
          <w:szCs w:val="20"/>
        </w:rPr>
        <w:t>commercial facilities</w:t>
      </w:r>
      <w:r w:rsidR="007F481E" w:rsidRPr="006C7B74">
        <w:rPr>
          <w:rFonts w:cstheme="minorHAnsi"/>
          <w:sz w:val="20"/>
          <w:szCs w:val="20"/>
        </w:rPr>
        <w:t xml:space="preserve">. </w:t>
      </w:r>
    </w:p>
    <w:p w14:paraId="5F9C1887" w14:textId="0CE8E7C6" w:rsidR="004C191C" w:rsidRPr="006C7B74" w:rsidRDefault="007F481E" w:rsidP="004C191C">
      <w:pPr>
        <w:pStyle w:val="paragraph"/>
        <w:spacing w:before="0" w:beforeAutospacing="0" w:after="120" w:afterAutospacing="0"/>
        <w:textAlignment w:val="baseline"/>
        <w:rPr>
          <w:rFonts w:cstheme="minorHAnsi"/>
          <w:sz w:val="20"/>
          <w:szCs w:val="20"/>
        </w:rPr>
      </w:pPr>
      <w:r w:rsidRPr="006C7B74">
        <w:rPr>
          <w:rFonts w:cstheme="minorHAnsi"/>
          <w:sz w:val="20"/>
          <w:szCs w:val="20"/>
        </w:rPr>
        <w:t xml:space="preserve">The </w:t>
      </w:r>
      <w:r w:rsidR="00A17357" w:rsidRPr="006C7B74">
        <w:rPr>
          <w:rFonts w:cstheme="minorHAnsi"/>
          <w:sz w:val="20"/>
          <w:szCs w:val="20"/>
        </w:rPr>
        <w:t>m</w:t>
      </w:r>
      <w:r w:rsidRPr="006C7B74">
        <w:rPr>
          <w:rFonts w:cstheme="minorHAnsi"/>
          <w:sz w:val="20"/>
          <w:szCs w:val="20"/>
        </w:rPr>
        <w:t xml:space="preserve">etropolitan </w:t>
      </w:r>
      <w:r w:rsidR="00A17357" w:rsidRPr="006C7B74">
        <w:rPr>
          <w:rFonts w:cstheme="minorHAnsi"/>
          <w:sz w:val="20"/>
          <w:szCs w:val="20"/>
        </w:rPr>
        <w:t>a</w:t>
      </w:r>
      <w:r w:rsidRPr="006C7B74">
        <w:rPr>
          <w:rFonts w:cstheme="minorHAnsi"/>
          <w:sz w:val="20"/>
          <w:szCs w:val="20"/>
        </w:rPr>
        <w:t xml:space="preserve">ctivity </w:t>
      </w:r>
      <w:r w:rsidR="00A17357" w:rsidRPr="006C7B74">
        <w:rPr>
          <w:rFonts w:cstheme="minorHAnsi"/>
          <w:sz w:val="20"/>
          <w:szCs w:val="20"/>
        </w:rPr>
        <w:t>c</w:t>
      </w:r>
      <w:r w:rsidRPr="006C7B74">
        <w:rPr>
          <w:rFonts w:cstheme="minorHAnsi"/>
          <w:sz w:val="20"/>
          <w:szCs w:val="20"/>
        </w:rPr>
        <w:t xml:space="preserve">entres of Box Hill and Ringwood </w:t>
      </w:r>
      <w:r w:rsidR="00F65531" w:rsidRPr="006C7B74">
        <w:rPr>
          <w:rFonts w:cstheme="minorHAnsi"/>
          <w:sz w:val="20"/>
          <w:szCs w:val="20"/>
        </w:rPr>
        <w:t>provide</w:t>
      </w:r>
      <w:r w:rsidRPr="006C7B74">
        <w:rPr>
          <w:rFonts w:cstheme="minorHAnsi"/>
          <w:sz w:val="20"/>
          <w:szCs w:val="20"/>
        </w:rPr>
        <w:t xml:space="preserve"> opportunit</w:t>
      </w:r>
      <w:r w:rsidR="00F65531" w:rsidRPr="006C7B74">
        <w:rPr>
          <w:rFonts w:cstheme="minorHAnsi"/>
          <w:sz w:val="20"/>
          <w:szCs w:val="20"/>
        </w:rPr>
        <w:t>ies</w:t>
      </w:r>
      <w:r w:rsidRPr="006C7B74">
        <w:rPr>
          <w:rFonts w:cstheme="minorHAnsi"/>
          <w:sz w:val="20"/>
          <w:szCs w:val="20"/>
        </w:rPr>
        <w:t xml:space="preserve"> to consolidate as significant locations for commercial development</w:t>
      </w:r>
      <w:r w:rsidR="00A00541" w:rsidRPr="006C7B74">
        <w:rPr>
          <w:rFonts w:cstheme="minorHAnsi"/>
          <w:sz w:val="20"/>
          <w:szCs w:val="20"/>
        </w:rPr>
        <w:t xml:space="preserve">. In addition to this, a number of larger </w:t>
      </w:r>
      <w:r w:rsidR="00625661" w:rsidRPr="006C7B74">
        <w:rPr>
          <w:rFonts w:cstheme="minorHAnsi"/>
          <w:sz w:val="20"/>
          <w:szCs w:val="20"/>
        </w:rPr>
        <w:t>m</w:t>
      </w:r>
      <w:r w:rsidR="00A00541" w:rsidRPr="006C7B74">
        <w:rPr>
          <w:rFonts w:cstheme="minorHAnsi"/>
          <w:sz w:val="20"/>
          <w:szCs w:val="20"/>
        </w:rPr>
        <w:t xml:space="preserve">ajor </w:t>
      </w:r>
      <w:r w:rsidR="00625661" w:rsidRPr="006C7B74">
        <w:rPr>
          <w:rFonts w:cstheme="minorHAnsi"/>
          <w:sz w:val="20"/>
          <w:szCs w:val="20"/>
        </w:rPr>
        <w:t>a</w:t>
      </w:r>
      <w:r w:rsidR="00A00541" w:rsidRPr="006C7B74">
        <w:rPr>
          <w:rFonts w:cstheme="minorHAnsi"/>
          <w:sz w:val="20"/>
          <w:szCs w:val="20"/>
        </w:rPr>
        <w:t xml:space="preserve">ctivity </w:t>
      </w:r>
      <w:r w:rsidR="00625661" w:rsidRPr="006C7B74">
        <w:rPr>
          <w:rFonts w:cstheme="minorHAnsi"/>
          <w:sz w:val="20"/>
          <w:szCs w:val="20"/>
        </w:rPr>
        <w:t>c</w:t>
      </w:r>
      <w:r w:rsidR="00A00541" w:rsidRPr="006C7B74">
        <w:rPr>
          <w:rFonts w:cstheme="minorHAnsi"/>
          <w:sz w:val="20"/>
          <w:szCs w:val="20"/>
        </w:rPr>
        <w:t>entres across the region could also offer o</w:t>
      </w:r>
      <w:r w:rsidRPr="006C7B74">
        <w:rPr>
          <w:rFonts w:cstheme="minorHAnsi"/>
          <w:sz w:val="20"/>
          <w:szCs w:val="20"/>
        </w:rPr>
        <w:t>pportunit</w:t>
      </w:r>
      <w:r w:rsidR="00211DB0" w:rsidRPr="006C7B74">
        <w:rPr>
          <w:rFonts w:cstheme="minorHAnsi"/>
          <w:sz w:val="20"/>
          <w:szCs w:val="20"/>
        </w:rPr>
        <w:t>ies</w:t>
      </w:r>
      <w:r w:rsidRPr="006C7B74">
        <w:rPr>
          <w:rFonts w:cstheme="minorHAnsi"/>
          <w:sz w:val="20"/>
          <w:szCs w:val="20"/>
        </w:rPr>
        <w:t xml:space="preserve"> to accommodate future growth</w:t>
      </w:r>
      <w:r w:rsidR="00A00541" w:rsidRPr="006C7B74">
        <w:rPr>
          <w:rFonts w:cstheme="minorHAnsi"/>
          <w:sz w:val="20"/>
          <w:szCs w:val="20"/>
        </w:rPr>
        <w:t>. The Monash NEIC also offers significant opportunity to accommodate future growth, particularly for office development.</w:t>
      </w:r>
    </w:p>
    <w:p w14:paraId="71A56969" w14:textId="75655AA6" w:rsidR="00273CCB" w:rsidRPr="006C7B74" w:rsidRDefault="00273CCB" w:rsidP="00934C4D">
      <w:pPr>
        <w:pStyle w:val="paragraph"/>
        <w:spacing w:before="0" w:beforeAutospacing="0" w:after="120" w:afterAutospacing="0"/>
        <w:textAlignment w:val="baseline"/>
        <w:rPr>
          <w:rFonts w:cstheme="minorHAnsi"/>
          <w:sz w:val="20"/>
          <w:szCs w:val="20"/>
        </w:rPr>
      </w:pPr>
    </w:p>
    <w:p w14:paraId="5E105917" w14:textId="77777777" w:rsidR="0052312F" w:rsidRPr="006C7B74" w:rsidRDefault="0052312F" w:rsidP="0052312F">
      <w:pPr>
        <w:pStyle w:val="paragraph"/>
        <w:spacing w:before="0" w:beforeAutospacing="0" w:after="120" w:afterAutospacing="0"/>
        <w:textAlignment w:val="baseline"/>
        <w:rPr>
          <w:rFonts w:cstheme="minorHAnsi"/>
          <w:sz w:val="20"/>
          <w:szCs w:val="20"/>
        </w:rPr>
      </w:pPr>
      <w:r w:rsidRPr="006C7B74">
        <w:rPr>
          <w:rFonts w:cstheme="minorHAnsi"/>
          <w:sz w:val="20"/>
          <w:szCs w:val="20"/>
        </w:rPr>
        <w:t>Planning for the region should:</w:t>
      </w:r>
    </w:p>
    <w:p w14:paraId="310ED31A" w14:textId="77777777" w:rsidR="0052312F" w:rsidRPr="006C7B74" w:rsidRDefault="0052312F" w:rsidP="0052312F">
      <w:pPr>
        <w:pStyle w:val="BodyText"/>
        <w:numPr>
          <w:ilvl w:val="0"/>
          <w:numId w:val="55"/>
        </w:numPr>
        <w:spacing w:before="0" w:line="240" w:lineRule="auto"/>
        <w:rPr>
          <w:lang w:eastAsia="en-AU"/>
        </w:rPr>
      </w:pPr>
      <w:r w:rsidRPr="006C7B74">
        <w:rPr>
          <w:lang w:eastAsia="en-AU"/>
        </w:rPr>
        <w:t xml:space="preserve">Retain industrial zoned land at </w:t>
      </w:r>
      <w:r w:rsidRPr="006C7B74">
        <w:t>Clayton-Mulgrave, Scoresby-Rowville and Bayswater-Kilsyth predominately for industrial uses and limit encroachment by other uses that would fragment the industrial land.</w:t>
      </w:r>
    </w:p>
    <w:p w14:paraId="20C55760" w14:textId="77777777" w:rsidR="0052312F" w:rsidRPr="006C7B74" w:rsidRDefault="0052312F" w:rsidP="0052312F">
      <w:pPr>
        <w:pStyle w:val="BodyText"/>
        <w:numPr>
          <w:ilvl w:val="0"/>
          <w:numId w:val="55"/>
        </w:numPr>
        <w:spacing w:before="0" w:line="240" w:lineRule="auto"/>
        <w:rPr>
          <w:lang w:eastAsia="en-AU"/>
        </w:rPr>
      </w:pPr>
      <w:r w:rsidRPr="006C7B74">
        <w:rPr>
          <w:lang w:eastAsia="en-AU"/>
        </w:rPr>
        <w:t xml:space="preserve">Investigate and identify areas within </w:t>
      </w:r>
      <w:proofErr w:type="gramStart"/>
      <w:r w:rsidRPr="006C7B74" w:rsidDel="009C206B">
        <w:rPr>
          <w:lang w:eastAsia="en-AU"/>
        </w:rPr>
        <w:t>regionally-significant</w:t>
      </w:r>
      <w:proofErr w:type="gramEnd"/>
      <w:r w:rsidRPr="006C7B74" w:rsidDel="009C206B">
        <w:rPr>
          <w:lang w:eastAsia="en-AU"/>
        </w:rPr>
        <w:t xml:space="preserve"> industrial precincts</w:t>
      </w:r>
      <w:r w:rsidRPr="006C7B74">
        <w:rPr>
          <w:lang w:eastAsia="en-AU"/>
        </w:rPr>
        <w:t xml:space="preserve"> that could support other employment uses, including offices, creative industries and start-ups, that support or are well connected to adjacent employment uses or transport connections. </w:t>
      </w:r>
    </w:p>
    <w:p w14:paraId="4DB5C9ED" w14:textId="77777777" w:rsidR="0052312F" w:rsidRPr="006C7B74" w:rsidRDefault="0052312F" w:rsidP="0052312F">
      <w:pPr>
        <w:pStyle w:val="BodyText"/>
        <w:numPr>
          <w:ilvl w:val="0"/>
          <w:numId w:val="4"/>
        </w:numPr>
        <w:spacing w:before="0" w:line="240" w:lineRule="auto"/>
        <w:rPr>
          <w:lang w:eastAsia="en-AU"/>
        </w:rPr>
      </w:pPr>
      <w:r w:rsidRPr="006C7B74">
        <w:rPr>
          <w:lang w:eastAsia="en-AU"/>
        </w:rPr>
        <w:t>Identify areas that can support future demand for commercial floorspace and new investment in the region and plan for these areas to support future growth.</w:t>
      </w:r>
    </w:p>
    <w:p w14:paraId="2A74F541" w14:textId="4A3C97BD" w:rsidR="00DB3C3D" w:rsidRPr="006C7B74" w:rsidRDefault="00DB3C3D" w:rsidP="00934C4D">
      <w:pPr>
        <w:pStyle w:val="ListParagraph"/>
        <w:spacing w:after="120"/>
        <w:ind w:left="0"/>
        <w:rPr>
          <w:rFonts w:cstheme="minorHAnsi"/>
          <w:sz w:val="20"/>
          <w:szCs w:val="20"/>
        </w:rPr>
      </w:pPr>
    </w:p>
    <w:p w14:paraId="75D8FA79" w14:textId="3FE5DF9E" w:rsidR="003D3C38" w:rsidRPr="006C7B74" w:rsidRDefault="0053259C" w:rsidP="006542F0">
      <w:pPr>
        <w:pStyle w:val="Heading5"/>
      </w:pPr>
      <w:r w:rsidRPr="006C7B74">
        <w:rPr>
          <w:rFonts w:cstheme="minorHAnsi"/>
          <w:szCs w:val="20"/>
        </w:rPr>
        <w:br w:type="page"/>
      </w:r>
      <w:r w:rsidR="005B2EC3" w:rsidRPr="006C7B74">
        <w:lastRenderedPageBreak/>
        <w:t xml:space="preserve">Map </w:t>
      </w:r>
      <w:r w:rsidR="00660BB5" w:rsidRPr="006C7B74">
        <w:t>1</w:t>
      </w:r>
      <w:r w:rsidR="00D90DAF" w:rsidRPr="006C7B74">
        <w:t>0</w:t>
      </w:r>
      <w:r w:rsidR="005B2EC3" w:rsidRPr="006C7B74">
        <w:t xml:space="preserve">: Eastern Region </w:t>
      </w:r>
      <w:r w:rsidR="00375B65" w:rsidRPr="006C7B74">
        <w:t>-</w:t>
      </w:r>
      <w:r w:rsidR="0017387D" w:rsidRPr="006C7B74">
        <w:t xml:space="preserve"> </w:t>
      </w:r>
      <w:r w:rsidR="009C6C79" w:rsidRPr="006C7B74">
        <w:t>i</w:t>
      </w:r>
      <w:r w:rsidR="005B2EC3" w:rsidRPr="006C7B74">
        <w:t xml:space="preserve">ndustrial </w:t>
      </w:r>
      <w:r w:rsidR="009C6C79" w:rsidRPr="006C7B74">
        <w:t>l</w:t>
      </w:r>
      <w:r w:rsidR="005B2EC3" w:rsidRPr="006C7B74">
        <w:t>and</w:t>
      </w:r>
    </w:p>
    <w:p w14:paraId="5DAE5C82" w14:textId="77777777" w:rsidR="000E5EC2" w:rsidRPr="006C7B74" w:rsidRDefault="000E5EC2" w:rsidP="000E5EC2">
      <w:pPr>
        <w:pStyle w:val="Quote"/>
      </w:pPr>
      <w:r w:rsidRPr="006C7B74">
        <w:t xml:space="preserve">Source: Department of Environment, Land, Water and Planning </w:t>
      </w:r>
    </w:p>
    <w:p w14:paraId="2C4D59F8" w14:textId="4272F661" w:rsidR="005B2EC3" w:rsidRPr="006C7B74" w:rsidRDefault="005B2EC3" w:rsidP="005B2EC3">
      <w:pPr>
        <w:spacing w:after="120"/>
        <w:rPr>
          <w:rFonts w:cstheme="minorHAnsi"/>
          <w:sz w:val="20"/>
          <w:szCs w:val="20"/>
        </w:rPr>
      </w:pPr>
    </w:p>
    <w:p w14:paraId="1863F301" w14:textId="77777777" w:rsidR="0053259C" w:rsidRPr="006C7B74" w:rsidRDefault="0053259C">
      <w:pPr>
        <w:rPr>
          <w:rFonts w:cstheme="minorHAnsi"/>
          <w:b/>
          <w:sz w:val="20"/>
          <w:szCs w:val="20"/>
        </w:rPr>
      </w:pPr>
    </w:p>
    <w:p w14:paraId="03D4022B" w14:textId="257E5818" w:rsidR="003D3C38" w:rsidRPr="006C7B74" w:rsidRDefault="00FA3A4E" w:rsidP="006542F0">
      <w:pPr>
        <w:pStyle w:val="Heading5"/>
      </w:pPr>
      <w:r w:rsidRPr="006C7B74">
        <w:t>Map</w:t>
      </w:r>
      <w:r w:rsidR="00732BE8" w:rsidRPr="006C7B74">
        <w:t xml:space="preserve"> </w:t>
      </w:r>
      <w:r w:rsidR="009436CD" w:rsidRPr="006C7B74">
        <w:t>1</w:t>
      </w:r>
      <w:r w:rsidR="00D90DAF" w:rsidRPr="006C7B74">
        <w:t>1</w:t>
      </w:r>
      <w:r w:rsidR="00732BE8" w:rsidRPr="006C7B74">
        <w:t xml:space="preserve">: Eastern Region </w:t>
      </w:r>
      <w:r w:rsidR="00375B65" w:rsidRPr="006C7B74">
        <w:t>-</w:t>
      </w:r>
      <w:r w:rsidRPr="006C7B74">
        <w:t xml:space="preserve"> </w:t>
      </w:r>
      <w:r w:rsidR="009C6C79" w:rsidRPr="006C7B74">
        <w:t>c</w:t>
      </w:r>
      <w:r w:rsidRPr="006C7B74">
        <w:t>ommercial land</w:t>
      </w:r>
    </w:p>
    <w:p w14:paraId="051FE0D7" w14:textId="77777777" w:rsidR="000E5EC2" w:rsidRPr="006C7B74" w:rsidRDefault="000E5EC2" w:rsidP="000E5EC2">
      <w:pPr>
        <w:pStyle w:val="Quote"/>
      </w:pPr>
      <w:r w:rsidRPr="006C7B74">
        <w:t xml:space="preserve">Source: Department of Environment, Land, Water and Planning </w:t>
      </w:r>
    </w:p>
    <w:p w14:paraId="66C257B1" w14:textId="12F93D69" w:rsidR="00434738" w:rsidRPr="006C7B74" w:rsidRDefault="00434738" w:rsidP="00934C4D">
      <w:pPr>
        <w:spacing w:after="120"/>
        <w:rPr>
          <w:rFonts w:cstheme="minorHAnsi"/>
          <w:sz w:val="20"/>
          <w:szCs w:val="20"/>
        </w:rPr>
      </w:pPr>
      <w:r w:rsidRPr="006C7B74">
        <w:rPr>
          <w:rFonts w:cstheme="minorHAnsi"/>
          <w:sz w:val="20"/>
          <w:szCs w:val="20"/>
        </w:rPr>
        <w:br w:type="page"/>
      </w:r>
    </w:p>
    <w:p w14:paraId="10C1C103" w14:textId="77777777" w:rsidR="00F96E2C" w:rsidRPr="006C7B74" w:rsidRDefault="00F96E2C" w:rsidP="00934C4D">
      <w:pPr>
        <w:pStyle w:val="Heading1"/>
        <w:spacing w:before="0"/>
        <w:ind w:left="357" w:hanging="357"/>
      </w:pPr>
      <w:bookmarkStart w:id="53" w:name="_Toc21694832"/>
      <w:r w:rsidRPr="006C7B74">
        <w:lastRenderedPageBreak/>
        <w:t>Southern Region</w:t>
      </w:r>
      <w:bookmarkEnd w:id="53"/>
      <w:r w:rsidRPr="006C7B74">
        <w:t xml:space="preserve"> </w:t>
      </w:r>
    </w:p>
    <w:p w14:paraId="14226F40" w14:textId="5B978134" w:rsidR="00F96E2C" w:rsidRPr="006C7B74" w:rsidRDefault="00F96E2C" w:rsidP="00934C4D">
      <w:pPr>
        <w:pStyle w:val="Heading2-Contenttable"/>
        <w:spacing w:after="120"/>
      </w:pPr>
      <w:bookmarkStart w:id="54" w:name="_Toc21694833"/>
      <w:r w:rsidRPr="006C7B74">
        <w:t xml:space="preserve">Regional </w:t>
      </w:r>
      <w:r w:rsidR="008D53FD" w:rsidRPr="006C7B74">
        <w:t>snapshot</w:t>
      </w:r>
      <w:bookmarkEnd w:id="54"/>
    </w:p>
    <w:p w14:paraId="4C81C285" w14:textId="7CC0C117" w:rsidR="00F96E2C" w:rsidRPr="006C7B74" w:rsidRDefault="00F96E2C" w:rsidP="00934C4D">
      <w:pPr>
        <w:spacing w:after="120"/>
        <w:rPr>
          <w:rStyle w:val="normaltextrun"/>
          <w:rFonts w:cstheme="minorHAnsi"/>
          <w:color w:val="000000"/>
          <w:sz w:val="20"/>
          <w:szCs w:val="20"/>
          <w:shd w:val="clear" w:color="auto" w:fill="FFFFFF"/>
        </w:rPr>
      </w:pPr>
      <w:r w:rsidRPr="006C7B74">
        <w:rPr>
          <w:rStyle w:val="normaltextrun"/>
          <w:rFonts w:cstheme="minorHAnsi"/>
          <w:color w:val="000000"/>
          <w:sz w:val="20"/>
          <w:szCs w:val="20"/>
          <w:shd w:val="clear" w:color="auto" w:fill="FFFFFF"/>
        </w:rPr>
        <w:t>The</w:t>
      </w:r>
      <w:r w:rsidR="00F46B79" w:rsidRPr="006C7B74">
        <w:rPr>
          <w:rFonts w:cstheme="minorHAnsi"/>
          <w:color w:val="000000"/>
          <w:sz w:val="20"/>
          <w:szCs w:val="20"/>
          <w:shd w:val="clear" w:color="auto" w:fill="FFFFFF"/>
        </w:rPr>
        <w:t xml:space="preserve"> </w:t>
      </w:r>
      <w:r w:rsidR="00A55022" w:rsidRPr="006C7B74">
        <w:rPr>
          <w:rStyle w:val="normaltextrun"/>
          <w:rFonts w:cstheme="minorHAnsi"/>
          <w:color w:val="000000"/>
          <w:sz w:val="20"/>
          <w:szCs w:val="20"/>
          <w:shd w:val="clear" w:color="auto" w:fill="FFFFFF"/>
        </w:rPr>
        <w:t>S</w:t>
      </w:r>
      <w:r w:rsidRPr="006C7B74">
        <w:rPr>
          <w:rStyle w:val="normaltextrun"/>
          <w:rFonts w:cstheme="minorHAnsi"/>
          <w:color w:val="000000"/>
          <w:sz w:val="20"/>
          <w:szCs w:val="20"/>
          <w:shd w:val="clear" w:color="auto" w:fill="FFFFFF"/>
        </w:rPr>
        <w:t xml:space="preserve">outhern </w:t>
      </w:r>
      <w:r w:rsidR="00A55022" w:rsidRPr="006C7B74">
        <w:rPr>
          <w:rStyle w:val="normaltextrun"/>
          <w:rFonts w:cstheme="minorHAnsi"/>
          <w:color w:val="000000"/>
          <w:sz w:val="20"/>
          <w:szCs w:val="20"/>
          <w:shd w:val="clear" w:color="auto" w:fill="FFFFFF"/>
        </w:rPr>
        <w:t>R</w:t>
      </w:r>
      <w:r w:rsidRPr="006C7B74">
        <w:rPr>
          <w:rStyle w:val="normaltextrun"/>
          <w:rFonts w:cstheme="minorHAnsi"/>
          <w:color w:val="000000"/>
          <w:sz w:val="20"/>
          <w:szCs w:val="20"/>
          <w:shd w:val="clear" w:color="auto" w:fill="FFFFFF"/>
        </w:rPr>
        <w:t>egion comprises the municipalities of</w:t>
      </w:r>
      <w:r w:rsidR="00F46B79" w:rsidRPr="006C7B74">
        <w:rPr>
          <w:rFonts w:cstheme="minorHAnsi"/>
          <w:color w:val="000000"/>
          <w:sz w:val="20"/>
          <w:szCs w:val="20"/>
          <w:shd w:val="clear" w:color="auto" w:fill="FFFFFF"/>
        </w:rPr>
        <w:t xml:space="preserve"> </w:t>
      </w:r>
      <w:r w:rsidRPr="006C7B74">
        <w:rPr>
          <w:rStyle w:val="normaltextrun"/>
          <w:rFonts w:cstheme="minorHAnsi"/>
          <w:color w:val="000000"/>
          <w:sz w:val="20"/>
          <w:szCs w:val="20"/>
          <w:shd w:val="clear" w:color="auto" w:fill="FFFFFF"/>
        </w:rPr>
        <w:t xml:space="preserve">Cardinia, Casey, Frankston, Greater Dandenong, Kingston and Mornington Peninsula. </w:t>
      </w:r>
      <w:r w:rsidR="0077449D" w:rsidRPr="006C7B74">
        <w:rPr>
          <w:rStyle w:val="normaltextrun"/>
          <w:rFonts w:cstheme="minorHAnsi"/>
          <w:color w:val="000000"/>
          <w:sz w:val="20"/>
          <w:szCs w:val="20"/>
          <w:shd w:val="clear" w:color="auto" w:fill="FFFFFF"/>
        </w:rPr>
        <w:t xml:space="preserve">The region includes the </w:t>
      </w:r>
      <w:r w:rsidR="0025280A" w:rsidRPr="006C7B74">
        <w:rPr>
          <w:rStyle w:val="normaltextrun"/>
          <w:rFonts w:cstheme="minorHAnsi"/>
          <w:color w:val="000000"/>
          <w:sz w:val="20"/>
          <w:szCs w:val="20"/>
          <w:shd w:val="clear" w:color="auto" w:fill="FFFFFF"/>
        </w:rPr>
        <w:t>South East Growth Corridor</w:t>
      </w:r>
      <w:r w:rsidR="00733DC5" w:rsidRPr="006C7B74">
        <w:rPr>
          <w:rStyle w:val="normaltextrun"/>
          <w:rFonts w:cstheme="minorHAnsi"/>
          <w:color w:val="000000"/>
          <w:sz w:val="20"/>
          <w:szCs w:val="20"/>
          <w:shd w:val="clear" w:color="auto" w:fill="FFFFFF"/>
        </w:rPr>
        <w:t xml:space="preserve"> and makes significant provision for future industr</w:t>
      </w:r>
      <w:r w:rsidR="00A55022" w:rsidRPr="006C7B74">
        <w:rPr>
          <w:rStyle w:val="normaltextrun"/>
          <w:rFonts w:cstheme="minorHAnsi"/>
          <w:color w:val="000000"/>
          <w:sz w:val="20"/>
          <w:szCs w:val="20"/>
          <w:shd w:val="clear" w:color="auto" w:fill="FFFFFF"/>
        </w:rPr>
        <w:t>y</w:t>
      </w:r>
      <w:r w:rsidR="00733DC5" w:rsidRPr="006C7B74">
        <w:rPr>
          <w:rStyle w:val="normaltextrun"/>
          <w:rFonts w:cstheme="minorHAnsi"/>
          <w:color w:val="000000"/>
          <w:sz w:val="20"/>
          <w:szCs w:val="20"/>
          <w:shd w:val="clear" w:color="auto" w:fill="FFFFFF"/>
        </w:rPr>
        <w:t xml:space="preserve"> and housing.</w:t>
      </w:r>
      <w:r w:rsidR="0016667E" w:rsidRPr="006C7B74">
        <w:rPr>
          <w:rStyle w:val="normaltextrun"/>
          <w:rFonts w:cstheme="minorHAnsi"/>
          <w:color w:val="000000"/>
          <w:sz w:val="20"/>
          <w:szCs w:val="20"/>
          <w:shd w:val="clear" w:color="auto" w:fill="FFFFFF"/>
        </w:rPr>
        <w:t xml:space="preserve"> The region has three state-significant industrial precincts (SSIPs).</w:t>
      </w:r>
    </w:p>
    <w:p w14:paraId="0CBCB841" w14:textId="1397482D" w:rsidR="00C02481" w:rsidRPr="006C7B74" w:rsidRDefault="008516CA" w:rsidP="008516CA">
      <w:pPr>
        <w:pStyle w:val="paragraph"/>
        <w:spacing w:before="0" w:beforeAutospacing="0" w:after="120" w:afterAutospacing="0"/>
        <w:textAlignment w:val="baseline"/>
        <w:rPr>
          <w:rStyle w:val="normaltextrun"/>
          <w:rFonts w:cstheme="minorHAnsi"/>
          <w:sz w:val="20"/>
          <w:szCs w:val="20"/>
        </w:rPr>
      </w:pPr>
      <w:r w:rsidRPr="006C7B74">
        <w:rPr>
          <w:rStyle w:val="normaltextrun"/>
          <w:rFonts w:cstheme="minorHAnsi"/>
          <w:sz w:val="20"/>
          <w:szCs w:val="20"/>
        </w:rPr>
        <w:t xml:space="preserve">There are good </w:t>
      </w:r>
      <w:r w:rsidR="0002702E" w:rsidRPr="006C7B74">
        <w:rPr>
          <w:rStyle w:val="normaltextrun"/>
          <w:rFonts w:cstheme="minorHAnsi"/>
          <w:sz w:val="20"/>
          <w:szCs w:val="20"/>
        </w:rPr>
        <w:t xml:space="preserve">road and rail </w:t>
      </w:r>
      <w:r w:rsidRPr="006C7B74">
        <w:rPr>
          <w:rStyle w:val="normaltextrun"/>
          <w:rFonts w:cstheme="minorHAnsi"/>
          <w:sz w:val="20"/>
          <w:szCs w:val="20"/>
        </w:rPr>
        <w:t xml:space="preserve">connections </w:t>
      </w:r>
      <w:r w:rsidR="0002702E" w:rsidRPr="006C7B74">
        <w:rPr>
          <w:rStyle w:val="normaltextrun"/>
          <w:rFonts w:cstheme="minorHAnsi"/>
          <w:sz w:val="20"/>
          <w:szCs w:val="20"/>
        </w:rPr>
        <w:t>across the region</w:t>
      </w:r>
      <w:r w:rsidR="006E7034" w:rsidRPr="006C7B74">
        <w:rPr>
          <w:rStyle w:val="normaltextrun"/>
          <w:rFonts w:cstheme="minorHAnsi"/>
          <w:sz w:val="20"/>
          <w:szCs w:val="20"/>
        </w:rPr>
        <w:t>.</w:t>
      </w:r>
      <w:r w:rsidR="0040594C" w:rsidRPr="006C7B74">
        <w:rPr>
          <w:rStyle w:val="normaltextrun"/>
          <w:rFonts w:cstheme="minorHAnsi"/>
          <w:sz w:val="20"/>
          <w:szCs w:val="20"/>
        </w:rPr>
        <w:t xml:space="preserve"> </w:t>
      </w:r>
      <w:r w:rsidR="006E7034" w:rsidRPr="006C7B74">
        <w:rPr>
          <w:rStyle w:val="normaltextrun"/>
          <w:rFonts w:cstheme="minorHAnsi"/>
          <w:sz w:val="20"/>
          <w:szCs w:val="20"/>
        </w:rPr>
        <w:t>T</w:t>
      </w:r>
      <w:r w:rsidR="0002702E" w:rsidRPr="006C7B74">
        <w:rPr>
          <w:rStyle w:val="normaltextrun"/>
          <w:rFonts w:cstheme="minorHAnsi"/>
          <w:sz w:val="20"/>
          <w:szCs w:val="20"/>
        </w:rPr>
        <w:t xml:space="preserve">he key roads of </w:t>
      </w:r>
      <w:r w:rsidR="00212422" w:rsidRPr="006C7B74">
        <w:rPr>
          <w:rStyle w:val="normaltextrun"/>
          <w:rFonts w:cstheme="minorHAnsi"/>
          <w:sz w:val="20"/>
          <w:szCs w:val="20"/>
        </w:rPr>
        <w:t>East</w:t>
      </w:r>
      <w:r w:rsidR="00977522" w:rsidRPr="006C7B74">
        <w:rPr>
          <w:rStyle w:val="normaltextrun"/>
          <w:rFonts w:cstheme="minorHAnsi"/>
          <w:sz w:val="20"/>
          <w:szCs w:val="20"/>
        </w:rPr>
        <w:t xml:space="preserve">link, Monash Freeway, </w:t>
      </w:r>
      <w:r w:rsidR="00C96C22" w:rsidRPr="006C7B74">
        <w:rPr>
          <w:rStyle w:val="normaltextrun"/>
          <w:rFonts w:cstheme="minorHAnsi"/>
          <w:sz w:val="20"/>
          <w:szCs w:val="20"/>
        </w:rPr>
        <w:t xml:space="preserve">Mornington Peninsula Freeway, </w:t>
      </w:r>
      <w:r w:rsidR="0002702E" w:rsidRPr="006C7B74">
        <w:rPr>
          <w:rStyle w:val="normaltextrun"/>
          <w:rFonts w:cstheme="minorHAnsi"/>
          <w:sz w:val="20"/>
          <w:szCs w:val="20"/>
        </w:rPr>
        <w:t>the Princess Highway and Freeway, Nepean Highway</w:t>
      </w:r>
      <w:r w:rsidR="000462DA" w:rsidRPr="006C7B74">
        <w:rPr>
          <w:rStyle w:val="normaltextrun"/>
          <w:rFonts w:cstheme="minorHAnsi"/>
          <w:sz w:val="20"/>
          <w:szCs w:val="20"/>
        </w:rPr>
        <w:t>, Western Port Highway</w:t>
      </w:r>
      <w:r w:rsidR="0002702E" w:rsidRPr="006C7B74">
        <w:rPr>
          <w:rStyle w:val="normaltextrun"/>
          <w:rFonts w:cstheme="minorHAnsi"/>
          <w:sz w:val="20"/>
          <w:szCs w:val="20"/>
        </w:rPr>
        <w:t xml:space="preserve"> and </w:t>
      </w:r>
      <w:r w:rsidR="00C96C22" w:rsidRPr="006C7B74">
        <w:rPr>
          <w:rStyle w:val="normaltextrun"/>
          <w:rFonts w:cstheme="minorHAnsi"/>
          <w:sz w:val="20"/>
          <w:szCs w:val="20"/>
        </w:rPr>
        <w:t xml:space="preserve">South Gippsland </w:t>
      </w:r>
      <w:r w:rsidR="00FE0449" w:rsidRPr="006C7B74">
        <w:rPr>
          <w:rStyle w:val="normaltextrun"/>
          <w:rFonts w:cstheme="minorHAnsi"/>
          <w:sz w:val="20"/>
          <w:szCs w:val="20"/>
        </w:rPr>
        <w:t xml:space="preserve">Freeway and </w:t>
      </w:r>
      <w:r w:rsidR="00C96C22" w:rsidRPr="006C7B74">
        <w:rPr>
          <w:rStyle w:val="normaltextrun"/>
          <w:rFonts w:cstheme="minorHAnsi"/>
          <w:sz w:val="20"/>
          <w:szCs w:val="20"/>
        </w:rPr>
        <w:t>Highway</w:t>
      </w:r>
      <w:r w:rsidR="00363519" w:rsidRPr="006C7B74">
        <w:rPr>
          <w:rStyle w:val="normaltextrun"/>
          <w:rFonts w:cstheme="minorHAnsi"/>
          <w:sz w:val="20"/>
          <w:szCs w:val="20"/>
        </w:rPr>
        <w:t xml:space="preserve"> </w:t>
      </w:r>
      <w:r w:rsidR="0002702E" w:rsidRPr="006C7B74">
        <w:rPr>
          <w:rStyle w:val="normaltextrun"/>
          <w:rFonts w:cstheme="minorHAnsi"/>
          <w:sz w:val="20"/>
          <w:szCs w:val="20"/>
        </w:rPr>
        <w:t>provid</w:t>
      </w:r>
      <w:r w:rsidR="006E7034" w:rsidRPr="006C7B74">
        <w:rPr>
          <w:rStyle w:val="normaltextrun"/>
          <w:rFonts w:cstheme="minorHAnsi"/>
          <w:sz w:val="20"/>
          <w:szCs w:val="20"/>
        </w:rPr>
        <w:t>e</w:t>
      </w:r>
      <w:r w:rsidR="0002702E" w:rsidRPr="006C7B74">
        <w:rPr>
          <w:rStyle w:val="normaltextrun"/>
          <w:rFonts w:cstheme="minorHAnsi"/>
          <w:sz w:val="20"/>
          <w:szCs w:val="20"/>
        </w:rPr>
        <w:t xml:space="preserve"> important connections throughout the region</w:t>
      </w:r>
      <w:r w:rsidR="00363519" w:rsidRPr="006C7B74">
        <w:rPr>
          <w:rStyle w:val="normaltextrun"/>
          <w:rFonts w:cstheme="minorHAnsi"/>
          <w:sz w:val="20"/>
          <w:szCs w:val="20"/>
        </w:rPr>
        <w:t xml:space="preserve"> and beyond </w:t>
      </w:r>
      <w:r w:rsidR="001D685C" w:rsidRPr="006C7B74">
        <w:rPr>
          <w:rStyle w:val="normaltextrun"/>
          <w:rFonts w:cstheme="minorHAnsi"/>
          <w:sz w:val="20"/>
          <w:szCs w:val="20"/>
        </w:rPr>
        <w:t>to other regions, including regional Victoria. T</w:t>
      </w:r>
      <w:r w:rsidR="00BC573D" w:rsidRPr="006C7B74">
        <w:rPr>
          <w:rStyle w:val="normaltextrun"/>
          <w:rFonts w:cstheme="minorHAnsi"/>
          <w:sz w:val="20"/>
          <w:szCs w:val="20"/>
        </w:rPr>
        <w:t xml:space="preserve">hree </w:t>
      </w:r>
      <w:r w:rsidR="006E7034" w:rsidRPr="006C7B74">
        <w:rPr>
          <w:rStyle w:val="normaltextrun"/>
          <w:rFonts w:cstheme="minorHAnsi"/>
          <w:sz w:val="20"/>
          <w:szCs w:val="20"/>
        </w:rPr>
        <w:t xml:space="preserve">rail </w:t>
      </w:r>
      <w:r w:rsidR="00C977A7" w:rsidRPr="006C7B74">
        <w:rPr>
          <w:rStyle w:val="normaltextrun"/>
          <w:rFonts w:cstheme="minorHAnsi"/>
          <w:sz w:val="20"/>
          <w:szCs w:val="20"/>
        </w:rPr>
        <w:t xml:space="preserve">lines provide </w:t>
      </w:r>
      <w:r w:rsidR="006E7034" w:rsidRPr="006C7B74">
        <w:rPr>
          <w:rStyle w:val="normaltextrun"/>
          <w:rFonts w:cstheme="minorHAnsi"/>
          <w:sz w:val="20"/>
          <w:szCs w:val="20"/>
        </w:rPr>
        <w:t>connections</w:t>
      </w:r>
      <w:r w:rsidR="001151D7" w:rsidRPr="006C7B74">
        <w:rPr>
          <w:rStyle w:val="normaltextrun"/>
          <w:rFonts w:cstheme="minorHAnsi"/>
          <w:sz w:val="20"/>
          <w:szCs w:val="20"/>
        </w:rPr>
        <w:t xml:space="preserve"> </w:t>
      </w:r>
      <w:r w:rsidR="00C977A7" w:rsidRPr="006C7B74">
        <w:rPr>
          <w:rStyle w:val="normaltextrun"/>
          <w:rFonts w:cstheme="minorHAnsi"/>
          <w:sz w:val="20"/>
          <w:szCs w:val="20"/>
        </w:rPr>
        <w:t xml:space="preserve">to Frankston and </w:t>
      </w:r>
      <w:r w:rsidR="00C02481" w:rsidRPr="006C7B74">
        <w:rPr>
          <w:rStyle w:val="normaltextrun"/>
          <w:rFonts w:cstheme="minorHAnsi"/>
          <w:sz w:val="20"/>
          <w:szCs w:val="20"/>
        </w:rPr>
        <w:t>Stony Point, Cranbourne and Pakenham.</w:t>
      </w:r>
    </w:p>
    <w:p w14:paraId="6A351046" w14:textId="72FF04FF" w:rsidR="00BD4473" w:rsidRPr="006C7B74" w:rsidRDefault="008516CA" w:rsidP="008516CA">
      <w:pPr>
        <w:pStyle w:val="paragraph"/>
        <w:spacing w:before="0" w:beforeAutospacing="0" w:after="120" w:afterAutospacing="0"/>
        <w:textAlignment w:val="baseline"/>
        <w:rPr>
          <w:rStyle w:val="normaltextrun"/>
          <w:rFonts w:cstheme="minorHAnsi"/>
          <w:sz w:val="20"/>
          <w:szCs w:val="20"/>
        </w:rPr>
      </w:pPr>
      <w:r w:rsidRPr="006C7B74">
        <w:rPr>
          <w:rStyle w:val="normaltextrun"/>
          <w:rFonts w:cstheme="minorHAnsi"/>
          <w:sz w:val="20"/>
          <w:szCs w:val="20"/>
        </w:rPr>
        <w:t>Significant competitive advantages exist</w:t>
      </w:r>
      <w:r w:rsidR="00BD4473" w:rsidRPr="006C7B74">
        <w:rPr>
          <w:rStyle w:val="normaltextrun"/>
          <w:rFonts w:cstheme="minorHAnsi"/>
          <w:sz w:val="20"/>
          <w:szCs w:val="20"/>
        </w:rPr>
        <w:t xml:space="preserve"> </w:t>
      </w:r>
      <w:r w:rsidRPr="006C7B74">
        <w:rPr>
          <w:rStyle w:val="normaltextrun"/>
          <w:rFonts w:cstheme="minorHAnsi"/>
          <w:sz w:val="20"/>
          <w:szCs w:val="20"/>
        </w:rPr>
        <w:t>for the region</w:t>
      </w:r>
      <w:r w:rsidR="0016307D" w:rsidRPr="006C7B74">
        <w:rPr>
          <w:rStyle w:val="normaltextrun"/>
          <w:rFonts w:cstheme="minorHAnsi"/>
          <w:sz w:val="20"/>
          <w:szCs w:val="20"/>
        </w:rPr>
        <w:t>,</w:t>
      </w:r>
      <w:r w:rsidRPr="006C7B74">
        <w:rPr>
          <w:rStyle w:val="normaltextrun"/>
          <w:rFonts w:cstheme="minorHAnsi"/>
          <w:sz w:val="20"/>
          <w:szCs w:val="20"/>
        </w:rPr>
        <w:t xml:space="preserve"> having </w:t>
      </w:r>
      <w:r w:rsidR="00782869" w:rsidRPr="006C7B74">
        <w:rPr>
          <w:rStyle w:val="normaltextrun"/>
          <w:rFonts w:cstheme="minorHAnsi"/>
          <w:sz w:val="20"/>
          <w:szCs w:val="20"/>
        </w:rPr>
        <w:t xml:space="preserve">easy </w:t>
      </w:r>
      <w:r w:rsidRPr="006C7B74">
        <w:rPr>
          <w:rStyle w:val="normaltextrun"/>
          <w:rFonts w:cstheme="minorHAnsi"/>
          <w:sz w:val="20"/>
          <w:szCs w:val="20"/>
        </w:rPr>
        <w:t>access to Moorabbin Airport and the Port of Hastings.</w:t>
      </w:r>
      <w:r w:rsidR="00BD4473" w:rsidRPr="006C7B74">
        <w:rPr>
          <w:rStyle w:val="normaltextrun"/>
          <w:rFonts w:cstheme="minorHAnsi"/>
          <w:sz w:val="20"/>
          <w:szCs w:val="20"/>
        </w:rPr>
        <w:t xml:space="preserve"> </w:t>
      </w:r>
      <w:r w:rsidR="009409E2" w:rsidRPr="006C7B74">
        <w:rPr>
          <w:rStyle w:val="normaltextrun"/>
          <w:rFonts w:cstheme="minorHAnsi"/>
          <w:sz w:val="20"/>
          <w:szCs w:val="20"/>
        </w:rPr>
        <w:t>A</w:t>
      </w:r>
      <w:r w:rsidR="00BD4473" w:rsidRPr="006C7B74">
        <w:rPr>
          <w:rStyle w:val="normaltextrun"/>
          <w:rFonts w:cstheme="minorHAnsi"/>
          <w:sz w:val="20"/>
          <w:szCs w:val="20"/>
        </w:rPr>
        <w:t xml:space="preserve"> potential </w:t>
      </w:r>
      <w:r w:rsidR="00DA2BF1" w:rsidRPr="006C7B74">
        <w:rPr>
          <w:rStyle w:val="normaltextrun"/>
          <w:rFonts w:cstheme="minorHAnsi"/>
          <w:sz w:val="20"/>
          <w:szCs w:val="20"/>
        </w:rPr>
        <w:t>i</w:t>
      </w:r>
      <w:r w:rsidR="00BD4473" w:rsidRPr="006C7B74">
        <w:rPr>
          <w:rStyle w:val="normaltextrun"/>
          <w:rFonts w:cstheme="minorHAnsi"/>
          <w:sz w:val="20"/>
          <w:szCs w:val="20"/>
        </w:rPr>
        <w:t xml:space="preserve">ntermodal </w:t>
      </w:r>
      <w:r w:rsidR="00DA2BF1" w:rsidRPr="006C7B74">
        <w:rPr>
          <w:rStyle w:val="normaltextrun"/>
          <w:rFonts w:cstheme="minorHAnsi"/>
          <w:sz w:val="20"/>
          <w:szCs w:val="20"/>
        </w:rPr>
        <w:t>f</w:t>
      </w:r>
      <w:r w:rsidR="00BD4473" w:rsidRPr="006C7B74">
        <w:rPr>
          <w:rStyle w:val="normaltextrun"/>
          <w:rFonts w:cstheme="minorHAnsi"/>
          <w:sz w:val="20"/>
          <w:szCs w:val="20"/>
        </w:rPr>
        <w:t xml:space="preserve">reight </w:t>
      </w:r>
      <w:r w:rsidR="00017E06" w:rsidRPr="006C7B74">
        <w:rPr>
          <w:rStyle w:val="normaltextrun"/>
          <w:rFonts w:cstheme="minorHAnsi"/>
          <w:sz w:val="20"/>
          <w:szCs w:val="20"/>
        </w:rPr>
        <w:t>t</w:t>
      </w:r>
      <w:r w:rsidR="00BD4473" w:rsidRPr="006C7B74">
        <w:rPr>
          <w:rStyle w:val="normaltextrun"/>
          <w:rFonts w:cstheme="minorHAnsi"/>
          <w:sz w:val="20"/>
          <w:szCs w:val="20"/>
        </w:rPr>
        <w:t xml:space="preserve">erminal at </w:t>
      </w:r>
      <w:r w:rsidR="009409E2" w:rsidRPr="006C7B74">
        <w:rPr>
          <w:rStyle w:val="normaltextrun"/>
          <w:rFonts w:cstheme="minorHAnsi"/>
          <w:sz w:val="20"/>
          <w:szCs w:val="20"/>
        </w:rPr>
        <w:t>Lyndhurst</w:t>
      </w:r>
      <w:r w:rsidR="00AF791C" w:rsidRPr="006C7B74">
        <w:rPr>
          <w:rStyle w:val="normaltextrun"/>
          <w:rFonts w:cstheme="minorHAnsi"/>
          <w:sz w:val="20"/>
          <w:szCs w:val="20"/>
        </w:rPr>
        <w:t xml:space="preserve"> could support the Southern SSIP and </w:t>
      </w:r>
      <w:r w:rsidR="0002702E" w:rsidRPr="006C7B74">
        <w:rPr>
          <w:rStyle w:val="normaltextrun"/>
          <w:rFonts w:cstheme="minorHAnsi"/>
          <w:sz w:val="20"/>
          <w:szCs w:val="20"/>
        </w:rPr>
        <w:t>the distribution network across the region</w:t>
      </w:r>
      <w:r w:rsidR="006C588C" w:rsidRPr="006C7B74">
        <w:rPr>
          <w:rStyle w:val="normaltextrun"/>
          <w:rFonts w:cstheme="minorHAnsi"/>
          <w:sz w:val="20"/>
          <w:szCs w:val="20"/>
        </w:rPr>
        <w:t xml:space="preserve"> and a </w:t>
      </w:r>
      <w:r w:rsidR="0083178F" w:rsidRPr="006C7B74">
        <w:rPr>
          <w:rStyle w:val="normaltextrun"/>
          <w:rFonts w:cstheme="minorHAnsi"/>
          <w:sz w:val="20"/>
          <w:szCs w:val="20"/>
        </w:rPr>
        <w:t xml:space="preserve">possible </w:t>
      </w:r>
      <w:r w:rsidR="0032728E" w:rsidRPr="006C7B74">
        <w:rPr>
          <w:rStyle w:val="normaltextrun"/>
          <w:rFonts w:cstheme="minorHAnsi"/>
          <w:sz w:val="20"/>
          <w:szCs w:val="20"/>
        </w:rPr>
        <w:t>South</w:t>
      </w:r>
      <w:r w:rsidR="009C4E3C" w:rsidRPr="006C7B74">
        <w:rPr>
          <w:rStyle w:val="normaltextrun"/>
          <w:rFonts w:cstheme="minorHAnsi"/>
          <w:sz w:val="20"/>
          <w:szCs w:val="20"/>
        </w:rPr>
        <w:t>-</w:t>
      </w:r>
      <w:r w:rsidR="0032728E" w:rsidRPr="006C7B74">
        <w:rPr>
          <w:rStyle w:val="normaltextrun"/>
          <w:rFonts w:cstheme="minorHAnsi"/>
          <w:sz w:val="20"/>
          <w:szCs w:val="20"/>
        </w:rPr>
        <w:t>East Airport</w:t>
      </w:r>
      <w:r w:rsidR="00F5770B" w:rsidRPr="006C7B74">
        <w:rPr>
          <w:rStyle w:val="normaltextrun"/>
          <w:rFonts w:cstheme="minorHAnsi"/>
          <w:sz w:val="20"/>
          <w:szCs w:val="20"/>
        </w:rPr>
        <w:t xml:space="preserve"> would further enhance the region’s accessib</w:t>
      </w:r>
      <w:r w:rsidR="005F0CAD" w:rsidRPr="006C7B74">
        <w:rPr>
          <w:rStyle w:val="normaltextrun"/>
          <w:rFonts w:cstheme="minorHAnsi"/>
          <w:sz w:val="20"/>
          <w:szCs w:val="20"/>
        </w:rPr>
        <w:t>i</w:t>
      </w:r>
      <w:r w:rsidR="00F5770B" w:rsidRPr="006C7B74">
        <w:rPr>
          <w:rStyle w:val="normaltextrun"/>
          <w:rFonts w:cstheme="minorHAnsi"/>
          <w:sz w:val="20"/>
          <w:szCs w:val="20"/>
        </w:rPr>
        <w:t>lity</w:t>
      </w:r>
      <w:r w:rsidR="0002702E" w:rsidRPr="006C7B74">
        <w:rPr>
          <w:rStyle w:val="normaltextrun"/>
          <w:rFonts w:cstheme="minorHAnsi"/>
          <w:sz w:val="20"/>
          <w:szCs w:val="20"/>
        </w:rPr>
        <w:t>.</w:t>
      </w:r>
    </w:p>
    <w:p w14:paraId="569BED61" w14:textId="7FE5E683" w:rsidR="00275222" w:rsidRPr="006C7B74" w:rsidRDefault="00275222" w:rsidP="008516CA">
      <w:pPr>
        <w:pStyle w:val="paragraph"/>
        <w:spacing w:before="0" w:beforeAutospacing="0" w:after="120" w:afterAutospacing="0"/>
        <w:textAlignment w:val="baseline"/>
        <w:rPr>
          <w:rStyle w:val="normaltextrun"/>
          <w:rFonts w:cstheme="minorHAnsi"/>
          <w:sz w:val="20"/>
          <w:szCs w:val="20"/>
        </w:rPr>
      </w:pPr>
      <w:r w:rsidRPr="006C7B74">
        <w:rPr>
          <w:rStyle w:val="normaltextrun"/>
          <w:rFonts w:cstheme="minorHAnsi"/>
          <w:sz w:val="20"/>
          <w:szCs w:val="20"/>
        </w:rPr>
        <w:t xml:space="preserve">The region has three </w:t>
      </w:r>
      <w:r w:rsidR="00A17357" w:rsidRPr="006C7B74">
        <w:rPr>
          <w:rStyle w:val="normaltextrun"/>
          <w:rFonts w:cstheme="minorHAnsi"/>
          <w:sz w:val="20"/>
          <w:szCs w:val="20"/>
        </w:rPr>
        <w:t>m</w:t>
      </w:r>
      <w:r w:rsidRPr="006C7B74">
        <w:rPr>
          <w:rStyle w:val="normaltextrun"/>
          <w:rFonts w:cstheme="minorHAnsi"/>
          <w:sz w:val="20"/>
          <w:szCs w:val="20"/>
        </w:rPr>
        <w:t xml:space="preserve">etropolitan </w:t>
      </w:r>
      <w:r w:rsidR="00A17357" w:rsidRPr="006C7B74">
        <w:rPr>
          <w:rStyle w:val="normaltextrun"/>
          <w:rFonts w:cstheme="minorHAnsi"/>
          <w:sz w:val="20"/>
          <w:szCs w:val="20"/>
        </w:rPr>
        <w:t>a</w:t>
      </w:r>
      <w:r w:rsidRPr="006C7B74">
        <w:rPr>
          <w:rStyle w:val="normaltextrun"/>
          <w:rFonts w:cstheme="minorHAnsi"/>
          <w:sz w:val="20"/>
          <w:szCs w:val="20"/>
        </w:rPr>
        <w:t xml:space="preserve">ctivity </w:t>
      </w:r>
      <w:r w:rsidR="00A17357" w:rsidRPr="006C7B74">
        <w:rPr>
          <w:rStyle w:val="normaltextrun"/>
          <w:rFonts w:cstheme="minorHAnsi"/>
          <w:sz w:val="20"/>
          <w:szCs w:val="20"/>
        </w:rPr>
        <w:t>c</w:t>
      </w:r>
      <w:r w:rsidRPr="006C7B74">
        <w:rPr>
          <w:rStyle w:val="normaltextrun"/>
          <w:rFonts w:cstheme="minorHAnsi"/>
          <w:sz w:val="20"/>
          <w:szCs w:val="20"/>
        </w:rPr>
        <w:t>entres at Dandenong</w:t>
      </w:r>
      <w:r w:rsidR="004E4872" w:rsidRPr="006C7B74">
        <w:rPr>
          <w:rStyle w:val="normaltextrun"/>
          <w:rFonts w:cstheme="minorHAnsi"/>
          <w:sz w:val="20"/>
          <w:szCs w:val="20"/>
        </w:rPr>
        <w:t>, Frankston and Fountain Gate-Narre Warren</w:t>
      </w:r>
      <w:r w:rsidR="00AB2EC0" w:rsidRPr="006C7B74">
        <w:rPr>
          <w:rStyle w:val="normaltextrun"/>
          <w:rFonts w:cstheme="minorHAnsi"/>
          <w:sz w:val="20"/>
          <w:szCs w:val="20"/>
        </w:rPr>
        <w:t xml:space="preserve"> providing retail, commercial, civic, institutional and cultural services</w:t>
      </w:r>
      <w:r w:rsidR="00703B1A" w:rsidRPr="006C7B74">
        <w:rPr>
          <w:rStyle w:val="normaltextrun"/>
          <w:rFonts w:cstheme="minorHAnsi"/>
          <w:sz w:val="20"/>
          <w:szCs w:val="20"/>
        </w:rPr>
        <w:t>.</w:t>
      </w:r>
    </w:p>
    <w:p w14:paraId="110711F0" w14:textId="26F9564D" w:rsidR="00F96E2C" w:rsidRPr="006C7B74" w:rsidRDefault="001C16F0" w:rsidP="00934C4D">
      <w:pPr>
        <w:spacing w:after="120"/>
        <w:rPr>
          <w:rFonts w:cstheme="minorHAnsi"/>
          <w:sz w:val="20"/>
          <w:szCs w:val="20"/>
        </w:rPr>
      </w:pPr>
      <w:r w:rsidRPr="006C7B74">
        <w:rPr>
          <w:sz w:val="20"/>
          <w:szCs w:val="20"/>
        </w:rPr>
        <w:t xml:space="preserve">The business service sector is the largest contributor to the economy for the region with a </w:t>
      </w:r>
      <w:r w:rsidRPr="006C7B74">
        <w:rPr>
          <w:rFonts w:cstheme="minorHAnsi"/>
          <w:sz w:val="20"/>
          <w:szCs w:val="20"/>
        </w:rPr>
        <w:t>total value-added estimate at around $</w:t>
      </w:r>
      <w:r w:rsidR="00B24DF7" w:rsidRPr="006C7B74">
        <w:rPr>
          <w:rFonts w:cstheme="minorHAnsi"/>
          <w:sz w:val="20"/>
          <w:szCs w:val="20"/>
        </w:rPr>
        <w:t>16.7</w:t>
      </w:r>
      <w:r w:rsidRPr="006C7B74">
        <w:rPr>
          <w:rFonts w:cstheme="minorHAnsi"/>
          <w:sz w:val="20"/>
          <w:szCs w:val="20"/>
        </w:rPr>
        <w:t xml:space="preserve"> billion. </w:t>
      </w:r>
      <w:r w:rsidR="00B24DF7" w:rsidRPr="006C7B74">
        <w:rPr>
          <w:rFonts w:cstheme="minorHAnsi"/>
          <w:sz w:val="20"/>
          <w:szCs w:val="20"/>
        </w:rPr>
        <w:t>The m</w:t>
      </w:r>
      <w:r w:rsidRPr="006C7B74">
        <w:rPr>
          <w:rFonts w:cstheme="minorHAnsi"/>
          <w:sz w:val="20"/>
          <w:szCs w:val="20"/>
        </w:rPr>
        <w:t>anufacturing and industrial</w:t>
      </w:r>
      <w:r w:rsidR="00B24DF7" w:rsidRPr="006C7B74">
        <w:rPr>
          <w:rFonts w:cstheme="minorHAnsi"/>
          <w:sz w:val="20"/>
          <w:szCs w:val="20"/>
        </w:rPr>
        <w:t xml:space="preserve"> sector</w:t>
      </w:r>
      <w:r w:rsidRPr="006C7B74">
        <w:rPr>
          <w:rFonts w:cstheme="minorHAnsi"/>
          <w:sz w:val="20"/>
          <w:szCs w:val="20"/>
        </w:rPr>
        <w:t xml:space="preserve"> is the next largest contributor </w:t>
      </w:r>
      <w:r w:rsidRPr="006C7B74">
        <w:rPr>
          <w:sz w:val="20"/>
          <w:szCs w:val="20"/>
        </w:rPr>
        <w:t xml:space="preserve">with a </w:t>
      </w:r>
      <w:r w:rsidRPr="006C7B74">
        <w:rPr>
          <w:rFonts w:cstheme="minorHAnsi"/>
          <w:sz w:val="20"/>
          <w:szCs w:val="20"/>
        </w:rPr>
        <w:t>total value-added estimate at around $1</w:t>
      </w:r>
      <w:r w:rsidR="00B24DF7" w:rsidRPr="006C7B74">
        <w:rPr>
          <w:rFonts w:cstheme="minorHAnsi"/>
          <w:sz w:val="20"/>
          <w:szCs w:val="20"/>
        </w:rPr>
        <w:t>3.2</w:t>
      </w:r>
      <w:r w:rsidRPr="006C7B74">
        <w:rPr>
          <w:rFonts w:cstheme="minorHAnsi"/>
          <w:sz w:val="20"/>
          <w:szCs w:val="20"/>
        </w:rPr>
        <w:t xml:space="preserve"> billion. Combined, these sectors account for </w:t>
      </w:r>
      <w:r w:rsidR="00B24DF7" w:rsidRPr="006C7B74">
        <w:rPr>
          <w:rFonts w:cstheme="minorHAnsi"/>
          <w:sz w:val="20"/>
          <w:szCs w:val="20"/>
        </w:rPr>
        <w:t xml:space="preserve">just </w:t>
      </w:r>
      <w:r w:rsidRPr="006C7B74">
        <w:rPr>
          <w:rFonts w:cstheme="minorHAnsi"/>
          <w:sz w:val="20"/>
          <w:szCs w:val="20"/>
        </w:rPr>
        <w:t>over 60 per cent of the total value-add for the region.</w:t>
      </w:r>
    </w:p>
    <w:p w14:paraId="15380E89" w14:textId="77777777" w:rsidR="00B24DF7" w:rsidRPr="006C7B74" w:rsidRDefault="00B24DF7" w:rsidP="00934C4D">
      <w:pPr>
        <w:spacing w:after="120"/>
        <w:rPr>
          <w:rFonts w:cstheme="minorHAnsi"/>
          <w:sz w:val="20"/>
          <w:szCs w:val="20"/>
        </w:rPr>
      </w:pPr>
    </w:p>
    <w:p w14:paraId="1E904FA0" w14:textId="718FAD7D" w:rsidR="006E0A5C" w:rsidRPr="006C7B74" w:rsidRDefault="006E0A5C" w:rsidP="006542F0">
      <w:pPr>
        <w:pStyle w:val="Heading5"/>
      </w:pPr>
      <w:r w:rsidRPr="006C7B74">
        <w:t xml:space="preserve">Fast </w:t>
      </w:r>
      <w:r w:rsidR="009C6C79" w:rsidRPr="006C7B74">
        <w:t>f</w:t>
      </w:r>
      <w:r w:rsidRPr="006C7B74">
        <w:t>acts</w:t>
      </w:r>
    </w:p>
    <w:tbl>
      <w:tblPr>
        <w:tblStyle w:val="TableGrid"/>
        <w:tblW w:w="0" w:type="auto"/>
        <w:tblBorders>
          <w:left w:val="single" w:sz="8" w:space="0" w:color="auto"/>
          <w:right w:val="single" w:sz="8" w:space="0" w:color="auto"/>
          <w:insideH w:val="none" w:sz="0" w:space="0" w:color="auto"/>
          <w:insideV w:val="single" w:sz="8" w:space="0" w:color="auto"/>
        </w:tblBorders>
        <w:tblLook w:val="04A0" w:firstRow="1" w:lastRow="0" w:firstColumn="1" w:lastColumn="0" w:noHBand="0" w:noVBand="1"/>
      </w:tblPr>
      <w:tblGrid>
        <w:gridCol w:w="3109"/>
        <w:gridCol w:w="2835"/>
        <w:gridCol w:w="3056"/>
      </w:tblGrid>
      <w:tr w:rsidR="0085099E" w:rsidRPr="006C7B74" w14:paraId="553C9D76" w14:textId="77777777" w:rsidTr="00CF389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109" w:type="dxa"/>
            <w:shd w:val="clear" w:color="auto" w:fill="auto"/>
            <w:vAlign w:val="top"/>
          </w:tcPr>
          <w:p w14:paraId="28D4FBE8" w14:textId="77777777" w:rsidR="0085099E" w:rsidRPr="006C7B74" w:rsidRDefault="0085099E" w:rsidP="006542F0">
            <w:pPr>
              <w:pStyle w:val="BodyText"/>
            </w:pPr>
            <w:r w:rsidRPr="006C7B74">
              <w:t>PEOPLE</w:t>
            </w:r>
          </w:p>
          <w:p w14:paraId="0DD0AA48" w14:textId="77777777" w:rsidR="0085099E" w:rsidRPr="006C7B74" w:rsidRDefault="0085099E" w:rsidP="006542F0">
            <w:pPr>
              <w:pStyle w:val="BodyText"/>
            </w:pPr>
            <w:r w:rsidRPr="006C7B74">
              <w:t>Population in 2006</w:t>
            </w:r>
          </w:p>
          <w:p w14:paraId="19214C13" w14:textId="77777777" w:rsidR="0085099E" w:rsidRPr="006C7B74" w:rsidRDefault="0085099E" w:rsidP="006542F0">
            <w:pPr>
              <w:pStyle w:val="BodyText"/>
              <w:rPr>
                <w:sz w:val="44"/>
                <w:szCs w:val="44"/>
              </w:rPr>
            </w:pPr>
            <w:r w:rsidRPr="006C7B74">
              <w:rPr>
                <w:sz w:val="44"/>
                <w:szCs w:val="44"/>
              </w:rPr>
              <w:t xml:space="preserve">806,313 </w:t>
            </w:r>
          </w:p>
          <w:p w14:paraId="2D70260F" w14:textId="77777777" w:rsidR="0085099E" w:rsidRPr="006C7B74" w:rsidRDefault="0085099E" w:rsidP="006542F0">
            <w:pPr>
              <w:pStyle w:val="BodyText"/>
            </w:pPr>
            <w:r w:rsidRPr="006C7B74">
              <w:t>Population in 2016</w:t>
            </w:r>
          </w:p>
          <w:p w14:paraId="5903E050" w14:textId="77777777" w:rsidR="00615ED9" w:rsidRPr="006C7B74" w:rsidRDefault="00CF3896" w:rsidP="006542F0">
            <w:pPr>
              <w:pStyle w:val="BodyText"/>
              <w:rPr>
                <w:b w:val="0"/>
                <w:sz w:val="44"/>
                <w:szCs w:val="44"/>
              </w:rPr>
            </w:pPr>
            <w:r w:rsidRPr="006C7B74">
              <w:rPr>
                <w:sz w:val="44"/>
                <w:szCs w:val="44"/>
              </w:rPr>
              <w:t>1,030,555</w:t>
            </w:r>
          </w:p>
          <w:p w14:paraId="7E6FA782" w14:textId="77777777" w:rsidR="00615ED9" w:rsidRPr="006C7B74" w:rsidRDefault="0085099E" w:rsidP="006542F0">
            <w:pPr>
              <w:pStyle w:val="BodyText"/>
              <w:rPr>
                <w:b w:val="0"/>
              </w:rPr>
            </w:pPr>
            <w:r w:rsidRPr="006C7B74">
              <w:t xml:space="preserve">That’s </w:t>
            </w:r>
            <w:r w:rsidRPr="006C7B74">
              <w:rPr>
                <w:sz w:val="44"/>
                <w:szCs w:val="44"/>
              </w:rPr>
              <w:t>28%</w:t>
            </w:r>
            <w:r w:rsidRPr="006C7B74">
              <w:t xml:space="preserve"> more people</w:t>
            </w:r>
          </w:p>
          <w:p w14:paraId="604A3886" w14:textId="07E1D9DD" w:rsidR="0085099E" w:rsidRPr="006C7B74" w:rsidRDefault="0085099E" w:rsidP="006542F0">
            <w:pPr>
              <w:pStyle w:val="BodyText"/>
              <w:rPr>
                <w:sz w:val="44"/>
                <w:szCs w:val="44"/>
              </w:rPr>
            </w:pPr>
            <w:r w:rsidRPr="006C7B74">
              <w:t>Cardinia =</w:t>
            </w:r>
            <w:r w:rsidRPr="006C7B74">
              <w:rPr>
                <w:sz w:val="28"/>
                <w:szCs w:val="28"/>
              </w:rPr>
              <w:t xml:space="preserve"> +</w:t>
            </w:r>
            <w:r w:rsidRPr="006C7B74">
              <w:t xml:space="preserve"> </w:t>
            </w:r>
            <w:r w:rsidR="00CF3896" w:rsidRPr="006C7B74">
              <w:rPr>
                <w:sz w:val="28"/>
              </w:rPr>
              <w:t>39,623</w:t>
            </w:r>
          </w:p>
          <w:p w14:paraId="1A675894" w14:textId="30F6C0E9" w:rsidR="0085099E" w:rsidRPr="006C7B74" w:rsidRDefault="0085099E" w:rsidP="006542F0">
            <w:pPr>
              <w:pStyle w:val="BodyText"/>
            </w:pPr>
            <w:r w:rsidRPr="006C7B74">
              <w:t xml:space="preserve"> Casey =</w:t>
            </w:r>
            <w:r w:rsidRPr="006C7B74">
              <w:rPr>
                <w:sz w:val="28"/>
                <w:szCs w:val="28"/>
              </w:rPr>
              <w:t xml:space="preserve"> +</w:t>
            </w:r>
            <w:r w:rsidRPr="006C7B74">
              <w:t xml:space="preserve"> </w:t>
            </w:r>
            <w:r w:rsidR="00CF3896" w:rsidRPr="006C7B74">
              <w:rPr>
                <w:sz w:val="28"/>
              </w:rPr>
              <w:t>92,349</w:t>
            </w:r>
          </w:p>
          <w:p w14:paraId="09BDEED3" w14:textId="07490534" w:rsidR="0085099E" w:rsidRPr="006C7B74" w:rsidRDefault="0085099E" w:rsidP="006542F0">
            <w:pPr>
              <w:pStyle w:val="BodyText"/>
            </w:pPr>
            <w:r w:rsidRPr="006C7B74">
              <w:t xml:space="preserve"> Frankston =</w:t>
            </w:r>
            <w:r w:rsidRPr="006C7B74">
              <w:rPr>
                <w:sz w:val="28"/>
                <w:szCs w:val="28"/>
              </w:rPr>
              <w:t xml:space="preserve"> +</w:t>
            </w:r>
            <w:r w:rsidRPr="006C7B74">
              <w:t xml:space="preserve"> </w:t>
            </w:r>
            <w:r w:rsidR="00CF3896" w:rsidRPr="006C7B74">
              <w:rPr>
                <w:sz w:val="28"/>
              </w:rPr>
              <w:t>19,354</w:t>
            </w:r>
          </w:p>
          <w:p w14:paraId="567FCBF3" w14:textId="21E7B590" w:rsidR="0085099E" w:rsidRPr="006C7B74" w:rsidRDefault="0085099E" w:rsidP="006542F0">
            <w:pPr>
              <w:pStyle w:val="BodyText"/>
            </w:pPr>
            <w:r w:rsidRPr="006C7B74">
              <w:t xml:space="preserve"> Greater Dandenong =</w:t>
            </w:r>
            <w:r w:rsidRPr="006C7B74">
              <w:rPr>
                <w:sz w:val="28"/>
                <w:szCs w:val="28"/>
              </w:rPr>
              <w:t xml:space="preserve"> +</w:t>
            </w:r>
            <w:r w:rsidRPr="006C7B74">
              <w:t xml:space="preserve"> </w:t>
            </w:r>
            <w:r w:rsidR="00CF3896" w:rsidRPr="006C7B74">
              <w:rPr>
                <w:sz w:val="28"/>
              </w:rPr>
              <w:t>30,154</w:t>
            </w:r>
          </w:p>
          <w:p w14:paraId="7FC00510" w14:textId="3A9FFEC4" w:rsidR="0085099E" w:rsidRPr="006C7B74" w:rsidRDefault="0085099E" w:rsidP="006542F0">
            <w:pPr>
              <w:pStyle w:val="BodyText"/>
            </w:pPr>
            <w:r w:rsidRPr="006C7B74">
              <w:t xml:space="preserve"> Kingston =</w:t>
            </w:r>
            <w:r w:rsidRPr="006C7B74">
              <w:rPr>
                <w:sz w:val="28"/>
                <w:szCs w:val="28"/>
              </w:rPr>
              <w:t xml:space="preserve"> +</w:t>
            </w:r>
            <w:r w:rsidRPr="006C7B74">
              <w:t xml:space="preserve"> </w:t>
            </w:r>
            <w:r w:rsidR="00CF3896" w:rsidRPr="006C7B74">
              <w:rPr>
                <w:sz w:val="28"/>
              </w:rPr>
              <w:t>20,551</w:t>
            </w:r>
          </w:p>
          <w:p w14:paraId="048F2436" w14:textId="2F2E6745" w:rsidR="0085099E" w:rsidRPr="006C7B74" w:rsidRDefault="0085099E" w:rsidP="006542F0">
            <w:pPr>
              <w:pStyle w:val="BodyText"/>
            </w:pPr>
            <w:r w:rsidRPr="006C7B74">
              <w:t xml:space="preserve"> Mornington Peninsula =</w:t>
            </w:r>
            <w:r w:rsidRPr="006C7B74">
              <w:rPr>
                <w:sz w:val="28"/>
                <w:szCs w:val="28"/>
              </w:rPr>
              <w:t xml:space="preserve"> +</w:t>
            </w:r>
            <w:r w:rsidR="00CF3896" w:rsidRPr="006C7B74">
              <w:rPr>
                <w:sz w:val="28"/>
              </w:rPr>
              <w:t>22,211</w:t>
            </w:r>
          </w:p>
        </w:tc>
        <w:tc>
          <w:tcPr>
            <w:tcW w:w="2835" w:type="dxa"/>
            <w:shd w:val="clear" w:color="auto" w:fill="auto"/>
            <w:vAlign w:val="top"/>
          </w:tcPr>
          <w:p w14:paraId="026CE697" w14:textId="77777777" w:rsidR="0085099E" w:rsidRPr="006C7B74" w:rsidRDefault="0085099E" w:rsidP="006542F0">
            <w:pPr>
              <w:pStyle w:val="BodyText"/>
              <w:jc w:val="left"/>
              <w:cnfStyle w:val="100000000000" w:firstRow="1" w:lastRow="0" w:firstColumn="0" w:lastColumn="0" w:oddVBand="0" w:evenVBand="0" w:oddHBand="0" w:evenHBand="0" w:firstRowFirstColumn="0" w:firstRowLastColumn="0" w:lastRowFirstColumn="0" w:lastRowLastColumn="0"/>
            </w:pPr>
            <w:r w:rsidRPr="006C7B74">
              <w:t>JOBS</w:t>
            </w:r>
          </w:p>
          <w:p w14:paraId="26D6E076" w14:textId="77777777" w:rsidR="0085099E" w:rsidRPr="006C7B74" w:rsidRDefault="0085099E" w:rsidP="006542F0">
            <w:pPr>
              <w:pStyle w:val="BodyText"/>
              <w:jc w:val="left"/>
              <w:cnfStyle w:val="100000000000" w:firstRow="1" w:lastRow="0" w:firstColumn="0" w:lastColumn="0" w:oddVBand="0" w:evenVBand="0" w:oddHBand="0" w:evenHBand="0" w:firstRowFirstColumn="0" w:firstRowLastColumn="0" w:lastRowFirstColumn="0" w:lastRowLastColumn="0"/>
            </w:pPr>
            <w:r w:rsidRPr="006C7B74">
              <w:t>Jobs in 2006</w:t>
            </w:r>
          </w:p>
          <w:p w14:paraId="1C6DCBCA" w14:textId="77777777" w:rsidR="0085099E" w:rsidRPr="006C7B74" w:rsidRDefault="0085099E" w:rsidP="006542F0">
            <w:pPr>
              <w:pStyle w:val="BodyText"/>
              <w:jc w:val="left"/>
              <w:cnfStyle w:val="100000000000" w:firstRow="1" w:lastRow="0" w:firstColumn="0" w:lastColumn="0" w:oddVBand="0" w:evenVBand="0" w:oddHBand="0" w:evenHBand="0" w:firstRowFirstColumn="0" w:firstRowLastColumn="0" w:lastRowFirstColumn="0" w:lastRowLastColumn="0"/>
              <w:rPr>
                <w:sz w:val="44"/>
                <w:szCs w:val="44"/>
              </w:rPr>
            </w:pPr>
            <w:r w:rsidRPr="006C7B74">
              <w:rPr>
                <w:sz w:val="44"/>
                <w:szCs w:val="44"/>
              </w:rPr>
              <w:t xml:space="preserve">315,600 </w:t>
            </w:r>
          </w:p>
          <w:p w14:paraId="3B2FC259" w14:textId="77777777" w:rsidR="0085099E" w:rsidRPr="006C7B74" w:rsidRDefault="0085099E" w:rsidP="006542F0">
            <w:pPr>
              <w:pStyle w:val="BodyText"/>
              <w:jc w:val="left"/>
              <w:cnfStyle w:val="100000000000" w:firstRow="1" w:lastRow="0" w:firstColumn="0" w:lastColumn="0" w:oddVBand="0" w:evenVBand="0" w:oddHBand="0" w:evenHBand="0" w:firstRowFirstColumn="0" w:firstRowLastColumn="0" w:lastRowFirstColumn="0" w:lastRowLastColumn="0"/>
            </w:pPr>
            <w:r w:rsidRPr="006C7B74">
              <w:t>Jobs in 2016</w:t>
            </w:r>
          </w:p>
          <w:p w14:paraId="4057F770" w14:textId="77777777" w:rsidR="00615ED9" w:rsidRPr="006C7B74" w:rsidRDefault="0085099E" w:rsidP="006542F0">
            <w:pPr>
              <w:pStyle w:val="BodyText"/>
              <w:jc w:val="left"/>
              <w:cnfStyle w:val="100000000000" w:firstRow="1" w:lastRow="0" w:firstColumn="0" w:lastColumn="0" w:oddVBand="0" w:evenVBand="0" w:oddHBand="0" w:evenHBand="0" w:firstRowFirstColumn="0" w:firstRowLastColumn="0" w:lastRowFirstColumn="0" w:lastRowLastColumn="0"/>
              <w:rPr>
                <w:b w:val="0"/>
                <w:sz w:val="44"/>
                <w:szCs w:val="44"/>
              </w:rPr>
            </w:pPr>
            <w:r w:rsidRPr="006C7B74">
              <w:rPr>
                <w:sz w:val="44"/>
                <w:szCs w:val="44"/>
              </w:rPr>
              <w:t xml:space="preserve">392,250 </w:t>
            </w:r>
          </w:p>
          <w:p w14:paraId="125742D6" w14:textId="77777777" w:rsidR="00615ED9" w:rsidRPr="006C7B74" w:rsidRDefault="0085099E" w:rsidP="006542F0">
            <w:pPr>
              <w:pStyle w:val="BodyText"/>
              <w:jc w:val="left"/>
              <w:cnfStyle w:val="100000000000" w:firstRow="1" w:lastRow="0" w:firstColumn="0" w:lastColumn="0" w:oddVBand="0" w:evenVBand="0" w:oddHBand="0" w:evenHBand="0" w:firstRowFirstColumn="0" w:firstRowLastColumn="0" w:lastRowFirstColumn="0" w:lastRowLastColumn="0"/>
              <w:rPr>
                <w:b w:val="0"/>
              </w:rPr>
            </w:pPr>
            <w:r w:rsidRPr="006C7B74">
              <w:t xml:space="preserve">That’s </w:t>
            </w:r>
            <w:r w:rsidRPr="006C7B74">
              <w:rPr>
                <w:sz w:val="44"/>
                <w:szCs w:val="44"/>
              </w:rPr>
              <w:t>24%</w:t>
            </w:r>
            <w:r w:rsidRPr="006C7B74">
              <w:t xml:space="preserve"> more jobs</w:t>
            </w:r>
          </w:p>
          <w:p w14:paraId="4EB8B4F7" w14:textId="18B92899" w:rsidR="0085099E" w:rsidRPr="006C7B74" w:rsidRDefault="0085099E" w:rsidP="006542F0">
            <w:pPr>
              <w:pStyle w:val="BodyText"/>
              <w:jc w:val="left"/>
              <w:cnfStyle w:val="100000000000" w:firstRow="1" w:lastRow="0" w:firstColumn="0" w:lastColumn="0" w:oddVBand="0" w:evenVBand="0" w:oddHBand="0" w:evenHBand="0" w:firstRowFirstColumn="0" w:firstRowLastColumn="0" w:lastRowFirstColumn="0" w:lastRowLastColumn="0"/>
              <w:rPr>
                <w:sz w:val="44"/>
                <w:szCs w:val="44"/>
              </w:rPr>
            </w:pPr>
            <w:r w:rsidRPr="006C7B74">
              <w:t>Cardinia =</w:t>
            </w:r>
            <w:r w:rsidRPr="006C7B74">
              <w:rPr>
                <w:sz w:val="28"/>
                <w:szCs w:val="28"/>
              </w:rPr>
              <w:t xml:space="preserve"> +</w:t>
            </w:r>
            <w:r w:rsidRPr="006C7B74">
              <w:t xml:space="preserve"> </w:t>
            </w:r>
            <w:r w:rsidRPr="006C7B74">
              <w:rPr>
                <w:sz w:val="28"/>
              </w:rPr>
              <w:t xml:space="preserve">10,150 </w:t>
            </w:r>
          </w:p>
          <w:p w14:paraId="1F0352A8" w14:textId="77777777" w:rsidR="0085099E" w:rsidRPr="006C7B74" w:rsidRDefault="0085099E" w:rsidP="006542F0">
            <w:pPr>
              <w:pStyle w:val="BodyText"/>
              <w:jc w:val="left"/>
              <w:cnfStyle w:val="100000000000" w:firstRow="1" w:lastRow="0" w:firstColumn="0" w:lastColumn="0" w:oddVBand="0" w:evenVBand="0" w:oddHBand="0" w:evenHBand="0" w:firstRowFirstColumn="0" w:firstRowLastColumn="0" w:lastRowFirstColumn="0" w:lastRowLastColumn="0"/>
            </w:pPr>
            <w:r w:rsidRPr="006C7B74">
              <w:t xml:space="preserve"> Casey =</w:t>
            </w:r>
            <w:r w:rsidRPr="006C7B74">
              <w:rPr>
                <w:sz w:val="28"/>
                <w:szCs w:val="28"/>
              </w:rPr>
              <w:t xml:space="preserve"> +</w:t>
            </w:r>
            <w:r w:rsidRPr="006C7B74">
              <w:t xml:space="preserve"> </w:t>
            </w:r>
            <w:r w:rsidRPr="006C7B74">
              <w:rPr>
                <w:sz w:val="28"/>
              </w:rPr>
              <w:t xml:space="preserve">23,000 </w:t>
            </w:r>
          </w:p>
          <w:p w14:paraId="5D86B239" w14:textId="77777777" w:rsidR="0085099E" w:rsidRPr="006C7B74" w:rsidRDefault="0085099E" w:rsidP="006542F0">
            <w:pPr>
              <w:pStyle w:val="BodyText"/>
              <w:jc w:val="left"/>
              <w:cnfStyle w:val="100000000000" w:firstRow="1" w:lastRow="0" w:firstColumn="0" w:lastColumn="0" w:oddVBand="0" w:evenVBand="0" w:oddHBand="0" w:evenHBand="0" w:firstRowFirstColumn="0" w:firstRowLastColumn="0" w:lastRowFirstColumn="0" w:lastRowLastColumn="0"/>
            </w:pPr>
            <w:r w:rsidRPr="006C7B74">
              <w:t xml:space="preserve"> Frankston =</w:t>
            </w:r>
            <w:r w:rsidRPr="006C7B74">
              <w:rPr>
                <w:sz w:val="28"/>
                <w:szCs w:val="28"/>
              </w:rPr>
              <w:t xml:space="preserve"> +</w:t>
            </w:r>
            <w:r w:rsidRPr="006C7B74">
              <w:t xml:space="preserve"> </w:t>
            </w:r>
            <w:r w:rsidRPr="006C7B74">
              <w:rPr>
                <w:sz w:val="28"/>
              </w:rPr>
              <w:t xml:space="preserve">8,750 </w:t>
            </w:r>
          </w:p>
          <w:p w14:paraId="13702195" w14:textId="77777777" w:rsidR="0085099E" w:rsidRPr="006C7B74" w:rsidRDefault="0085099E" w:rsidP="006542F0">
            <w:pPr>
              <w:pStyle w:val="BodyText"/>
              <w:jc w:val="left"/>
              <w:cnfStyle w:val="100000000000" w:firstRow="1" w:lastRow="0" w:firstColumn="0" w:lastColumn="0" w:oddVBand="0" w:evenVBand="0" w:oddHBand="0" w:evenHBand="0" w:firstRowFirstColumn="0" w:firstRowLastColumn="0" w:lastRowFirstColumn="0" w:lastRowLastColumn="0"/>
            </w:pPr>
            <w:r w:rsidRPr="006C7B74">
              <w:t xml:space="preserve"> Greater Dandenong =</w:t>
            </w:r>
            <w:r w:rsidRPr="006C7B74">
              <w:rPr>
                <w:sz w:val="28"/>
                <w:szCs w:val="28"/>
              </w:rPr>
              <w:t xml:space="preserve"> +</w:t>
            </w:r>
            <w:r w:rsidRPr="006C7B74">
              <w:t xml:space="preserve"> </w:t>
            </w:r>
            <w:r w:rsidRPr="006C7B74">
              <w:rPr>
                <w:sz w:val="28"/>
              </w:rPr>
              <w:t xml:space="preserve">19,700 </w:t>
            </w:r>
          </w:p>
          <w:p w14:paraId="4FC501AF" w14:textId="77777777" w:rsidR="0085099E" w:rsidRPr="006C7B74" w:rsidRDefault="0085099E" w:rsidP="006542F0">
            <w:pPr>
              <w:pStyle w:val="BodyText"/>
              <w:jc w:val="left"/>
              <w:cnfStyle w:val="100000000000" w:firstRow="1" w:lastRow="0" w:firstColumn="0" w:lastColumn="0" w:oddVBand="0" w:evenVBand="0" w:oddHBand="0" w:evenHBand="0" w:firstRowFirstColumn="0" w:firstRowLastColumn="0" w:lastRowFirstColumn="0" w:lastRowLastColumn="0"/>
            </w:pPr>
            <w:r w:rsidRPr="006C7B74">
              <w:t xml:space="preserve"> Kingston =</w:t>
            </w:r>
            <w:r w:rsidRPr="006C7B74">
              <w:rPr>
                <w:sz w:val="28"/>
                <w:szCs w:val="28"/>
              </w:rPr>
              <w:t xml:space="preserve"> +</w:t>
            </w:r>
            <w:r w:rsidRPr="006C7B74">
              <w:t xml:space="preserve"> </w:t>
            </w:r>
            <w:r w:rsidRPr="006C7B74">
              <w:rPr>
                <w:sz w:val="28"/>
              </w:rPr>
              <w:t xml:space="preserve">3,150 </w:t>
            </w:r>
          </w:p>
          <w:p w14:paraId="53DE6506" w14:textId="77777777" w:rsidR="0085099E" w:rsidRPr="006C7B74" w:rsidRDefault="0085099E" w:rsidP="006542F0">
            <w:pPr>
              <w:pStyle w:val="BodyText"/>
              <w:jc w:val="left"/>
              <w:cnfStyle w:val="100000000000" w:firstRow="1" w:lastRow="0" w:firstColumn="0" w:lastColumn="0" w:oddVBand="0" w:evenVBand="0" w:oddHBand="0" w:evenHBand="0" w:firstRowFirstColumn="0" w:firstRowLastColumn="0" w:lastRowFirstColumn="0" w:lastRowLastColumn="0"/>
            </w:pPr>
            <w:r w:rsidRPr="006C7B74">
              <w:t xml:space="preserve"> Mornington Peninsula =</w:t>
            </w:r>
            <w:r w:rsidRPr="006C7B74">
              <w:rPr>
                <w:sz w:val="28"/>
                <w:szCs w:val="28"/>
              </w:rPr>
              <w:t xml:space="preserve"> +</w:t>
            </w:r>
            <w:r w:rsidRPr="006C7B74">
              <w:rPr>
                <w:sz w:val="28"/>
              </w:rPr>
              <w:t xml:space="preserve">11,900 </w:t>
            </w:r>
          </w:p>
        </w:tc>
        <w:tc>
          <w:tcPr>
            <w:tcW w:w="3056" w:type="dxa"/>
            <w:shd w:val="clear" w:color="auto" w:fill="auto"/>
            <w:vAlign w:val="top"/>
          </w:tcPr>
          <w:p w14:paraId="15D677D7" w14:textId="77777777" w:rsidR="0085099E" w:rsidRPr="006C7B74" w:rsidRDefault="0085099E" w:rsidP="006542F0">
            <w:pPr>
              <w:pStyle w:val="BodyText"/>
              <w:jc w:val="left"/>
              <w:cnfStyle w:val="100000000000" w:firstRow="1" w:lastRow="0" w:firstColumn="0" w:lastColumn="0" w:oddVBand="0" w:evenVBand="0" w:oddHBand="0" w:evenHBand="0" w:firstRowFirstColumn="0" w:firstRowLastColumn="0" w:lastRowFirstColumn="0" w:lastRowLastColumn="0"/>
            </w:pPr>
            <w:r w:rsidRPr="006C7B74">
              <w:t>ECONOMY</w:t>
            </w:r>
          </w:p>
          <w:p w14:paraId="5FC032B8" w14:textId="77777777" w:rsidR="0085099E" w:rsidRPr="006C7B74" w:rsidRDefault="0085099E" w:rsidP="006542F0">
            <w:pPr>
              <w:pStyle w:val="BodyText"/>
              <w:jc w:val="left"/>
              <w:cnfStyle w:val="100000000000" w:firstRow="1" w:lastRow="0" w:firstColumn="0" w:lastColumn="0" w:oddVBand="0" w:evenVBand="0" w:oddHBand="0" w:evenHBand="0" w:firstRowFirstColumn="0" w:firstRowLastColumn="0" w:lastRowFirstColumn="0" w:lastRowLastColumn="0"/>
            </w:pPr>
            <w:r w:rsidRPr="006C7B74">
              <w:t>GRP for the region</w:t>
            </w:r>
          </w:p>
          <w:p w14:paraId="43DD86A5" w14:textId="77777777" w:rsidR="00615ED9" w:rsidRPr="006C7B74" w:rsidRDefault="0085099E" w:rsidP="006542F0">
            <w:pPr>
              <w:pStyle w:val="BodyText"/>
              <w:jc w:val="left"/>
              <w:cnfStyle w:val="100000000000" w:firstRow="1" w:lastRow="0" w:firstColumn="0" w:lastColumn="0" w:oddVBand="0" w:evenVBand="0" w:oddHBand="0" w:evenHBand="0" w:firstRowFirstColumn="0" w:firstRowLastColumn="0" w:lastRowFirstColumn="0" w:lastRowLastColumn="0"/>
              <w:rPr>
                <w:b w:val="0"/>
                <w:sz w:val="44"/>
                <w:szCs w:val="44"/>
              </w:rPr>
            </w:pPr>
            <w:r w:rsidRPr="006C7B74">
              <w:rPr>
                <w:sz w:val="44"/>
                <w:szCs w:val="44"/>
              </w:rPr>
              <w:t>$49 billion</w:t>
            </w:r>
          </w:p>
          <w:p w14:paraId="745F6FD7" w14:textId="77777777" w:rsidR="00615ED9" w:rsidRPr="006C7B74" w:rsidRDefault="0085099E" w:rsidP="006542F0">
            <w:pPr>
              <w:pStyle w:val="BodyText"/>
              <w:jc w:val="left"/>
              <w:cnfStyle w:val="100000000000" w:firstRow="1" w:lastRow="0" w:firstColumn="0" w:lastColumn="0" w:oddVBand="0" w:evenVBand="0" w:oddHBand="0" w:evenHBand="0" w:firstRowFirstColumn="0" w:firstRowLastColumn="0" w:lastRowFirstColumn="0" w:lastRowLastColumn="0"/>
              <w:rPr>
                <w:b w:val="0"/>
              </w:rPr>
            </w:pPr>
            <w:r w:rsidRPr="006C7B74">
              <w:t>Share of metropolitan Melbourne’s total GRP</w:t>
            </w:r>
          </w:p>
          <w:p w14:paraId="784E0C8A" w14:textId="77777777" w:rsidR="00615ED9" w:rsidRPr="006C7B74" w:rsidRDefault="0085099E" w:rsidP="006542F0">
            <w:pPr>
              <w:pStyle w:val="BodyText"/>
              <w:jc w:val="left"/>
              <w:cnfStyle w:val="100000000000" w:firstRow="1" w:lastRow="0" w:firstColumn="0" w:lastColumn="0" w:oddVBand="0" w:evenVBand="0" w:oddHBand="0" w:evenHBand="0" w:firstRowFirstColumn="0" w:firstRowLastColumn="0" w:lastRowFirstColumn="0" w:lastRowLastColumn="0"/>
              <w:rPr>
                <w:b w:val="0"/>
                <w:sz w:val="44"/>
                <w:szCs w:val="44"/>
              </w:rPr>
            </w:pPr>
            <w:r w:rsidRPr="006C7B74">
              <w:rPr>
                <w:sz w:val="44"/>
                <w:szCs w:val="44"/>
              </w:rPr>
              <w:t>15%</w:t>
            </w:r>
          </w:p>
          <w:p w14:paraId="52C6C605" w14:textId="558C094F" w:rsidR="0085099E" w:rsidRPr="006C7B74" w:rsidRDefault="0085099E" w:rsidP="006542F0">
            <w:pPr>
              <w:pStyle w:val="BodyText"/>
              <w:jc w:val="left"/>
              <w:cnfStyle w:val="100000000000" w:firstRow="1" w:lastRow="0" w:firstColumn="0" w:lastColumn="0" w:oddVBand="0" w:evenVBand="0" w:oddHBand="0" w:evenHBand="0" w:firstRowFirstColumn="0" w:firstRowLastColumn="0" w:lastRowFirstColumn="0" w:lastRowLastColumn="0"/>
              <w:rPr>
                <w:sz w:val="44"/>
                <w:szCs w:val="44"/>
              </w:rPr>
            </w:pPr>
            <w:r w:rsidRPr="006C7B74">
              <w:t>Cardinia =</w:t>
            </w:r>
            <w:r w:rsidRPr="006C7B74">
              <w:rPr>
                <w:sz w:val="28"/>
                <w:szCs w:val="28"/>
              </w:rPr>
              <w:t xml:space="preserve"> $</w:t>
            </w:r>
            <w:r w:rsidRPr="006C7B74">
              <w:rPr>
                <w:sz w:val="28"/>
              </w:rPr>
              <w:t xml:space="preserve">3.3 </w:t>
            </w:r>
            <w:r w:rsidRPr="006C7B74">
              <w:rPr>
                <w:sz w:val="28"/>
                <w:szCs w:val="28"/>
              </w:rPr>
              <w:t>billon</w:t>
            </w:r>
          </w:p>
          <w:p w14:paraId="2EA7978B" w14:textId="77777777" w:rsidR="0085099E" w:rsidRPr="006C7B74" w:rsidRDefault="0085099E" w:rsidP="006542F0">
            <w:pPr>
              <w:pStyle w:val="BodyText"/>
              <w:jc w:val="left"/>
              <w:cnfStyle w:val="100000000000" w:firstRow="1" w:lastRow="0" w:firstColumn="0" w:lastColumn="0" w:oddVBand="0" w:evenVBand="0" w:oddHBand="0" w:evenHBand="0" w:firstRowFirstColumn="0" w:firstRowLastColumn="0" w:lastRowFirstColumn="0" w:lastRowLastColumn="0"/>
            </w:pPr>
            <w:r w:rsidRPr="006C7B74">
              <w:t>Casey =</w:t>
            </w:r>
            <w:r w:rsidRPr="006C7B74">
              <w:rPr>
                <w:sz w:val="28"/>
                <w:szCs w:val="28"/>
              </w:rPr>
              <w:t xml:space="preserve"> $</w:t>
            </w:r>
            <w:r w:rsidRPr="006C7B74">
              <w:rPr>
                <w:sz w:val="28"/>
              </w:rPr>
              <w:t xml:space="preserve">8.8 </w:t>
            </w:r>
            <w:r w:rsidRPr="006C7B74">
              <w:rPr>
                <w:sz w:val="28"/>
                <w:szCs w:val="28"/>
              </w:rPr>
              <w:t>billon</w:t>
            </w:r>
          </w:p>
          <w:p w14:paraId="6E6D6E49" w14:textId="77777777" w:rsidR="0085099E" w:rsidRPr="006C7B74" w:rsidRDefault="0085099E" w:rsidP="006542F0">
            <w:pPr>
              <w:pStyle w:val="BodyText"/>
              <w:jc w:val="left"/>
              <w:cnfStyle w:val="100000000000" w:firstRow="1" w:lastRow="0" w:firstColumn="0" w:lastColumn="0" w:oddVBand="0" w:evenVBand="0" w:oddHBand="0" w:evenHBand="0" w:firstRowFirstColumn="0" w:firstRowLastColumn="0" w:lastRowFirstColumn="0" w:lastRowLastColumn="0"/>
            </w:pPr>
            <w:r w:rsidRPr="006C7B74">
              <w:t>Frankston =</w:t>
            </w:r>
            <w:r w:rsidRPr="006C7B74">
              <w:rPr>
                <w:sz w:val="28"/>
                <w:szCs w:val="28"/>
              </w:rPr>
              <w:t xml:space="preserve"> $</w:t>
            </w:r>
            <w:r w:rsidRPr="006C7B74">
              <w:rPr>
                <w:sz w:val="28"/>
              </w:rPr>
              <w:t xml:space="preserve">5.4 </w:t>
            </w:r>
            <w:r w:rsidRPr="006C7B74">
              <w:rPr>
                <w:sz w:val="28"/>
                <w:szCs w:val="28"/>
              </w:rPr>
              <w:t>billon</w:t>
            </w:r>
          </w:p>
          <w:p w14:paraId="772CC899" w14:textId="77777777" w:rsidR="0085099E" w:rsidRPr="006C7B74" w:rsidRDefault="0085099E" w:rsidP="006542F0">
            <w:pPr>
              <w:pStyle w:val="BodyText"/>
              <w:jc w:val="left"/>
              <w:cnfStyle w:val="100000000000" w:firstRow="1" w:lastRow="0" w:firstColumn="0" w:lastColumn="0" w:oddVBand="0" w:evenVBand="0" w:oddHBand="0" w:evenHBand="0" w:firstRowFirstColumn="0" w:firstRowLastColumn="0" w:lastRowFirstColumn="0" w:lastRowLastColumn="0"/>
            </w:pPr>
            <w:r w:rsidRPr="006C7B74">
              <w:t>Greater Dandenong =</w:t>
            </w:r>
            <w:r w:rsidRPr="006C7B74">
              <w:rPr>
                <w:sz w:val="28"/>
                <w:szCs w:val="28"/>
              </w:rPr>
              <w:t xml:space="preserve"> $</w:t>
            </w:r>
            <w:r w:rsidRPr="006C7B74">
              <w:rPr>
                <w:sz w:val="28"/>
              </w:rPr>
              <w:t xml:space="preserve">13.4 </w:t>
            </w:r>
            <w:r w:rsidRPr="006C7B74">
              <w:rPr>
                <w:sz w:val="28"/>
                <w:szCs w:val="28"/>
              </w:rPr>
              <w:t>billon</w:t>
            </w:r>
          </w:p>
          <w:p w14:paraId="0C188CF2" w14:textId="77777777" w:rsidR="0085099E" w:rsidRPr="006C7B74" w:rsidRDefault="0085099E" w:rsidP="006542F0">
            <w:pPr>
              <w:pStyle w:val="BodyText"/>
              <w:jc w:val="left"/>
              <w:cnfStyle w:val="100000000000" w:firstRow="1" w:lastRow="0" w:firstColumn="0" w:lastColumn="0" w:oddVBand="0" w:evenVBand="0" w:oddHBand="0" w:evenHBand="0" w:firstRowFirstColumn="0" w:firstRowLastColumn="0" w:lastRowFirstColumn="0" w:lastRowLastColumn="0"/>
            </w:pPr>
            <w:r w:rsidRPr="006C7B74">
              <w:t>Kingston =</w:t>
            </w:r>
            <w:r w:rsidRPr="006C7B74">
              <w:rPr>
                <w:sz w:val="28"/>
                <w:szCs w:val="28"/>
              </w:rPr>
              <w:t xml:space="preserve"> $</w:t>
            </w:r>
            <w:r w:rsidRPr="006C7B74">
              <w:rPr>
                <w:sz w:val="28"/>
              </w:rPr>
              <w:t xml:space="preserve">10.8 </w:t>
            </w:r>
            <w:r w:rsidRPr="006C7B74">
              <w:rPr>
                <w:sz w:val="28"/>
                <w:szCs w:val="28"/>
              </w:rPr>
              <w:t>billon</w:t>
            </w:r>
          </w:p>
          <w:p w14:paraId="24E3E107" w14:textId="77777777" w:rsidR="0085099E" w:rsidRPr="006C7B74" w:rsidRDefault="0085099E" w:rsidP="006542F0">
            <w:pPr>
              <w:pStyle w:val="BodyText"/>
              <w:jc w:val="left"/>
              <w:cnfStyle w:val="100000000000" w:firstRow="1" w:lastRow="0" w:firstColumn="0" w:lastColumn="0" w:oddVBand="0" w:evenVBand="0" w:oddHBand="0" w:evenHBand="0" w:firstRowFirstColumn="0" w:firstRowLastColumn="0" w:lastRowFirstColumn="0" w:lastRowLastColumn="0"/>
            </w:pPr>
            <w:r w:rsidRPr="006C7B74">
              <w:t>Mornington Peninsula =</w:t>
            </w:r>
            <w:r w:rsidRPr="006C7B74">
              <w:rPr>
                <w:sz w:val="28"/>
                <w:szCs w:val="28"/>
              </w:rPr>
              <w:t xml:space="preserve"> $</w:t>
            </w:r>
            <w:r w:rsidRPr="006C7B74">
              <w:rPr>
                <w:sz w:val="28"/>
              </w:rPr>
              <w:t xml:space="preserve">7.6 </w:t>
            </w:r>
            <w:r w:rsidRPr="006C7B74">
              <w:rPr>
                <w:sz w:val="28"/>
                <w:szCs w:val="28"/>
              </w:rPr>
              <w:t>billon</w:t>
            </w:r>
          </w:p>
        </w:tc>
      </w:tr>
    </w:tbl>
    <w:p w14:paraId="70C9EC71" w14:textId="5C883B77" w:rsidR="006E0A5C" w:rsidRPr="006C7B74" w:rsidRDefault="00DC580D" w:rsidP="00DC580D">
      <w:pPr>
        <w:pStyle w:val="Quote"/>
        <w:rPr>
          <w:rFonts w:eastAsiaTheme="majorEastAsia" w:cstheme="majorBidi"/>
          <w:b/>
          <w:sz w:val="20"/>
        </w:rPr>
      </w:pPr>
      <w:r w:rsidRPr="006C7B74">
        <w:t>Source:</w:t>
      </w:r>
      <w:r w:rsidR="007C154C" w:rsidRPr="006C7B74">
        <w:t xml:space="preserve"> </w:t>
      </w:r>
      <w:r w:rsidRPr="006C7B74">
        <w:t>Department of Environment, Land, Water and Planning, unpublished data (2019)</w:t>
      </w:r>
      <w:r w:rsidR="006E0A5C" w:rsidRPr="006C7B74">
        <w:br w:type="page"/>
      </w:r>
    </w:p>
    <w:p w14:paraId="06FF9C20" w14:textId="31C93616" w:rsidR="00622330" w:rsidRPr="006C7B74" w:rsidRDefault="00622330" w:rsidP="00622330">
      <w:pPr>
        <w:spacing w:after="120"/>
        <w:rPr>
          <w:rFonts w:cstheme="minorHAnsi"/>
          <w:sz w:val="20"/>
          <w:szCs w:val="20"/>
        </w:rPr>
      </w:pPr>
      <w:r w:rsidRPr="006C7B74">
        <w:rPr>
          <w:rFonts w:cstheme="minorHAnsi"/>
          <w:sz w:val="20"/>
          <w:szCs w:val="20"/>
        </w:rPr>
        <w:lastRenderedPageBreak/>
        <w:t xml:space="preserve">The region was home to </w:t>
      </w:r>
      <w:r w:rsidR="00B873B5" w:rsidRPr="006C7B74">
        <w:rPr>
          <w:rFonts w:cstheme="minorHAnsi"/>
          <w:sz w:val="20"/>
          <w:szCs w:val="20"/>
        </w:rPr>
        <w:t>over</w:t>
      </w:r>
      <w:r w:rsidRPr="006C7B74">
        <w:rPr>
          <w:rFonts w:cstheme="minorHAnsi"/>
          <w:sz w:val="20"/>
          <w:szCs w:val="20"/>
        </w:rPr>
        <w:t xml:space="preserve"> 1 million people in 2016. By 2031 it is projected that the region will grow by around 356,300 people to a total population of around 1.4 million people. The growth area municipalities of Cardinia and Casey will experience the strongest population growth over this period</w:t>
      </w:r>
      <w:r w:rsidRPr="006C7B74">
        <w:rPr>
          <w:rFonts w:cstheme="minorHAnsi"/>
          <w:sz w:val="20"/>
          <w:szCs w:val="20"/>
          <w:lang w:eastAsia="en-AU"/>
        </w:rPr>
        <w:t xml:space="preserve"> and by 2031, are likely to be home to over 644,700 people. </w:t>
      </w:r>
    </w:p>
    <w:p w14:paraId="5747D843" w14:textId="4EE83D7B" w:rsidR="00F96E2C" w:rsidRPr="006C7B74" w:rsidRDefault="00F96E2C" w:rsidP="00C802F6">
      <w:pPr>
        <w:pStyle w:val="Heading5"/>
      </w:pPr>
      <w:r w:rsidRPr="006C7B74">
        <w:t xml:space="preserve">Figure </w:t>
      </w:r>
      <w:r w:rsidR="0099616A" w:rsidRPr="006C7B74">
        <w:t>2</w:t>
      </w:r>
      <w:r w:rsidR="00DC23D3" w:rsidRPr="006C7B74">
        <w:t>7</w:t>
      </w:r>
      <w:r w:rsidRPr="006C7B74">
        <w:t>: Projected population growth, Southern Region, 2016</w:t>
      </w:r>
      <w:r w:rsidR="00895A93" w:rsidRPr="006C7B74">
        <w:t xml:space="preserve"> </w:t>
      </w:r>
      <w:r w:rsidR="00305798" w:rsidRPr="006C7B74">
        <w:t>to</w:t>
      </w:r>
      <w:r w:rsidR="00895A93" w:rsidRPr="006C7B74">
        <w:t xml:space="preserve"> 2031</w:t>
      </w:r>
    </w:p>
    <w:p w14:paraId="7A406564" w14:textId="762C556F" w:rsidR="00F96E2C" w:rsidRPr="006C7B74" w:rsidRDefault="001574A9" w:rsidP="00E30EA8">
      <w:pPr>
        <w:spacing w:after="120"/>
        <w:jc w:val="center"/>
        <w:rPr>
          <w:rFonts w:cstheme="minorHAnsi"/>
          <w:sz w:val="20"/>
          <w:szCs w:val="20"/>
        </w:rPr>
      </w:pPr>
      <w:r w:rsidRPr="006C7B74">
        <w:rPr>
          <w:noProof/>
        </w:rPr>
        <w:drawing>
          <wp:inline distT="0" distB="0" distL="0" distR="0" wp14:anchorId="1DD679F1" wp14:editId="662EE25F">
            <wp:extent cx="5572760" cy="1860331"/>
            <wp:effectExtent l="0" t="0" r="0" b="0"/>
            <wp:docPr id="39" name="Chart 39" descr="Bar graph - Projected population growth, Southern Region, 2016 to 2031">
              <a:extLst xmlns:a="http://schemas.openxmlformats.org/drawingml/2006/main">
                <a:ext uri="{FF2B5EF4-FFF2-40B4-BE49-F238E27FC236}">
                  <a16:creationId xmlns:a16="http://schemas.microsoft.com/office/drawing/2014/main" id="{33ED4565-39E9-425D-ACF1-A88C3A3CBE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E91C39D" w14:textId="65BF39A0" w:rsidR="00F96E2C" w:rsidRPr="006C7B74" w:rsidRDefault="00CF3896" w:rsidP="00934C4D">
      <w:pPr>
        <w:spacing w:after="120"/>
        <w:rPr>
          <w:rFonts w:cstheme="minorHAnsi"/>
          <w:sz w:val="20"/>
          <w:szCs w:val="20"/>
        </w:rPr>
      </w:pPr>
      <w:r w:rsidRPr="006C7B74">
        <w:rPr>
          <w:i/>
          <w:iCs/>
          <w:color w:val="404040" w:themeColor="text1" w:themeTint="BF"/>
          <w:sz w:val="18"/>
        </w:rPr>
        <w:t xml:space="preserve">Source: Department of Environment, Land, Water and Planning, Victoria in Future 2019 </w:t>
      </w:r>
      <w:r w:rsidR="00173859" w:rsidRPr="006C7B74">
        <w:rPr>
          <w:i/>
          <w:iCs/>
          <w:color w:val="404040" w:themeColor="text1" w:themeTint="BF"/>
          <w:sz w:val="18"/>
        </w:rPr>
        <w:t>(</w:t>
      </w:r>
      <w:r w:rsidRPr="006C7B74">
        <w:rPr>
          <w:i/>
          <w:iCs/>
          <w:color w:val="404040" w:themeColor="text1" w:themeTint="BF"/>
          <w:sz w:val="18"/>
        </w:rPr>
        <w:t>July 2019</w:t>
      </w:r>
      <w:r w:rsidR="00173859" w:rsidRPr="006C7B74">
        <w:rPr>
          <w:i/>
          <w:iCs/>
          <w:color w:val="404040" w:themeColor="text1" w:themeTint="BF"/>
          <w:sz w:val="18"/>
        </w:rPr>
        <w:t>)</w:t>
      </w:r>
      <w:r w:rsidRPr="006C7B74">
        <w:rPr>
          <w:i/>
          <w:iCs/>
          <w:color w:val="404040" w:themeColor="text1" w:themeTint="BF"/>
          <w:sz w:val="18"/>
        </w:rPr>
        <w:t>.</w:t>
      </w:r>
    </w:p>
    <w:p w14:paraId="390A614F" w14:textId="70117205" w:rsidR="00F96E2C" w:rsidRPr="006C7B74" w:rsidRDefault="00592732" w:rsidP="00934C4D">
      <w:pPr>
        <w:spacing w:after="120"/>
        <w:rPr>
          <w:rFonts w:cstheme="minorHAnsi"/>
          <w:sz w:val="20"/>
          <w:szCs w:val="20"/>
        </w:rPr>
      </w:pPr>
      <w:r w:rsidRPr="006C7B74">
        <w:rPr>
          <w:rFonts w:cstheme="minorHAnsi"/>
          <w:sz w:val="20"/>
          <w:szCs w:val="20"/>
        </w:rPr>
        <w:t>In 20</w:t>
      </w:r>
      <w:r w:rsidR="006932E0" w:rsidRPr="006C7B74">
        <w:rPr>
          <w:rFonts w:cstheme="minorHAnsi"/>
          <w:sz w:val="20"/>
          <w:szCs w:val="20"/>
        </w:rPr>
        <w:t>1</w:t>
      </w:r>
      <w:r w:rsidRPr="006C7B74">
        <w:rPr>
          <w:rFonts w:cstheme="minorHAnsi"/>
          <w:sz w:val="20"/>
          <w:szCs w:val="20"/>
        </w:rPr>
        <w:t>6 t</w:t>
      </w:r>
      <w:r w:rsidR="00F96E2C" w:rsidRPr="006C7B74">
        <w:rPr>
          <w:rFonts w:cstheme="minorHAnsi"/>
          <w:sz w:val="20"/>
          <w:szCs w:val="20"/>
        </w:rPr>
        <w:t xml:space="preserve">he region </w:t>
      </w:r>
      <w:r w:rsidR="000E6615" w:rsidRPr="006C7B74">
        <w:rPr>
          <w:rFonts w:cstheme="minorHAnsi"/>
          <w:sz w:val="20"/>
          <w:szCs w:val="20"/>
        </w:rPr>
        <w:t>supported</w:t>
      </w:r>
      <w:r w:rsidR="00F96E2C" w:rsidRPr="006C7B74">
        <w:rPr>
          <w:rFonts w:cstheme="minorHAnsi"/>
          <w:sz w:val="20"/>
          <w:szCs w:val="20"/>
        </w:rPr>
        <w:t xml:space="preserve"> </w:t>
      </w:r>
      <w:r w:rsidR="00F36687" w:rsidRPr="006C7B74">
        <w:rPr>
          <w:rFonts w:cstheme="minorHAnsi"/>
          <w:sz w:val="20"/>
          <w:szCs w:val="20"/>
        </w:rPr>
        <w:t>around</w:t>
      </w:r>
      <w:r w:rsidR="00F96E2C" w:rsidRPr="006C7B74">
        <w:rPr>
          <w:rFonts w:cstheme="minorHAnsi"/>
          <w:sz w:val="20"/>
          <w:szCs w:val="20"/>
        </w:rPr>
        <w:t xml:space="preserve"> </w:t>
      </w:r>
      <w:r w:rsidR="00F36687" w:rsidRPr="006C7B74">
        <w:rPr>
          <w:rFonts w:cstheme="minorHAnsi"/>
          <w:sz w:val="20"/>
          <w:szCs w:val="20"/>
        </w:rPr>
        <w:t>392,250</w:t>
      </w:r>
      <w:r w:rsidR="00F96E2C" w:rsidRPr="006C7B74">
        <w:rPr>
          <w:rFonts w:cstheme="minorHAnsi"/>
          <w:sz w:val="20"/>
          <w:szCs w:val="20"/>
        </w:rPr>
        <w:t xml:space="preserve"> jobs, accounting for </w:t>
      </w:r>
      <w:r w:rsidR="00717DF0" w:rsidRPr="006C7B74">
        <w:rPr>
          <w:rFonts w:cstheme="minorHAnsi"/>
          <w:sz w:val="20"/>
          <w:szCs w:val="20"/>
        </w:rPr>
        <w:t>17</w:t>
      </w:r>
      <w:r w:rsidR="00F96E2C" w:rsidRPr="006C7B74">
        <w:rPr>
          <w:rFonts w:cstheme="minorHAnsi"/>
          <w:sz w:val="20"/>
          <w:szCs w:val="20"/>
        </w:rPr>
        <w:t xml:space="preserve"> per cent of all employment across the metropolitan area. </w:t>
      </w:r>
    </w:p>
    <w:p w14:paraId="70558948" w14:textId="687FC4C9" w:rsidR="00F96E2C" w:rsidRPr="006C7B74" w:rsidRDefault="00184F94" w:rsidP="00934C4D">
      <w:pPr>
        <w:spacing w:after="120"/>
        <w:rPr>
          <w:rFonts w:cstheme="minorHAnsi"/>
          <w:sz w:val="20"/>
          <w:szCs w:val="20"/>
        </w:rPr>
      </w:pPr>
      <w:r w:rsidRPr="006C7B74">
        <w:rPr>
          <w:rFonts w:cstheme="minorHAnsi"/>
          <w:sz w:val="20"/>
          <w:szCs w:val="20"/>
        </w:rPr>
        <w:t xml:space="preserve">By 2031 it is </w:t>
      </w:r>
      <w:r>
        <w:rPr>
          <w:rFonts w:cstheme="minorHAnsi"/>
          <w:sz w:val="20"/>
          <w:szCs w:val="20"/>
        </w:rPr>
        <w:t xml:space="preserve">projected </w:t>
      </w:r>
      <w:r w:rsidRPr="006C7B74">
        <w:rPr>
          <w:rFonts w:cstheme="minorHAnsi"/>
          <w:sz w:val="20"/>
          <w:szCs w:val="20"/>
        </w:rPr>
        <w:t xml:space="preserve">that approximately </w:t>
      </w:r>
      <w:r>
        <w:rPr>
          <w:rFonts w:cstheme="minorHAnsi"/>
          <w:sz w:val="20"/>
          <w:szCs w:val="20"/>
        </w:rPr>
        <w:t>128,000</w:t>
      </w:r>
      <w:r w:rsidRPr="006C7B74">
        <w:rPr>
          <w:rFonts w:cstheme="minorHAnsi"/>
          <w:sz w:val="20"/>
          <w:szCs w:val="20"/>
        </w:rPr>
        <w:t xml:space="preserve"> additional jobs will be </w:t>
      </w:r>
      <w:r>
        <w:rPr>
          <w:rFonts w:cstheme="minorHAnsi"/>
          <w:sz w:val="20"/>
          <w:szCs w:val="20"/>
        </w:rPr>
        <w:t>located</w:t>
      </w:r>
      <w:r w:rsidRPr="006C7B74">
        <w:rPr>
          <w:rFonts w:cstheme="minorHAnsi"/>
          <w:sz w:val="20"/>
          <w:szCs w:val="20"/>
        </w:rPr>
        <w:t xml:space="preserve"> across the region.</w:t>
      </w:r>
      <w:r w:rsidR="00F96E2C" w:rsidRPr="006C7B74">
        <w:rPr>
          <w:rFonts w:cstheme="minorHAnsi"/>
          <w:sz w:val="20"/>
          <w:szCs w:val="20"/>
        </w:rPr>
        <w:t xml:space="preserve"> </w:t>
      </w:r>
      <w:r w:rsidR="00B8732F" w:rsidRPr="006C7B74">
        <w:rPr>
          <w:rFonts w:cstheme="minorHAnsi"/>
          <w:sz w:val="20"/>
          <w:szCs w:val="20"/>
        </w:rPr>
        <w:t>Over</w:t>
      </w:r>
      <w:r w:rsidR="005E560A" w:rsidRPr="006C7B74">
        <w:rPr>
          <w:rFonts w:cstheme="minorHAnsi"/>
          <w:sz w:val="20"/>
          <w:szCs w:val="20"/>
        </w:rPr>
        <w:t xml:space="preserve"> half of the new jobs in the region are expected to be within the growth area municipalities of </w:t>
      </w:r>
      <w:r w:rsidR="00F96E2C" w:rsidRPr="006C7B74">
        <w:rPr>
          <w:rFonts w:cstheme="minorHAnsi"/>
          <w:sz w:val="20"/>
          <w:szCs w:val="20"/>
        </w:rPr>
        <w:t xml:space="preserve">Casey </w:t>
      </w:r>
      <w:r w:rsidR="005E560A" w:rsidRPr="006C7B74">
        <w:rPr>
          <w:rFonts w:cstheme="minorHAnsi"/>
          <w:sz w:val="20"/>
          <w:szCs w:val="20"/>
        </w:rPr>
        <w:t xml:space="preserve">and Cardinia. </w:t>
      </w:r>
      <w:r w:rsidR="00F96E2C" w:rsidRPr="006C7B74">
        <w:rPr>
          <w:rFonts w:cstheme="minorHAnsi"/>
          <w:sz w:val="20"/>
          <w:szCs w:val="20"/>
        </w:rPr>
        <w:t xml:space="preserve">The municipalities of </w:t>
      </w:r>
      <w:r w:rsidR="00F96E2C" w:rsidRPr="006C7B74">
        <w:rPr>
          <w:rFonts w:cstheme="minorHAnsi"/>
          <w:sz w:val="20"/>
        </w:rPr>
        <w:t>Kingston</w:t>
      </w:r>
      <w:r w:rsidR="005E560A" w:rsidRPr="006C7B74">
        <w:rPr>
          <w:rFonts w:cstheme="minorHAnsi"/>
          <w:sz w:val="20"/>
        </w:rPr>
        <w:t xml:space="preserve"> and</w:t>
      </w:r>
      <w:r w:rsidR="00F96E2C" w:rsidRPr="006C7B74">
        <w:rPr>
          <w:rFonts w:cstheme="minorHAnsi"/>
          <w:sz w:val="20"/>
        </w:rPr>
        <w:t xml:space="preserve"> Greater Dandenong </w:t>
      </w:r>
      <w:r w:rsidR="00F96E2C" w:rsidRPr="006C7B74">
        <w:rPr>
          <w:rFonts w:cstheme="minorHAnsi"/>
          <w:sz w:val="20"/>
          <w:szCs w:val="20"/>
        </w:rPr>
        <w:t xml:space="preserve">are also expected to experience </w:t>
      </w:r>
      <w:r w:rsidR="005E560A" w:rsidRPr="006C7B74">
        <w:rPr>
          <w:rFonts w:cstheme="minorHAnsi"/>
          <w:sz w:val="20"/>
          <w:szCs w:val="20"/>
        </w:rPr>
        <w:t xml:space="preserve">substantial </w:t>
      </w:r>
      <w:r w:rsidR="00F96E2C" w:rsidRPr="006C7B74">
        <w:rPr>
          <w:rFonts w:cstheme="minorHAnsi"/>
          <w:sz w:val="20"/>
          <w:szCs w:val="20"/>
        </w:rPr>
        <w:t xml:space="preserve">growth in jobs. </w:t>
      </w:r>
    </w:p>
    <w:p w14:paraId="6D11AC1F" w14:textId="476CAA76" w:rsidR="00F96E2C" w:rsidRPr="006C7B74" w:rsidRDefault="00F96E2C" w:rsidP="00934C4D">
      <w:pPr>
        <w:spacing w:after="120"/>
        <w:rPr>
          <w:rFonts w:cstheme="minorHAnsi"/>
          <w:sz w:val="20"/>
          <w:szCs w:val="20"/>
        </w:rPr>
      </w:pPr>
      <w:r w:rsidRPr="006C7B74">
        <w:rPr>
          <w:rFonts w:cstheme="minorHAnsi"/>
          <w:sz w:val="20"/>
          <w:szCs w:val="20"/>
        </w:rPr>
        <w:t xml:space="preserve">The industries that </w:t>
      </w:r>
      <w:r w:rsidR="005E560A" w:rsidRPr="006C7B74">
        <w:rPr>
          <w:rFonts w:cstheme="minorHAnsi"/>
          <w:sz w:val="20"/>
          <w:szCs w:val="20"/>
        </w:rPr>
        <w:t xml:space="preserve">are expected to </w:t>
      </w:r>
      <w:r w:rsidRPr="006C7B74">
        <w:rPr>
          <w:rFonts w:cstheme="minorHAnsi"/>
          <w:sz w:val="20"/>
          <w:szCs w:val="20"/>
        </w:rPr>
        <w:t>experience the strongest growth are</w:t>
      </w:r>
      <w:r w:rsidR="005E560A" w:rsidRPr="006C7B74">
        <w:rPr>
          <w:rFonts w:cstheme="minorHAnsi"/>
          <w:sz w:val="20"/>
          <w:szCs w:val="20"/>
        </w:rPr>
        <w:t>:</w:t>
      </w:r>
      <w:r w:rsidRPr="006C7B74">
        <w:rPr>
          <w:rFonts w:cstheme="minorHAnsi"/>
          <w:sz w:val="20"/>
          <w:szCs w:val="20"/>
        </w:rPr>
        <w:t xml:space="preserve"> </w:t>
      </w:r>
      <w:r w:rsidR="004C066C" w:rsidRPr="006C7B74">
        <w:rPr>
          <w:rFonts w:cstheme="minorHAnsi"/>
          <w:sz w:val="20"/>
          <w:szCs w:val="20"/>
        </w:rPr>
        <w:t>health care and social assistance; retail trade; manufacturing; construction; education and training.</w:t>
      </w:r>
    </w:p>
    <w:p w14:paraId="5A052296" w14:textId="4F24329C" w:rsidR="00F96E2C" w:rsidRPr="006C7B74" w:rsidRDefault="00F96E2C" w:rsidP="00C802F6">
      <w:pPr>
        <w:pStyle w:val="Heading5"/>
      </w:pPr>
      <w:r w:rsidRPr="006C7B74">
        <w:t xml:space="preserve">Figure </w:t>
      </w:r>
      <w:r w:rsidR="0099616A" w:rsidRPr="006C7B74">
        <w:t>2</w:t>
      </w:r>
      <w:r w:rsidR="00DC23D3" w:rsidRPr="006C7B74">
        <w:t>8</w:t>
      </w:r>
      <w:r w:rsidRPr="006C7B74">
        <w:t>: Projected employment growth, Southern Region, 2016 to 2031</w:t>
      </w:r>
    </w:p>
    <w:p w14:paraId="32F00516" w14:textId="3AB660FD" w:rsidR="00620F3B" w:rsidRPr="006C7B74" w:rsidRDefault="005C4B00" w:rsidP="005F3D9C">
      <w:pPr>
        <w:pStyle w:val="Quote"/>
        <w:jc w:val="center"/>
      </w:pPr>
      <w:r w:rsidRPr="006C7B74">
        <w:rPr>
          <w:noProof/>
        </w:rPr>
        <w:drawing>
          <wp:inline distT="0" distB="0" distL="0" distR="0" wp14:anchorId="69A3356B" wp14:editId="11E01206">
            <wp:extent cx="5493327" cy="3748265"/>
            <wp:effectExtent l="0" t="0" r="0" b="0"/>
            <wp:docPr id="11" name="Picture 11" descr="Graphic showing:&#10;Kingston +18K jobs, 1.5%pa growth&#10;Frankston +11K jobs, 1.5%pa growth&#10;Mornington Peninsula +12K jobs, 1.4%pa growth&#10;Greater Dandenong +20K jobs, 1.3%pa growth&#10;Cardinia +18K jobs, 3.9% growth&#10;Casey +49K jobs, 3.9%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rojected employment growth map_2020 update-05.png"/>
                    <pic:cNvPicPr/>
                  </pic:nvPicPr>
                  <pic:blipFill rotWithShape="1">
                    <a:blip r:embed="rId54"/>
                    <a:srcRect t="1864" b="1623"/>
                    <a:stretch/>
                  </pic:blipFill>
                  <pic:spPr bwMode="auto">
                    <a:xfrm>
                      <a:off x="0" y="0"/>
                      <a:ext cx="5534337" cy="3776248"/>
                    </a:xfrm>
                    <a:prstGeom prst="rect">
                      <a:avLst/>
                    </a:prstGeom>
                    <a:ln>
                      <a:noFill/>
                    </a:ln>
                    <a:extLst>
                      <a:ext uri="{53640926-AAD7-44D8-BBD7-CCE9431645EC}">
                        <a14:shadowObscured xmlns:a14="http://schemas.microsoft.com/office/drawing/2010/main"/>
                      </a:ext>
                    </a:extLst>
                  </pic:spPr>
                </pic:pic>
              </a:graphicData>
            </a:graphic>
          </wp:inline>
        </w:drawing>
      </w:r>
    </w:p>
    <w:p w14:paraId="0E7FA269" w14:textId="6E4FC9EE" w:rsidR="00762895" w:rsidRPr="00762895" w:rsidRDefault="00F96E2C" w:rsidP="00762895">
      <w:pPr>
        <w:pStyle w:val="Quote"/>
      </w:pPr>
      <w:r w:rsidRPr="006C7B74">
        <w:t>Source: Department of Jobs, Precincts and Regions, internal analysis (201</w:t>
      </w:r>
      <w:r w:rsidR="00561E2C" w:rsidRPr="006C7B74">
        <w:t>9</w:t>
      </w:r>
      <w:r w:rsidRPr="006C7B74">
        <w:t>).</w:t>
      </w:r>
    </w:p>
    <w:p w14:paraId="37FAF33D" w14:textId="77777777" w:rsidR="00944BE6" w:rsidRPr="003C516A" w:rsidRDefault="00944BE6" w:rsidP="003C516A">
      <w:pPr>
        <w:pStyle w:val="BodyText"/>
        <w:rPr>
          <w:i/>
          <w:iCs/>
        </w:rPr>
      </w:pPr>
      <w:r w:rsidRPr="003C516A">
        <w:rPr>
          <w:i/>
          <w:iCs/>
        </w:rPr>
        <w:lastRenderedPageBreak/>
        <w:t>NOTE: Job figures have been rounded to the nearest thousand.</w:t>
      </w:r>
    </w:p>
    <w:p w14:paraId="080A955B" w14:textId="77777777" w:rsidR="00CB1BBD" w:rsidRPr="00CB1BBD" w:rsidRDefault="00CB1BBD" w:rsidP="001B2A5D"/>
    <w:p w14:paraId="015FD860" w14:textId="77777777" w:rsidR="002076DA" w:rsidRPr="006C7B74" w:rsidRDefault="002076DA" w:rsidP="002076DA">
      <w:pPr>
        <w:pStyle w:val="Heading2-Contenttable"/>
        <w:spacing w:after="120"/>
      </w:pPr>
      <w:bookmarkStart w:id="55" w:name="_Toc21694834"/>
      <w:r w:rsidRPr="006C7B74">
        <w:t>Key industrial and commercial areas</w:t>
      </w:r>
      <w:bookmarkEnd w:id="55"/>
    </w:p>
    <w:p w14:paraId="38D1E872" w14:textId="20C121B6" w:rsidR="009331C5" w:rsidRPr="006C7B74" w:rsidRDefault="00B873B5" w:rsidP="00C51A75">
      <w:pPr>
        <w:spacing w:after="120"/>
        <w:textAlignment w:val="baseline"/>
        <w:rPr>
          <w:rFonts w:cstheme="minorHAnsi"/>
          <w:sz w:val="20"/>
          <w:szCs w:val="20"/>
          <w:lang w:eastAsia="en-AU"/>
        </w:rPr>
      </w:pPr>
      <w:r w:rsidRPr="006C7B74">
        <w:rPr>
          <w:rFonts w:cstheme="minorHAnsi"/>
          <w:sz w:val="20"/>
          <w:szCs w:val="20"/>
          <w:lang w:eastAsia="en-AU"/>
        </w:rPr>
        <w:t>T</w:t>
      </w:r>
      <w:r w:rsidR="00C51A75" w:rsidRPr="006C7B74">
        <w:rPr>
          <w:rFonts w:cstheme="minorHAnsi"/>
          <w:sz w:val="20"/>
          <w:szCs w:val="20"/>
          <w:lang w:eastAsia="en-AU"/>
        </w:rPr>
        <w:t xml:space="preserve">he Southern Region </w:t>
      </w:r>
      <w:r w:rsidR="00DE2962" w:rsidRPr="006C7B74">
        <w:rPr>
          <w:rFonts w:cstheme="minorHAnsi"/>
          <w:sz w:val="20"/>
          <w:szCs w:val="20"/>
          <w:lang w:eastAsia="en-AU"/>
        </w:rPr>
        <w:t xml:space="preserve">has the largest overall supply of </w:t>
      </w:r>
      <w:r w:rsidR="000B52EC" w:rsidRPr="006C7B74">
        <w:rPr>
          <w:rFonts w:cstheme="minorHAnsi"/>
          <w:sz w:val="20"/>
          <w:szCs w:val="20"/>
          <w:lang w:eastAsia="en-AU"/>
        </w:rPr>
        <w:t xml:space="preserve">zoned and unzoned </w:t>
      </w:r>
      <w:r w:rsidR="00DE2962" w:rsidRPr="006C7B74">
        <w:rPr>
          <w:rFonts w:cstheme="minorHAnsi"/>
          <w:sz w:val="20"/>
          <w:szCs w:val="20"/>
          <w:lang w:eastAsia="en-AU"/>
        </w:rPr>
        <w:t xml:space="preserve">industrial land </w:t>
      </w:r>
      <w:r w:rsidR="000B52EC" w:rsidRPr="006C7B74">
        <w:rPr>
          <w:rFonts w:cstheme="minorHAnsi"/>
          <w:sz w:val="20"/>
          <w:szCs w:val="20"/>
          <w:lang w:eastAsia="en-AU"/>
        </w:rPr>
        <w:t xml:space="preserve">supply </w:t>
      </w:r>
      <w:r w:rsidR="00DE2962" w:rsidRPr="006C7B74">
        <w:rPr>
          <w:rFonts w:cstheme="minorHAnsi"/>
          <w:sz w:val="20"/>
          <w:szCs w:val="20"/>
          <w:lang w:eastAsia="en-AU"/>
        </w:rPr>
        <w:t>across metropolitan Melbourne</w:t>
      </w:r>
      <w:r w:rsidR="00B45F08" w:rsidRPr="006C7B74">
        <w:rPr>
          <w:rFonts w:cstheme="minorHAnsi"/>
          <w:sz w:val="20"/>
          <w:szCs w:val="20"/>
          <w:lang w:eastAsia="en-AU"/>
        </w:rPr>
        <w:t>.</w:t>
      </w:r>
    </w:p>
    <w:p w14:paraId="6B298D06" w14:textId="2C3719D0" w:rsidR="006F3D72" w:rsidRPr="006C7B74" w:rsidRDefault="006F3D72" w:rsidP="006F3D72">
      <w:pPr>
        <w:spacing w:after="120"/>
        <w:textAlignment w:val="baseline"/>
        <w:rPr>
          <w:rFonts w:cstheme="minorHAnsi"/>
          <w:sz w:val="20"/>
        </w:rPr>
      </w:pPr>
      <w:r w:rsidRPr="006C7B74">
        <w:rPr>
          <w:rFonts w:cstheme="minorHAnsi"/>
          <w:sz w:val="20"/>
          <w:szCs w:val="20"/>
          <w:lang w:eastAsia="en-AU"/>
        </w:rPr>
        <w:t xml:space="preserve">The </w:t>
      </w:r>
      <w:r w:rsidRPr="006C7B74">
        <w:rPr>
          <w:rFonts w:cstheme="minorHAnsi"/>
          <w:b/>
          <w:bCs/>
          <w:sz w:val="20"/>
          <w:szCs w:val="20"/>
          <w:lang w:eastAsia="en-AU"/>
        </w:rPr>
        <w:t xml:space="preserve">Southern </w:t>
      </w:r>
      <w:r w:rsidR="00B873B5" w:rsidRPr="006C7B74">
        <w:rPr>
          <w:rFonts w:cstheme="minorHAnsi"/>
          <w:b/>
          <w:bCs/>
          <w:sz w:val="20"/>
          <w:szCs w:val="20"/>
          <w:lang w:eastAsia="en-AU"/>
        </w:rPr>
        <w:t>s</w:t>
      </w:r>
      <w:r w:rsidRPr="006C7B74">
        <w:rPr>
          <w:rFonts w:cstheme="minorHAnsi"/>
          <w:b/>
          <w:bCs/>
          <w:sz w:val="20"/>
          <w:szCs w:val="20"/>
          <w:lang w:eastAsia="en-AU"/>
        </w:rPr>
        <w:t>tate</w:t>
      </w:r>
      <w:r w:rsidR="001C538C" w:rsidRPr="006C7B74">
        <w:rPr>
          <w:rFonts w:cstheme="minorHAnsi"/>
          <w:b/>
          <w:bCs/>
          <w:sz w:val="20"/>
          <w:szCs w:val="20"/>
          <w:lang w:eastAsia="en-AU"/>
        </w:rPr>
        <w:t>-s</w:t>
      </w:r>
      <w:r w:rsidRPr="006C7B74">
        <w:rPr>
          <w:rFonts w:cstheme="minorHAnsi"/>
          <w:b/>
          <w:bCs/>
          <w:sz w:val="20"/>
          <w:szCs w:val="20"/>
          <w:lang w:eastAsia="en-AU"/>
        </w:rPr>
        <w:t xml:space="preserve">ignificant </w:t>
      </w:r>
      <w:r w:rsidR="001C538C" w:rsidRPr="006C7B74">
        <w:rPr>
          <w:rFonts w:cstheme="minorHAnsi"/>
          <w:b/>
          <w:bCs/>
          <w:sz w:val="20"/>
          <w:szCs w:val="20"/>
          <w:lang w:eastAsia="en-AU"/>
        </w:rPr>
        <w:t>i</w:t>
      </w:r>
      <w:r w:rsidRPr="006C7B74">
        <w:rPr>
          <w:rFonts w:cstheme="minorHAnsi"/>
          <w:b/>
          <w:bCs/>
          <w:sz w:val="20"/>
          <w:szCs w:val="20"/>
          <w:lang w:eastAsia="en-AU"/>
        </w:rPr>
        <w:t xml:space="preserve">ndustrial </w:t>
      </w:r>
      <w:r w:rsidR="001C538C" w:rsidRPr="006C7B74">
        <w:rPr>
          <w:rFonts w:cstheme="minorHAnsi"/>
          <w:b/>
          <w:bCs/>
          <w:sz w:val="20"/>
          <w:szCs w:val="20"/>
          <w:lang w:eastAsia="en-AU"/>
        </w:rPr>
        <w:t>p</w:t>
      </w:r>
      <w:r w:rsidRPr="006C7B74">
        <w:rPr>
          <w:rFonts w:cstheme="minorHAnsi"/>
          <w:b/>
          <w:bCs/>
          <w:sz w:val="20"/>
          <w:szCs w:val="20"/>
          <w:lang w:eastAsia="en-AU"/>
        </w:rPr>
        <w:t>recinct</w:t>
      </w:r>
      <w:r w:rsidRPr="006C7B74">
        <w:rPr>
          <w:rFonts w:cstheme="minorHAnsi"/>
          <w:sz w:val="20"/>
          <w:szCs w:val="20"/>
          <w:lang w:eastAsia="en-AU"/>
        </w:rPr>
        <w:t xml:space="preserve"> (Southern SSIP) is Melbourne’s third largest SSIP, comprising 2</w:t>
      </w:r>
      <w:r w:rsidR="0058549D" w:rsidRPr="006C7B74">
        <w:rPr>
          <w:rFonts w:cstheme="minorHAnsi"/>
          <w:sz w:val="20"/>
          <w:szCs w:val="20"/>
          <w:lang w:eastAsia="en-AU"/>
        </w:rPr>
        <w:t>,</w:t>
      </w:r>
      <w:r w:rsidRPr="006C7B74">
        <w:rPr>
          <w:rFonts w:cstheme="minorHAnsi"/>
          <w:sz w:val="20"/>
          <w:szCs w:val="20"/>
          <w:lang w:eastAsia="en-AU"/>
        </w:rPr>
        <w:t xml:space="preserve">957 hectares of zoned land within the municipalities of Greater Dandenong and Casey. It forms part of the Dandenong National Employment and Innovation Cluster (NEIC) and </w:t>
      </w:r>
      <w:r w:rsidRPr="006C7B74">
        <w:rPr>
          <w:rFonts w:cstheme="minorHAnsi"/>
          <w:sz w:val="20"/>
          <w:szCs w:val="20"/>
        </w:rPr>
        <w:t xml:space="preserve">has easy </w:t>
      </w:r>
      <w:r w:rsidRPr="006C7B74">
        <w:rPr>
          <w:rFonts w:cstheme="minorHAnsi"/>
          <w:sz w:val="20"/>
        </w:rPr>
        <w:t>access to significant transport infrastructure including</w:t>
      </w:r>
      <w:r w:rsidR="0058549D" w:rsidRPr="006C7B74">
        <w:rPr>
          <w:rFonts w:cstheme="minorHAnsi"/>
          <w:sz w:val="20"/>
        </w:rPr>
        <w:t>,</w:t>
      </w:r>
      <w:r w:rsidRPr="006C7B74">
        <w:rPr>
          <w:rFonts w:cstheme="minorHAnsi"/>
          <w:sz w:val="20"/>
        </w:rPr>
        <w:t xml:space="preserve"> rail freight connections and the key roads of Eastlink, Western Port Highway, the South Gippsland Highway and Freeway and Monash Freeway. It includes several distinct precincts as follows:</w:t>
      </w:r>
    </w:p>
    <w:p w14:paraId="3413FF2A" w14:textId="58E5FA1B" w:rsidR="006F3D72" w:rsidRPr="006C7B74" w:rsidRDefault="006F3D72" w:rsidP="006F3D72">
      <w:pPr>
        <w:pStyle w:val="BodyText"/>
        <w:numPr>
          <w:ilvl w:val="0"/>
          <w:numId w:val="4"/>
        </w:numPr>
        <w:spacing w:before="0" w:line="240" w:lineRule="auto"/>
        <w:rPr>
          <w:bCs/>
        </w:rPr>
      </w:pPr>
      <w:r w:rsidRPr="006C7B74">
        <w:rPr>
          <w:bCs/>
        </w:rPr>
        <w:t xml:space="preserve">The </w:t>
      </w:r>
      <w:r w:rsidRPr="006C7B74">
        <w:rPr>
          <w:b/>
          <w:bCs/>
        </w:rPr>
        <w:t>Hammond Road Precinct</w:t>
      </w:r>
      <w:r w:rsidRPr="006C7B74">
        <w:rPr>
          <w:bCs/>
        </w:rPr>
        <w:t xml:space="preserve"> is centrally located within the </w:t>
      </w:r>
      <w:r w:rsidR="00140F0A" w:rsidRPr="006C7B74">
        <w:rPr>
          <w:bCs/>
        </w:rPr>
        <w:t xml:space="preserve">Southern </w:t>
      </w:r>
      <w:r w:rsidRPr="006C7B74">
        <w:rPr>
          <w:bCs/>
        </w:rPr>
        <w:t xml:space="preserve">SSIP and adjacent to Eastlink. It is one of only two areas of Industrial 2 zoned land in metropolitan Melbourne and the </w:t>
      </w:r>
      <w:r w:rsidRPr="006C7B74">
        <w:t xml:space="preserve">only supply in the region. A key purpose of this land is to allow for a range of heavy manufacturing. </w:t>
      </w:r>
      <w:r w:rsidRPr="006C7B74">
        <w:rPr>
          <w:bCs/>
        </w:rPr>
        <w:t xml:space="preserve">Surrounding are several precincts that allow for lighter industrial uses and act as a buffer to </w:t>
      </w:r>
      <w:r w:rsidR="00140F0A" w:rsidRPr="006C7B74">
        <w:rPr>
          <w:bCs/>
        </w:rPr>
        <w:t>more</w:t>
      </w:r>
      <w:r w:rsidRPr="006C7B74">
        <w:rPr>
          <w:bCs/>
        </w:rPr>
        <w:t xml:space="preserve"> </w:t>
      </w:r>
      <w:r w:rsidRPr="006C7B74">
        <w:t>sensitive land uses. These</w:t>
      </w:r>
      <w:r w:rsidR="0058549D" w:rsidRPr="006C7B74">
        <w:t xml:space="preserve"> </w:t>
      </w:r>
      <w:r w:rsidRPr="006C7B74">
        <w:t xml:space="preserve">generally </w:t>
      </w:r>
      <w:r w:rsidR="00CF3796" w:rsidRPr="006C7B74">
        <w:t>comprise</w:t>
      </w:r>
      <w:r w:rsidRPr="006C7B74">
        <w:t xml:space="preserve"> business park, service industry or logistics </w:t>
      </w:r>
      <w:r w:rsidR="00CF3796" w:rsidRPr="006C7B74">
        <w:t>uses</w:t>
      </w:r>
      <w:r w:rsidRPr="006C7B74">
        <w:t>.</w:t>
      </w:r>
      <w:r w:rsidRPr="006C7B74">
        <w:rPr>
          <w:bCs/>
        </w:rPr>
        <w:t xml:space="preserve"> </w:t>
      </w:r>
    </w:p>
    <w:p w14:paraId="7E30BBF4" w14:textId="0602A421" w:rsidR="006F3D72" w:rsidRPr="006C7B74" w:rsidRDefault="006F3D72" w:rsidP="006F3D72">
      <w:pPr>
        <w:pStyle w:val="BodyText"/>
        <w:numPr>
          <w:ilvl w:val="0"/>
          <w:numId w:val="4"/>
        </w:numPr>
        <w:spacing w:before="0" w:line="240" w:lineRule="auto"/>
      </w:pPr>
      <w:r w:rsidRPr="006C7B74">
        <w:rPr>
          <w:bCs/>
        </w:rPr>
        <w:t xml:space="preserve">The </w:t>
      </w:r>
      <w:r w:rsidRPr="006C7B74">
        <w:rPr>
          <w:b/>
          <w:bCs/>
        </w:rPr>
        <w:t>Frankston-Dandenong Road Precinct</w:t>
      </w:r>
      <w:r w:rsidRPr="006C7B74">
        <w:rPr>
          <w:bCs/>
        </w:rPr>
        <w:t xml:space="preserve"> extends east of the Hammond Road Precinct to the Cranbourne railway line. It contains a range of </w:t>
      </w:r>
      <w:r w:rsidRPr="006C7B74">
        <w:t>industrial activities including freight and logistics, light manufacturing, service industry, storage facilities and business park</w:t>
      </w:r>
      <w:r w:rsidR="002E69AD" w:rsidRPr="006C7B74">
        <w:t xml:space="preserve">s and </w:t>
      </w:r>
      <w:r w:rsidRPr="006C7B74">
        <w:t>offices</w:t>
      </w:r>
      <w:r w:rsidR="002E69AD" w:rsidRPr="006C7B74">
        <w:t>,</w:t>
      </w:r>
      <w:r w:rsidRPr="006C7B74">
        <w:t xml:space="preserve"> with a strong presence of </w:t>
      </w:r>
      <w:r w:rsidR="005916EB" w:rsidRPr="006C7B74">
        <w:t>large format</w:t>
      </w:r>
      <w:r w:rsidRPr="006C7B74">
        <w:t xml:space="preserve"> retailers along Frankston-Dandenong Road.</w:t>
      </w:r>
    </w:p>
    <w:p w14:paraId="451DF7A4" w14:textId="0E6432F7" w:rsidR="006F3D72" w:rsidRPr="006C7B74" w:rsidRDefault="006F3D72" w:rsidP="006F3D72">
      <w:pPr>
        <w:pStyle w:val="BodyText"/>
        <w:numPr>
          <w:ilvl w:val="0"/>
          <w:numId w:val="4"/>
        </w:numPr>
        <w:spacing w:before="0" w:line="240" w:lineRule="auto"/>
      </w:pPr>
      <w:r w:rsidRPr="006C7B74">
        <w:t xml:space="preserve">The </w:t>
      </w:r>
      <w:r w:rsidRPr="006C7B74">
        <w:rPr>
          <w:b/>
        </w:rPr>
        <w:t>Lyndhurst Precinct</w:t>
      </w:r>
      <w:r w:rsidRPr="006C7B74">
        <w:t xml:space="preserve"> is the southern</w:t>
      </w:r>
      <w:r w:rsidR="002E69AD" w:rsidRPr="006C7B74">
        <w:t>-</w:t>
      </w:r>
      <w:r w:rsidRPr="006C7B74">
        <w:t>most precinct within the</w:t>
      </w:r>
      <w:r w:rsidR="00D9446F" w:rsidRPr="006C7B74">
        <w:t xml:space="preserve"> Southern</w:t>
      </w:r>
      <w:r w:rsidRPr="006C7B74">
        <w:t xml:space="preserve"> SSIP and is adjacent to </w:t>
      </w:r>
      <w:r w:rsidR="002E69AD" w:rsidRPr="006C7B74">
        <w:t>g</w:t>
      </w:r>
      <w:r w:rsidRPr="006C7B74">
        <w:t xml:space="preserve">reen </w:t>
      </w:r>
      <w:r w:rsidR="002E69AD" w:rsidRPr="006C7B74">
        <w:t>w</w:t>
      </w:r>
      <w:r w:rsidRPr="006C7B74">
        <w:t>edge land. It has the largest supply of vacant land</w:t>
      </w:r>
      <w:r w:rsidR="002E69AD" w:rsidRPr="006C7B74">
        <w:t>,</w:t>
      </w:r>
      <w:r w:rsidRPr="006C7B74">
        <w:t xml:space="preserve"> and </w:t>
      </w:r>
      <w:r w:rsidR="002777F1" w:rsidRPr="006C7B74">
        <w:t xml:space="preserve">new development </w:t>
      </w:r>
      <w:r w:rsidR="00CE0EE6" w:rsidRPr="006C7B74">
        <w:t>is used</w:t>
      </w:r>
      <w:r w:rsidRPr="006C7B74">
        <w:t xml:space="preserve"> for manufacturing and increasingly warehousing and distribution.</w:t>
      </w:r>
    </w:p>
    <w:p w14:paraId="6BC4EB3D" w14:textId="77777777" w:rsidR="006F3D72" w:rsidRPr="006C7B74" w:rsidRDefault="006F3D72" w:rsidP="006F3D72">
      <w:pPr>
        <w:pStyle w:val="BodyText"/>
        <w:numPr>
          <w:ilvl w:val="0"/>
          <w:numId w:val="4"/>
        </w:numPr>
        <w:spacing w:before="0" w:line="240" w:lineRule="auto"/>
      </w:pPr>
      <w:r w:rsidRPr="006C7B74">
        <w:t xml:space="preserve">The </w:t>
      </w:r>
      <w:r w:rsidRPr="006C7B74">
        <w:rPr>
          <w:b/>
        </w:rPr>
        <w:t>South Gippsland Highway Precinct</w:t>
      </w:r>
      <w:r w:rsidRPr="006C7B74">
        <w:t xml:space="preserve"> extends from Greater Dandenong into Hallam in the City of Casey. It has a high level of accessibility and comprises a range of warehousing and distribution uses as well as general manufacturing.</w:t>
      </w:r>
    </w:p>
    <w:p w14:paraId="042D2CA2" w14:textId="54BD1CDD" w:rsidR="006F3D72" w:rsidRPr="006C7B74" w:rsidRDefault="006F3D72" w:rsidP="006F3D72">
      <w:pPr>
        <w:spacing w:after="120"/>
        <w:rPr>
          <w:rFonts w:cstheme="minorHAnsi"/>
          <w:sz w:val="20"/>
          <w:szCs w:val="20"/>
        </w:rPr>
      </w:pPr>
    </w:p>
    <w:p w14:paraId="489DC0AD" w14:textId="3F17A2DA" w:rsidR="006F3D72" w:rsidRPr="006C7B74" w:rsidRDefault="006F3D72" w:rsidP="006F3D72">
      <w:pPr>
        <w:spacing w:after="120"/>
        <w:textAlignment w:val="baseline"/>
        <w:rPr>
          <w:rFonts w:cstheme="minorHAnsi"/>
          <w:sz w:val="20"/>
          <w:szCs w:val="20"/>
          <w:lang w:eastAsia="en-AU"/>
        </w:rPr>
      </w:pPr>
      <w:r w:rsidRPr="006C7B74">
        <w:rPr>
          <w:rFonts w:cstheme="minorHAnsi"/>
          <w:sz w:val="20"/>
          <w:szCs w:val="20"/>
          <w:lang w:eastAsia="en-AU"/>
        </w:rPr>
        <w:t xml:space="preserve">The </w:t>
      </w:r>
      <w:r w:rsidRPr="006C7B74">
        <w:rPr>
          <w:rFonts w:cstheme="minorHAnsi"/>
          <w:b/>
          <w:sz w:val="20"/>
          <w:szCs w:val="20"/>
          <w:lang w:eastAsia="en-AU"/>
        </w:rPr>
        <w:t>Officer-Pakenham</w:t>
      </w:r>
      <w:r w:rsidRPr="006C7B74">
        <w:rPr>
          <w:rFonts w:cstheme="minorHAnsi"/>
          <w:sz w:val="20"/>
          <w:szCs w:val="20"/>
          <w:lang w:eastAsia="en-AU"/>
        </w:rPr>
        <w:t xml:space="preserve"> </w:t>
      </w:r>
      <w:r w:rsidR="00140F0A" w:rsidRPr="006C7B74">
        <w:rPr>
          <w:rFonts w:cstheme="minorHAnsi"/>
          <w:b/>
          <w:sz w:val="20"/>
          <w:szCs w:val="20"/>
          <w:lang w:eastAsia="en-AU"/>
        </w:rPr>
        <w:t>s</w:t>
      </w:r>
      <w:r w:rsidRPr="006C7B74">
        <w:rPr>
          <w:rFonts w:cstheme="minorHAnsi"/>
          <w:b/>
          <w:sz w:val="20"/>
          <w:szCs w:val="20"/>
          <w:lang w:eastAsia="en-AU"/>
        </w:rPr>
        <w:t>tate</w:t>
      </w:r>
      <w:r w:rsidR="001C538C" w:rsidRPr="006C7B74">
        <w:rPr>
          <w:rFonts w:cstheme="minorHAnsi"/>
          <w:b/>
          <w:sz w:val="20"/>
          <w:szCs w:val="20"/>
          <w:lang w:eastAsia="en-AU"/>
        </w:rPr>
        <w:t>-s</w:t>
      </w:r>
      <w:r w:rsidRPr="006C7B74">
        <w:rPr>
          <w:rFonts w:cstheme="minorHAnsi"/>
          <w:b/>
          <w:sz w:val="20"/>
          <w:szCs w:val="20"/>
          <w:lang w:eastAsia="en-AU"/>
        </w:rPr>
        <w:t xml:space="preserve">ignificant </w:t>
      </w:r>
      <w:r w:rsidR="001C538C" w:rsidRPr="006C7B74">
        <w:rPr>
          <w:rFonts w:cstheme="minorHAnsi"/>
          <w:b/>
          <w:sz w:val="20"/>
          <w:szCs w:val="20"/>
          <w:lang w:eastAsia="en-AU"/>
        </w:rPr>
        <w:t>i</w:t>
      </w:r>
      <w:r w:rsidRPr="006C7B74">
        <w:rPr>
          <w:rFonts w:cstheme="minorHAnsi"/>
          <w:b/>
          <w:sz w:val="20"/>
          <w:szCs w:val="20"/>
          <w:lang w:eastAsia="en-AU"/>
        </w:rPr>
        <w:t xml:space="preserve">ndustrial </w:t>
      </w:r>
      <w:r w:rsidR="001C538C" w:rsidRPr="006C7B74">
        <w:rPr>
          <w:rFonts w:cstheme="minorHAnsi"/>
          <w:b/>
          <w:sz w:val="20"/>
          <w:szCs w:val="20"/>
          <w:lang w:eastAsia="en-AU"/>
        </w:rPr>
        <w:t>p</w:t>
      </w:r>
      <w:r w:rsidRPr="006C7B74">
        <w:rPr>
          <w:rFonts w:cstheme="minorHAnsi"/>
          <w:b/>
          <w:sz w:val="20"/>
          <w:szCs w:val="20"/>
          <w:lang w:eastAsia="en-AU"/>
        </w:rPr>
        <w:t>recinct</w:t>
      </w:r>
      <w:r w:rsidRPr="006C7B74">
        <w:rPr>
          <w:rFonts w:cstheme="minorHAnsi"/>
          <w:sz w:val="20"/>
          <w:szCs w:val="20"/>
          <w:lang w:eastAsia="en-AU"/>
        </w:rPr>
        <w:t xml:space="preserve"> (Officer-Pakenham SSIP) is the largest area of industrial land in Cardinia. It is located adjacent to the Princes Highway and extends south to the edge of the </w:t>
      </w:r>
      <w:r w:rsidR="00D757A6" w:rsidRPr="006C7B74">
        <w:rPr>
          <w:rFonts w:cstheme="minorHAnsi"/>
          <w:sz w:val="20"/>
          <w:szCs w:val="20"/>
          <w:lang w:eastAsia="en-AU"/>
        </w:rPr>
        <w:t>UGB</w:t>
      </w:r>
      <w:r w:rsidRPr="006C7B74">
        <w:rPr>
          <w:rFonts w:cstheme="minorHAnsi"/>
          <w:sz w:val="20"/>
          <w:szCs w:val="20"/>
          <w:lang w:eastAsia="en-AU"/>
        </w:rPr>
        <w:t>. Development has started at the eastern most part of the SSIP near Pakenham</w:t>
      </w:r>
      <w:r w:rsidR="00247F65" w:rsidRPr="006C7B74">
        <w:rPr>
          <w:rFonts w:cstheme="minorHAnsi"/>
          <w:sz w:val="20"/>
          <w:szCs w:val="20"/>
          <w:lang w:eastAsia="en-AU"/>
        </w:rPr>
        <w:t xml:space="preserve">. Most of the remaining land is currently not zoned for industrial purposes and is required to undergo a </w:t>
      </w:r>
      <w:r w:rsidR="00AA2681" w:rsidRPr="006C7B74">
        <w:rPr>
          <w:rFonts w:cstheme="minorHAnsi"/>
          <w:sz w:val="20"/>
          <w:szCs w:val="20"/>
          <w:lang w:eastAsia="en-AU"/>
        </w:rPr>
        <w:t>PSP</w:t>
      </w:r>
      <w:r w:rsidR="00247F65" w:rsidRPr="006C7B74">
        <w:rPr>
          <w:rFonts w:cstheme="minorHAnsi"/>
          <w:sz w:val="20"/>
          <w:szCs w:val="20"/>
          <w:lang w:eastAsia="en-AU"/>
        </w:rPr>
        <w:t xml:space="preserve"> process before it can be used.</w:t>
      </w:r>
      <w:r w:rsidR="00A96F75" w:rsidRPr="006C7B74">
        <w:rPr>
          <w:rFonts w:cstheme="minorHAnsi"/>
          <w:sz w:val="20"/>
          <w:szCs w:val="20"/>
          <w:lang w:eastAsia="en-AU"/>
        </w:rPr>
        <w:t xml:space="preserve"> For the Officer South and Cardinia Road Employment PSP areas</w:t>
      </w:r>
      <w:r w:rsidR="009304C2" w:rsidRPr="006C7B74">
        <w:rPr>
          <w:rFonts w:cstheme="minorHAnsi"/>
          <w:sz w:val="20"/>
          <w:szCs w:val="20"/>
          <w:lang w:eastAsia="en-AU"/>
        </w:rPr>
        <w:t xml:space="preserve">, </w:t>
      </w:r>
      <w:r w:rsidR="00D20914" w:rsidRPr="006C7B74">
        <w:rPr>
          <w:rFonts w:cstheme="minorHAnsi"/>
          <w:sz w:val="20"/>
          <w:szCs w:val="20"/>
          <w:lang w:eastAsia="en-AU"/>
        </w:rPr>
        <w:t xml:space="preserve">proposed </w:t>
      </w:r>
      <w:r w:rsidR="00A96F75" w:rsidRPr="006C7B74">
        <w:rPr>
          <w:rFonts w:cstheme="minorHAnsi"/>
          <w:sz w:val="20"/>
          <w:szCs w:val="20"/>
          <w:lang w:eastAsia="en-AU"/>
        </w:rPr>
        <w:t>place based strategic plan</w:t>
      </w:r>
      <w:r w:rsidR="009304C2" w:rsidRPr="006C7B74">
        <w:rPr>
          <w:rFonts w:cstheme="minorHAnsi"/>
          <w:sz w:val="20"/>
          <w:szCs w:val="20"/>
          <w:lang w:eastAsia="en-AU"/>
        </w:rPr>
        <w:t xml:space="preserve">ning </w:t>
      </w:r>
      <w:r w:rsidR="00C302F0" w:rsidRPr="006C7B74">
        <w:rPr>
          <w:rFonts w:cstheme="minorHAnsi"/>
          <w:sz w:val="20"/>
          <w:szCs w:val="20"/>
          <w:lang w:eastAsia="en-AU"/>
        </w:rPr>
        <w:t xml:space="preserve">to develop PSPs </w:t>
      </w:r>
      <w:r w:rsidR="00A96F75" w:rsidRPr="006C7B74">
        <w:rPr>
          <w:rFonts w:cstheme="minorHAnsi"/>
          <w:sz w:val="20"/>
          <w:szCs w:val="20"/>
          <w:lang w:eastAsia="en-AU"/>
        </w:rPr>
        <w:t xml:space="preserve">may </w:t>
      </w:r>
      <w:r w:rsidR="009304C2" w:rsidRPr="006C7B74">
        <w:rPr>
          <w:rFonts w:cstheme="minorHAnsi"/>
          <w:sz w:val="20"/>
          <w:szCs w:val="20"/>
          <w:lang w:eastAsia="en-AU"/>
        </w:rPr>
        <w:t xml:space="preserve">require </w:t>
      </w:r>
      <w:r w:rsidR="00A96F75" w:rsidRPr="006C7B74">
        <w:rPr>
          <w:rFonts w:cstheme="minorHAnsi"/>
          <w:sz w:val="20"/>
          <w:szCs w:val="20"/>
          <w:lang w:eastAsia="en-AU"/>
        </w:rPr>
        <w:t>reconfigur</w:t>
      </w:r>
      <w:r w:rsidR="009304C2" w:rsidRPr="006C7B74">
        <w:rPr>
          <w:rFonts w:cstheme="minorHAnsi"/>
          <w:sz w:val="20"/>
          <w:szCs w:val="20"/>
          <w:lang w:eastAsia="en-AU"/>
        </w:rPr>
        <w:t>in</w:t>
      </w:r>
      <w:r w:rsidR="00D20914" w:rsidRPr="006C7B74">
        <w:rPr>
          <w:rFonts w:cstheme="minorHAnsi"/>
          <w:sz w:val="20"/>
          <w:szCs w:val="20"/>
          <w:lang w:eastAsia="en-AU"/>
        </w:rPr>
        <w:t>g</w:t>
      </w:r>
      <w:r w:rsidR="00A96F75" w:rsidRPr="006C7B74">
        <w:rPr>
          <w:rFonts w:cstheme="minorHAnsi"/>
          <w:sz w:val="20"/>
          <w:szCs w:val="20"/>
          <w:lang w:eastAsia="en-AU"/>
        </w:rPr>
        <w:t xml:space="preserve"> the </w:t>
      </w:r>
      <w:r w:rsidR="00C674F1" w:rsidRPr="006C7B74">
        <w:rPr>
          <w:rFonts w:cstheme="minorHAnsi"/>
          <w:sz w:val="20"/>
          <w:szCs w:val="20"/>
          <w:lang w:eastAsia="en-AU"/>
        </w:rPr>
        <w:t>state-significant industrial precinct</w:t>
      </w:r>
      <w:r w:rsidR="002546DF" w:rsidRPr="006C7B74">
        <w:rPr>
          <w:rFonts w:cstheme="minorHAnsi"/>
          <w:sz w:val="20"/>
          <w:szCs w:val="20"/>
          <w:lang w:eastAsia="en-AU"/>
        </w:rPr>
        <w:t>. This</w:t>
      </w:r>
      <w:r w:rsidR="00A96F75" w:rsidRPr="006C7B74">
        <w:rPr>
          <w:rFonts w:cstheme="minorHAnsi"/>
          <w:sz w:val="20"/>
          <w:szCs w:val="20"/>
          <w:lang w:eastAsia="en-AU"/>
        </w:rPr>
        <w:t xml:space="preserve"> </w:t>
      </w:r>
      <w:r w:rsidR="00071DDF" w:rsidRPr="006C7B74">
        <w:rPr>
          <w:rFonts w:cstheme="minorHAnsi"/>
          <w:sz w:val="20"/>
          <w:szCs w:val="20"/>
          <w:lang w:eastAsia="en-AU"/>
        </w:rPr>
        <w:t>is</w:t>
      </w:r>
      <w:r w:rsidR="00A96F75" w:rsidRPr="006C7B74">
        <w:rPr>
          <w:rFonts w:cstheme="minorHAnsi"/>
          <w:sz w:val="20"/>
          <w:szCs w:val="20"/>
          <w:lang w:eastAsia="en-AU"/>
        </w:rPr>
        <w:t xml:space="preserve"> to support the establishing community </w:t>
      </w:r>
      <w:r w:rsidR="003A217D" w:rsidRPr="006C7B74">
        <w:rPr>
          <w:rFonts w:cstheme="minorHAnsi"/>
          <w:sz w:val="20"/>
          <w:szCs w:val="20"/>
          <w:lang w:eastAsia="en-AU"/>
        </w:rPr>
        <w:t>at</w:t>
      </w:r>
      <w:r w:rsidR="00A96F75" w:rsidRPr="006C7B74">
        <w:rPr>
          <w:rFonts w:cstheme="minorHAnsi"/>
          <w:sz w:val="20"/>
          <w:szCs w:val="20"/>
          <w:lang w:eastAsia="en-AU"/>
        </w:rPr>
        <w:t xml:space="preserve"> Cardinia Road to improve connectivity, provide land for schools or community facilities and achieve an improved urban land use interface. </w:t>
      </w:r>
      <w:r w:rsidR="00A2253F" w:rsidRPr="006C7B74">
        <w:rPr>
          <w:rFonts w:cstheme="minorHAnsi"/>
          <w:sz w:val="20"/>
          <w:szCs w:val="20"/>
          <w:lang w:eastAsia="en-AU"/>
        </w:rPr>
        <w:t>Through this process, s</w:t>
      </w:r>
      <w:r w:rsidR="00A96F75" w:rsidRPr="006C7B74">
        <w:rPr>
          <w:rFonts w:cstheme="minorHAnsi"/>
          <w:sz w:val="20"/>
          <w:szCs w:val="20"/>
          <w:lang w:eastAsia="en-AU"/>
        </w:rPr>
        <w:t xml:space="preserve">hould reconfiguration of </w:t>
      </w:r>
      <w:r w:rsidR="00446E71" w:rsidRPr="006C7B74">
        <w:rPr>
          <w:rFonts w:cstheme="minorHAnsi"/>
          <w:sz w:val="20"/>
          <w:szCs w:val="20"/>
          <w:lang w:eastAsia="en-AU"/>
        </w:rPr>
        <w:t xml:space="preserve">any </w:t>
      </w:r>
      <w:r w:rsidR="00DA5114" w:rsidRPr="006C7B74">
        <w:rPr>
          <w:rFonts w:cstheme="minorHAnsi"/>
          <w:sz w:val="20"/>
          <w:szCs w:val="20"/>
          <w:lang w:eastAsia="en-AU"/>
        </w:rPr>
        <w:t xml:space="preserve">state-significant industrial </w:t>
      </w:r>
      <w:r w:rsidR="00446E71" w:rsidRPr="006C7B74">
        <w:rPr>
          <w:rFonts w:cstheme="minorHAnsi"/>
          <w:sz w:val="20"/>
          <w:szCs w:val="20"/>
          <w:lang w:eastAsia="en-AU"/>
        </w:rPr>
        <w:t>land</w:t>
      </w:r>
      <w:r w:rsidR="00A96F75" w:rsidRPr="006C7B74">
        <w:rPr>
          <w:rFonts w:cstheme="minorHAnsi"/>
          <w:sz w:val="20"/>
          <w:szCs w:val="20"/>
          <w:lang w:eastAsia="en-AU"/>
        </w:rPr>
        <w:t xml:space="preserve"> be required, there must be no net loss of </w:t>
      </w:r>
      <w:r w:rsidR="00570720" w:rsidRPr="006C7B74">
        <w:rPr>
          <w:rFonts w:cstheme="minorHAnsi"/>
          <w:sz w:val="20"/>
          <w:szCs w:val="20"/>
          <w:lang w:eastAsia="en-AU"/>
        </w:rPr>
        <w:t xml:space="preserve">overall </w:t>
      </w:r>
      <w:r w:rsidR="00DA5114" w:rsidRPr="006C7B74">
        <w:rPr>
          <w:rFonts w:cstheme="minorHAnsi"/>
          <w:sz w:val="20"/>
          <w:szCs w:val="20"/>
          <w:lang w:eastAsia="en-AU"/>
        </w:rPr>
        <w:t xml:space="preserve">state-significant industrial </w:t>
      </w:r>
      <w:r w:rsidR="00A96F75" w:rsidRPr="006C7B74">
        <w:rPr>
          <w:rFonts w:cstheme="minorHAnsi"/>
          <w:sz w:val="20"/>
          <w:szCs w:val="20"/>
          <w:lang w:eastAsia="en-AU"/>
        </w:rPr>
        <w:t>land provision, maintaining contiguity, and orderly and efficient layout</w:t>
      </w:r>
      <w:r w:rsidR="006F0EC1" w:rsidRPr="006C7B74">
        <w:rPr>
          <w:rFonts w:cstheme="minorHAnsi"/>
          <w:sz w:val="20"/>
          <w:szCs w:val="20"/>
          <w:lang w:eastAsia="en-AU"/>
        </w:rPr>
        <w:t xml:space="preserve"> for industrial purposes</w:t>
      </w:r>
      <w:r w:rsidR="00A96F75" w:rsidRPr="006C7B74">
        <w:rPr>
          <w:rFonts w:cstheme="minorHAnsi"/>
          <w:sz w:val="20"/>
          <w:szCs w:val="20"/>
          <w:lang w:eastAsia="en-AU"/>
        </w:rPr>
        <w:t>.</w:t>
      </w:r>
    </w:p>
    <w:p w14:paraId="0083885F" w14:textId="4864B5C0" w:rsidR="006F3D72" w:rsidRPr="006C7B74" w:rsidRDefault="006F3D72" w:rsidP="006F3D72">
      <w:pPr>
        <w:spacing w:after="120"/>
        <w:textAlignment w:val="baseline"/>
        <w:rPr>
          <w:rFonts w:cstheme="minorHAnsi"/>
          <w:sz w:val="20"/>
          <w:szCs w:val="20"/>
          <w:lang w:eastAsia="en-AU"/>
        </w:rPr>
      </w:pPr>
      <w:r w:rsidRPr="006C7B74">
        <w:rPr>
          <w:rFonts w:cstheme="minorHAnsi"/>
          <w:sz w:val="20"/>
          <w:szCs w:val="20"/>
          <w:lang w:eastAsia="en-AU"/>
        </w:rPr>
        <w:t xml:space="preserve">The </w:t>
      </w:r>
      <w:r w:rsidRPr="006C7B74">
        <w:rPr>
          <w:rFonts w:cstheme="minorHAnsi"/>
          <w:b/>
          <w:bCs/>
          <w:sz w:val="20"/>
          <w:szCs w:val="20"/>
          <w:lang w:eastAsia="en-AU"/>
        </w:rPr>
        <w:t xml:space="preserve">Hastings </w:t>
      </w:r>
      <w:r w:rsidR="00140F0A" w:rsidRPr="006C7B74">
        <w:rPr>
          <w:rFonts w:cstheme="minorHAnsi"/>
          <w:b/>
          <w:sz w:val="20"/>
          <w:szCs w:val="20"/>
          <w:lang w:eastAsia="en-AU"/>
        </w:rPr>
        <w:t>s</w:t>
      </w:r>
      <w:r w:rsidRPr="006C7B74">
        <w:rPr>
          <w:rFonts w:cstheme="minorHAnsi"/>
          <w:b/>
          <w:sz w:val="20"/>
          <w:szCs w:val="20"/>
          <w:lang w:eastAsia="en-AU"/>
        </w:rPr>
        <w:t>tate</w:t>
      </w:r>
      <w:r w:rsidR="001C538C" w:rsidRPr="006C7B74">
        <w:rPr>
          <w:rFonts w:cstheme="minorHAnsi"/>
          <w:b/>
          <w:sz w:val="20"/>
          <w:szCs w:val="20"/>
          <w:lang w:eastAsia="en-AU"/>
        </w:rPr>
        <w:t>-s</w:t>
      </w:r>
      <w:r w:rsidRPr="006C7B74">
        <w:rPr>
          <w:rFonts w:cstheme="minorHAnsi"/>
          <w:b/>
          <w:sz w:val="20"/>
          <w:szCs w:val="20"/>
          <w:lang w:eastAsia="en-AU"/>
        </w:rPr>
        <w:t xml:space="preserve">ignificant </w:t>
      </w:r>
      <w:r w:rsidR="001C538C" w:rsidRPr="006C7B74">
        <w:rPr>
          <w:rFonts w:cstheme="minorHAnsi"/>
          <w:b/>
          <w:sz w:val="20"/>
          <w:szCs w:val="20"/>
          <w:lang w:eastAsia="en-AU"/>
        </w:rPr>
        <w:t>i</w:t>
      </w:r>
      <w:r w:rsidRPr="006C7B74">
        <w:rPr>
          <w:rFonts w:cstheme="minorHAnsi"/>
          <w:b/>
          <w:sz w:val="20"/>
          <w:szCs w:val="20"/>
          <w:lang w:eastAsia="en-AU"/>
        </w:rPr>
        <w:t xml:space="preserve">ndustrial </w:t>
      </w:r>
      <w:r w:rsidR="001C538C" w:rsidRPr="006C7B74">
        <w:rPr>
          <w:rFonts w:cstheme="minorHAnsi"/>
          <w:b/>
          <w:sz w:val="20"/>
          <w:szCs w:val="20"/>
          <w:lang w:eastAsia="en-AU"/>
        </w:rPr>
        <w:t>p</w:t>
      </w:r>
      <w:r w:rsidRPr="006C7B74">
        <w:rPr>
          <w:rFonts w:cstheme="minorHAnsi"/>
          <w:b/>
          <w:sz w:val="20"/>
          <w:szCs w:val="20"/>
          <w:lang w:eastAsia="en-AU"/>
        </w:rPr>
        <w:t>recinct</w:t>
      </w:r>
      <w:r w:rsidRPr="006C7B74">
        <w:rPr>
          <w:rFonts w:cstheme="minorHAnsi"/>
          <w:sz w:val="20"/>
          <w:szCs w:val="20"/>
          <w:lang w:eastAsia="en-AU"/>
        </w:rPr>
        <w:t xml:space="preserve"> (Hastings </w:t>
      </w:r>
      <w:r w:rsidRPr="006C7B74">
        <w:rPr>
          <w:rFonts w:cstheme="minorHAnsi"/>
          <w:bCs/>
          <w:sz w:val="20"/>
          <w:szCs w:val="20"/>
          <w:lang w:eastAsia="en-AU"/>
        </w:rPr>
        <w:t>SSIP)</w:t>
      </w:r>
      <w:r w:rsidRPr="006C7B74">
        <w:rPr>
          <w:rFonts w:cstheme="minorHAnsi"/>
          <w:sz w:val="20"/>
          <w:szCs w:val="20"/>
          <w:lang w:eastAsia="en-AU"/>
        </w:rPr>
        <w:t xml:space="preserve"> is located to the north of Long Island Jetty and includes the BlueScope Steel Wharves. The land could support growth of the Port of Hastings should it ever be required to operate as a major container port. While there is a significant amount of vacant land in this location, the zoning provisions require that any industrial use must be dependent on or gain significant economic advantage from proximity to deep water port facilities, be directly associated with such a use or be a marine service industry.</w:t>
      </w:r>
    </w:p>
    <w:p w14:paraId="79977ECA" w14:textId="77777777" w:rsidR="00083315" w:rsidRPr="006C7B74" w:rsidRDefault="006F3D72" w:rsidP="00627997">
      <w:pPr>
        <w:spacing w:after="120"/>
        <w:textAlignment w:val="baseline"/>
        <w:rPr>
          <w:rFonts w:cstheme="minorHAnsi"/>
          <w:sz w:val="20"/>
          <w:szCs w:val="20"/>
          <w:lang w:eastAsia="en-AU"/>
        </w:rPr>
      </w:pPr>
      <w:r w:rsidRPr="006C7B74">
        <w:rPr>
          <w:rFonts w:cstheme="minorHAnsi"/>
          <w:sz w:val="20"/>
          <w:szCs w:val="20"/>
          <w:lang w:eastAsia="en-AU"/>
        </w:rPr>
        <w:t>Industrial precincts in</w:t>
      </w:r>
      <w:r w:rsidRPr="00627997">
        <w:rPr>
          <w:rFonts w:cstheme="minorHAnsi"/>
          <w:sz w:val="20"/>
          <w:szCs w:val="20"/>
          <w:lang w:eastAsia="en-AU"/>
        </w:rPr>
        <w:t xml:space="preserve"> </w:t>
      </w:r>
      <w:r w:rsidRPr="00627997">
        <w:rPr>
          <w:rFonts w:cstheme="minorHAnsi"/>
          <w:b/>
          <w:bCs/>
          <w:sz w:val="20"/>
          <w:szCs w:val="20"/>
          <w:lang w:eastAsia="en-AU"/>
        </w:rPr>
        <w:t xml:space="preserve">Moorabbin </w:t>
      </w:r>
      <w:r w:rsidRPr="00627997">
        <w:rPr>
          <w:rFonts w:cstheme="minorHAnsi"/>
          <w:sz w:val="20"/>
          <w:szCs w:val="20"/>
          <w:lang w:eastAsia="en-AU"/>
        </w:rPr>
        <w:t>and</w:t>
      </w:r>
      <w:r w:rsidRPr="00627997">
        <w:rPr>
          <w:rFonts w:cstheme="minorHAnsi"/>
          <w:b/>
          <w:bCs/>
          <w:sz w:val="20"/>
          <w:szCs w:val="20"/>
          <w:lang w:eastAsia="en-AU"/>
        </w:rPr>
        <w:t xml:space="preserve"> Clayton South</w:t>
      </w:r>
      <w:r w:rsidRPr="00627997">
        <w:rPr>
          <w:rFonts w:cstheme="minorHAnsi"/>
          <w:sz w:val="20"/>
          <w:szCs w:val="20"/>
          <w:lang w:eastAsia="en-AU"/>
        </w:rPr>
        <w:t xml:space="preserve"> </w:t>
      </w:r>
      <w:r w:rsidRPr="006C7B74">
        <w:rPr>
          <w:rFonts w:cstheme="minorHAnsi"/>
          <w:sz w:val="20"/>
          <w:szCs w:val="20"/>
          <w:lang w:eastAsia="en-AU"/>
        </w:rPr>
        <w:t>are older</w:t>
      </w:r>
      <w:r w:rsidR="00631450" w:rsidRPr="006C7B74">
        <w:rPr>
          <w:rFonts w:cstheme="minorHAnsi"/>
          <w:sz w:val="20"/>
          <w:szCs w:val="20"/>
          <w:lang w:eastAsia="en-AU"/>
        </w:rPr>
        <w:t>,</w:t>
      </w:r>
      <w:r w:rsidRPr="006C7B74">
        <w:rPr>
          <w:rFonts w:cstheme="minorHAnsi"/>
          <w:sz w:val="20"/>
          <w:szCs w:val="20"/>
          <w:lang w:eastAsia="en-AU"/>
        </w:rPr>
        <w:t xml:space="preserve"> established industrial areas that are essentially</w:t>
      </w:r>
      <w:r w:rsidRPr="00627997">
        <w:rPr>
          <w:rFonts w:cstheme="minorHAnsi"/>
          <w:sz w:val="20"/>
          <w:szCs w:val="20"/>
          <w:lang w:eastAsia="en-AU"/>
        </w:rPr>
        <w:t xml:space="preserve"> </w:t>
      </w:r>
      <w:r w:rsidRPr="006C7B74">
        <w:rPr>
          <w:rFonts w:cstheme="minorHAnsi"/>
          <w:sz w:val="20"/>
          <w:szCs w:val="20"/>
          <w:lang w:eastAsia="en-AU"/>
        </w:rPr>
        <w:t>fully developed with limited vacant industrial land available. Industrial areas in Moorabbin are identified by the council as support</w:t>
      </w:r>
      <w:r w:rsidR="00765F07" w:rsidRPr="006C7B74">
        <w:rPr>
          <w:rFonts w:cstheme="minorHAnsi"/>
          <w:sz w:val="20"/>
          <w:szCs w:val="20"/>
          <w:lang w:eastAsia="en-AU"/>
        </w:rPr>
        <w:t>ing</w:t>
      </w:r>
      <w:r w:rsidRPr="006C7B74">
        <w:rPr>
          <w:rFonts w:cstheme="minorHAnsi"/>
          <w:sz w:val="20"/>
          <w:szCs w:val="20"/>
          <w:lang w:eastAsia="en-AU"/>
        </w:rPr>
        <w:t xml:space="preserve"> a range of manufacturing and services industries</w:t>
      </w:r>
      <w:r w:rsidR="00F8424A" w:rsidRPr="006C7B74">
        <w:rPr>
          <w:rFonts w:cstheme="minorHAnsi"/>
          <w:sz w:val="20"/>
          <w:szCs w:val="20"/>
          <w:lang w:eastAsia="en-AU"/>
        </w:rPr>
        <w:t>,</w:t>
      </w:r>
      <w:r w:rsidRPr="006C7B74">
        <w:rPr>
          <w:rFonts w:cstheme="minorHAnsi"/>
          <w:sz w:val="20"/>
          <w:szCs w:val="20"/>
          <w:lang w:eastAsia="en-AU"/>
        </w:rPr>
        <w:t xml:space="preserve"> as well as restricted retailing</w:t>
      </w:r>
      <w:r w:rsidR="00F8424A" w:rsidRPr="006C7B74">
        <w:rPr>
          <w:rFonts w:cstheme="minorHAnsi"/>
          <w:sz w:val="20"/>
          <w:szCs w:val="20"/>
          <w:lang w:eastAsia="en-AU"/>
        </w:rPr>
        <w:t>,</w:t>
      </w:r>
      <w:r w:rsidRPr="006C7B74">
        <w:rPr>
          <w:rFonts w:cstheme="minorHAnsi"/>
          <w:sz w:val="20"/>
          <w:szCs w:val="20"/>
          <w:lang w:eastAsia="en-AU"/>
        </w:rPr>
        <w:t xml:space="preserve"> and </w:t>
      </w:r>
      <w:r w:rsidR="00F8424A" w:rsidRPr="006C7B74">
        <w:rPr>
          <w:rFonts w:cstheme="minorHAnsi"/>
          <w:sz w:val="20"/>
          <w:szCs w:val="20"/>
          <w:lang w:eastAsia="en-AU"/>
        </w:rPr>
        <w:t>with</w:t>
      </w:r>
      <w:r w:rsidRPr="006C7B74">
        <w:rPr>
          <w:rFonts w:cstheme="minorHAnsi"/>
          <w:sz w:val="20"/>
          <w:szCs w:val="20"/>
          <w:lang w:eastAsia="en-AU"/>
        </w:rPr>
        <w:t xml:space="preserve"> good access to major roads. The Clayton South precinct abuts the South East Green Wedge to the south and the Monash NEIC is located to the north. The green wedge area between these precincts house</w:t>
      </w:r>
      <w:r w:rsidR="00631450" w:rsidRPr="006C7B74">
        <w:rPr>
          <w:rFonts w:cstheme="minorHAnsi"/>
          <w:sz w:val="20"/>
          <w:szCs w:val="20"/>
          <w:lang w:eastAsia="en-AU"/>
        </w:rPr>
        <w:t>s</w:t>
      </w:r>
      <w:r w:rsidRPr="006C7B74">
        <w:rPr>
          <w:rFonts w:cstheme="minorHAnsi"/>
          <w:sz w:val="20"/>
          <w:szCs w:val="20"/>
          <w:lang w:eastAsia="en-AU"/>
        </w:rPr>
        <w:t xml:space="preserve"> a number of golf courses and parks as well as quarrying and land fill sites.</w:t>
      </w:r>
      <w:r w:rsidR="009348AD" w:rsidRPr="006C7B74">
        <w:rPr>
          <w:rFonts w:cstheme="minorHAnsi"/>
          <w:sz w:val="20"/>
          <w:szCs w:val="20"/>
          <w:lang w:eastAsia="en-AU"/>
        </w:rPr>
        <w:t xml:space="preserve"> </w:t>
      </w:r>
      <w:r w:rsidR="00083315" w:rsidRPr="006C7B74">
        <w:rPr>
          <w:rFonts w:cstheme="minorHAnsi"/>
          <w:sz w:val="20"/>
          <w:szCs w:val="20"/>
          <w:lang w:eastAsia="en-AU"/>
        </w:rPr>
        <w:t>The Victorian Planning Authority has been directed to undertake a planning project specific to the Clayton Business Park. Resolution of future land uses for this site will be determined through this project which is currently underway.</w:t>
      </w:r>
    </w:p>
    <w:p w14:paraId="637419AE" w14:textId="77777777" w:rsidR="00277744" w:rsidRPr="006C7B74" w:rsidRDefault="006F3D72" w:rsidP="00627997">
      <w:pPr>
        <w:spacing w:after="120"/>
        <w:textAlignment w:val="baseline"/>
        <w:rPr>
          <w:rFonts w:cstheme="minorHAnsi"/>
          <w:sz w:val="20"/>
          <w:szCs w:val="20"/>
          <w:lang w:eastAsia="en-AU"/>
        </w:rPr>
      </w:pPr>
      <w:r w:rsidRPr="00627997">
        <w:rPr>
          <w:rFonts w:cstheme="minorHAnsi"/>
          <w:b/>
          <w:bCs/>
          <w:sz w:val="20"/>
          <w:szCs w:val="20"/>
          <w:lang w:eastAsia="en-AU"/>
        </w:rPr>
        <w:lastRenderedPageBreak/>
        <w:t>Moorabbin Airport</w:t>
      </w:r>
      <w:r w:rsidRPr="006C7B74">
        <w:rPr>
          <w:rFonts w:cstheme="minorHAnsi"/>
          <w:sz w:val="20"/>
          <w:szCs w:val="20"/>
          <w:lang w:eastAsia="en-AU"/>
        </w:rPr>
        <w:t xml:space="preserve"> is located south of these precincts within the green wedge. While the airport is Commonwealth land and not subject to provisions in Kingston Planning Scheme, it supports a range of aviation, light industry, logistics, office and retail uses. An Airport Environs Overlay </w:t>
      </w:r>
      <w:r w:rsidRPr="00627997">
        <w:rPr>
          <w:rFonts w:cstheme="minorHAnsi"/>
          <w:sz w:val="20"/>
          <w:szCs w:val="20"/>
          <w:lang w:eastAsia="en-AU"/>
        </w:rPr>
        <w:t xml:space="preserve">limits </w:t>
      </w:r>
      <w:r w:rsidR="00A219A4" w:rsidRPr="00627997">
        <w:rPr>
          <w:rFonts w:cstheme="minorHAnsi"/>
          <w:sz w:val="20"/>
          <w:szCs w:val="20"/>
          <w:lang w:eastAsia="en-AU"/>
        </w:rPr>
        <w:t xml:space="preserve">adjacent </w:t>
      </w:r>
      <w:r w:rsidRPr="00627997">
        <w:rPr>
          <w:rFonts w:cstheme="minorHAnsi"/>
          <w:sz w:val="20"/>
          <w:szCs w:val="20"/>
          <w:lang w:eastAsia="en-AU"/>
        </w:rPr>
        <w:t>land uses and built form to protect aviation uses.</w:t>
      </w:r>
      <w:r w:rsidR="007C154C" w:rsidRPr="00627997">
        <w:rPr>
          <w:rFonts w:cstheme="minorHAnsi"/>
          <w:sz w:val="20"/>
          <w:szCs w:val="20"/>
          <w:lang w:eastAsia="en-AU"/>
        </w:rPr>
        <w:t xml:space="preserve"> </w:t>
      </w:r>
    </w:p>
    <w:p w14:paraId="1CD7E236" w14:textId="780A09D7" w:rsidR="006F3D72" w:rsidRPr="006C7B74" w:rsidRDefault="006F3D72" w:rsidP="00CB32F4">
      <w:pPr>
        <w:spacing w:after="120"/>
        <w:rPr>
          <w:rFonts w:cstheme="minorHAnsi"/>
          <w:color w:val="auto"/>
          <w:sz w:val="20"/>
          <w:szCs w:val="20"/>
        </w:rPr>
      </w:pPr>
      <w:r w:rsidRPr="006C7B74">
        <w:rPr>
          <w:rFonts w:cstheme="minorHAnsi"/>
          <w:color w:val="auto"/>
          <w:sz w:val="20"/>
          <w:szCs w:val="20"/>
        </w:rPr>
        <w:t xml:space="preserve">The </w:t>
      </w:r>
      <w:r w:rsidRPr="006C7B74">
        <w:rPr>
          <w:rFonts w:cstheme="minorHAnsi"/>
          <w:b/>
          <w:bCs/>
          <w:color w:val="auto"/>
          <w:sz w:val="20"/>
          <w:szCs w:val="20"/>
        </w:rPr>
        <w:t>Mordialloc-Braeside</w:t>
      </w:r>
      <w:r w:rsidRPr="006C7B74">
        <w:rPr>
          <w:rFonts w:cstheme="minorHAnsi"/>
          <w:color w:val="auto"/>
          <w:sz w:val="20"/>
          <w:szCs w:val="20"/>
        </w:rPr>
        <w:t xml:space="preserve"> industrial precincts adjacent to Moorabbin Airport are well established with some vacant industrial land supply. These precincts have excellent access to Moorabbin Airport and major road networks. The proposed extension to the Mornington Peninsula Freeway is set aside along the eastern boundary of these precincts. The precinct</w:t>
      </w:r>
      <w:r w:rsidR="00A219A4" w:rsidRPr="006C7B74">
        <w:rPr>
          <w:rFonts w:cstheme="minorHAnsi"/>
          <w:color w:val="auto"/>
          <w:sz w:val="20"/>
          <w:szCs w:val="20"/>
        </w:rPr>
        <w:t>s</w:t>
      </w:r>
      <w:r w:rsidRPr="006C7B74">
        <w:rPr>
          <w:rFonts w:cstheme="minorHAnsi"/>
          <w:color w:val="auto"/>
          <w:sz w:val="20"/>
          <w:szCs w:val="20"/>
        </w:rPr>
        <w:t xml:space="preserve"> accommodate a diverse range of industrial activities and </w:t>
      </w:r>
      <w:r w:rsidR="00A219A4" w:rsidRPr="006C7B74">
        <w:rPr>
          <w:rFonts w:cstheme="minorHAnsi"/>
          <w:color w:val="auto"/>
          <w:sz w:val="20"/>
          <w:szCs w:val="20"/>
        </w:rPr>
        <w:t>are</w:t>
      </w:r>
      <w:r w:rsidRPr="006C7B74">
        <w:rPr>
          <w:rFonts w:cstheme="minorHAnsi"/>
          <w:color w:val="auto"/>
          <w:sz w:val="20"/>
          <w:szCs w:val="20"/>
        </w:rPr>
        <w:t xml:space="preserve"> located close to markets and a skilled labour force. Despite their age and physical constraints, these areas will continue to play an important role in generating jobs and wealth in the region. </w:t>
      </w:r>
    </w:p>
    <w:p w14:paraId="7A40CAD3" w14:textId="2E5F326C" w:rsidR="006F3D72" w:rsidRPr="006C7B74" w:rsidRDefault="006F3D72" w:rsidP="006F3D72">
      <w:pPr>
        <w:spacing w:after="120"/>
        <w:rPr>
          <w:rFonts w:cstheme="minorHAnsi"/>
          <w:sz w:val="20"/>
          <w:szCs w:val="20"/>
        </w:rPr>
      </w:pPr>
      <w:r w:rsidRPr="006C7B74">
        <w:rPr>
          <w:rFonts w:cstheme="minorHAnsi"/>
          <w:b/>
          <w:bCs/>
          <w:sz w:val="20"/>
          <w:szCs w:val="20"/>
        </w:rPr>
        <w:t xml:space="preserve">Carrum Downs </w:t>
      </w:r>
      <w:r w:rsidRPr="006C7B74">
        <w:rPr>
          <w:rFonts w:cstheme="minorHAnsi"/>
          <w:sz w:val="20"/>
          <w:szCs w:val="20"/>
        </w:rPr>
        <w:t>industrial area</w:t>
      </w:r>
      <w:r w:rsidRPr="006C7B74">
        <w:rPr>
          <w:rFonts w:cstheme="minorHAnsi"/>
          <w:b/>
          <w:bCs/>
          <w:sz w:val="20"/>
          <w:szCs w:val="20"/>
        </w:rPr>
        <w:t xml:space="preserve"> </w:t>
      </w:r>
      <w:r w:rsidRPr="006C7B74">
        <w:rPr>
          <w:rFonts w:cstheme="minorHAnsi"/>
          <w:sz w:val="20"/>
          <w:szCs w:val="20"/>
        </w:rPr>
        <w:t>is</w:t>
      </w:r>
      <w:r w:rsidRPr="006C7B74">
        <w:rPr>
          <w:rFonts w:cstheme="minorHAnsi"/>
          <w:b/>
          <w:bCs/>
          <w:sz w:val="20"/>
          <w:szCs w:val="20"/>
        </w:rPr>
        <w:t xml:space="preserve"> </w:t>
      </w:r>
      <w:r w:rsidRPr="006C7B74">
        <w:rPr>
          <w:rFonts w:cstheme="minorHAnsi"/>
          <w:sz w:val="20"/>
          <w:szCs w:val="20"/>
        </w:rPr>
        <w:t xml:space="preserve">the largest industrial area in Frankston and has direct access to </w:t>
      </w:r>
      <w:proofErr w:type="spellStart"/>
      <w:r w:rsidRPr="006C7B74">
        <w:rPr>
          <w:rFonts w:cstheme="minorHAnsi"/>
          <w:sz w:val="20"/>
          <w:szCs w:val="20"/>
        </w:rPr>
        <w:t>EastLink</w:t>
      </w:r>
      <w:proofErr w:type="spellEnd"/>
      <w:r w:rsidRPr="006C7B74">
        <w:rPr>
          <w:rFonts w:cstheme="minorHAnsi"/>
          <w:sz w:val="20"/>
          <w:szCs w:val="20"/>
        </w:rPr>
        <w:t xml:space="preserve"> and the Mornington Peninsula Freeway.</w:t>
      </w:r>
      <w:r w:rsidRPr="006C7B74">
        <w:rPr>
          <w:rFonts w:cstheme="minorHAnsi"/>
          <w:b/>
          <w:bCs/>
          <w:sz w:val="20"/>
          <w:szCs w:val="20"/>
        </w:rPr>
        <w:t xml:space="preserve"> </w:t>
      </w:r>
      <w:r w:rsidRPr="006C7B74">
        <w:rPr>
          <w:rFonts w:cstheme="minorHAnsi"/>
          <w:color w:val="auto"/>
          <w:sz w:val="20"/>
          <w:szCs w:val="20"/>
        </w:rPr>
        <w:t xml:space="preserve">There is very limited supply remaining in the </w:t>
      </w:r>
      <w:r w:rsidRPr="006C7B74">
        <w:rPr>
          <w:rFonts w:cstheme="minorHAnsi"/>
          <w:sz w:val="20"/>
          <w:szCs w:val="20"/>
        </w:rPr>
        <w:t xml:space="preserve">precinct and there is no ability to expand due to its location adjacent to the </w:t>
      </w:r>
      <w:r w:rsidR="00D757A6" w:rsidRPr="006C7B74">
        <w:rPr>
          <w:rFonts w:cstheme="minorHAnsi"/>
          <w:sz w:val="20"/>
          <w:szCs w:val="20"/>
        </w:rPr>
        <w:t>UGB</w:t>
      </w:r>
      <w:r w:rsidR="00031FBF" w:rsidRPr="006C7B74">
        <w:rPr>
          <w:rFonts w:cstheme="minorHAnsi"/>
          <w:sz w:val="20"/>
          <w:szCs w:val="20"/>
        </w:rPr>
        <w:t>.</w:t>
      </w:r>
      <w:r w:rsidRPr="006C7B74">
        <w:rPr>
          <w:rFonts w:cstheme="minorHAnsi"/>
          <w:sz w:val="20"/>
          <w:szCs w:val="20"/>
        </w:rPr>
        <w:t xml:space="preserve"> </w:t>
      </w:r>
      <w:r w:rsidRPr="006C7B74">
        <w:rPr>
          <w:rFonts w:cstheme="minorHAnsi"/>
          <w:bCs/>
          <w:sz w:val="20"/>
          <w:szCs w:val="20"/>
        </w:rPr>
        <w:t>The</w:t>
      </w:r>
      <w:r w:rsidRPr="006C7B74">
        <w:rPr>
          <w:rFonts w:cstheme="minorHAnsi"/>
          <w:b/>
          <w:sz w:val="20"/>
          <w:szCs w:val="20"/>
        </w:rPr>
        <w:t xml:space="preserve"> </w:t>
      </w:r>
      <w:r w:rsidRPr="006C7B74">
        <w:rPr>
          <w:rFonts w:cstheme="minorHAnsi"/>
          <w:b/>
          <w:bCs/>
          <w:sz w:val="20"/>
          <w:szCs w:val="20"/>
        </w:rPr>
        <w:t>Seaford</w:t>
      </w:r>
      <w:r w:rsidRPr="006C7B74">
        <w:rPr>
          <w:rFonts w:cstheme="minorHAnsi"/>
          <w:sz w:val="20"/>
          <w:szCs w:val="20"/>
        </w:rPr>
        <w:t xml:space="preserve"> precinct to the s</w:t>
      </w:r>
      <w:r w:rsidRPr="006C7B74">
        <w:rPr>
          <w:rFonts w:cstheme="minorHAnsi"/>
          <w:bCs/>
          <w:sz w:val="20"/>
          <w:szCs w:val="20"/>
        </w:rPr>
        <w:t xml:space="preserve">outh is </w:t>
      </w:r>
      <w:r w:rsidRPr="006C7B74">
        <w:rPr>
          <w:rFonts w:cstheme="minorHAnsi"/>
          <w:sz w:val="20"/>
          <w:szCs w:val="20"/>
        </w:rPr>
        <w:t xml:space="preserve">developed for a range of manufacturing, light industry and </w:t>
      </w:r>
      <w:r w:rsidR="005916EB" w:rsidRPr="006C7B74">
        <w:rPr>
          <w:rFonts w:cstheme="minorHAnsi"/>
          <w:sz w:val="20"/>
          <w:szCs w:val="20"/>
        </w:rPr>
        <w:t>large format</w:t>
      </w:r>
      <w:r w:rsidRPr="006C7B74">
        <w:rPr>
          <w:rFonts w:cstheme="minorHAnsi"/>
          <w:sz w:val="20"/>
          <w:szCs w:val="20"/>
        </w:rPr>
        <w:t xml:space="preserve"> retailing.</w:t>
      </w:r>
      <w:r w:rsidR="001270F7" w:rsidRPr="006C7B74">
        <w:rPr>
          <w:rFonts w:cstheme="minorHAnsi"/>
          <w:sz w:val="20"/>
          <w:szCs w:val="20"/>
        </w:rPr>
        <w:t xml:space="preserve"> T</w:t>
      </w:r>
      <w:r w:rsidRPr="006C7B74">
        <w:rPr>
          <w:rFonts w:cstheme="minorHAnsi"/>
          <w:sz w:val="20"/>
          <w:szCs w:val="20"/>
        </w:rPr>
        <w:t>hese industrial areas play a vital role in generating employment and wealth</w:t>
      </w:r>
      <w:r w:rsidR="004A37E4" w:rsidRPr="006C7B74">
        <w:rPr>
          <w:rFonts w:cstheme="minorHAnsi"/>
          <w:sz w:val="20"/>
          <w:szCs w:val="20"/>
        </w:rPr>
        <w:t xml:space="preserve"> for the area and broader region</w:t>
      </w:r>
      <w:r w:rsidRPr="006C7B74">
        <w:rPr>
          <w:rFonts w:cstheme="minorHAnsi"/>
          <w:sz w:val="20"/>
          <w:szCs w:val="20"/>
        </w:rPr>
        <w:t>.</w:t>
      </w:r>
    </w:p>
    <w:p w14:paraId="160317E5" w14:textId="188F38D5" w:rsidR="006F3D72" w:rsidRPr="006C7B74" w:rsidRDefault="006F3D72" w:rsidP="006F3D72">
      <w:pPr>
        <w:spacing w:after="120"/>
        <w:rPr>
          <w:rFonts w:cstheme="minorHAnsi"/>
          <w:color w:val="auto"/>
          <w:sz w:val="20"/>
          <w:szCs w:val="20"/>
        </w:rPr>
      </w:pPr>
      <w:r w:rsidRPr="006C7B74">
        <w:rPr>
          <w:rFonts w:cstheme="minorHAnsi"/>
          <w:color w:val="auto"/>
          <w:sz w:val="20"/>
          <w:szCs w:val="20"/>
        </w:rPr>
        <w:t xml:space="preserve">In the vicinity of </w:t>
      </w:r>
      <w:r w:rsidRPr="006C7B74">
        <w:rPr>
          <w:rFonts w:cstheme="minorHAnsi"/>
          <w:b/>
          <w:color w:val="auto"/>
          <w:sz w:val="20"/>
          <w:szCs w:val="20"/>
        </w:rPr>
        <w:t>Tyabb, Hastings and Cribb Point</w:t>
      </w:r>
      <w:r w:rsidRPr="006C7B74">
        <w:rPr>
          <w:rFonts w:cstheme="minorHAnsi"/>
          <w:color w:val="auto"/>
          <w:sz w:val="20"/>
          <w:szCs w:val="20"/>
        </w:rPr>
        <w:t xml:space="preserve"> there is </w:t>
      </w:r>
      <w:r w:rsidR="00633F68" w:rsidRPr="006C7B74">
        <w:rPr>
          <w:rFonts w:cstheme="minorHAnsi"/>
          <w:color w:val="auto"/>
          <w:sz w:val="20"/>
          <w:szCs w:val="20"/>
        </w:rPr>
        <w:t xml:space="preserve">a </w:t>
      </w:r>
      <w:r w:rsidRPr="006C7B74">
        <w:rPr>
          <w:rFonts w:cstheme="minorHAnsi"/>
          <w:color w:val="auto"/>
          <w:sz w:val="20"/>
          <w:szCs w:val="20"/>
        </w:rPr>
        <w:t xml:space="preserve">significant supply of Special Use Zone 1 land set aside for port related uses. </w:t>
      </w:r>
      <w:r w:rsidR="00466BC9" w:rsidRPr="006C7B74">
        <w:rPr>
          <w:rFonts w:cstheme="minorHAnsi"/>
          <w:color w:val="auto"/>
          <w:sz w:val="20"/>
          <w:szCs w:val="20"/>
        </w:rPr>
        <w:t>Like the Hastings SSIP, t</w:t>
      </w:r>
      <w:r w:rsidRPr="006C7B74">
        <w:rPr>
          <w:rFonts w:cstheme="minorHAnsi"/>
          <w:color w:val="auto"/>
          <w:sz w:val="20"/>
          <w:szCs w:val="20"/>
        </w:rPr>
        <w:t>hese areas are not available for general industrial use and development</w:t>
      </w:r>
      <w:r w:rsidR="00466BC9" w:rsidRPr="006C7B74">
        <w:rPr>
          <w:rFonts w:cstheme="minorHAnsi"/>
          <w:color w:val="auto"/>
          <w:sz w:val="20"/>
          <w:szCs w:val="20"/>
        </w:rPr>
        <w:t>,</w:t>
      </w:r>
      <w:r w:rsidRPr="006C7B74">
        <w:rPr>
          <w:rFonts w:cstheme="minorHAnsi"/>
          <w:color w:val="auto"/>
          <w:sz w:val="20"/>
          <w:szCs w:val="20"/>
        </w:rPr>
        <w:t xml:space="preserve"> and are set aside to support port operations, including storage and export of gas and oil. </w:t>
      </w:r>
    </w:p>
    <w:p w14:paraId="6ED036E1" w14:textId="4983FD73" w:rsidR="006F3D72" w:rsidRPr="006C7B74" w:rsidRDefault="006F3D72" w:rsidP="006F3D72">
      <w:pPr>
        <w:spacing w:after="120"/>
        <w:rPr>
          <w:rFonts w:cstheme="minorHAnsi"/>
          <w:sz w:val="20"/>
          <w:szCs w:val="20"/>
        </w:rPr>
      </w:pPr>
      <w:r w:rsidRPr="006C7B74">
        <w:rPr>
          <w:rFonts w:cstheme="minorHAnsi"/>
          <w:sz w:val="20"/>
          <w:szCs w:val="20"/>
        </w:rPr>
        <w:t xml:space="preserve">The </w:t>
      </w:r>
      <w:r w:rsidRPr="006C7B74">
        <w:rPr>
          <w:rFonts w:cstheme="minorHAnsi"/>
          <w:b/>
          <w:bCs/>
          <w:sz w:val="20"/>
          <w:szCs w:val="20"/>
        </w:rPr>
        <w:t xml:space="preserve">Cranbourne West </w:t>
      </w:r>
      <w:r w:rsidRPr="006C7B74">
        <w:rPr>
          <w:rFonts w:cstheme="minorHAnsi"/>
          <w:sz w:val="20"/>
          <w:szCs w:val="20"/>
        </w:rPr>
        <w:t>industrial precinct</w:t>
      </w:r>
      <w:r w:rsidRPr="006C7B74">
        <w:rPr>
          <w:rFonts w:cstheme="minorHAnsi"/>
          <w:b/>
          <w:bCs/>
          <w:sz w:val="20"/>
          <w:szCs w:val="20"/>
        </w:rPr>
        <w:t xml:space="preserve"> </w:t>
      </w:r>
      <w:r w:rsidRPr="006C7B74">
        <w:rPr>
          <w:rFonts w:cstheme="minorHAnsi"/>
          <w:sz w:val="20"/>
          <w:szCs w:val="20"/>
        </w:rPr>
        <w:t xml:space="preserve">is identified in the South East Growth Corridor Plan as a future industrial area. It has access to the </w:t>
      </w:r>
      <w:r w:rsidR="009E1FB8" w:rsidRPr="006C7B74">
        <w:rPr>
          <w:rFonts w:cstheme="minorHAnsi"/>
          <w:sz w:val="20"/>
          <w:szCs w:val="20"/>
        </w:rPr>
        <w:t>PFN</w:t>
      </w:r>
      <w:r w:rsidRPr="006C7B74">
        <w:rPr>
          <w:rFonts w:cstheme="minorHAnsi"/>
          <w:sz w:val="20"/>
          <w:szCs w:val="20"/>
        </w:rPr>
        <w:t xml:space="preserve"> along Western Port Highway and is located approximately two to </w:t>
      </w:r>
      <w:proofErr w:type="gramStart"/>
      <w:r w:rsidRPr="006C7B74">
        <w:rPr>
          <w:rFonts w:cstheme="minorHAnsi"/>
          <w:sz w:val="20"/>
          <w:szCs w:val="20"/>
        </w:rPr>
        <w:t>three</w:t>
      </w:r>
      <w:r w:rsidR="0082629A" w:rsidRPr="006C7B74">
        <w:rPr>
          <w:rFonts w:cstheme="minorHAnsi"/>
          <w:sz w:val="20"/>
          <w:szCs w:val="20"/>
        </w:rPr>
        <w:t>-</w:t>
      </w:r>
      <w:r w:rsidRPr="006C7B74">
        <w:rPr>
          <w:rFonts w:cstheme="minorHAnsi"/>
          <w:sz w:val="20"/>
          <w:szCs w:val="20"/>
        </w:rPr>
        <w:t>kilometres</w:t>
      </w:r>
      <w:proofErr w:type="gramEnd"/>
      <w:r w:rsidRPr="006C7B74">
        <w:rPr>
          <w:rFonts w:cstheme="minorHAnsi"/>
          <w:sz w:val="20"/>
          <w:szCs w:val="20"/>
        </w:rPr>
        <w:t xml:space="preserve"> south of the Southern SSIP. Development is occurring in the northern portion of the precinct. </w:t>
      </w:r>
      <w:r w:rsidRPr="006C7B74">
        <w:rPr>
          <w:rFonts w:cstheme="minorHAnsi"/>
          <w:color w:val="auto"/>
          <w:sz w:val="20"/>
          <w:szCs w:val="20"/>
        </w:rPr>
        <w:t>A current proposal seek</w:t>
      </w:r>
      <w:r w:rsidR="00323D44" w:rsidRPr="006C7B74">
        <w:rPr>
          <w:rFonts w:cstheme="minorHAnsi"/>
          <w:color w:val="auto"/>
          <w:sz w:val="20"/>
          <w:szCs w:val="20"/>
        </w:rPr>
        <w:t>s</w:t>
      </w:r>
      <w:r w:rsidRPr="006C7B74">
        <w:rPr>
          <w:rFonts w:cstheme="minorHAnsi"/>
          <w:color w:val="auto"/>
          <w:sz w:val="20"/>
          <w:szCs w:val="20"/>
        </w:rPr>
        <w:t xml:space="preserve"> to rezone </w:t>
      </w:r>
      <w:r w:rsidR="00323D44" w:rsidRPr="006C7B74">
        <w:rPr>
          <w:rFonts w:cstheme="minorHAnsi"/>
          <w:color w:val="auto"/>
          <w:sz w:val="20"/>
          <w:szCs w:val="20"/>
        </w:rPr>
        <w:t>a</w:t>
      </w:r>
      <w:r w:rsidR="004541BD" w:rsidRPr="006C7B74">
        <w:rPr>
          <w:rFonts w:cstheme="minorHAnsi"/>
          <w:color w:val="auto"/>
          <w:sz w:val="20"/>
          <w:szCs w:val="20"/>
        </w:rPr>
        <w:t xml:space="preserve"> significant amount </w:t>
      </w:r>
      <w:r w:rsidR="00323D44" w:rsidRPr="006C7B74">
        <w:rPr>
          <w:rFonts w:cstheme="minorHAnsi"/>
          <w:color w:val="auto"/>
          <w:sz w:val="20"/>
          <w:szCs w:val="20"/>
        </w:rPr>
        <w:t xml:space="preserve">of the </w:t>
      </w:r>
      <w:r w:rsidR="000B1125" w:rsidRPr="006C7B74">
        <w:rPr>
          <w:rFonts w:cstheme="minorHAnsi"/>
          <w:color w:val="auto"/>
          <w:sz w:val="20"/>
          <w:szCs w:val="20"/>
        </w:rPr>
        <w:t>existing</w:t>
      </w:r>
      <w:r w:rsidRPr="006C7B74">
        <w:rPr>
          <w:rFonts w:cstheme="minorHAnsi"/>
          <w:color w:val="auto"/>
          <w:sz w:val="20"/>
          <w:szCs w:val="20"/>
        </w:rPr>
        <w:t xml:space="preserve"> industrial land </w:t>
      </w:r>
      <w:r w:rsidR="00323D44" w:rsidRPr="006C7B74">
        <w:rPr>
          <w:rFonts w:cstheme="minorHAnsi"/>
          <w:color w:val="auto"/>
          <w:sz w:val="20"/>
          <w:szCs w:val="20"/>
        </w:rPr>
        <w:t xml:space="preserve">in this precinct to allow </w:t>
      </w:r>
      <w:r w:rsidRPr="006C7B74">
        <w:rPr>
          <w:rFonts w:cstheme="minorHAnsi"/>
          <w:color w:val="auto"/>
          <w:sz w:val="20"/>
          <w:szCs w:val="20"/>
        </w:rPr>
        <w:t xml:space="preserve">for residential </w:t>
      </w:r>
      <w:r w:rsidR="00323D44" w:rsidRPr="006C7B74">
        <w:rPr>
          <w:rFonts w:cstheme="minorHAnsi"/>
          <w:color w:val="auto"/>
          <w:sz w:val="20"/>
          <w:szCs w:val="20"/>
        </w:rPr>
        <w:t xml:space="preserve">development. </w:t>
      </w:r>
      <w:r w:rsidR="00BD2F81" w:rsidRPr="006C7B74">
        <w:rPr>
          <w:rFonts w:cstheme="minorHAnsi"/>
          <w:color w:val="auto"/>
          <w:sz w:val="20"/>
          <w:szCs w:val="20"/>
        </w:rPr>
        <w:t>T</w:t>
      </w:r>
      <w:r w:rsidRPr="006C7B74">
        <w:rPr>
          <w:rFonts w:cstheme="minorHAnsi"/>
          <w:color w:val="auto"/>
          <w:sz w:val="20"/>
          <w:szCs w:val="20"/>
        </w:rPr>
        <w:t xml:space="preserve">his would reduce the stock of industrial land </w:t>
      </w:r>
      <w:r w:rsidR="00BD2F81" w:rsidRPr="006C7B74">
        <w:rPr>
          <w:rFonts w:cstheme="minorHAnsi"/>
          <w:color w:val="auto"/>
          <w:sz w:val="20"/>
          <w:szCs w:val="20"/>
        </w:rPr>
        <w:t>available in Casey</w:t>
      </w:r>
      <w:r w:rsidR="00033B79" w:rsidRPr="006C7B74">
        <w:rPr>
          <w:rFonts w:cstheme="minorHAnsi"/>
          <w:color w:val="auto"/>
          <w:sz w:val="20"/>
          <w:szCs w:val="20"/>
        </w:rPr>
        <w:t xml:space="preserve"> by over 20 per cent</w:t>
      </w:r>
      <w:r w:rsidRPr="006C7B74">
        <w:rPr>
          <w:rFonts w:cstheme="minorHAnsi"/>
          <w:color w:val="auto"/>
          <w:sz w:val="20"/>
          <w:szCs w:val="20"/>
        </w:rPr>
        <w:t xml:space="preserve">. </w:t>
      </w:r>
    </w:p>
    <w:p w14:paraId="39E523FD" w14:textId="558CFCF6" w:rsidR="006F3D72" w:rsidRPr="006C7B74" w:rsidRDefault="006F3D72" w:rsidP="006F3D72">
      <w:pPr>
        <w:spacing w:after="120"/>
        <w:rPr>
          <w:rFonts w:cstheme="minorHAnsi"/>
          <w:color w:val="auto"/>
          <w:sz w:val="20"/>
          <w:szCs w:val="20"/>
        </w:rPr>
      </w:pPr>
      <w:r w:rsidRPr="006C7B74">
        <w:rPr>
          <w:rFonts w:cstheme="minorHAnsi"/>
          <w:color w:val="auto"/>
          <w:sz w:val="20"/>
          <w:szCs w:val="20"/>
        </w:rPr>
        <w:t xml:space="preserve">The </w:t>
      </w:r>
      <w:r w:rsidRPr="006C7B74">
        <w:rPr>
          <w:rFonts w:cstheme="minorHAnsi"/>
          <w:b/>
          <w:color w:val="auto"/>
          <w:sz w:val="20"/>
          <w:szCs w:val="20"/>
        </w:rPr>
        <w:t>Casey Fields South</w:t>
      </w:r>
      <w:r w:rsidRPr="006C7B74">
        <w:rPr>
          <w:rFonts w:cstheme="minorHAnsi"/>
          <w:color w:val="auto"/>
          <w:sz w:val="20"/>
          <w:szCs w:val="20"/>
        </w:rPr>
        <w:t xml:space="preserve"> future industrial precinct adjacent to the South Gippsland Highway near Clyde is identified in the South East Growth Corridor Plan as a future industrial node with approximately 288 hectares of land identified for future industrial uses. This precinct enjoys direct access to the South Gippsland Highway and a </w:t>
      </w:r>
      <w:r w:rsidR="00B06047" w:rsidRPr="006C7B74">
        <w:rPr>
          <w:rFonts w:cstheme="minorHAnsi"/>
          <w:color w:val="auto"/>
          <w:sz w:val="20"/>
          <w:szCs w:val="20"/>
        </w:rPr>
        <w:t xml:space="preserve">proposed </w:t>
      </w:r>
      <w:r w:rsidRPr="006C7B74">
        <w:rPr>
          <w:rFonts w:cstheme="minorHAnsi"/>
          <w:color w:val="auto"/>
          <w:sz w:val="20"/>
          <w:szCs w:val="20"/>
        </w:rPr>
        <w:t xml:space="preserve">new railway station and </w:t>
      </w:r>
      <w:r w:rsidR="00B06047" w:rsidRPr="006C7B74">
        <w:rPr>
          <w:rFonts w:cstheme="minorHAnsi"/>
          <w:color w:val="auto"/>
          <w:sz w:val="20"/>
          <w:szCs w:val="20"/>
        </w:rPr>
        <w:t>m</w:t>
      </w:r>
      <w:r w:rsidRPr="006C7B74">
        <w:rPr>
          <w:rFonts w:cstheme="minorHAnsi"/>
          <w:color w:val="auto"/>
          <w:sz w:val="20"/>
          <w:szCs w:val="20"/>
        </w:rPr>
        <w:t>ajor</w:t>
      </w:r>
      <w:r w:rsidR="00B06047" w:rsidRPr="006C7B74">
        <w:rPr>
          <w:rFonts w:cstheme="minorHAnsi"/>
          <w:color w:val="auto"/>
          <w:sz w:val="20"/>
          <w:szCs w:val="20"/>
        </w:rPr>
        <w:t xml:space="preserve"> activity centre</w:t>
      </w:r>
      <w:r w:rsidRPr="006C7B74">
        <w:rPr>
          <w:rFonts w:cstheme="minorHAnsi"/>
          <w:color w:val="auto"/>
          <w:sz w:val="20"/>
          <w:szCs w:val="20"/>
        </w:rPr>
        <w:t xml:space="preserve"> immediately to its north at Clyde.</w:t>
      </w:r>
      <w:r w:rsidRPr="006C7B74">
        <w:rPr>
          <w:rFonts w:cstheme="minorHAnsi"/>
          <w:sz w:val="20"/>
          <w:szCs w:val="20"/>
          <w:shd w:val="clear" w:color="auto" w:fill="FFFFFF"/>
        </w:rPr>
        <w:t xml:space="preserve"> </w:t>
      </w:r>
      <w:r w:rsidRPr="006C7B74">
        <w:rPr>
          <w:rFonts w:cstheme="minorHAnsi"/>
          <w:color w:val="auto"/>
          <w:sz w:val="20"/>
          <w:szCs w:val="20"/>
        </w:rPr>
        <w:t xml:space="preserve">It has the potential to accommodate a range of future industrial uses. </w:t>
      </w:r>
    </w:p>
    <w:p w14:paraId="26A27129" w14:textId="690520AC" w:rsidR="006F3D72" w:rsidRPr="006C7B74" w:rsidRDefault="006F3D72" w:rsidP="006F3D72">
      <w:pPr>
        <w:spacing w:after="120"/>
        <w:rPr>
          <w:rFonts w:cstheme="minorHAnsi"/>
          <w:color w:val="auto"/>
          <w:sz w:val="20"/>
          <w:szCs w:val="20"/>
        </w:rPr>
      </w:pPr>
      <w:r w:rsidRPr="006C7B74">
        <w:rPr>
          <w:rFonts w:cstheme="minorHAnsi"/>
          <w:color w:val="auto"/>
          <w:sz w:val="20"/>
          <w:szCs w:val="20"/>
        </w:rPr>
        <w:t>The</w:t>
      </w:r>
      <w:r w:rsidRPr="006C7B74">
        <w:rPr>
          <w:rFonts w:cstheme="minorHAnsi"/>
          <w:b/>
          <w:color w:val="auto"/>
          <w:sz w:val="20"/>
          <w:szCs w:val="20"/>
        </w:rPr>
        <w:t xml:space="preserve"> Thompsons Road Business Corridor </w:t>
      </w:r>
      <w:r w:rsidRPr="006C7B74">
        <w:rPr>
          <w:rFonts w:cstheme="minorHAnsi"/>
          <w:color w:val="auto"/>
          <w:sz w:val="20"/>
          <w:szCs w:val="20"/>
        </w:rPr>
        <w:t xml:space="preserve">is identified in the South East Growth Corridor Plan as a future high amenity business </w:t>
      </w:r>
      <w:r w:rsidR="00632BAA" w:rsidRPr="006C7B74">
        <w:rPr>
          <w:rFonts w:cstheme="minorHAnsi"/>
          <w:color w:val="auto"/>
          <w:sz w:val="20"/>
          <w:szCs w:val="20"/>
        </w:rPr>
        <w:t xml:space="preserve">with residential </w:t>
      </w:r>
      <w:r w:rsidRPr="006C7B74">
        <w:rPr>
          <w:rFonts w:cstheme="minorHAnsi"/>
          <w:color w:val="auto"/>
          <w:sz w:val="20"/>
          <w:szCs w:val="20"/>
        </w:rPr>
        <w:t>precinct</w:t>
      </w:r>
      <w:r w:rsidR="00012015" w:rsidRPr="006C7B74">
        <w:rPr>
          <w:rFonts w:cstheme="minorHAnsi"/>
          <w:color w:val="auto"/>
          <w:sz w:val="20"/>
          <w:szCs w:val="20"/>
        </w:rPr>
        <w:t xml:space="preserve"> </w:t>
      </w:r>
      <w:r w:rsidRPr="006C7B74">
        <w:rPr>
          <w:rFonts w:cstheme="minorHAnsi"/>
          <w:color w:val="auto"/>
          <w:sz w:val="20"/>
          <w:szCs w:val="20"/>
        </w:rPr>
        <w:t xml:space="preserve">to support a mix of business services, service industry and associated uses. It will have easy access to the future </w:t>
      </w:r>
      <w:r w:rsidR="00A22E81" w:rsidRPr="006C7B74">
        <w:rPr>
          <w:rFonts w:cstheme="minorHAnsi"/>
          <w:color w:val="auto"/>
          <w:sz w:val="20"/>
          <w:szCs w:val="20"/>
        </w:rPr>
        <w:t>m</w:t>
      </w:r>
      <w:r w:rsidRPr="006C7B74">
        <w:rPr>
          <w:rFonts w:cstheme="minorHAnsi"/>
          <w:color w:val="auto"/>
          <w:sz w:val="20"/>
          <w:szCs w:val="20"/>
        </w:rPr>
        <w:t xml:space="preserve">ajor </w:t>
      </w:r>
      <w:r w:rsidR="00A22E81" w:rsidRPr="006C7B74">
        <w:rPr>
          <w:rFonts w:cstheme="minorHAnsi"/>
          <w:color w:val="auto"/>
          <w:sz w:val="20"/>
          <w:szCs w:val="20"/>
        </w:rPr>
        <w:t>activity centre</w:t>
      </w:r>
      <w:r w:rsidRPr="006C7B74">
        <w:rPr>
          <w:rFonts w:cstheme="minorHAnsi"/>
          <w:color w:val="auto"/>
          <w:sz w:val="20"/>
          <w:szCs w:val="20"/>
        </w:rPr>
        <w:t xml:space="preserve"> at Clyde North and will be readily accessible to the P</w:t>
      </w:r>
      <w:r w:rsidR="00945D0C" w:rsidRPr="006C7B74">
        <w:rPr>
          <w:rFonts w:cstheme="minorHAnsi"/>
          <w:color w:val="auto"/>
          <w:sz w:val="20"/>
          <w:szCs w:val="20"/>
        </w:rPr>
        <w:t xml:space="preserve">rincipal </w:t>
      </w:r>
      <w:r w:rsidRPr="006C7B74">
        <w:rPr>
          <w:rFonts w:cstheme="minorHAnsi"/>
          <w:color w:val="auto"/>
          <w:sz w:val="20"/>
          <w:szCs w:val="20"/>
        </w:rPr>
        <w:t>P</w:t>
      </w:r>
      <w:r w:rsidR="00945D0C" w:rsidRPr="006C7B74">
        <w:rPr>
          <w:rFonts w:cstheme="minorHAnsi"/>
          <w:color w:val="auto"/>
          <w:sz w:val="20"/>
          <w:szCs w:val="20"/>
        </w:rPr>
        <w:t xml:space="preserve">ublic </w:t>
      </w:r>
      <w:r w:rsidRPr="006C7B74">
        <w:rPr>
          <w:rFonts w:cstheme="minorHAnsi"/>
          <w:color w:val="auto"/>
          <w:sz w:val="20"/>
          <w:szCs w:val="20"/>
        </w:rPr>
        <w:t>T</w:t>
      </w:r>
      <w:r w:rsidR="00945D0C" w:rsidRPr="006C7B74">
        <w:rPr>
          <w:rFonts w:cstheme="minorHAnsi"/>
          <w:color w:val="auto"/>
          <w:sz w:val="20"/>
          <w:szCs w:val="20"/>
        </w:rPr>
        <w:t xml:space="preserve">ransport </w:t>
      </w:r>
      <w:r w:rsidRPr="006C7B74">
        <w:rPr>
          <w:rFonts w:cstheme="minorHAnsi"/>
          <w:color w:val="auto"/>
          <w:sz w:val="20"/>
          <w:szCs w:val="20"/>
        </w:rPr>
        <w:t>N</w:t>
      </w:r>
      <w:r w:rsidR="00945D0C" w:rsidRPr="006C7B74">
        <w:rPr>
          <w:rFonts w:cstheme="minorHAnsi"/>
          <w:color w:val="auto"/>
          <w:sz w:val="20"/>
          <w:szCs w:val="20"/>
        </w:rPr>
        <w:t>etwork</w:t>
      </w:r>
      <w:r w:rsidRPr="006C7B74">
        <w:rPr>
          <w:rFonts w:cstheme="minorHAnsi"/>
          <w:color w:val="auto"/>
          <w:sz w:val="20"/>
          <w:szCs w:val="20"/>
        </w:rPr>
        <w:t xml:space="preserve"> by a series of north-south connections. Planning for the area should ensure that a potential freight route along Thompsons Road is protected from sensitive</w:t>
      </w:r>
      <w:r w:rsidR="00BD2F81" w:rsidRPr="006C7B74">
        <w:rPr>
          <w:rFonts w:cstheme="minorHAnsi"/>
          <w:color w:val="auto"/>
          <w:sz w:val="20"/>
          <w:szCs w:val="20"/>
        </w:rPr>
        <w:t xml:space="preserve"> uses</w:t>
      </w:r>
      <w:r w:rsidRPr="006C7B74">
        <w:rPr>
          <w:rFonts w:cstheme="minorHAnsi"/>
          <w:color w:val="auto"/>
          <w:sz w:val="20"/>
          <w:szCs w:val="20"/>
        </w:rPr>
        <w:t>.</w:t>
      </w:r>
    </w:p>
    <w:p w14:paraId="20B778C6" w14:textId="616ED31B" w:rsidR="006F3D72" w:rsidRPr="006C7B74" w:rsidRDefault="006F3D72" w:rsidP="006F3D72">
      <w:pPr>
        <w:spacing w:after="120"/>
        <w:rPr>
          <w:rFonts w:cstheme="minorHAnsi"/>
          <w:color w:val="auto"/>
          <w:sz w:val="20"/>
          <w:szCs w:val="20"/>
        </w:rPr>
      </w:pPr>
      <w:r w:rsidRPr="006C7B74">
        <w:rPr>
          <w:rFonts w:cstheme="minorHAnsi"/>
          <w:color w:val="auto"/>
          <w:sz w:val="20"/>
          <w:szCs w:val="20"/>
        </w:rPr>
        <w:t xml:space="preserve">The </w:t>
      </w:r>
      <w:r w:rsidRPr="006C7B74">
        <w:rPr>
          <w:rFonts w:cstheme="minorHAnsi"/>
          <w:b/>
          <w:color w:val="auto"/>
          <w:sz w:val="20"/>
          <w:szCs w:val="20"/>
        </w:rPr>
        <w:t>Officer-Pakenham Business Corridor</w:t>
      </w:r>
      <w:r w:rsidRPr="006C7B74">
        <w:rPr>
          <w:rFonts w:cstheme="minorHAnsi"/>
          <w:color w:val="auto"/>
          <w:sz w:val="20"/>
          <w:szCs w:val="20"/>
        </w:rPr>
        <w:t xml:space="preserve"> identified in the South East Growth Corridor Plan is adjacent to the Officer-Pakenham SSIP and has excellent access to the </w:t>
      </w:r>
      <w:r w:rsidR="009E1FB8" w:rsidRPr="006C7B74">
        <w:rPr>
          <w:rFonts w:cstheme="minorHAnsi"/>
          <w:color w:val="auto"/>
          <w:sz w:val="20"/>
          <w:szCs w:val="20"/>
        </w:rPr>
        <w:t>PFN</w:t>
      </w:r>
      <w:r w:rsidRPr="006C7B74">
        <w:rPr>
          <w:rFonts w:cstheme="minorHAnsi"/>
          <w:color w:val="auto"/>
          <w:sz w:val="20"/>
          <w:szCs w:val="20"/>
        </w:rPr>
        <w:t xml:space="preserve"> via the Princes Freeway. It has been identified to support a high amenity business park at Minta Farm and a range of advance</w:t>
      </w:r>
      <w:r w:rsidR="00BD2F81" w:rsidRPr="006C7B74">
        <w:rPr>
          <w:rFonts w:cstheme="minorHAnsi"/>
          <w:color w:val="auto"/>
          <w:sz w:val="20"/>
          <w:szCs w:val="20"/>
        </w:rPr>
        <w:t>d</w:t>
      </w:r>
      <w:r w:rsidRPr="006C7B74">
        <w:rPr>
          <w:rFonts w:cstheme="minorHAnsi"/>
          <w:color w:val="auto"/>
          <w:sz w:val="20"/>
          <w:szCs w:val="20"/>
        </w:rPr>
        <w:t xml:space="preserve"> manufacturing and commercial enterprises. </w:t>
      </w:r>
    </w:p>
    <w:p w14:paraId="6A58F693" w14:textId="460AA1A8" w:rsidR="006F3D72" w:rsidRPr="006C7B74" w:rsidRDefault="006F3D72" w:rsidP="006F3D72">
      <w:pPr>
        <w:spacing w:after="120"/>
        <w:rPr>
          <w:rFonts w:cstheme="minorHAnsi"/>
          <w:sz w:val="20"/>
          <w:szCs w:val="20"/>
        </w:rPr>
      </w:pPr>
      <w:r w:rsidRPr="006C7B74">
        <w:rPr>
          <w:rFonts w:cstheme="minorHAnsi"/>
          <w:sz w:val="20"/>
          <w:szCs w:val="20"/>
        </w:rPr>
        <w:t xml:space="preserve">The </w:t>
      </w:r>
      <w:r w:rsidRPr="006C7B74">
        <w:rPr>
          <w:rFonts w:cstheme="minorHAnsi"/>
          <w:b/>
          <w:bCs/>
          <w:sz w:val="20"/>
          <w:szCs w:val="20"/>
        </w:rPr>
        <w:t>Dandenong NEIC</w:t>
      </w:r>
      <w:r w:rsidRPr="006C7B74">
        <w:rPr>
          <w:rFonts w:cstheme="minorHAnsi"/>
          <w:sz w:val="20"/>
          <w:szCs w:val="20"/>
        </w:rPr>
        <w:t xml:space="preserve"> incorporates the Southern SSIP as well as the Dandenong Metropolitan Activity Centre and Dandenong Hospital and Chisholm TAFE Precinct. The</w:t>
      </w:r>
      <w:r w:rsidRPr="006C7B74">
        <w:rPr>
          <w:rFonts w:cstheme="minorHAnsi"/>
          <w:b/>
          <w:sz w:val="20"/>
          <w:szCs w:val="20"/>
        </w:rPr>
        <w:t xml:space="preserve"> Dandenong Metropolitan Activity Centre</w:t>
      </w:r>
      <w:r w:rsidRPr="006C7B74">
        <w:rPr>
          <w:rFonts w:cstheme="minorHAnsi"/>
          <w:sz w:val="20"/>
          <w:szCs w:val="20"/>
        </w:rPr>
        <w:t xml:space="preserve"> is an important regional mixed</w:t>
      </w:r>
      <w:r w:rsidR="00017E06" w:rsidRPr="006C7B74">
        <w:rPr>
          <w:rFonts w:cstheme="minorHAnsi"/>
          <w:sz w:val="20"/>
          <w:szCs w:val="20"/>
        </w:rPr>
        <w:t>-</w:t>
      </w:r>
      <w:r w:rsidRPr="006C7B74">
        <w:rPr>
          <w:rFonts w:cstheme="minorHAnsi"/>
          <w:sz w:val="20"/>
          <w:szCs w:val="20"/>
        </w:rPr>
        <w:t xml:space="preserve">use centre with good accessibility to the Melbourne CBD and </w:t>
      </w:r>
      <w:r w:rsidR="00912006" w:rsidRPr="006C7B74">
        <w:rPr>
          <w:rFonts w:cstheme="minorHAnsi"/>
          <w:sz w:val="20"/>
          <w:szCs w:val="20"/>
        </w:rPr>
        <w:t>S</w:t>
      </w:r>
      <w:r w:rsidRPr="006C7B74">
        <w:rPr>
          <w:rFonts w:cstheme="minorHAnsi"/>
          <w:sz w:val="20"/>
          <w:szCs w:val="20"/>
        </w:rPr>
        <w:t xml:space="preserve">outhern </w:t>
      </w:r>
      <w:r w:rsidR="00912006" w:rsidRPr="006C7B74">
        <w:rPr>
          <w:rFonts w:cstheme="minorHAnsi"/>
          <w:sz w:val="20"/>
          <w:szCs w:val="20"/>
        </w:rPr>
        <w:t>R</w:t>
      </w:r>
      <w:r w:rsidRPr="006C7B74">
        <w:rPr>
          <w:rFonts w:cstheme="minorHAnsi"/>
          <w:sz w:val="20"/>
          <w:szCs w:val="20"/>
        </w:rPr>
        <w:t>egion. It comprises approximately 405,000 square metres of commercial floorspace with significant retail, office, restaurant, civic</w:t>
      </w:r>
      <w:r w:rsidR="008C0D1B" w:rsidRPr="006C7B74">
        <w:rPr>
          <w:rFonts w:cstheme="minorHAnsi"/>
          <w:sz w:val="20"/>
          <w:szCs w:val="20"/>
        </w:rPr>
        <w:t xml:space="preserve"> and</w:t>
      </w:r>
      <w:r w:rsidRPr="006C7B74">
        <w:rPr>
          <w:rFonts w:cstheme="minorHAnsi"/>
          <w:sz w:val="20"/>
          <w:szCs w:val="20"/>
        </w:rPr>
        <w:t xml:space="preserve"> accommodation</w:t>
      </w:r>
      <w:r w:rsidR="00632CAB" w:rsidRPr="006C7B74">
        <w:rPr>
          <w:rFonts w:cstheme="minorHAnsi"/>
          <w:sz w:val="20"/>
          <w:szCs w:val="20"/>
        </w:rPr>
        <w:t xml:space="preserve"> uses</w:t>
      </w:r>
      <w:r w:rsidRPr="006C7B74">
        <w:rPr>
          <w:rFonts w:cstheme="minorHAnsi"/>
          <w:sz w:val="20"/>
          <w:szCs w:val="20"/>
        </w:rPr>
        <w:t>.</w:t>
      </w:r>
      <w:r w:rsidR="007C154C" w:rsidRPr="006C7B74">
        <w:rPr>
          <w:rFonts w:cstheme="minorHAnsi"/>
          <w:sz w:val="20"/>
          <w:szCs w:val="20"/>
        </w:rPr>
        <w:t xml:space="preserve"> </w:t>
      </w:r>
    </w:p>
    <w:p w14:paraId="00D39219" w14:textId="20E871AA" w:rsidR="006F3D72" w:rsidRPr="006C7B74" w:rsidRDefault="006F3D72" w:rsidP="006F3D72">
      <w:pPr>
        <w:spacing w:after="120"/>
        <w:rPr>
          <w:rFonts w:cstheme="minorHAnsi"/>
          <w:sz w:val="20"/>
          <w:szCs w:val="20"/>
        </w:rPr>
      </w:pPr>
      <w:r w:rsidRPr="006C7B74">
        <w:rPr>
          <w:rFonts w:cstheme="minorHAnsi"/>
          <w:bCs/>
          <w:sz w:val="20"/>
          <w:szCs w:val="20"/>
        </w:rPr>
        <w:t>The</w:t>
      </w:r>
      <w:r w:rsidRPr="006C7B74">
        <w:rPr>
          <w:rFonts w:cstheme="minorHAnsi"/>
          <w:b/>
          <w:sz w:val="20"/>
          <w:szCs w:val="20"/>
        </w:rPr>
        <w:t xml:space="preserve"> Fountain Gate–Narre Warren Metropolitan Activity Centre</w:t>
      </w:r>
      <w:r w:rsidRPr="006C7B74">
        <w:rPr>
          <w:rFonts w:cstheme="minorHAnsi"/>
          <w:sz w:val="20"/>
          <w:szCs w:val="20"/>
        </w:rPr>
        <w:t xml:space="preserve"> has an important regional role with good accessibility to the eastern region of Victoria via rail and road links. It comprises approximately</w:t>
      </w:r>
      <w:r w:rsidRPr="006C7B74">
        <w:t xml:space="preserve"> </w:t>
      </w:r>
      <w:r w:rsidRPr="006C7B74">
        <w:rPr>
          <w:rFonts w:cstheme="minorHAnsi"/>
          <w:sz w:val="20"/>
          <w:szCs w:val="20"/>
        </w:rPr>
        <w:t>305,000 square metres of commercial floorspace with large areas of land for expansion, consolidation and mixed</w:t>
      </w:r>
      <w:r w:rsidR="00994D93" w:rsidRPr="006C7B74">
        <w:rPr>
          <w:rFonts w:cstheme="minorHAnsi"/>
          <w:sz w:val="20"/>
          <w:szCs w:val="20"/>
        </w:rPr>
        <w:t>-</w:t>
      </w:r>
      <w:r w:rsidRPr="006C7B74">
        <w:rPr>
          <w:rFonts w:cstheme="minorHAnsi"/>
          <w:sz w:val="20"/>
          <w:szCs w:val="20"/>
        </w:rPr>
        <w:t xml:space="preserve">uses. The centre includes the Fountain Gate Shopping Centre as well as a range of other retail, commercial, entertainment, civic and recreational uses. </w:t>
      </w:r>
    </w:p>
    <w:p w14:paraId="4A35BAEE" w14:textId="13EA4218" w:rsidR="006F3D72" w:rsidRPr="006C7B74" w:rsidRDefault="006F3D72" w:rsidP="006F3D72">
      <w:pPr>
        <w:spacing w:after="120"/>
        <w:rPr>
          <w:rFonts w:cstheme="minorHAnsi"/>
          <w:sz w:val="20"/>
          <w:szCs w:val="20"/>
        </w:rPr>
      </w:pPr>
      <w:r w:rsidRPr="006C7B74">
        <w:rPr>
          <w:rFonts w:cstheme="minorHAnsi"/>
          <w:bCs/>
          <w:sz w:val="20"/>
          <w:szCs w:val="20"/>
        </w:rPr>
        <w:t>The</w:t>
      </w:r>
      <w:r w:rsidRPr="006C7B74">
        <w:rPr>
          <w:rFonts w:cstheme="minorHAnsi"/>
          <w:b/>
          <w:sz w:val="20"/>
          <w:szCs w:val="20"/>
        </w:rPr>
        <w:t xml:space="preserve"> Frankston Metropolitan Activity Centre</w:t>
      </w:r>
      <w:r w:rsidRPr="006C7B74">
        <w:rPr>
          <w:rFonts w:cstheme="minorHAnsi"/>
          <w:sz w:val="20"/>
          <w:szCs w:val="20"/>
        </w:rPr>
        <w:t xml:space="preserve"> is an important regional centre comprising approximately 358,000 square metres of commercial floorspace. It has significant retail, hospitality, office, civic, health and education </w:t>
      </w:r>
      <w:r w:rsidR="00086FAC" w:rsidRPr="006C7B74">
        <w:rPr>
          <w:rFonts w:cstheme="minorHAnsi"/>
          <w:sz w:val="20"/>
          <w:szCs w:val="20"/>
        </w:rPr>
        <w:t>use</w:t>
      </w:r>
      <w:r w:rsidRPr="006C7B74">
        <w:rPr>
          <w:rFonts w:cstheme="minorHAnsi"/>
          <w:sz w:val="20"/>
          <w:szCs w:val="20"/>
        </w:rPr>
        <w:t xml:space="preserve"> as well as community, arts and cultural uses. It is located adjacent to Port Phillip Bay and the Frankston railway line provides access to the </w:t>
      </w:r>
      <w:r w:rsidR="00991D02" w:rsidRPr="006C7B74">
        <w:rPr>
          <w:rFonts w:cstheme="minorHAnsi"/>
          <w:sz w:val="20"/>
          <w:szCs w:val="20"/>
        </w:rPr>
        <w:t>Melbourne CBD</w:t>
      </w:r>
      <w:r w:rsidRPr="006C7B74">
        <w:rPr>
          <w:rFonts w:cstheme="minorHAnsi"/>
          <w:sz w:val="20"/>
          <w:szCs w:val="20"/>
        </w:rPr>
        <w:t xml:space="preserve">. It is also well served by road infrastructure with </w:t>
      </w:r>
      <w:proofErr w:type="spellStart"/>
      <w:r w:rsidRPr="006C7B74">
        <w:rPr>
          <w:rFonts w:cstheme="minorHAnsi"/>
          <w:sz w:val="20"/>
          <w:szCs w:val="20"/>
        </w:rPr>
        <w:lastRenderedPageBreak/>
        <w:t>EastLink</w:t>
      </w:r>
      <w:proofErr w:type="spellEnd"/>
      <w:r w:rsidRPr="006C7B74">
        <w:rPr>
          <w:rFonts w:cstheme="minorHAnsi"/>
          <w:sz w:val="20"/>
          <w:szCs w:val="20"/>
        </w:rPr>
        <w:t>, the Frankston Freeway, Moorooduc Highway, and Nepean Highway connecting the centre within metropolitan Melbourne and to the Mornington Peninsula.</w:t>
      </w:r>
    </w:p>
    <w:p w14:paraId="36701589" w14:textId="77777777" w:rsidR="00627997" w:rsidRDefault="006F3D72">
      <w:pPr>
        <w:rPr>
          <w:rFonts w:cstheme="minorHAnsi"/>
          <w:sz w:val="20"/>
          <w:szCs w:val="20"/>
        </w:rPr>
      </w:pPr>
      <w:r w:rsidRPr="006C7B74">
        <w:rPr>
          <w:rFonts w:cstheme="minorHAnsi"/>
          <w:sz w:val="20"/>
          <w:szCs w:val="20"/>
        </w:rPr>
        <w:t xml:space="preserve">The </w:t>
      </w:r>
      <w:r w:rsidRPr="006C7B74">
        <w:rPr>
          <w:rFonts w:cstheme="minorHAnsi"/>
          <w:b/>
          <w:bCs/>
          <w:sz w:val="20"/>
          <w:szCs w:val="20"/>
        </w:rPr>
        <w:t>broader activity centre network</w:t>
      </w:r>
      <w:r w:rsidRPr="006C7B74">
        <w:rPr>
          <w:rFonts w:cstheme="minorHAnsi"/>
          <w:sz w:val="20"/>
          <w:szCs w:val="20"/>
        </w:rPr>
        <w:t xml:space="preserve"> across the region comprises 20 existing </w:t>
      </w:r>
      <w:r w:rsidR="00EA47E2" w:rsidRPr="006C7B74">
        <w:rPr>
          <w:rFonts w:cstheme="minorHAnsi"/>
          <w:sz w:val="20"/>
          <w:szCs w:val="20"/>
        </w:rPr>
        <w:t>m</w:t>
      </w:r>
      <w:r w:rsidRPr="006C7B74">
        <w:rPr>
          <w:rFonts w:cstheme="minorHAnsi"/>
          <w:sz w:val="20"/>
          <w:szCs w:val="20"/>
        </w:rPr>
        <w:t xml:space="preserve">ajor </w:t>
      </w:r>
      <w:r w:rsidR="00EA47E2" w:rsidRPr="006C7B74">
        <w:rPr>
          <w:rFonts w:cstheme="minorHAnsi"/>
          <w:sz w:val="20"/>
          <w:szCs w:val="20"/>
        </w:rPr>
        <w:t>a</w:t>
      </w:r>
      <w:r w:rsidRPr="006C7B74">
        <w:rPr>
          <w:rFonts w:cstheme="minorHAnsi"/>
          <w:sz w:val="20"/>
          <w:szCs w:val="20"/>
        </w:rPr>
        <w:t xml:space="preserve">ctivity </w:t>
      </w:r>
      <w:r w:rsidR="00EA47E2" w:rsidRPr="006C7B74">
        <w:rPr>
          <w:rFonts w:cstheme="minorHAnsi"/>
          <w:sz w:val="20"/>
          <w:szCs w:val="20"/>
        </w:rPr>
        <w:t>c</w:t>
      </w:r>
      <w:r w:rsidRPr="006C7B74">
        <w:rPr>
          <w:rFonts w:cstheme="minorHAnsi"/>
          <w:sz w:val="20"/>
          <w:szCs w:val="20"/>
        </w:rPr>
        <w:t xml:space="preserve">entres and two identified future </w:t>
      </w:r>
      <w:r w:rsidR="00EA47E2" w:rsidRPr="006C7B74">
        <w:rPr>
          <w:rFonts w:cstheme="minorHAnsi"/>
          <w:sz w:val="20"/>
          <w:szCs w:val="20"/>
        </w:rPr>
        <w:t>m</w:t>
      </w:r>
      <w:r w:rsidRPr="006C7B74">
        <w:rPr>
          <w:rFonts w:cstheme="minorHAnsi"/>
          <w:sz w:val="20"/>
          <w:szCs w:val="20"/>
        </w:rPr>
        <w:t xml:space="preserve">ajor </w:t>
      </w:r>
      <w:r w:rsidR="00EA47E2" w:rsidRPr="006C7B74">
        <w:rPr>
          <w:rFonts w:cstheme="minorHAnsi"/>
          <w:sz w:val="20"/>
          <w:szCs w:val="20"/>
        </w:rPr>
        <w:t>a</w:t>
      </w:r>
      <w:r w:rsidRPr="006C7B74">
        <w:rPr>
          <w:rFonts w:cstheme="minorHAnsi"/>
          <w:sz w:val="20"/>
          <w:szCs w:val="20"/>
        </w:rPr>
        <w:t xml:space="preserve">ctivity </w:t>
      </w:r>
      <w:r w:rsidR="00EA47E2" w:rsidRPr="006C7B74">
        <w:rPr>
          <w:rFonts w:cstheme="minorHAnsi"/>
          <w:sz w:val="20"/>
          <w:szCs w:val="20"/>
        </w:rPr>
        <w:t>c</w:t>
      </w:r>
      <w:r w:rsidRPr="006C7B74">
        <w:rPr>
          <w:rFonts w:cstheme="minorHAnsi"/>
          <w:sz w:val="20"/>
          <w:szCs w:val="20"/>
        </w:rPr>
        <w:t>entres. Larger free-standing shopping centres such as Casey Central, Cheltenham-Southland, Keysborough-Parkmore, and Karingal offer significant retailing, serving larger sub-regional catchments. In other parts of the region, strip-based centres such as Cranbourne, Mentone, Mornington and Springvale offer a range of retailing, office and community uses.</w:t>
      </w:r>
    </w:p>
    <w:p w14:paraId="12AA922B" w14:textId="77777777" w:rsidR="00627997" w:rsidRDefault="00627997">
      <w:pPr>
        <w:rPr>
          <w:rFonts w:cstheme="minorHAnsi"/>
          <w:sz w:val="20"/>
          <w:szCs w:val="20"/>
        </w:rPr>
      </w:pPr>
    </w:p>
    <w:p w14:paraId="62774287" w14:textId="77777777" w:rsidR="00627997" w:rsidRDefault="00627997">
      <w:pPr>
        <w:rPr>
          <w:rFonts w:cstheme="minorHAnsi"/>
          <w:sz w:val="20"/>
          <w:szCs w:val="20"/>
        </w:rPr>
      </w:pPr>
    </w:p>
    <w:p w14:paraId="6C047339" w14:textId="3FD12576" w:rsidR="00F96E2C" w:rsidRPr="006C7B74" w:rsidRDefault="00F96E2C" w:rsidP="00934C4D">
      <w:pPr>
        <w:pStyle w:val="Heading2-Contenttable"/>
        <w:spacing w:after="120"/>
      </w:pPr>
      <w:bookmarkStart w:id="56" w:name="_Toc21694835"/>
      <w:r w:rsidRPr="006C7B74">
        <w:t>Supply and demand for industrial and commercial land across the region</w:t>
      </w:r>
      <w:bookmarkEnd w:id="56"/>
    </w:p>
    <w:p w14:paraId="067490F8" w14:textId="0A7B223B" w:rsidR="00F96E2C" w:rsidRPr="006C7B74" w:rsidRDefault="00F96E2C" w:rsidP="007420C4">
      <w:pPr>
        <w:pStyle w:val="Heading3"/>
      </w:pPr>
      <w:r w:rsidRPr="006C7B74">
        <w:t>Industrial land</w:t>
      </w:r>
    </w:p>
    <w:p w14:paraId="40EA2F25" w14:textId="61ACEF44" w:rsidR="00F96E2C" w:rsidRPr="006C7B74" w:rsidRDefault="00F96E2C" w:rsidP="00934C4D">
      <w:pPr>
        <w:spacing w:after="120"/>
        <w:rPr>
          <w:rFonts w:cstheme="minorHAnsi"/>
          <w:sz w:val="20"/>
          <w:szCs w:val="20"/>
        </w:rPr>
      </w:pPr>
      <w:r w:rsidRPr="006C7B74">
        <w:rPr>
          <w:rFonts w:cstheme="minorHAnsi"/>
          <w:sz w:val="20"/>
          <w:szCs w:val="20"/>
        </w:rPr>
        <w:t>The Southern Region contains metropolitan Melbourne’s largest holdings of industrial land</w:t>
      </w:r>
      <w:r w:rsidR="000A6FE3" w:rsidRPr="006C7B74">
        <w:rPr>
          <w:rFonts w:cstheme="minorHAnsi"/>
          <w:sz w:val="20"/>
          <w:szCs w:val="20"/>
        </w:rPr>
        <w:t xml:space="preserve"> and has three SSIPs</w:t>
      </w:r>
      <w:r w:rsidR="00B10E28" w:rsidRPr="006C7B74">
        <w:rPr>
          <w:rFonts w:cstheme="minorHAnsi"/>
          <w:sz w:val="20"/>
          <w:szCs w:val="20"/>
        </w:rPr>
        <w:t xml:space="preserve">. </w:t>
      </w:r>
      <w:r w:rsidRPr="006C7B74">
        <w:rPr>
          <w:rFonts w:cstheme="minorHAnsi"/>
          <w:sz w:val="20"/>
          <w:szCs w:val="20"/>
        </w:rPr>
        <w:t xml:space="preserve">The region has a total of </w:t>
      </w:r>
      <w:r w:rsidR="00862FAC" w:rsidRPr="006C7B74">
        <w:rPr>
          <w:rFonts w:cstheme="minorHAnsi"/>
          <w:sz w:val="20"/>
          <w:szCs w:val="20"/>
        </w:rPr>
        <w:t>around</w:t>
      </w:r>
      <w:r w:rsidR="00050307" w:rsidRPr="006C7B74">
        <w:rPr>
          <w:rFonts w:cstheme="minorHAnsi"/>
          <w:sz w:val="20"/>
          <w:szCs w:val="20"/>
        </w:rPr>
        <w:t xml:space="preserve"> </w:t>
      </w:r>
      <w:r w:rsidR="00E62438" w:rsidRPr="006C7B74">
        <w:rPr>
          <w:rFonts w:cstheme="minorHAnsi"/>
          <w:sz w:val="20"/>
          <w:szCs w:val="20"/>
        </w:rPr>
        <w:t>9,610</w:t>
      </w:r>
      <w:r w:rsidR="004670F0" w:rsidRPr="006C7B74">
        <w:rPr>
          <w:rFonts w:cstheme="minorHAnsi"/>
          <w:sz w:val="20"/>
          <w:szCs w:val="20"/>
        </w:rPr>
        <w:t xml:space="preserve"> </w:t>
      </w:r>
      <w:r w:rsidRPr="006C7B74">
        <w:rPr>
          <w:rFonts w:cstheme="minorHAnsi"/>
          <w:sz w:val="20"/>
          <w:szCs w:val="20"/>
        </w:rPr>
        <w:t xml:space="preserve">hectares </w:t>
      </w:r>
      <w:r w:rsidR="0017768E" w:rsidRPr="006C7B74">
        <w:rPr>
          <w:rFonts w:cstheme="minorHAnsi"/>
          <w:sz w:val="20"/>
          <w:szCs w:val="20"/>
        </w:rPr>
        <w:t xml:space="preserve">of zoned land </w:t>
      </w:r>
      <w:r w:rsidRPr="006C7B74">
        <w:rPr>
          <w:rFonts w:cstheme="minorHAnsi"/>
          <w:sz w:val="20"/>
          <w:szCs w:val="20"/>
        </w:rPr>
        <w:t xml:space="preserve">set aside for industrial uses. Of this </w:t>
      </w:r>
      <w:r w:rsidR="0017768E" w:rsidRPr="006C7B74">
        <w:rPr>
          <w:rFonts w:cstheme="minorHAnsi"/>
          <w:sz w:val="20"/>
          <w:szCs w:val="20"/>
        </w:rPr>
        <w:t xml:space="preserve">around </w:t>
      </w:r>
      <w:r w:rsidR="00E62438" w:rsidRPr="006C7B74">
        <w:rPr>
          <w:rFonts w:cstheme="minorHAnsi"/>
          <w:sz w:val="20"/>
          <w:szCs w:val="20"/>
        </w:rPr>
        <w:t>7,270</w:t>
      </w:r>
      <w:r w:rsidRPr="006C7B74">
        <w:rPr>
          <w:rFonts w:cstheme="minorHAnsi"/>
          <w:sz w:val="20"/>
          <w:szCs w:val="20"/>
        </w:rPr>
        <w:t xml:space="preserve"> hectares is currently </w:t>
      </w:r>
      <w:r w:rsidR="00CC5B55" w:rsidRPr="006C7B74">
        <w:rPr>
          <w:rFonts w:cstheme="minorHAnsi"/>
          <w:sz w:val="20"/>
          <w:szCs w:val="20"/>
        </w:rPr>
        <w:t>occupied,</w:t>
      </w:r>
      <w:r w:rsidRPr="006C7B74">
        <w:rPr>
          <w:rFonts w:cstheme="minorHAnsi"/>
          <w:sz w:val="20"/>
          <w:szCs w:val="20"/>
        </w:rPr>
        <w:t xml:space="preserve"> and </w:t>
      </w:r>
      <w:r w:rsidR="00E62438" w:rsidRPr="006C7B74">
        <w:rPr>
          <w:rFonts w:cstheme="minorHAnsi"/>
          <w:sz w:val="20"/>
          <w:szCs w:val="20"/>
        </w:rPr>
        <w:t>2,338</w:t>
      </w:r>
      <w:r w:rsidRPr="006C7B74">
        <w:rPr>
          <w:rFonts w:cstheme="minorHAnsi"/>
          <w:sz w:val="20"/>
          <w:szCs w:val="20"/>
        </w:rPr>
        <w:t xml:space="preserve"> </w:t>
      </w:r>
      <w:r w:rsidR="00367B87" w:rsidRPr="006C7B74">
        <w:rPr>
          <w:rFonts w:cstheme="minorHAnsi"/>
          <w:sz w:val="20"/>
          <w:szCs w:val="20"/>
        </w:rPr>
        <w:t>hectares</w:t>
      </w:r>
      <w:r w:rsidRPr="006C7B74">
        <w:rPr>
          <w:rFonts w:cstheme="minorHAnsi"/>
          <w:sz w:val="20"/>
          <w:szCs w:val="20"/>
        </w:rPr>
        <w:t xml:space="preserve"> is currently zoned for industrial purposes and vacant. </w:t>
      </w:r>
      <w:r w:rsidR="0017768E" w:rsidRPr="006C7B74">
        <w:rPr>
          <w:rFonts w:cstheme="minorHAnsi"/>
          <w:sz w:val="20"/>
          <w:szCs w:val="20"/>
        </w:rPr>
        <w:t xml:space="preserve">An additional </w:t>
      </w:r>
      <w:r w:rsidRPr="006C7B74">
        <w:rPr>
          <w:rFonts w:cstheme="minorHAnsi"/>
          <w:sz w:val="20"/>
          <w:szCs w:val="20"/>
        </w:rPr>
        <w:t>1,18</w:t>
      </w:r>
      <w:r w:rsidR="003F3501" w:rsidRPr="006C7B74">
        <w:rPr>
          <w:rFonts w:cstheme="minorHAnsi"/>
          <w:sz w:val="20"/>
          <w:szCs w:val="20"/>
        </w:rPr>
        <w:t>4</w:t>
      </w:r>
      <w:r w:rsidRPr="006C7B74">
        <w:rPr>
          <w:rFonts w:cstheme="minorHAnsi"/>
          <w:sz w:val="20"/>
          <w:szCs w:val="20"/>
        </w:rPr>
        <w:t xml:space="preserve"> hectares </w:t>
      </w:r>
      <w:r w:rsidR="0017768E" w:rsidRPr="006C7B74">
        <w:rPr>
          <w:rFonts w:cstheme="minorHAnsi"/>
          <w:sz w:val="20"/>
          <w:szCs w:val="20"/>
        </w:rPr>
        <w:t xml:space="preserve">of land has been </w:t>
      </w:r>
      <w:r w:rsidRPr="006C7B74">
        <w:rPr>
          <w:rFonts w:cstheme="minorHAnsi"/>
          <w:sz w:val="20"/>
          <w:szCs w:val="20"/>
        </w:rPr>
        <w:t xml:space="preserve">identified for future industrial </w:t>
      </w:r>
      <w:r w:rsidR="0017768E" w:rsidRPr="006C7B74">
        <w:rPr>
          <w:rFonts w:cstheme="minorHAnsi"/>
          <w:sz w:val="20"/>
          <w:szCs w:val="20"/>
        </w:rPr>
        <w:t>purposes that is yet to be zoned</w:t>
      </w:r>
      <w:r w:rsidRPr="006C7B74">
        <w:rPr>
          <w:rFonts w:cstheme="minorHAnsi"/>
          <w:sz w:val="20"/>
          <w:szCs w:val="20"/>
        </w:rPr>
        <w:t>.</w:t>
      </w:r>
    </w:p>
    <w:p w14:paraId="7DA38C8D" w14:textId="77777777" w:rsidR="00C10433" w:rsidRPr="006C7B74" w:rsidRDefault="00C10433" w:rsidP="00934C4D">
      <w:pPr>
        <w:spacing w:after="120"/>
        <w:rPr>
          <w:rFonts w:cstheme="minorHAnsi"/>
          <w:sz w:val="20"/>
          <w:szCs w:val="20"/>
        </w:rPr>
      </w:pPr>
    </w:p>
    <w:p w14:paraId="3EBCBC00" w14:textId="1CFA88F0" w:rsidR="00C10433" w:rsidRPr="003C516A" w:rsidRDefault="00C10433" w:rsidP="003C516A">
      <w:pPr>
        <w:pStyle w:val="Heading5"/>
      </w:pPr>
      <w:r w:rsidRPr="003C516A">
        <w:t>Table 27: Industrial land supply</w:t>
      </w:r>
      <w:r w:rsidR="006C2F20" w:rsidRPr="003C516A">
        <w:t>,</w:t>
      </w:r>
      <w:r w:rsidRPr="003C516A">
        <w:t xml:space="preserve"> Southern Region</w:t>
      </w:r>
    </w:p>
    <w:tbl>
      <w:tblPr>
        <w:tblW w:w="5000" w:type="pct"/>
        <w:tblLook w:val="04A0" w:firstRow="1" w:lastRow="0" w:firstColumn="1" w:lastColumn="0" w:noHBand="0" w:noVBand="1"/>
      </w:tblPr>
      <w:tblGrid>
        <w:gridCol w:w="2536"/>
        <w:gridCol w:w="1687"/>
        <w:gridCol w:w="1380"/>
        <w:gridCol w:w="1499"/>
        <w:gridCol w:w="1918"/>
      </w:tblGrid>
      <w:tr w:rsidR="00652302" w:rsidRPr="006C7B74" w14:paraId="0B34F1B6" w14:textId="77777777" w:rsidTr="003A6F9C">
        <w:trPr>
          <w:trHeight w:val="735"/>
        </w:trPr>
        <w:tc>
          <w:tcPr>
            <w:tcW w:w="1406" w:type="pct"/>
            <w:tcBorders>
              <w:top w:val="nil"/>
              <w:left w:val="nil"/>
              <w:bottom w:val="single" w:sz="8" w:space="0" w:color="4D446C"/>
              <w:right w:val="nil"/>
            </w:tcBorders>
            <w:shd w:val="clear" w:color="000000" w:fill="4D446C"/>
            <w:noWrap/>
            <w:vAlign w:val="center"/>
            <w:hideMark/>
          </w:tcPr>
          <w:p w14:paraId="04B477CB" w14:textId="77777777" w:rsidR="00C622AE" w:rsidRPr="006C7B74" w:rsidRDefault="00C622AE" w:rsidP="003C516A">
            <w:pPr>
              <w:pStyle w:val="TableHeaderRow"/>
            </w:pPr>
            <w:r w:rsidRPr="006C7B74">
              <w:t>Council / SSIP</w:t>
            </w:r>
          </w:p>
        </w:tc>
        <w:tc>
          <w:tcPr>
            <w:tcW w:w="935" w:type="pct"/>
            <w:tcBorders>
              <w:top w:val="nil"/>
              <w:left w:val="nil"/>
              <w:bottom w:val="single" w:sz="8" w:space="0" w:color="4D446C"/>
              <w:right w:val="nil"/>
            </w:tcBorders>
            <w:shd w:val="clear" w:color="000000" w:fill="4D446C"/>
            <w:vAlign w:val="center"/>
            <w:hideMark/>
          </w:tcPr>
          <w:p w14:paraId="1A644C83" w14:textId="5254C30F" w:rsidR="00C622AE" w:rsidRPr="006C7B74" w:rsidRDefault="00C622AE" w:rsidP="003C516A">
            <w:pPr>
              <w:pStyle w:val="TableHeaderRow"/>
              <w:jc w:val="center"/>
            </w:pPr>
            <w:r w:rsidRPr="006C7B74">
              <w:t>Zoned occupied (ha)</w:t>
            </w:r>
          </w:p>
        </w:tc>
        <w:tc>
          <w:tcPr>
            <w:tcW w:w="765" w:type="pct"/>
            <w:tcBorders>
              <w:top w:val="nil"/>
              <w:left w:val="nil"/>
              <w:bottom w:val="single" w:sz="8" w:space="0" w:color="4D446C"/>
              <w:right w:val="nil"/>
            </w:tcBorders>
            <w:shd w:val="clear" w:color="000000" w:fill="4D446C"/>
            <w:vAlign w:val="center"/>
            <w:hideMark/>
          </w:tcPr>
          <w:p w14:paraId="14D8060C" w14:textId="64BC824F" w:rsidR="00C622AE" w:rsidRPr="006C7B74" w:rsidRDefault="00C622AE" w:rsidP="003C516A">
            <w:pPr>
              <w:pStyle w:val="TableHeaderRow"/>
              <w:jc w:val="center"/>
            </w:pPr>
            <w:r w:rsidRPr="006C7B74">
              <w:t>Zoned vacant (ha)</w:t>
            </w:r>
          </w:p>
        </w:tc>
        <w:tc>
          <w:tcPr>
            <w:tcW w:w="831" w:type="pct"/>
            <w:tcBorders>
              <w:top w:val="nil"/>
              <w:left w:val="nil"/>
              <w:bottom w:val="single" w:sz="8" w:space="0" w:color="4D446C"/>
              <w:right w:val="nil"/>
            </w:tcBorders>
            <w:shd w:val="clear" w:color="000000" w:fill="4D446C"/>
            <w:vAlign w:val="center"/>
            <w:hideMark/>
          </w:tcPr>
          <w:p w14:paraId="3E6CC6A3" w14:textId="62269FEB" w:rsidR="00C622AE" w:rsidRPr="006C7B74" w:rsidRDefault="00C622AE" w:rsidP="003C516A">
            <w:pPr>
              <w:pStyle w:val="TableHeaderRow"/>
              <w:jc w:val="center"/>
            </w:pPr>
            <w:r w:rsidRPr="006C7B74">
              <w:t>Future supply (ha)</w:t>
            </w:r>
          </w:p>
        </w:tc>
        <w:tc>
          <w:tcPr>
            <w:tcW w:w="1063" w:type="pct"/>
            <w:tcBorders>
              <w:top w:val="nil"/>
              <w:left w:val="nil"/>
              <w:bottom w:val="single" w:sz="8" w:space="0" w:color="4D446C"/>
              <w:right w:val="nil"/>
            </w:tcBorders>
            <w:shd w:val="clear" w:color="000000" w:fill="4D446C"/>
            <w:vAlign w:val="center"/>
            <w:hideMark/>
          </w:tcPr>
          <w:p w14:paraId="6E0D319B" w14:textId="57A0B56B" w:rsidR="00C622AE" w:rsidRPr="006C7B74" w:rsidRDefault="00C622AE" w:rsidP="003C516A">
            <w:pPr>
              <w:pStyle w:val="TableHeaderRow"/>
              <w:jc w:val="center"/>
            </w:pPr>
            <w:r w:rsidRPr="006C7B74">
              <w:t>Total available supply (ha)</w:t>
            </w:r>
          </w:p>
        </w:tc>
      </w:tr>
      <w:tr w:rsidR="004563C0" w:rsidRPr="006C7B74" w14:paraId="3C93C718" w14:textId="77777777" w:rsidTr="006C7B74">
        <w:trPr>
          <w:trHeight w:val="330"/>
        </w:trPr>
        <w:tc>
          <w:tcPr>
            <w:tcW w:w="1406" w:type="pct"/>
            <w:tcBorders>
              <w:top w:val="nil"/>
              <w:left w:val="nil"/>
              <w:bottom w:val="single" w:sz="8" w:space="0" w:color="4D446C"/>
              <w:right w:val="nil"/>
            </w:tcBorders>
            <w:shd w:val="clear" w:color="auto" w:fill="auto"/>
            <w:noWrap/>
            <w:vAlign w:val="center"/>
            <w:hideMark/>
          </w:tcPr>
          <w:p w14:paraId="092983E6" w14:textId="77777777" w:rsidR="004563C0" w:rsidRPr="006C7B74" w:rsidRDefault="004563C0" w:rsidP="004563C0">
            <w:pPr>
              <w:rPr>
                <w:rFonts w:ascii="Calibri" w:hAnsi="Calibri" w:cs="Calibri"/>
                <w:color w:val="000000"/>
                <w:sz w:val="18"/>
                <w:szCs w:val="18"/>
                <w:lang w:eastAsia="en-AU"/>
              </w:rPr>
            </w:pPr>
            <w:r w:rsidRPr="006C7B74">
              <w:rPr>
                <w:rFonts w:ascii="Calibri" w:hAnsi="Calibri" w:cs="Calibri"/>
                <w:color w:val="000000"/>
                <w:sz w:val="18"/>
                <w:szCs w:val="18"/>
                <w:lang w:eastAsia="en-AU"/>
              </w:rPr>
              <w:t>Cardinia</w:t>
            </w:r>
          </w:p>
        </w:tc>
        <w:tc>
          <w:tcPr>
            <w:tcW w:w="935" w:type="pct"/>
            <w:tcBorders>
              <w:top w:val="nil"/>
              <w:left w:val="nil"/>
              <w:bottom w:val="single" w:sz="8" w:space="0" w:color="4D446C"/>
              <w:right w:val="nil"/>
            </w:tcBorders>
            <w:shd w:val="clear" w:color="auto" w:fill="auto"/>
            <w:noWrap/>
            <w:hideMark/>
          </w:tcPr>
          <w:p w14:paraId="18B5CB8D" w14:textId="100B2312" w:rsidR="004563C0" w:rsidRPr="006C7B74" w:rsidRDefault="004563C0" w:rsidP="004563C0">
            <w:pPr>
              <w:jc w:val="center"/>
              <w:rPr>
                <w:rFonts w:ascii="Calibri" w:hAnsi="Calibri" w:cs="Calibri"/>
                <w:color w:val="363534"/>
                <w:sz w:val="18"/>
                <w:szCs w:val="18"/>
                <w:lang w:eastAsia="en-AU"/>
              </w:rPr>
            </w:pPr>
            <w:r w:rsidRPr="006C7B74">
              <w:rPr>
                <w:sz w:val="18"/>
                <w:szCs w:val="18"/>
              </w:rPr>
              <w:t>380.9</w:t>
            </w:r>
          </w:p>
        </w:tc>
        <w:tc>
          <w:tcPr>
            <w:tcW w:w="765" w:type="pct"/>
            <w:tcBorders>
              <w:top w:val="nil"/>
              <w:left w:val="nil"/>
              <w:bottom w:val="single" w:sz="8" w:space="0" w:color="4D446C"/>
              <w:right w:val="nil"/>
            </w:tcBorders>
            <w:shd w:val="clear" w:color="auto" w:fill="auto"/>
            <w:noWrap/>
            <w:hideMark/>
          </w:tcPr>
          <w:p w14:paraId="114E8E28" w14:textId="164D2ABB" w:rsidR="004563C0" w:rsidRPr="006C7B74" w:rsidRDefault="004563C0" w:rsidP="004563C0">
            <w:pPr>
              <w:jc w:val="center"/>
              <w:rPr>
                <w:rFonts w:ascii="Calibri" w:hAnsi="Calibri" w:cs="Calibri"/>
                <w:color w:val="363534"/>
                <w:sz w:val="18"/>
                <w:szCs w:val="18"/>
                <w:lang w:eastAsia="en-AU"/>
              </w:rPr>
            </w:pPr>
            <w:r w:rsidRPr="006C7B74">
              <w:rPr>
                <w:sz w:val="18"/>
                <w:szCs w:val="18"/>
              </w:rPr>
              <w:t>375.2</w:t>
            </w:r>
          </w:p>
        </w:tc>
        <w:tc>
          <w:tcPr>
            <w:tcW w:w="831" w:type="pct"/>
            <w:tcBorders>
              <w:top w:val="nil"/>
              <w:left w:val="nil"/>
              <w:bottom w:val="single" w:sz="8" w:space="0" w:color="4D446C"/>
              <w:right w:val="nil"/>
            </w:tcBorders>
            <w:shd w:val="clear" w:color="auto" w:fill="auto"/>
            <w:noWrap/>
            <w:hideMark/>
          </w:tcPr>
          <w:p w14:paraId="0DB05546" w14:textId="296CFC76" w:rsidR="004563C0" w:rsidRPr="006C7B74" w:rsidRDefault="004563C0" w:rsidP="004563C0">
            <w:pPr>
              <w:jc w:val="center"/>
              <w:rPr>
                <w:rFonts w:ascii="Calibri" w:hAnsi="Calibri" w:cs="Calibri"/>
                <w:color w:val="363534"/>
                <w:sz w:val="18"/>
                <w:szCs w:val="18"/>
                <w:lang w:eastAsia="en-AU"/>
              </w:rPr>
            </w:pPr>
            <w:r w:rsidRPr="006C7B74">
              <w:rPr>
                <w:sz w:val="18"/>
                <w:szCs w:val="18"/>
              </w:rPr>
              <w:t>938.3</w:t>
            </w:r>
          </w:p>
        </w:tc>
        <w:tc>
          <w:tcPr>
            <w:tcW w:w="1063" w:type="pct"/>
            <w:tcBorders>
              <w:top w:val="nil"/>
              <w:left w:val="nil"/>
              <w:bottom w:val="single" w:sz="8" w:space="0" w:color="4D446C"/>
              <w:right w:val="nil"/>
            </w:tcBorders>
            <w:shd w:val="clear" w:color="auto" w:fill="auto"/>
            <w:noWrap/>
            <w:hideMark/>
          </w:tcPr>
          <w:p w14:paraId="40C40F82" w14:textId="7A3341C8" w:rsidR="004563C0" w:rsidRPr="006C7B74" w:rsidRDefault="004563C0" w:rsidP="004563C0">
            <w:pPr>
              <w:jc w:val="center"/>
              <w:rPr>
                <w:rFonts w:ascii="Calibri" w:hAnsi="Calibri" w:cs="Calibri"/>
                <w:color w:val="363534"/>
                <w:sz w:val="18"/>
                <w:szCs w:val="18"/>
                <w:lang w:eastAsia="en-AU"/>
              </w:rPr>
            </w:pPr>
            <w:r w:rsidRPr="006C7B74">
              <w:rPr>
                <w:sz w:val="18"/>
                <w:szCs w:val="18"/>
              </w:rPr>
              <w:t>1,313.5</w:t>
            </w:r>
          </w:p>
        </w:tc>
      </w:tr>
      <w:tr w:rsidR="004563C0" w:rsidRPr="006C7B74" w14:paraId="674FC514" w14:textId="77777777" w:rsidTr="006C7B74">
        <w:trPr>
          <w:trHeight w:val="315"/>
        </w:trPr>
        <w:tc>
          <w:tcPr>
            <w:tcW w:w="1406" w:type="pct"/>
            <w:tcBorders>
              <w:top w:val="nil"/>
              <w:left w:val="nil"/>
              <w:bottom w:val="single" w:sz="8" w:space="0" w:color="4D446C"/>
              <w:right w:val="nil"/>
            </w:tcBorders>
            <w:shd w:val="clear" w:color="auto" w:fill="auto"/>
            <w:noWrap/>
            <w:vAlign w:val="center"/>
            <w:hideMark/>
          </w:tcPr>
          <w:p w14:paraId="0C49A788" w14:textId="77777777" w:rsidR="004563C0" w:rsidRPr="006C7B74" w:rsidRDefault="004563C0" w:rsidP="004563C0">
            <w:pPr>
              <w:rPr>
                <w:rFonts w:ascii="Calibri" w:hAnsi="Calibri" w:cs="Calibri"/>
                <w:color w:val="000000"/>
                <w:sz w:val="18"/>
                <w:szCs w:val="18"/>
                <w:lang w:eastAsia="en-AU"/>
              </w:rPr>
            </w:pPr>
            <w:r w:rsidRPr="006C7B74">
              <w:rPr>
                <w:rFonts w:ascii="Calibri" w:hAnsi="Calibri" w:cs="Calibri"/>
                <w:color w:val="000000"/>
                <w:sz w:val="18"/>
                <w:szCs w:val="18"/>
                <w:lang w:eastAsia="en-AU"/>
              </w:rPr>
              <w:t>Casey</w:t>
            </w:r>
          </w:p>
        </w:tc>
        <w:tc>
          <w:tcPr>
            <w:tcW w:w="935" w:type="pct"/>
            <w:tcBorders>
              <w:top w:val="nil"/>
              <w:left w:val="nil"/>
              <w:bottom w:val="single" w:sz="8" w:space="0" w:color="4D446C"/>
              <w:right w:val="nil"/>
            </w:tcBorders>
            <w:shd w:val="clear" w:color="auto" w:fill="auto"/>
            <w:noWrap/>
            <w:hideMark/>
          </w:tcPr>
          <w:p w14:paraId="00ACCEA6" w14:textId="1B6F8F7E" w:rsidR="004563C0" w:rsidRPr="006C7B74" w:rsidRDefault="004563C0" w:rsidP="004563C0">
            <w:pPr>
              <w:jc w:val="center"/>
              <w:rPr>
                <w:rFonts w:ascii="Calibri" w:hAnsi="Calibri" w:cs="Calibri"/>
                <w:color w:val="363534"/>
                <w:sz w:val="18"/>
                <w:szCs w:val="18"/>
                <w:lang w:eastAsia="en-AU"/>
              </w:rPr>
            </w:pPr>
            <w:r w:rsidRPr="006C7B74">
              <w:rPr>
                <w:sz w:val="18"/>
                <w:szCs w:val="18"/>
              </w:rPr>
              <w:t>670.7</w:t>
            </w:r>
          </w:p>
        </w:tc>
        <w:tc>
          <w:tcPr>
            <w:tcW w:w="765" w:type="pct"/>
            <w:tcBorders>
              <w:top w:val="nil"/>
              <w:left w:val="nil"/>
              <w:bottom w:val="single" w:sz="8" w:space="0" w:color="4D446C"/>
              <w:right w:val="nil"/>
            </w:tcBorders>
            <w:shd w:val="clear" w:color="auto" w:fill="auto"/>
            <w:noWrap/>
            <w:hideMark/>
          </w:tcPr>
          <w:p w14:paraId="0080594D" w14:textId="21E095BD" w:rsidR="004563C0" w:rsidRPr="006C7B74" w:rsidRDefault="004563C0" w:rsidP="004563C0">
            <w:pPr>
              <w:jc w:val="center"/>
              <w:rPr>
                <w:rFonts w:ascii="Calibri" w:hAnsi="Calibri" w:cs="Calibri"/>
                <w:color w:val="363534"/>
                <w:sz w:val="18"/>
                <w:szCs w:val="18"/>
                <w:lang w:eastAsia="en-AU"/>
              </w:rPr>
            </w:pPr>
            <w:r w:rsidRPr="006C7B74">
              <w:rPr>
                <w:sz w:val="18"/>
                <w:szCs w:val="18"/>
              </w:rPr>
              <w:t>367.5</w:t>
            </w:r>
          </w:p>
        </w:tc>
        <w:tc>
          <w:tcPr>
            <w:tcW w:w="831" w:type="pct"/>
            <w:tcBorders>
              <w:top w:val="nil"/>
              <w:left w:val="nil"/>
              <w:bottom w:val="single" w:sz="8" w:space="0" w:color="4D446C"/>
              <w:right w:val="nil"/>
            </w:tcBorders>
            <w:shd w:val="clear" w:color="auto" w:fill="auto"/>
            <w:noWrap/>
            <w:hideMark/>
          </w:tcPr>
          <w:p w14:paraId="56EE8BC8" w14:textId="3FDD39A5" w:rsidR="004563C0" w:rsidRPr="006C7B74" w:rsidRDefault="004563C0" w:rsidP="004563C0">
            <w:pPr>
              <w:jc w:val="center"/>
              <w:rPr>
                <w:rFonts w:ascii="Calibri" w:hAnsi="Calibri" w:cs="Calibri"/>
                <w:color w:val="363534"/>
                <w:sz w:val="18"/>
                <w:szCs w:val="18"/>
                <w:lang w:eastAsia="en-AU"/>
              </w:rPr>
            </w:pPr>
            <w:r w:rsidRPr="006C7B74">
              <w:rPr>
                <w:sz w:val="18"/>
                <w:szCs w:val="18"/>
              </w:rPr>
              <w:t>245.2</w:t>
            </w:r>
          </w:p>
        </w:tc>
        <w:tc>
          <w:tcPr>
            <w:tcW w:w="1063" w:type="pct"/>
            <w:tcBorders>
              <w:top w:val="nil"/>
              <w:left w:val="nil"/>
              <w:bottom w:val="single" w:sz="8" w:space="0" w:color="4D446C"/>
              <w:right w:val="nil"/>
            </w:tcBorders>
            <w:shd w:val="clear" w:color="auto" w:fill="auto"/>
            <w:noWrap/>
            <w:hideMark/>
          </w:tcPr>
          <w:p w14:paraId="18754E76" w14:textId="24F93B72" w:rsidR="004563C0" w:rsidRPr="006C7B74" w:rsidRDefault="004563C0" w:rsidP="004563C0">
            <w:pPr>
              <w:jc w:val="center"/>
              <w:rPr>
                <w:rFonts w:ascii="Calibri" w:hAnsi="Calibri" w:cs="Calibri"/>
                <w:color w:val="363534"/>
                <w:sz w:val="18"/>
                <w:szCs w:val="18"/>
                <w:lang w:eastAsia="en-AU"/>
              </w:rPr>
            </w:pPr>
            <w:r w:rsidRPr="006C7B74">
              <w:rPr>
                <w:sz w:val="18"/>
                <w:szCs w:val="18"/>
              </w:rPr>
              <w:t>612.7</w:t>
            </w:r>
          </w:p>
        </w:tc>
      </w:tr>
      <w:tr w:rsidR="004563C0" w:rsidRPr="006C7B74" w14:paraId="2D2F734D" w14:textId="77777777" w:rsidTr="006C7B74">
        <w:trPr>
          <w:trHeight w:val="315"/>
        </w:trPr>
        <w:tc>
          <w:tcPr>
            <w:tcW w:w="1406" w:type="pct"/>
            <w:tcBorders>
              <w:top w:val="nil"/>
              <w:left w:val="nil"/>
              <w:bottom w:val="single" w:sz="8" w:space="0" w:color="4D446C"/>
              <w:right w:val="nil"/>
            </w:tcBorders>
            <w:shd w:val="clear" w:color="auto" w:fill="auto"/>
            <w:noWrap/>
            <w:vAlign w:val="center"/>
            <w:hideMark/>
          </w:tcPr>
          <w:p w14:paraId="7A4883A7" w14:textId="77777777" w:rsidR="004563C0" w:rsidRPr="006C7B74" w:rsidRDefault="004563C0" w:rsidP="004563C0">
            <w:pPr>
              <w:rPr>
                <w:rFonts w:ascii="Calibri" w:hAnsi="Calibri" w:cs="Calibri"/>
                <w:color w:val="000000"/>
                <w:sz w:val="18"/>
                <w:szCs w:val="18"/>
                <w:lang w:eastAsia="en-AU"/>
              </w:rPr>
            </w:pPr>
            <w:r w:rsidRPr="006C7B74">
              <w:rPr>
                <w:rFonts w:ascii="Calibri" w:hAnsi="Calibri" w:cs="Calibri"/>
                <w:color w:val="000000"/>
                <w:sz w:val="18"/>
                <w:szCs w:val="18"/>
                <w:lang w:eastAsia="en-AU"/>
              </w:rPr>
              <w:t>Frankston</w:t>
            </w:r>
          </w:p>
        </w:tc>
        <w:tc>
          <w:tcPr>
            <w:tcW w:w="935" w:type="pct"/>
            <w:tcBorders>
              <w:top w:val="nil"/>
              <w:left w:val="nil"/>
              <w:bottom w:val="single" w:sz="8" w:space="0" w:color="4D446C"/>
              <w:right w:val="nil"/>
            </w:tcBorders>
            <w:shd w:val="clear" w:color="auto" w:fill="auto"/>
            <w:noWrap/>
            <w:hideMark/>
          </w:tcPr>
          <w:p w14:paraId="4AEF9361" w14:textId="086A495A" w:rsidR="004563C0" w:rsidRPr="006C7B74" w:rsidRDefault="004563C0" w:rsidP="004563C0">
            <w:pPr>
              <w:jc w:val="center"/>
              <w:rPr>
                <w:rFonts w:ascii="Calibri" w:hAnsi="Calibri" w:cs="Calibri"/>
                <w:color w:val="363534"/>
                <w:sz w:val="18"/>
                <w:szCs w:val="18"/>
                <w:lang w:eastAsia="en-AU"/>
              </w:rPr>
            </w:pPr>
            <w:r w:rsidRPr="006C7B74">
              <w:rPr>
                <w:sz w:val="18"/>
                <w:szCs w:val="18"/>
              </w:rPr>
              <w:t>368.4</w:t>
            </w:r>
          </w:p>
        </w:tc>
        <w:tc>
          <w:tcPr>
            <w:tcW w:w="765" w:type="pct"/>
            <w:tcBorders>
              <w:top w:val="nil"/>
              <w:left w:val="nil"/>
              <w:bottom w:val="single" w:sz="8" w:space="0" w:color="4D446C"/>
              <w:right w:val="nil"/>
            </w:tcBorders>
            <w:shd w:val="clear" w:color="auto" w:fill="auto"/>
            <w:noWrap/>
            <w:hideMark/>
          </w:tcPr>
          <w:p w14:paraId="63F5D7DD" w14:textId="708CB95D" w:rsidR="004563C0" w:rsidRPr="006C7B74" w:rsidRDefault="004563C0" w:rsidP="004563C0">
            <w:pPr>
              <w:jc w:val="center"/>
              <w:rPr>
                <w:rFonts w:ascii="Calibri" w:hAnsi="Calibri" w:cs="Calibri"/>
                <w:color w:val="363534"/>
                <w:sz w:val="18"/>
                <w:szCs w:val="18"/>
                <w:lang w:eastAsia="en-AU"/>
              </w:rPr>
            </w:pPr>
            <w:r w:rsidRPr="006C7B74">
              <w:rPr>
                <w:sz w:val="18"/>
                <w:szCs w:val="18"/>
              </w:rPr>
              <w:t>21.6</w:t>
            </w:r>
          </w:p>
        </w:tc>
        <w:tc>
          <w:tcPr>
            <w:tcW w:w="831" w:type="pct"/>
            <w:tcBorders>
              <w:top w:val="nil"/>
              <w:left w:val="nil"/>
              <w:bottom w:val="single" w:sz="8" w:space="0" w:color="4D446C"/>
              <w:right w:val="nil"/>
            </w:tcBorders>
            <w:shd w:val="clear" w:color="auto" w:fill="auto"/>
            <w:noWrap/>
            <w:hideMark/>
          </w:tcPr>
          <w:p w14:paraId="69671B24" w14:textId="61B0236A" w:rsidR="004563C0" w:rsidRPr="006C7B74" w:rsidRDefault="004563C0" w:rsidP="004563C0">
            <w:pPr>
              <w:jc w:val="center"/>
              <w:rPr>
                <w:rFonts w:ascii="Calibri" w:hAnsi="Calibri" w:cs="Calibri"/>
                <w:color w:val="363534"/>
                <w:sz w:val="18"/>
                <w:szCs w:val="18"/>
                <w:lang w:eastAsia="en-AU"/>
              </w:rPr>
            </w:pPr>
            <w:r w:rsidRPr="006C7B74">
              <w:rPr>
                <w:sz w:val="18"/>
                <w:szCs w:val="18"/>
              </w:rPr>
              <w:t>0.0</w:t>
            </w:r>
          </w:p>
        </w:tc>
        <w:tc>
          <w:tcPr>
            <w:tcW w:w="1063" w:type="pct"/>
            <w:tcBorders>
              <w:top w:val="nil"/>
              <w:left w:val="nil"/>
              <w:bottom w:val="single" w:sz="8" w:space="0" w:color="4D446C"/>
              <w:right w:val="nil"/>
            </w:tcBorders>
            <w:shd w:val="clear" w:color="auto" w:fill="auto"/>
            <w:noWrap/>
            <w:hideMark/>
          </w:tcPr>
          <w:p w14:paraId="33891676" w14:textId="3D4B7273" w:rsidR="004563C0" w:rsidRPr="006C7B74" w:rsidRDefault="004563C0" w:rsidP="004563C0">
            <w:pPr>
              <w:jc w:val="center"/>
              <w:rPr>
                <w:rFonts w:ascii="Calibri" w:hAnsi="Calibri" w:cs="Calibri"/>
                <w:color w:val="363534"/>
                <w:sz w:val="18"/>
                <w:szCs w:val="18"/>
                <w:lang w:eastAsia="en-AU"/>
              </w:rPr>
            </w:pPr>
            <w:r w:rsidRPr="006C7B74">
              <w:rPr>
                <w:sz w:val="18"/>
                <w:szCs w:val="18"/>
              </w:rPr>
              <w:t>21.6</w:t>
            </w:r>
          </w:p>
        </w:tc>
      </w:tr>
      <w:tr w:rsidR="004563C0" w:rsidRPr="006C7B74" w14:paraId="64F4D7EA" w14:textId="77777777" w:rsidTr="006C7B74">
        <w:trPr>
          <w:trHeight w:val="315"/>
        </w:trPr>
        <w:tc>
          <w:tcPr>
            <w:tcW w:w="1406" w:type="pct"/>
            <w:tcBorders>
              <w:top w:val="nil"/>
              <w:left w:val="nil"/>
              <w:bottom w:val="single" w:sz="8" w:space="0" w:color="4D446C"/>
              <w:right w:val="nil"/>
            </w:tcBorders>
            <w:shd w:val="clear" w:color="auto" w:fill="auto"/>
            <w:noWrap/>
            <w:vAlign w:val="center"/>
            <w:hideMark/>
          </w:tcPr>
          <w:p w14:paraId="106720ED" w14:textId="77777777" w:rsidR="004563C0" w:rsidRPr="006C7B74" w:rsidRDefault="004563C0" w:rsidP="004563C0">
            <w:pPr>
              <w:rPr>
                <w:rFonts w:ascii="Calibri" w:hAnsi="Calibri" w:cs="Calibri"/>
                <w:color w:val="000000"/>
                <w:sz w:val="18"/>
                <w:szCs w:val="18"/>
                <w:lang w:eastAsia="en-AU"/>
              </w:rPr>
            </w:pPr>
            <w:r w:rsidRPr="006C7B74">
              <w:rPr>
                <w:rFonts w:ascii="Calibri" w:hAnsi="Calibri" w:cs="Calibri"/>
                <w:color w:val="000000"/>
                <w:sz w:val="18"/>
                <w:szCs w:val="18"/>
                <w:lang w:eastAsia="en-AU"/>
              </w:rPr>
              <w:t>Greater Dandenong</w:t>
            </w:r>
          </w:p>
        </w:tc>
        <w:tc>
          <w:tcPr>
            <w:tcW w:w="935" w:type="pct"/>
            <w:tcBorders>
              <w:top w:val="nil"/>
              <w:left w:val="nil"/>
              <w:bottom w:val="single" w:sz="8" w:space="0" w:color="4D446C"/>
              <w:right w:val="nil"/>
            </w:tcBorders>
            <w:shd w:val="clear" w:color="auto" w:fill="auto"/>
            <w:noWrap/>
            <w:hideMark/>
          </w:tcPr>
          <w:p w14:paraId="5F66D04E" w14:textId="1272708F" w:rsidR="004563C0" w:rsidRPr="006C7B74" w:rsidRDefault="004563C0" w:rsidP="004563C0">
            <w:pPr>
              <w:jc w:val="center"/>
              <w:rPr>
                <w:rFonts w:ascii="Calibri" w:hAnsi="Calibri" w:cs="Calibri"/>
                <w:color w:val="363534"/>
                <w:sz w:val="18"/>
                <w:szCs w:val="18"/>
                <w:lang w:eastAsia="en-AU"/>
              </w:rPr>
            </w:pPr>
            <w:r w:rsidRPr="006C7B74">
              <w:rPr>
                <w:sz w:val="18"/>
                <w:szCs w:val="18"/>
              </w:rPr>
              <w:t>2,448.2</w:t>
            </w:r>
          </w:p>
        </w:tc>
        <w:tc>
          <w:tcPr>
            <w:tcW w:w="765" w:type="pct"/>
            <w:tcBorders>
              <w:top w:val="nil"/>
              <w:left w:val="nil"/>
              <w:bottom w:val="single" w:sz="8" w:space="0" w:color="4D446C"/>
              <w:right w:val="nil"/>
            </w:tcBorders>
            <w:shd w:val="clear" w:color="auto" w:fill="auto"/>
            <w:noWrap/>
            <w:hideMark/>
          </w:tcPr>
          <w:p w14:paraId="0652209F" w14:textId="4B54DC10" w:rsidR="004563C0" w:rsidRPr="006C7B74" w:rsidRDefault="004563C0" w:rsidP="004563C0">
            <w:pPr>
              <w:jc w:val="center"/>
              <w:rPr>
                <w:rFonts w:ascii="Calibri" w:hAnsi="Calibri" w:cs="Calibri"/>
                <w:color w:val="363534"/>
                <w:sz w:val="18"/>
                <w:szCs w:val="18"/>
                <w:lang w:eastAsia="en-AU"/>
              </w:rPr>
            </w:pPr>
            <w:r w:rsidRPr="006C7B74">
              <w:rPr>
                <w:sz w:val="18"/>
                <w:szCs w:val="18"/>
              </w:rPr>
              <w:t>469.6</w:t>
            </w:r>
          </w:p>
        </w:tc>
        <w:tc>
          <w:tcPr>
            <w:tcW w:w="831" w:type="pct"/>
            <w:tcBorders>
              <w:top w:val="nil"/>
              <w:left w:val="nil"/>
              <w:bottom w:val="single" w:sz="8" w:space="0" w:color="4D446C"/>
              <w:right w:val="nil"/>
            </w:tcBorders>
            <w:shd w:val="clear" w:color="auto" w:fill="auto"/>
            <w:noWrap/>
            <w:hideMark/>
          </w:tcPr>
          <w:p w14:paraId="17BA36E6" w14:textId="118B41E9" w:rsidR="004563C0" w:rsidRPr="006C7B74" w:rsidRDefault="004563C0" w:rsidP="004563C0">
            <w:pPr>
              <w:jc w:val="center"/>
              <w:rPr>
                <w:rFonts w:ascii="Calibri" w:hAnsi="Calibri" w:cs="Calibri"/>
                <w:color w:val="363534"/>
                <w:sz w:val="18"/>
                <w:szCs w:val="18"/>
                <w:lang w:eastAsia="en-AU"/>
              </w:rPr>
            </w:pPr>
            <w:r w:rsidRPr="006C7B74">
              <w:rPr>
                <w:sz w:val="18"/>
                <w:szCs w:val="18"/>
              </w:rPr>
              <w:t>0.0</w:t>
            </w:r>
          </w:p>
        </w:tc>
        <w:tc>
          <w:tcPr>
            <w:tcW w:w="1063" w:type="pct"/>
            <w:tcBorders>
              <w:top w:val="nil"/>
              <w:left w:val="nil"/>
              <w:bottom w:val="single" w:sz="8" w:space="0" w:color="4D446C"/>
              <w:right w:val="nil"/>
            </w:tcBorders>
            <w:shd w:val="clear" w:color="auto" w:fill="auto"/>
            <w:noWrap/>
            <w:hideMark/>
          </w:tcPr>
          <w:p w14:paraId="5DD8E5CD" w14:textId="266C30EF" w:rsidR="004563C0" w:rsidRPr="006C7B74" w:rsidRDefault="004563C0" w:rsidP="004563C0">
            <w:pPr>
              <w:jc w:val="center"/>
              <w:rPr>
                <w:rFonts w:ascii="Calibri" w:hAnsi="Calibri" w:cs="Calibri"/>
                <w:color w:val="363534"/>
                <w:sz w:val="18"/>
                <w:szCs w:val="18"/>
                <w:lang w:eastAsia="en-AU"/>
              </w:rPr>
            </w:pPr>
            <w:r w:rsidRPr="006C7B74">
              <w:rPr>
                <w:sz w:val="18"/>
                <w:szCs w:val="18"/>
              </w:rPr>
              <w:t>469.6</w:t>
            </w:r>
          </w:p>
        </w:tc>
      </w:tr>
      <w:tr w:rsidR="004563C0" w:rsidRPr="006C7B74" w14:paraId="56458588" w14:textId="77777777" w:rsidTr="006C7B74">
        <w:trPr>
          <w:trHeight w:val="315"/>
        </w:trPr>
        <w:tc>
          <w:tcPr>
            <w:tcW w:w="1406" w:type="pct"/>
            <w:tcBorders>
              <w:top w:val="nil"/>
              <w:left w:val="nil"/>
              <w:bottom w:val="single" w:sz="8" w:space="0" w:color="4D446C"/>
              <w:right w:val="nil"/>
            </w:tcBorders>
            <w:shd w:val="clear" w:color="auto" w:fill="auto"/>
            <w:noWrap/>
            <w:vAlign w:val="center"/>
            <w:hideMark/>
          </w:tcPr>
          <w:p w14:paraId="200C222C" w14:textId="77777777" w:rsidR="004563C0" w:rsidRPr="006C7B74" w:rsidRDefault="004563C0" w:rsidP="004563C0">
            <w:pPr>
              <w:rPr>
                <w:rFonts w:ascii="Calibri" w:hAnsi="Calibri" w:cs="Calibri"/>
                <w:color w:val="000000"/>
                <w:sz w:val="18"/>
                <w:szCs w:val="18"/>
                <w:lang w:eastAsia="en-AU"/>
              </w:rPr>
            </w:pPr>
            <w:r w:rsidRPr="006C7B74">
              <w:rPr>
                <w:rFonts w:ascii="Calibri" w:hAnsi="Calibri" w:cs="Calibri"/>
                <w:color w:val="000000"/>
                <w:sz w:val="18"/>
                <w:szCs w:val="18"/>
                <w:lang w:eastAsia="en-AU"/>
              </w:rPr>
              <w:t>Kingston</w:t>
            </w:r>
          </w:p>
        </w:tc>
        <w:tc>
          <w:tcPr>
            <w:tcW w:w="935" w:type="pct"/>
            <w:tcBorders>
              <w:top w:val="nil"/>
              <w:left w:val="nil"/>
              <w:bottom w:val="single" w:sz="8" w:space="0" w:color="4D446C"/>
              <w:right w:val="nil"/>
            </w:tcBorders>
            <w:shd w:val="clear" w:color="auto" w:fill="auto"/>
            <w:noWrap/>
            <w:hideMark/>
          </w:tcPr>
          <w:p w14:paraId="0C87B69F" w14:textId="1F9DF786" w:rsidR="004563C0" w:rsidRPr="006C7B74" w:rsidRDefault="004563C0" w:rsidP="004563C0">
            <w:pPr>
              <w:jc w:val="center"/>
              <w:rPr>
                <w:rFonts w:ascii="Calibri" w:hAnsi="Calibri" w:cs="Calibri"/>
                <w:color w:val="363534"/>
                <w:sz w:val="18"/>
                <w:szCs w:val="18"/>
                <w:lang w:eastAsia="en-AU"/>
              </w:rPr>
            </w:pPr>
            <w:r w:rsidRPr="006C7B74">
              <w:rPr>
                <w:sz w:val="18"/>
                <w:szCs w:val="18"/>
              </w:rPr>
              <w:t>1,217.3</w:t>
            </w:r>
          </w:p>
        </w:tc>
        <w:tc>
          <w:tcPr>
            <w:tcW w:w="765" w:type="pct"/>
            <w:tcBorders>
              <w:top w:val="nil"/>
              <w:left w:val="nil"/>
              <w:bottom w:val="single" w:sz="8" w:space="0" w:color="4D446C"/>
              <w:right w:val="nil"/>
            </w:tcBorders>
            <w:shd w:val="clear" w:color="auto" w:fill="auto"/>
            <w:noWrap/>
            <w:hideMark/>
          </w:tcPr>
          <w:p w14:paraId="4D75B3EC" w14:textId="0A2D9A16" w:rsidR="004563C0" w:rsidRPr="006C7B74" w:rsidRDefault="004563C0" w:rsidP="004563C0">
            <w:pPr>
              <w:jc w:val="center"/>
              <w:rPr>
                <w:rFonts w:ascii="Calibri" w:hAnsi="Calibri" w:cs="Calibri"/>
                <w:color w:val="363534"/>
                <w:sz w:val="18"/>
                <w:szCs w:val="18"/>
                <w:lang w:eastAsia="en-AU"/>
              </w:rPr>
            </w:pPr>
            <w:r w:rsidRPr="006C7B74">
              <w:rPr>
                <w:sz w:val="18"/>
                <w:szCs w:val="18"/>
              </w:rPr>
              <w:t>75.9</w:t>
            </w:r>
          </w:p>
        </w:tc>
        <w:tc>
          <w:tcPr>
            <w:tcW w:w="831" w:type="pct"/>
            <w:tcBorders>
              <w:top w:val="nil"/>
              <w:left w:val="nil"/>
              <w:bottom w:val="single" w:sz="8" w:space="0" w:color="4D446C"/>
              <w:right w:val="nil"/>
            </w:tcBorders>
            <w:shd w:val="clear" w:color="auto" w:fill="auto"/>
            <w:noWrap/>
            <w:hideMark/>
          </w:tcPr>
          <w:p w14:paraId="37844D7C" w14:textId="127CFFA2" w:rsidR="004563C0" w:rsidRPr="006C7B74" w:rsidRDefault="004563C0" w:rsidP="004563C0">
            <w:pPr>
              <w:jc w:val="center"/>
              <w:rPr>
                <w:rFonts w:ascii="Calibri" w:hAnsi="Calibri" w:cs="Calibri"/>
                <w:color w:val="363534"/>
                <w:sz w:val="18"/>
                <w:szCs w:val="18"/>
                <w:lang w:eastAsia="en-AU"/>
              </w:rPr>
            </w:pPr>
            <w:r w:rsidRPr="006C7B74">
              <w:rPr>
                <w:sz w:val="18"/>
                <w:szCs w:val="18"/>
              </w:rPr>
              <w:t>0.0</w:t>
            </w:r>
          </w:p>
        </w:tc>
        <w:tc>
          <w:tcPr>
            <w:tcW w:w="1063" w:type="pct"/>
            <w:tcBorders>
              <w:top w:val="nil"/>
              <w:left w:val="nil"/>
              <w:bottom w:val="single" w:sz="8" w:space="0" w:color="4D446C"/>
              <w:right w:val="nil"/>
            </w:tcBorders>
            <w:shd w:val="clear" w:color="auto" w:fill="auto"/>
            <w:noWrap/>
            <w:hideMark/>
          </w:tcPr>
          <w:p w14:paraId="699D6556" w14:textId="6067A1D2" w:rsidR="004563C0" w:rsidRPr="006C7B74" w:rsidRDefault="004563C0" w:rsidP="004563C0">
            <w:pPr>
              <w:jc w:val="center"/>
              <w:rPr>
                <w:rFonts w:ascii="Calibri" w:hAnsi="Calibri" w:cs="Calibri"/>
                <w:color w:val="363534"/>
                <w:sz w:val="18"/>
                <w:szCs w:val="18"/>
                <w:lang w:eastAsia="en-AU"/>
              </w:rPr>
            </w:pPr>
            <w:r w:rsidRPr="006C7B74">
              <w:rPr>
                <w:sz w:val="18"/>
                <w:szCs w:val="18"/>
              </w:rPr>
              <w:t>75.9</w:t>
            </w:r>
          </w:p>
        </w:tc>
      </w:tr>
      <w:tr w:rsidR="004563C0" w:rsidRPr="006C7B74" w14:paraId="6B53DFA4" w14:textId="77777777" w:rsidTr="006C7B74">
        <w:trPr>
          <w:trHeight w:val="315"/>
        </w:trPr>
        <w:tc>
          <w:tcPr>
            <w:tcW w:w="1406" w:type="pct"/>
            <w:tcBorders>
              <w:top w:val="nil"/>
              <w:left w:val="nil"/>
              <w:bottom w:val="single" w:sz="8" w:space="0" w:color="4D446C"/>
              <w:right w:val="nil"/>
            </w:tcBorders>
            <w:shd w:val="clear" w:color="auto" w:fill="auto"/>
            <w:noWrap/>
            <w:vAlign w:val="center"/>
            <w:hideMark/>
          </w:tcPr>
          <w:p w14:paraId="4420A4D2" w14:textId="77777777" w:rsidR="004563C0" w:rsidRPr="006C7B74" w:rsidRDefault="004563C0" w:rsidP="004563C0">
            <w:pPr>
              <w:rPr>
                <w:rFonts w:ascii="Calibri" w:hAnsi="Calibri" w:cs="Calibri"/>
                <w:color w:val="000000"/>
                <w:sz w:val="18"/>
                <w:szCs w:val="18"/>
                <w:lang w:eastAsia="en-AU"/>
              </w:rPr>
            </w:pPr>
            <w:r w:rsidRPr="006C7B74">
              <w:rPr>
                <w:rFonts w:ascii="Calibri" w:hAnsi="Calibri" w:cs="Calibri"/>
                <w:color w:val="000000"/>
                <w:sz w:val="18"/>
                <w:szCs w:val="18"/>
                <w:lang w:eastAsia="en-AU"/>
              </w:rPr>
              <w:t>Mornington Peninsula</w:t>
            </w:r>
          </w:p>
        </w:tc>
        <w:tc>
          <w:tcPr>
            <w:tcW w:w="935" w:type="pct"/>
            <w:tcBorders>
              <w:top w:val="nil"/>
              <w:left w:val="nil"/>
              <w:bottom w:val="single" w:sz="8" w:space="0" w:color="4D446C"/>
              <w:right w:val="nil"/>
            </w:tcBorders>
            <w:shd w:val="clear" w:color="auto" w:fill="auto"/>
            <w:noWrap/>
            <w:hideMark/>
          </w:tcPr>
          <w:p w14:paraId="335FF424" w14:textId="02B7E96F" w:rsidR="004563C0" w:rsidRPr="006C7B74" w:rsidRDefault="004563C0" w:rsidP="004563C0">
            <w:pPr>
              <w:jc w:val="center"/>
              <w:rPr>
                <w:rFonts w:ascii="Calibri" w:hAnsi="Calibri" w:cs="Calibri"/>
                <w:color w:val="363534"/>
                <w:sz w:val="18"/>
                <w:szCs w:val="18"/>
                <w:lang w:eastAsia="en-AU"/>
              </w:rPr>
            </w:pPr>
            <w:r w:rsidRPr="006C7B74">
              <w:rPr>
                <w:sz w:val="18"/>
                <w:szCs w:val="18"/>
              </w:rPr>
              <w:t>2,184.8</w:t>
            </w:r>
          </w:p>
        </w:tc>
        <w:tc>
          <w:tcPr>
            <w:tcW w:w="765" w:type="pct"/>
            <w:tcBorders>
              <w:top w:val="nil"/>
              <w:left w:val="nil"/>
              <w:bottom w:val="single" w:sz="8" w:space="0" w:color="4D446C"/>
              <w:right w:val="nil"/>
            </w:tcBorders>
            <w:shd w:val="clear" w:color="auto" w:fill="auto"/>
            <w:noWrap/>
            <w:hideMark/>
          </w:tcPr>
          <w:p w14:paraId="0325D97B" w14:textId="6482E944" w:rsidR="004563C0" w:rsidRPr="006C7B74" w:rsidRDefault="004563C0" w:rsidP="004563C0">
            <w:pPr>
              <w:jc w:val="center"/>
              <w:rPr>
                <w:rFonts w:ascii="Calibri" w:hAnsi="Calibri" w:cs="Calibri"/>
                <w:color w:val="363534"/>
                <w:sz w:val="18"/>
                <w:szCs w:val="18"/>
                <w:lang w:eastAsia="en-AU"/>
              </w:rPr>
            </w:pPr>
            <w:r w:rsidRPr="006C7B74">
              <w:rPr>
                <w:sz w:val="18"/>
                <w:szCs w:val="18"/>
              </w:rPr>
              <w:t>1,027.7</w:t>
            </w:r>
          </w:p>
        </w:tc>
        <w:tc>
          <w:tcPr>
            <w:tcW w:w="831" w:type="pct"/>
            <w:tcBorders>
              <w:top w:val="nil"/>
              <w:left w:val="nil"/>
              <w:bottom w:val="single" w:sz="8" w:space="0" w:color="4D446C"/>
              <w:right w:val="nil"/>
            </w:tcBorders>
            <w:shd w:val="clear" w:color="auto" w:fill="auto"/>
            <w:noWrap/>
            <w:hideMark/>
          </w:tcPr>
          <w:p w14:paraId="5E14F356" w14:textId="0D3BBA6A" w:rsidR="004563C0" w:rsidRPr="006C7B74" w:rsidRDefault="004563C0" w:rsidP="004563C0">
            <w:pPr>
              <w:jc w:val="center"/>
              <w:rPr>
                <w:rFonts w:ascii="Calibri" w:hAnsi="Calibri" w:cs="Calibri"/>
                <w:color w:val="363534"/>
                <w:sz w:val="18"/>
                <w:szCs w:val="18"/>
                <w:lang w:eastAsia="en-AU"/>
              </w:rPr>
            </w:pPr>
            <w:r w:rsidRPr="006C7B74">
              <w:rPr>
                <w:sz w:val="18"/>
                <w:szCs w:val="18"/>
              </w:rPr>
              <w:t>0.0</w:t>
            </w:r>
          </w:p>
        </w:tc>
        <w:tc>
          <w:tcPr>
            <w:tcW w:w="1063" w:type="pct"/>
            <w:tcBorders>
              <w:top w:val="nil"/>
              <w:left w:val="nil"/>
              <w:bottom w:val="single" w:sz="8" w:space="0" w:color="4D446C"/>
              <w:right w:val="nil"/>
            </w:tcBorders>
            <w:shd w:val="clear" w:color="auto" w:fill="auto"/>
            <w:noWrap/>
            <w:hideMark/>
          </w:tcPr>
          <w:p w14:paraId="64C8182A" w14:textId="476B1D6B" w:rsidR="004563C0" w:rsidRPr="006C7B74" w:rsidRDefault="004563C0" w:rsidP="004563C0">
            <w:pPr>
              <w:jc w:val="center"/>
              <w:rPr>
                <w:rFonts w:ascii="Calibri" w:hAnsi="Calibri" w:cs="Calibri"/>
                <w:color w:val="363534"/>
                <w:sz w:val="18"/>
                <w:szCs w:val="18"/>
                <w:lang w:eastAsia="en-AU"/>
              </w:rPr>
            </w:pPr>
            <w:r w:rsidRPr="006C7B74">
              <w:rPr>
                <w:sz w:val="18"/>
                <w:szCs w:val="18"/>
              </w:rPr>
              <w:t>1,027.7</w:t>
            </w:r>
          </w:p>
        </w:tc>
      </w:tr>
      <w:tr w:rsidR="004563C0" w:rsidRPr="006C7B74" w14:paraId="6D6674F0" w14:textId="77777777" w:rsidTr="006C7B74">
        <w:trPr>
          <w:trHeight w:val="315"/>
        </w:trPr>
        <w:tc>
          <w:tcPr>
            <w:tcW w:w="1406" w:type="pct"/>
            <w:tcBorders>
              <w:top w:val="single" w:sz="8" w:space="0" w:color="4D446C"/>
              <w:left w:val="nil"/>
              <w:bottom w:val="single" w:sz="4" w:space="0" w:color="auto"/>
              <w:right w:val="nil"/>
            </w:tcBorders>
            <w:shd w:val="clear" w:color="auto" w:fill="auto"/>
            <w:noWrap/>
            <w:vAlign w:val="center"/>
            <w:hideMark/>
          </w:tcPr>
          <w:p w14:paraId="0BB7955C" w14:textId="77777777" w:rsidR="004563C0" w:rsidRPr="006C7B74" w:rsidRDefault="004563C0" w:rsidP="004563C0">
            <w:pPr>
              <w:rPr>
                <w:rFonts w:ascii="Calibri" w:hAnsi="Calibri" w:cs="Calibri"/>
                <w:b/>
                <w:bCs/>
                <w:color w:val="000000"/>
                <w:sz w:val="18"/>
                <w:szCs w:val="18"/>
                <w:lang w:eastAsia="en-AU"/>
              </w:rPr>
            </w:pPr>
            <w:r w:rsidRPr="006C7B74">
              <w:rPr>
                <w:rFonts w:ascii="Calibri" w:hAnsi="Calibri" w:cs="Calibri"/>
                <w:b/>
                <w:bCs/>
                <w:color w:val="000000"/>
                <w:sz w:val="18"/>
                <w:szCs w:val="18"/>
                <w:lang w:eastAsia="en-AU"/>
              </w:rPr>
              <w:t>Southern Region</w:t>
            </w:r>
          </w:p>
        </w:tc>
        <w:tc>
          <w:tcPr>
            <w:tcW w:w="935" w:type="pct"/>
            <w:tcBorders>
              <w:top w:val="single" w:sz="8" w:space="0" w:color="4D446C"/>
              <w:left w:val="nil"/>
              <w:bottom w:val="single" w:sz="4" w:space="0" w:color="auto"/>
              <w:right w:val="nil"/>
            </w:tcBorders>
            <w:shd w:val="clear" w:color="auto" w:fill="auto"/>
            <w:noWrap/>
            <w:hideMark/>
          </w:tcPr>
          <w:p w14:paraId="1CE9AACA" w14:textId="73547273" w:rsidR="004563C0" w:rsidRPr="006C7B74" w:rsidRDefault="004563C0" w:rsidP="004563C0">
            <w:pPr>
              <w:jc w:val="center"/>
              <w:rPr>
                <w:rFonts w:ascii="Calibri" w:hAnsi="Calibri" w:cs="Calibri"/>
                <w:b/>
                <w:color w:val="000000"/>
                <w:sz w:val="18"/>
                <w:szCs w:val="18"/>
                <w:lang w:eastAsia="en-AU"/>
              </w:rPr>
            </w:pPr>
            <w:r w:rsidRPr="006C7B74">
              <w:rPr>
                <w:b/>
                <w:sz w:val="18"/>
                <w:szCs w:val="18"/>
              </w:rPr>
              <w:t>7,270.3</w:t>
            </w:r>
          </w:p>
        </w:tc>
        <w:tc>
          <w:tcPr>
            <w:tcW w:w="765" w:type="pct"/>
            <w:tcBorders>
              <w:top w:val="single" w:sz="8" w:space="0" w:color="4D446C"/>
              <w:left w:val="nil"/>
              <w:bottom w:val="single" w:sz="4" w:space="0" w:color="auto"/>
              <w:right w:val="nil"/>
            </w:tcBorders>
            <w:shd w:val="clear" w:color="auto" w:fill="auto"/>
            <w:noWrap/>
            <w:hideMark/>
          </w:tcPr>
          <w:p w14:paraId="4B49BBFB" w14:textId="09B7AB27" w:rsidR="004563C0" w:rsidRPr="006C7B74" w:rsidRDefault="004563C0" w:rsidP="004563C0">
            <w:pPr>
              <w:jc w:val="center"/>
              <w:rPr>
                <w:rFonts w:ascii="Calibri" w:hAnsi="Calibri"/>
                <w:b/>
                <w:color w:val="363534"/>
                <w:sz w:val="18"/>
                <w:szCs w:val="18"/>
              </w:rPr>
            </w:pPr>
            <w:r w:rsidRPr="006C7B74">
              <w:rPr>
                <w:b/>
                <w:sz w:val="18"/>
                <w:szCs w:val="18"/>
              </w:rPr>
              <w:t>2,337.5</w:t>
            </w:r>
          </w:p>
        </w:tc>
        <w:tc>
          <w:tcPr>
            <w:tcW w:w="831" w:type="pct"/>
            <w:tcBorders>
              <w:top w:val="single" w:sz="8" w:space="0" w:color="4D446C"/>
              <w:left w:val="nil"/>
              <w:bottom w:val="single" w:sz="4" w:space="0" w:color="auto"/>
              <w:right w:val="nil"/>
            </w:tcBorders>
            <w:shd w:val="clear" w:color="auto" w:fill="auto"/>
            <w:noWrap/>
            <w:hideMark/>
          </w:tcPr>
          <w:p w14:paraId="66BD79A7" w14:textId="02CFB868" w:rsidR="004563C0" w:rsidRPr="006C7B74" w:rsidRDefault="004563C0" w:rsidP="004563C0">
            <w:pPr>
              <w:jc w:val="center"/>
              <w:rPr>
                <w:rFonts w:ascii="Calibri" w:hAnsi="Calibri"/>
                <w:b/>
                <w:color w:val="363534"/>
                <w:sz w:val="18"/>
              </w:rPr>
            </w:pPr>
            <w:r w:rsidRPr="006C7B74">
              <w:rPr>
                <w:b/>
                <w:sz w:val="18"/>
                <w:szCs w:val="18"/>
              </w:rPr>
              <w:t>1,183.5</w:t>
            </w:r>
          </w:p>
        </w:tc>
        <w:tc>
          <w:tcPr>
            <w:tcW w:w="1063" w:type="pct"/>
            <w:tcBorders>
              <w:top w:val="single" w:sz="8" w:space="0" w:color="4D446C"/>
              <w:left w:val="nil"/>
              <w:bottom w:val="single" w:sz="4" w:space="0" w:color="auto"/>
              <w:right w:val="nil"/>
            </w:tcBorders>
            <w:shd w:val="clear" w:color="auto" w:fill="auto"/>
            <w:noWrap/>
            <w:hideMark/>
          </w:tcPr>
          <w:p w14:paraId="0DF0E3F9" w14:textId="75E22F7E" w:rsidR="004563C0" w:rsidRPr="006C7B74" w:rsidRDefault="004563C0" w:rsidP="004563C0">
            <w:pPr>
              <w:jc w:val="center"/>
              <w:rPr>
                <w:rFonts w:ascii="Calibri" w:hAnsi="Calibri"/>
                <w:b/>
                <w:color w:val="363534"/>
                <w:sz w:val="18"/>
                <w:szCs w:val="18"/>
              </w:rPr>
            </w:pPr>
            <w:r w:rsidRPr="006C7B74">
              <w:rPr>
                <w:b/>
                <w:sz w:val="18"/>
                <w:szCs w:val="18"/>
              </w:rPr>
              <w:t>3,521.0</w:t>
            </w:r>
          </w:p>
        </w:tc>
      </w:tr>
      <w:tr w:rsidR="004563C0" w:rsidRPr="006C7B74" w14:paraId="07A7DBF8" w14:textId="77777777" w:rsidTr="006C7B74">
        <w:trPr>
          <w:trHeight w:val="315"/>
        </w:trPr>
        <w:tc>
          <w:tcPr>
            <w:tcW w:w="1406" w:type="pct"/>
            <w:tcBorders>
              <w:top w:val="single" w:sz="4" w:space="0" w:color="auto"/>
              <w:left w:val="nil"/>
              <w:bottom w:val="single" w:sz="8" w:space="0" w:color="4D446C"/>
              <w:right w:val="nil"/>
            </w:tcBorders>
            <w:shd w:val="clear" w:color="auto" w:fill="auto"/>
            <w:noWrap/>
            <w:vAlign w:val="center"/>
            <w:hideMark/>
          </w:tcPr>
          <w:p w14:paraId="0EA0FED8" w14:textId="3E690BB1" w:rsidR="004563C0" w:rsidRPr="006C7B74" w:rsidRDefault="004563C0" w:rsidP="004563C0">
            <w:pPr>
              <w:rPr>
                <w:rFonts w:ascii="Calibri" w:hAnsi="Calibri" w:cs="Calibri"/>
                <w:i/>
                <w:iCs/>
                <w:color w:val="000000"/>
                <w:sz w:val="18"/>
                <w:szCs w:val="18"/>
                <w:lang w:eastAsia="en-AU"/>
              </w:rPr>
            </w:pPr>
            <w:r w:rsidRPr="006C7B74">
              <w:rPr>
                <w:rFonts w:ascii="Calibri" w:hAnsi="Calibri" w:cs="Calibri"/>
                <w:i/>
                <w:iCs/>
                <w:color w:val="000000"/>
                <w:sz w:val="18"/>
                <w:szCs w:val="18"/>
                <w:lang w:eastAsia="en-AU"/>
              </w:rPr>
              <w:t>Southern SSIP</w:t>
            </w:r>
          </w:p>
        </w:tc>
        <w:tc>
          <w:tcPr>
            <w:tcW w:w="935" w:type="pct"/>
            <w:tcBorders>
              <w:top w:val="single" w:sz="4" w:space="0" w:color="auto"/>
              <w:left w:val="nil"/>
              <w:bottom w:val="single" w:sz="8" w:space="0" w:color="4D446C"/>
              <w:right w:val="nil"/>
            </w:tcBorders>
            <w:shd w:val="clear" w:color="auto" w:fill="auto"/>
            <w:noWrap/>
            <w:hideMark/>
          </w:tcPr>
          <w:p w14:paraId="515D6E6C" w14:textId="0144DA15" w:rsidR="004563C0" w:rsidRPr="006C7B74" w:rsidRDefault="004563C0" w:rsidP="004563C0">
            <w:pPr>
              <w:jc w:val="center"/>
              <w:rPr>
                <w:rFonts w:ascii="Calibri" w:hAnsi="Calibri" w:cs="Calibri"/>
                <w:i/>
                <w:color w:val="363534"/>
                <w:sz w:val="18"/>
                <w:szCs w:val="18"/>
                <w:lang w:eastAsia="en-AU"/>
              </w:rPr>
            </w:pPr>
            <w:r w:rsidRPr="006C7B74">
              <w:rPr>
                <w:i/>
                <w:sz w:val="18"/>
                <w:szCs w:val="18"/>
              </w:rPr>
              <w:t>2,454.4</w:t>
            </w:r>
          </w:p>
        </w:tc>
        <w:tc>
          <w:tcPr>
            <w:tcW w:w="765" w:type="pct"/>
            <w:tcBorders>
              <w:top w:val="single" w:sz="4" w:space="0" w:color="auto"/>
              <w:left w:val="nil"/>
              <w:bottom w:val="single" w:sz="8" w:space="0" w:color="4D446C"/>
              <w:right w:val="nil"/>
            </w:tcBorders>
            <w:shd w:val="clear" w:color="auto" w:fill="auto"/>
            <w:noWrap/>
            <w:hideMark/>
          </w:tcPr>
          <w:p w14:paraId="086209CB" w14:textId="496F11FF" w:rsidR="004563C0" w:rsidRPr="006C7B74" w:rsidRDefault="004563C0" w:rsidP="004563C0">
            <w:pPr>
              <w:jc w:val="center"/>
              <w:rPr>
                <w:rFonts w:ascii="Calibri" w:hAnsi="Calibri" w:cs="Calibri"/>
                <w:i/>
                <w:color w:val="363534"/>
                <w:sz w:val="18"/>
                <w:szCs w:val="18"/>
                <w:lang w:eastAsia="en-AU"/>
              </w:rPr>
            </w:pPr>
            <w:r w:rsidRPr="006C7B74">
              <w:rPr>
                <w:i/>
                <w:sz w:val="18"/>
                <w:szCs w:val="18"/>
              </w:rPr>
              <w:t>502.6</w:t>
            </w:r>
          </w:p>
        </w:tc>
        <w:tc>
          <w:tcPr>
            <w:tcW w:w="831" w:type="pct"/>
            <w:tcBorders>
              <w:top w:val="single" w:sz="4" w:space="0" w:color="auto"/>
              <w:left w:val="nil"/>
              <w:bottom w:val="single" w:sz="8" w:space="0" w:color="4D446C"/>
              <w:right w:val="nil"/>
            </w:tcBorders>
            <w:shd w:val="clear" w:color="auto" w:fill="auto"/>
            <w:noWrap/>
            <w:hideMark/>
          </w:tcPr>
          <w:p w14:paraId="341E5B15" w14:textId="45125095" w:rsidR="004563C0" w:rsidRPr="006C7B74" w:rsidRDefault="004563C0" w:rsidP="004563C0">
            <w:pPr>
              <w:jc w:val="center"/>
              <w:rPr>
                <w:rFonts w:ascii="Calibri" w:hAnsi="Calibri" w:cs="Calibri"/>
                <w:i/>
                <w:color w:val="363534"/>
                <w:sz w:val="18"/>
                <w:szCs w:val="18"/>
                <w:lang w:eastAsia="en-AU"/>
              </w:rPr>
            </w:pPr>
            <w:r w:rsidRPr="006C7B74">
              <w:rPr>
                <w:i/>
                <w:sz w:val="18"/>
                <w:szCs w:val="18"/>
              </w:rPr>
              <w:t>0.0</w:t>
            </w:r>
          </w:p>
        </w:tc>
        <w:tc>
          <w:tcPr>
            <w:tcW w:w="1063" w:type="pct"/>
            <w:tcBorders>
              <w:top w:val="single" w:sz="4" w:space="0" w:color="auto"/>
              <w:left w:val="nil"/>
              <w:bottom w:val="single" w:sz="8" w:space="0" w:color="4D446C"/>
              <w:right w:val="nil"/>
            </w:tcBorders>
            <w:shd w:val="clear" w:color="auto" w:fill="auto"/>
            <w:noWrap/>
            <w:hideMark/>
          </w:tcPr>
          <w:p w14:paraId="0B990029" w14:textId="6AAA4D7A" w:rsidR="004563C0" w:rsidRPr="006C7B74" w:rsidRDefault="004563C0" w:rsidP="004563C0">
            <w:pPr>
              <w:jc w:val="center"/>
              <w:rPr>
                <w:rFonts w:ascii="Calibri" w:hAnsi="Calibri"/>
                <w:i/>
                <w:color w:val="00B050"/>
                <w:sz w:val="18"/>
                <w:szCs w:val="18"/>
              </w:rPr>
            </w:pPr>
            <w:r w:rsidRPr="006C7B74">
              <w:rPr>
                <w:i/>
                <w:sz w:val="18"/>
                <w:szCs w:val="18"/>
              </w:rPr>
              <w:t>502.6</w:t>
            </w:r>
          </w:p>
        </w:tc>
      </w:tr>
      <w:tr w:rsidR="004563C0" w:rsidRPr="006C7B74" w14:paraId="7C4360EF" w14:textId="77777777" w:rsidTr="006C7B74">
        <w:trPr>
          <w:trHeight w:val="315"/>
        </w:trPr>
        <w:tc>
          <w:tcPr>
            <w:tcW w:w="1406" w:type="pct"/>
            <w:tcBorders>
              <w:top w:val="nil"/>
              <w:left w:val="nil"/>
              <w:bottom w:val="single" w:sz="8" w:space="0" w:color="4D446C"/>
              <w:right w:val="nil"/>
            </w:tcBorders>
            <w:shd w:val="clear" w:color="auto" w:fill="auto"/>
            <w:noWrap/>
            <w:vAlign w:val="center"/>
            <w:hideMark/>
          </w:tcPr>
          <w:p w14:paraId="4DAE7FFA" w14:textId="523E1F36" w:rsidR="004563C0" w:rsidRPr="006C7B74" w:rsidRDefault="004563C0" w:rsidP="004563C0">
            <w:pPr>
              <w:rPr>
                <w:rFonts w:ascii="Calibri" w:hAnsi="Calibri" w:cs="Calibri"/>
                <w:i/>
                <w:iCs/>
                <w:color w:val="000000"/>
                <w:sz w:val="18"/>
                <w:szCs w:val="18"/>
                <w:lang w:eastAsia="en-AU"/>
              </w:rPr>
            </w:pPr>
            <w:r w:rsidRPr="006C7B74">
              <w:rPr>
                <w:rFonts w:ascii="Calibri" w:hAnsi="Calibri" w:cs="Calibri"/>
                <w:i/>
                <w:iCs/>
                <w:color w:val="000000"/>
                <w:sz w:val="18"/>
                <w:szCs w:val="18"/>
                <w:lang w:eastAsia="en-AU"/>
              </w:rPr>
              <w:t>Officer-Pakenham SSIP</w:t>
            </w:r>
          </w:p>
        </w:tc>
        <w:tc>
          <w:tcPr>
            <w:tcW w:w="935" w:type="pct"/>
            <w:tcBorders>
              <w:top w:val="nil"/>
              <w:left w:val="nil"/>
              <w:bottom w:val="single" w:sz="8" w:space="0" w:color="4D446C"/>
              <w:right w:val="nil"/>
            </w:tcBorders>
            <w:shd w:val="clear" w:color="auto" w:fill="auto"/>
            <w:noWrap/>
            <w:hideMark/>
          </w:tcPr>
          <w:p w14:paraId="3A706D37" w14:textId="226B29FF" w:rsidR="004563C0" w:rsidRPr="006C7B74" w:rsidRDefault="004563C0" w:rsidP="004563C0">
            <w:pPr>
              <w:jc w:val="center"/>
              <w:rPr>
                <w:rFonts w:ascii="Calibri" w:hAnsi="Calibri" w:cs="Calibri"/>
                <w:i/>
                <w:color w:val="363534"/>
                <w:sz w:val="18"/>
                <w:szCs w:val="18"/>
                <w:lang w:eastAsia="en-AU"/>
              </w:rPr>
            </w:pPr>
            <w:r w:rsidRPr="006C7B74">
              <w:rPr>
                <w:i/>
                <w:sz w:val="18"/>
                <w:szCs w:val="18"/>
              </w:rPr>
              <w:t>317.7</w:t>
            </w:r>
          </w:p>
        </w:tc>
        <w:tc>
          <w:tcPr>
            <w:tcW w:w="765" w:type="pct"/>
            <w:tcBorders>
              <w:top w:val="nil"/>
              <w:left w:val="nil"/>
              <w:bottom w:val="single" w:sz="8" w:space="0" w:color="4D446C"/>
              <w:right w:val="nil"/>
            </w:tcBorders>
            <w:shd w:val="clear" w:color="auto" w:fill="auto"/>
            <w:noWrap/>
            <w:hideMark/>
          </w:tcPr>
          <w:p w14:paraId="061AB731" w14:textId="0436EBF7" w:rsidR="004563C0" w:rsidRPr="006C7B74" w:rsidRDefault="004563C0" w:rsidP="004563C0">
            <w:pPr>
              <w:jc w:val="center"/>
              <w:rPr>
                <w:rFonts w:ascii="Calibri" w:hAnsi="Calibri" w:cs="Calibri"/>
                <w:i/>
                <w:color w:val="363534"/>
                <w:sz w:val="18"/>
                <w:szCs w:val="18"/>
                <w:lang w:eastAsia="en-AU"/>
              </w:rPr>
            </w:pPr>
            <w:r w:rsidRPr="006C7B74">
              <w:rPr>
                <w:i/>
                <w:sz w:val="18"/>
                <w:szCs w:val="18"/>
              </w:rPr>
              <w:t>323.8</w:t>
            </w:r>
          </w:p>
        </w:tc>
        <w:tc>
          <w:tcPr>
            <w:tcW w:w="831" w:type="pct"/>
            <w:tcBorders>
              <w:top w:val="nil"/>
              <w:left w:val="nil"/>
              <w:bottom w:val="single" w:sz="8" w:space="0" w:color="4D446C"/>
              <w:right w:val="nil"/>
            </w:tcBorders>
            <w:shd w:val="clear" w:color="auto" w:fill="auto"/>
            <w:noWrap/>
            <w:hideMark/>
          </w:tcPr>
          <w:p w14:paraId="49F28EF8" w14:textId="4A070B6B" w:rsidR="004563C0" w:rsidRPr="006C7B74" w:rsidRDefault="004563C0" w:rsidP="004563C0">
            <w:pPr>
              <w:jc w:val="center"/>
              <w:rPr>
                <w:rFonts w:ascii="Calibri" w:hAnsi="Calibri" w:cs="Calibri"/>
                <w:i/>
                <w:color w:val="363534"/>
                <w:sz w:val="18"/>
                <w:szCs w:val="18"/>
                <w:lang w:eastAsia="en-AU"/>
              </w:rPr>
            </w:pPr>
            <w:r w:rsidRPr="006C7B74">
              <w:rPr>
                <w:i/>
                <w:sz w:val="18"/>
                <w:szCs w:val="18"/>
              </w:rPr>
              <w:t>938.3</w:t>
            </w:r>
          </w:p>
        </w:tc>
        <w:tc>
          <w:tcPr>
            <w:tcW w:w="1063" w:type="pct"/>
            <w:tcBorders>
              <w:top w:val="nil"/>
              <w:left w:val="nil"/>
              <w:bottom w:val="single" w:sz="8" w:space="0" w:color="4D446C"/>
              <w:right w:val="nil"/>
            </w:tcBorders>
            <w:shd w:val="clear" w:color="auto" w:fill="auto"/>
            <w:noWrap/>
            <w:hideMark/>
          </w:tcPr>
          <w:p w14:paraId="79639476" w14:textId="0B4DD38D" w:rsidR="004563C0" w:rsidRPr="006C7B74" w:rsidRDefault="004563C0" w:rsidP="004563C0">
            <w:pPr>
              <w:jc w:val="center"/>
              <w:rPr>
                <w:rFonts w:ascii="Calibri" w:hAnsi="Calibri" w:cs="Calibri"/>
                <w:i/>
                <w:color w:val="363534"/>
                <w:sz w:val="18"/>
                <w:szCs w:val="18"/>
                <w:lang w:eastAsia="en-AU"/>
              </w:rPr>
            </w:pPr>
            <w:r w:rsidRPr="006C7B74">
              <w:rPr>
                <w:i/>
                <w:sz w:val="18"/>
                <w:szCs w:val="18"/>
              </w:rPr>
              <w:t>1,262.1</w:t>
            </w:r>
          </w:p>
        </w:tc>
      </w:tr>
      <w:tr w:rsidR="004563C0" w:rsidRPr="006C7B74" w14:paraId="31AE39D9" w14:textId="77777777" w:rsidTr="006C7B74">
        <w:trPr>
          <w:trHeight w:val="315"/>
        </w:trPr>
        <w:tc>
          <w:tcPr>
            <w:tcW w:w="1406" w:type="pct"/>
            <w:tcBorders>
              <w:top w:val="nil"/>
              <w:left w:val="nil"/>
              <w:bottom w:val="single" w:sz="12" w:space="0" w:color="4D446C"/>
              <w:right w:val="nil"/>
            </w:tcBorders>
            <w:shd w:val="clear" w:color="auto" w:fill="auto"/>
            <w:noWrap/>
            <w:vAlign w:val="center"/>
            <w:hideMark/>
          </w:tcPr>
          <w:p w14:paraId="3FEAAA95" w14:textId="77777777" w:rsidR="004563C0" w:rsidRPr="006C7B74" w:rsidRDefault="004563C0" w:rsidP="004563C0">
            <w:pPr>
              <w:rPr>
                <w:rFonts w:ascii="Calibri" w:hAnsi="Calibri" w:cs="Calibri"/>
                <w:i/>
                <w:iCs/>
                <w:color w:val="000000"/>
                <w:sz w:val="18"/>
                <w:szCs w:val="18"/>
                <w:lang w:eastAsia="en-AU"/>
              </w:rPr>
            </w:pPr>
            <w:r w:rsidRPr="006C7B74">
              <w:rPr>
                <w:rFonts w:ascii="Calibri" w:hAnsi="Calibri" w:cs="Calibri"/>
                <w:i/>
                <w:iCs/>
                <w:color w:val="000000"/>
                <w:sz w:val="18"/>
                <w:szCs w:val="18"/>
                <w:lang w:eastAsia="en-AU"/>
              </w:rPr>
              <w:t>Hastings SSIP</w:t>
            </w:r>
          </w:p>
        </w:tc>
        <w:tc>
          <w:tcPr>
            <w:tcW w:w="935" w:type="pct"/>
            <w:tcBorders>
              <w:top w:val="nil"/>
              <w:left w:val="nil"/>
              <w:bottom w:val="single" w:sz="12" w:space="0" w:color="4D446C"/>
              <w:right w:val="nil"/>
            </w:tcBorders>
            <w:shd w:val="clear" w:color="auto" w:fill="auto"/>
            <w:noWrap/>
            <w:hideMark/>
          </w:tcPr>
          <w:p w14:paraId="289EF66A" w14:textId="43B98D3B" w:rsidR="004563C0" w:rsidRPr="006C7B74" w:rsidRDefault="004563C0" w:rsidP="004563C0">
            <w:pPr>
              <w:jc w:val="center"/>
              <w:rPr>
                <w:rFonts w:ascii="Calibri" w:hAnsi="Calibri" w:cs="Calibri"/>
                <w:i/>
                <w:color w:val="000000"/>
                <w:sz w:val="18"/>
                <w:szCs w:val="18"/>
                <w:lang w:eastAsia="en-AU"/>
              </w:rPr>
            </w:pPr>
            <w:r w:rsidRPr="006C7B74">
              <w:rPr>
                <w:i/>
                <w:sz w:val="18"/>
                <w:szCs w:val="18"/>
              </w:rPr>
              <w:t>814.1</w:t>
            </w:r>
          </w:p>
        </w:tc>
        <w:tc>
          <w:tcPr>
            <w:tcW w:w="765" w:type="pct"/>
            <w:tcBorders>
              <w:top w:val="nil"/>
              <w:left w:val="nil"/>
              <w:bottom w:val="single" w:sz="12" w:space="0" w:color="4D446C"/>
              <w:right w:val="nil"/>
            </w:tcBorders>
            <w:shd w:val="clear" w:color="auto" w:fill="auto"/>
            <w:noWrap/>
            <w:hideMark/>
          </w:tcPr>
          <w:p w14:paraId="756003A4" w14:textId="406BF570" w:rsidR="004563C0" w:rsidRPr="006C7B74" w:rsidRDefault="004563C0" w:rsidP="004563C0">
            <w:pPr>
              <w:jc w:val="center"/>
              <w:rPr>
                <w:rFonts w:ascii="Calibri" w:hAnsi="Calibri"/>
                <w:i/>
                <w:color w:val="363534"/>
                <w:sz w:val="18"/>
                <w:szCs w:val="18"/>
              </w:rPr>
            </w:pPr>
            <w:r w:rsidRPr="006C7B74">
              <w:rPr>
                <w:i/>
                <w:sz w:val="18"/>
                <w:szCs w:val="18"/>
              </w:rPr>
              <w:t>578.1</w:t>
            </w:r>
          </w:p>
        </w:tc>
        <w:tc>
          <w:tcPr>
            <w:tcW w:w="831" w:type="pct"/>
            <w:tcBorders>
              <w:top w:val="nil"/>
              <w:left w:val="nil"/>
              <w:bottom w:val="single" w:sz="12" w:space="0" w:color="4D446C"/>
              <w:right w:val="nil"/>
            </w:tcBorders>
            <w:shd w:val="clear" w:color="auto" w:fill="auto"/>
            <w:noWrap/>
            <w:hideMark/>
          </w:tcPr>
          <w:p w14:paraId="7F78A130" w14:textId="08B39DD6" w:rsidR="004563C0" w:rsidRPr="006C7B74" w:rsidRDefault="004563C0" w:rsidP="004563C0">
            <w:pPr>
              <w:jc w:val="center"/>
              <w:rPr>
                <w:rFonts w:ascii="Calibri" w:hAnsi="Calibri"/>
                <w:i/>
                <w:color w:val="363534"/>
                <w:sz w:val="18"/>
              </w:rPr>
            </w:pPr>
            <w:r w:rsidRPr="006C7B74">
              <w:rPr>
                <w:i/>
                <w:sz w:val="18"/>
                <w:szCs w:val="18"/>
              </w:rPr>
              <w:t>0.0</w:t>
            </w:r>
          </w:p>
        </w:tc>
        <w:tc>
          <w:tcPr>
            <w:tcW w:w="1063" w:type="pct"/>
            <w:tcBorders>
              <w:top w:val="nil"/>
              <w:left w:val="nil"/>
              <w:bottom w:val="single" w:sz="12" w:space="0" w:color="4D446C"/>
              <w:right w:val="nil"/>
            </w:tcBorders>
            <w:shd w:val="clear" w:color="auto" w:fill="auto"/>
            <w:noWrap/>
            <w:hideMark/>
          </w:tcPr>
          <w:p w14:paraId="51CC9CF5" w14:textId="6DBACD8B" w:rsidR="004563C0" w:rsidRPr="006C7B74" w:rsidRDefault="004563C0" w:rsidP="004563C0">
            <w:pPr>
              <w:jc w:val="center"/>
              <w:rPr>
                <w:rFonts w:ascii="Calibri" w:hAnsi="Calibri"/>
                <w:i/>
                <w:color w:val="363534"/>
                <w:sz w:val="18"/>
                <w:szCs w:val="18"/>
              </w:rPr>
            </w:pPr>
            <w:r w:rsidRPr="006C7B74">
              <w:rPr>
                <w:i/>
                <w:sz w:val="18"/>
                <w:szCs w:val="18"/>
              </w:rPr>
              <w:t>578.1</w:t>
            </w:r>
          </w:p>
        </w:tc>
      </w:tr>
    </w:tbl>
    <w:p w14:paraId="16E57478" w14:textId="3FF5B9AF" w:rsidR="00F96E2C" w:rsidRPr="006C7B74" w:rsidRDefault="00DC580D" w:rsidP="00DC580D">
      <w:pPr>
        <w:pStyle w:val="Quote"/>
        <w:rPr>
          <w:rFonts w:cstheme="minorHAnsi"/>
          <w:sz w:val="20"/>
          <w:szCs w:val="20"/>
        </w:rPr>
      </w:pPr>
      <w:r w:rsidRPr="006C7B74">
        <w:t>Source: Department of Environment, Land, Water and Planning, Urban Development Program – Melbourne Metropolitan Industrial 2018</w:t>
      </w:r>
      <w:r w:rsidR="001953FE" w:rsidRPr="006C7B74">
        <w:t xml:space="preserve"> and internal analysis</w:t>
      </w:r>
    </w:p>
    <w:p w14:paraId="0544E909" w14:textId="38BF8EAC" w:rsidR="002C57B1" w:rsidRPr="006C7B74" w:rsidRDefault="002C57B1" w:rsidP="002C57B1">
      <w:pPr>
        <w:spacing w:after="120"/>
        <w:rPr>
          <w:rFonts w:cstheme="minorHAnsi"/>
          <w:sz w:val="20"/>
          <w:szCs w:val="20"/>
        </w:rPr>
      </w:pPr>
      <w:r w:rsidRPr="006C7B74">
        <w:rPr>
          <w:rFonts w:cstheme="minorHAnsi"/>
          <w:sz w:val="20"/>
          <w:szCs w:val="20"/>
        </w:rPr>
        <w:t xml:space="preserve">Across the region there are approximately </w:t>
      </w:r>
      <w:r w:rsidR="00B35BBC" w:rsidRPr="006C7B74">
        <w:rPr>
          <w:rFonts w:cstheme="minorHAnsi"/>
          <w:sz w:val="20"/>
          <w:szCs w:val="20"/>
        </w:rPr>
        <w:t>3,520</w:t>
      </w:r>
      <w:r w:rsidR="002457BB" w:rsidRPr="006C7B74">
        <w:rPr>
          <w:rFonts w:cstheme="minorHAnsi"/>
          <w:sz w:val="20"/>
          <w:szCs w:val="20"/>
        </w:rPr>
        <w:t xml:space="preserve"> </w:t>
      </w:r>
      <w:r w:rsidRPr="006C7B74">
        <w:rPr>
          <w:rFonts w:cstheme="minorHAnsi"/>
          <w:sz w:val="20"/>
          <w:szCs w:val="20"/>
        </w:rPr>
        <w:t xml:space="preserve">hectares of vacant zoned and unzoned industrial land available for development, of which approximately </w:t>
      </w:r>
      <w:r w:rsidR="00B35BBC" w:rsidRPr="006C7B74">
        <w:rPr>
          <w:rFonts w:cstheme="minorHAnsi"/>
          <w:sz w:val="20"/>
          <w:szCs w:val="20"/>
        </w:rPr>
        <w:t>1,260</w:t>
      </w:r>
      <w:r w:rsidRPr="006C7B74">
        <w:rPr>
          <w:rFonts w:cstheme="minorHAnsi"/>
          <w:sz w:val="20"/>
          <w:szCs w:val="20"/>
        </w:rPr>
        <w:t xml:space="preserve"> hectares is located within the Officer-Pakenham SSIP, and approximately 1</w:t>
      </w:r>
      <w:r w:rsidR="00F91E6A" w:rsidRPr="006C7B74">
        <w:rPr>
          <w:rFonts w:cstheme="minorHAnsi"/>
          <w:sz w:val="20"/>
          <w:szCs w:val="20"/>
        </w:rPr>
        <w:t>,</w:t>
      </w:r>
      <w:r w:rsidRPr="006C7B74">
        <w:rPr>
          <w:rFonts w:cstheme="minorHAnsi"/>
          <w:sz w:val="20"/>
          <w:szCs w:val="20"/>
        </w:rPr>
        <w:t>080 hectares of zoned vacant land is available within the Southern and Hastings SSIPs. Beyond the SSIPs there is approximately</w:t>
      </w:r>
      <w:r w:rsidR="00460DCC" w:rsidRPr="006C7B74">
        <w:rPr>
          <w:rFonts w:cstheme="minorHAnsi"/>
          <w:sz w:val="20"/>
          <w:szCs w:val="20"/>
        </w:rPr>
        <w:t xml:space="preserve"> </w:t>
      </w:r>
      <w:r w:rsidR="00F63941" w:rsidRPr="006C7B74">
        <w:rPr>
          <w:rFonts w:cstheme="minorHAnsi"/>
          <w:sz w:val="20"/>
          <w:szCs w:val="20"/>
        </w:rPr>
        <w:t>1,180</w:t>
      </w:r>
      <w:r w:rsidRPr="006C7B74">
        <w:rPr>
          <w:rFonts w:cstheme="minorHAnsi"/>
          <w:sz w:val="20"/>
          <w:szCs w:val="20"/>
        </w:rPr>
        <w:t xml:space="preserve"> hectares of vacant zoned and unzoned land available for industrial purposes. </w:t>
      </w:r>
    </w:p>
    <w:p w14:paraId="562A7CA4" w14:textId="21CA2C8F" w:rsidR="004D25D5" w:rsidRPr="006C7B74" w:rsidRDefault="000C63B3" w:rsidP="004D25D5">
      <w:pPr>
        <w:spacing w:after="120"/>
        <w:rPr>
          <w:rFonts w:cstheme="minorHAnsi"/>
          <w:sz w:val="20"/>
          <w:szCs w:val="20"/>
        </w:rPr>
      </w:pPr>
      <w:r w:rsidRPr="006C7B74">
        <w:rPr>
          <w:rFonts w:cstheme="minorHAnsi"/>
          <w:sz w:val="20"/>
          <w:szCs w:val="20"/>
        </w:rPr>
        <w:t xml:space="preserve">While there is significant </w:t>
      </w:r>
      <w:r w:rsidR="007F5CA2" w:rsidRPr="006C7B74">
        <w:rPr>
          <w:rFonts w:cstheme="minorHAnsi"/>
          <w:sz w:val="20"/>
          <w:szCs w:val="20"/>
        </w:rPr>
        <w:t xml:space="preserve">zoned vacant </w:t>
      </w:r>
      <w:r w:rsidRPr="006C7B74">
        <w:rPr>
          <w:rFonts w:cstheme="minorHAnsi"/>
          <w:sz w:val="20"/>
          <w:szCs w:val="20"/>
        </w:rPr>
        <w:t xml:space="preserve">supply </w:t>
      </w:r>
      <w:r w:rsidR="00443C11" w:rsidRPr="006C7B74">
        <w:rPr>
          <w:rFonts w:cstheme="minorHAnsi"/>
          <w:sz w:val="20"/>
          <w:szCs w:val="20"/>
        </w:rPr>
        <w:t>available</w:t>
      </w:r>
      <w:r w:rsidRPr="006C7B74">
        <w:rPr>
          <w:rFonts w:cstheme="minorHAnsi"/>
          <w:sz w:val="20"/>
          <w:szCs w:val="20"/>
        </w:rPr>
        <w:t xml:space="preserve"> within Mornington Peninsula</w:t>
      </w:r>
      <w:r w:rsidR="007F5CA2" w:rsidRPr="006C7B74">
        <w:rPr>
          <w:rFonts w:cstheme="minorHAnsi"/>
          <w:sz w:val="20"/>
          <w:szCs w:val="20"/>
        </w:rPr>
        <w:t xml:space="preserve">, the vast majority of this supply </w:t>
      </w:r>
      <w:r w:rsidR="00443C11" w:rsidRPr="006C7B74">
        <w:rPr>
          <w:rFonts w:cstheme="minorHAnsi"/>
          <w:sz w:val="20"/>
          <w:szCs w:val="20"/>
        </w:rPr>
        <w:t>(</w:t>
      </w:r>
      <w:r w:rsidR="00F91E6A" w:rsidRPr="006C7B74">
        <w:rPr>
          <w:rFonts w:cstheme="minorHAnsi"/>
          <w:sz w:val="20"/>
          <w:szCs w:val="20"/>
        </w:rPr>
        <w:t xml:space="preserve">approximately </w:t>
      </w:r>
      <w:r w:rsidR="008C433B" w:rsidRPr="006C7B74">
        <w:rPr>
          <w:rFonts w:cstheme="minorHAnsi"/>
          <w:sz w:val="20"/>
          <w:szCs w:val="20"/>
        </w:rPr>
        <w:t>980</w:t>
      </w:r>
      <w:r w:rsidR="00443C11" w:rsidRPr="006C7B74">
        <w:rPr>
          <w:rFonts w:cstheme="minorHAnsi"/>
          <w:sz w:val="20"/>
          <w:szCs w:val="20"/>
        </w:rPr>
        <w:t xml:space="preserve"> hectares) </w:t>
      </w:r>
      <w:r w:rsidR="007F5CA2" w:rsidRPr="006C7B74">
        <w:rPr>
          <w:rFonts w:cstheme="minorHAnsi"/>
          <w:sz w:val="20"/>
          <w:szCs w:val="20"/>
        </w:rPr>
        <w:t>is zoned</w:t>
      </w:r>
      <w:r w:rsidR="00F512EB" w:rsidRPr="006C7B74">
        <w:rPr>
          <w:rFonts w:cstheme="minorHAnsi"/>
          <w:sz w:val="20"/>
          <w:szCs w:val="20"/>
        </w:rPr>
        <w:t xml:space="preserve"> Special Use Zone 1</w:t>
      </w:r>
      <w:r w:rsidR="00850C8C" w:rsidRPr="006C7B74">
        <w:rPr>
          <w:rFonts w:cstheme="minorHAnsi"/>
          <w:sz w:val="20"/>
          <w:szCs w:val="20"/>
        </w:rPr>
        <w:t>. In accordance with the provisions of th</w:t>
      </w:r>
      <w:r w:rsidR="00F91E6A" w:rsidRPr="006C7B74">
        <w:rPr>
          <w:rFonts w:cstheme="minorHAnsi"/>
          <w:sz w:val="20"/>
          <w:szCs w:val="20"/>
        </w:rPr>
        <w:t>at</w:t>
      </w:r>
      <w:r w:rsidR="00850C8C" w:rsidRPr="006C7B74">
        <w:rPr>
          <w:rFonts w:cstheme="minorHAnsi"/>
          <w:sz w:val="20"/>
          <w:szCs w:val="20"/>
        </w:rPr>
        <w:t xml:space="preserve"> zone, the land is </w:t>
      </w:r>
      <w:r w:rsidR="009A1449" w:rsidRPr="006C7B74">
        <w:rPr>
          <w:rFonts w:cstheme="minorHAnsi"/>
          <w:sz w:val="20"/>
          <w:szCs w:val="20"/>
        </w:rPr>
        <w:t xml:space="preserve">unable to be used for general industrial </w:t>
      </w:r>
      <w:r w:rsidR="00214219" w:rsidRPr="006C7B74">
        <w:rPr>
          <w:rFonts w:cstheme="minorHAnsi"/>
          <w:sz w:val="20"/>
          <w:szCs w:val="20"/>
        </w:rPr>
        <w:t xml:space="preserve">purposes </w:t>
      </w:r>
      <w:r w:rsidR="009A1449" w:rsidRPr="006C7B74">
        <w:rPr>
          <w:rFonts w:cstheme="minorHAnsi"/>
          <w:sz w:val="20"/>
          <w:szCs w:val="20"/>
        </w:rPr>
        <w:t xml:space="preserve">and is </w:t>
      </w:r>
      <w:r w:rsidR="00850C8C" w:rsidRPr="006C7B74">
        <w:rPr>
          <w:rFonts w:cstheme="minorHAnsi"/>
          <w:sz w:val="20"/>
          <w:szCs w:val="20"/>
        </w:rPr>
        <w:t>intended</w:t>
      </w:r>
      <w:r w:rsidR="00705DC0" w:rsidRPr="006C7B74">
        <w:rPr>
          <w:rFonts w:cstheme="minorHAnsi"/>
          <w:sz w:val="20"/>
          <w:szCs w:val="20"/>
        </w:rPr>
        <w:t xml:space="preserve"> for selected port </w:t>
      </w:r>
      <w:r w:rsidR="004D25D5" w:rsidRPr="006C7B74">
        <w:rPr>
          <w:rFonts w:cstheme="minorHAnsi"/>
          <w:sz w:val="20"/>
          <w:szCs w:val="20"/>
        </w:rPr>
        <w:t>and industrial uses</w:t>
      </w:r>
      <w:r w:rsidR="004F60E1" w:rsidRPr="006C7B74">
        <w:rPr>
          <w:rFonts w:cstheme="minorHAnsi"/>
          <w:sz w:val="20"/>
          <w:szCs w:val="20"/>
        </w:rPr>
        <w:t>,</w:t>
      </w:r>
      <w:r w:rsidR="004D25D5" w:rsidRPr="006C7B74">
        <w:rPr>
          <w:rFonts w:cstheme="minorHAnsi"/>
          <w:sz w:val="20"/>
          <w:szCs w:val="20"/>
        </w:rPr>
        <w:t xml:space="preserve"> which depend upon or gain significant</w:t>
      </w:r>
      <w:r w:rsidR="00705DC0" w:rsidRPr="006C7B74">
        <w:rPr>
          <w:rFonts w:cstheme="minorHAnsi"/>
          <w:sz w:val="20"/>
          <w:szCs w:val="20"/>
        </w:rPr>
        <w:t xml:space="preserve"> </w:t>
      </w:r>
      <w:r w:rsidR="004D25D5" w:rsidRPr="006C7B74">
        <w:rPr>
          <w:rFonts w:cstheme="minorHAnsi"/>
          <w:sz w:val="20"/>
          <w:szCs w:val="20"/>
        </w:rPr>
        <w:t xml:space="preserve">economic advantages from the natural </w:t>
      </w:r>
      <w:proofErr w:type="gramStart"/>
      <w:r w:rsidR="004D25D5" w:rsidRPr="006C7B74">
        <w:rPr>
          <w:rFonts w:cstheme="minorHAnsi"/>
          <w:sz w:val="20"/>
          <w:szCs w:val="20"/>
        </w:rPr>
        <w:t>deep water</w:t>
      </w:r>
      <w:proofErr w:type="gramEnd"/>
      <w:r w:rsidR="004D25D5" w:rsidRPr="006C7B74">
        <w:rPr>
          <w:rFonts w:cstheme="minorHAnsi"/>
          <w:sz w:val="20"/>
          <w:szCs w:val="20"/>
        </w:rPr>
        <w:t xml:space="preserve"> channels in Western</w:t>
      </w:r>
      <w:r w:rsidR="00743ABA" w:rsidRPr="006C7B74">
        <w:rPr>
          <w:rFonts w:cstheme="minorHAnsi"/>
          <w:sz w:val="20"/>
          <w:szCs w:val="20"/>
        </w:rPr>
        <w:t xml:space="preserve"> P</w:t>
      </w:r>
      <w:r w:rsidR="004D25D5" w:rsidRPr="006C7B74">
        <w:rPr>
          <w:rFonts w:cstheme="minorHAnsi"/>
          <w:sz w:val="20"/>
          <w:szCs w:val="20"/>
        </w:rPr>
        <w:t>ort</w:t>
      </w:r>
      <w:r w:rsidR="001940D1" w:rsidRPr="006C7B74">
        <w:rPr>
          <w:rFonts w:cstheme="minorHAnsi"/>
          <w:sz w:val="20"/>
          <w:szCs w:val="20"/>
        </w:rPr>
        <w:t xml:space="preserve">. </w:t>
      </w:r>
      <w:r w:rsidR="00BC3672" w:rsidRPr="006C7B74">
        <w:rPr>
          <w:rFonts w:cstheme="minorHAnsi"/>
          <w:sz w:val="20"/>
          <w:szCs w:val="20"/>
        </w:rPr>
        <w:t xml:space="preserve">Aside from the </w:t>
      </w:r>
      <w:r w:rsidR="001940D1" w:rsidRPr="006C7B74">
        <w:rPr>
          <w:rFonts w:cstheme="minorHAnsi"/>
          <w:sz w:val="20"/>
          <w:szCs w:val="20"/>
        </w:rPr>
        <w:t>Special Use Zone 1 land in Morning</w:t>
      </w:r>
      <w:r w:rsidR="0038483E" w:rsidRPr="006C7B74">
        <w:rPr>
          <w:rFonts w:cstheme="minorHAnsi"/>
          <w:sz w:val="20"/>
          <w:szCs w:val="20"/>
        </w:rPr>
        <w:t>ton</w:t>
      </w:r>
      <w:r w:rsidR="001940D1" w:rsidRPr="006C7B74">
        <w:rPr>
          <w:rFonts w:cstheme="minorHAnsi"/>
          <w:sz w:val="20"/>
          <w:szCs w:val="20"/>
        </w:rPr>
        <w:t xml:space="preserve"> Peninsula, there is </w:t>
      </w:r>
      <w:r w:rsidR="00757F92" w:rsidRPr="006C7B74">
        <w:rPr>
          <w:rFonts w:cstheme="minorHAnsi"/>
          <w:sz w:val="20"/>
          <w:szCs w:val="20"/>
        </w:rPr>
        <w:t xml:space="preserve">just under </w:t>
      </w:r>
      <w:r w:rsidR="00301484" w:rsidRPr="006C7B74">
        <w:rPr>
          <w:rFonts w:cstheme="minorHAnsi"/>
          <w:sz w:val="20"/>
          <w:szCs w:val="20"/>
        </w:rPr>
        <w:t>48</w:t>
      </w:r>
      <w:r w:rsidR="00757F92" w:rsidRPr="006C7B74">
        <w:rPr>
          <w:rFonts w:cstheme="minorHAnsi"/>
          <w:sz w:val="20"/>
          <w:szCs w:val="20"/>
        </w:rPr>
        <w:t xml:space="preserve"> hectares of vacant land available.</w:t>
      </w:r>
      <w:r w:rsidR="007C4C21" w:rsidRPr="006C7B74">
        <w:rPr>
          <w:rFonts w:cstheme="minorHAnsi"/>
          <w:sz w:val="20"/>
          <w:szCs w:val="20"/>
        </w:rPr>
        <w:t xml:space="preserve"> Frankston</w:t>
      </w:r>
      <w:r w:rsidR="007F10B2" w:rsidRPr="006C7B74">
        <w:rPr>
          <w:rFonts w:cstheme="minorHAnsi"/>
          <w:sz w:val="20"/>
          <w:szCs w:val="20"/>
        </w:rPr>
        <w:t xml:space="preserve"> and Kingston have limited amounts of vacant industrial land</w:t>
      </w:r>
      <w:r w:rsidR="00AE635F" w:rsidRPr="006C7B74">
        <w:rPr>
          <w:rFonts w:cstheme="minorHAnsi"/>
          <w:sz w:val="20"/>
          <w:szCs w:val="20"/>
        </w:rPr>
        <w:t>.</w:t>
      </w:r>
    </w:p>
    <w:p w14:paraId="1DBA7A00" w14:textId="33DA79A1" w:rsidR="00F96E2C" w:rsidRPr="006C7B74" w:rsidRDefault="00F96E2C" w:rsidP="00934C4D">
      <w:pPr>
        <w:spacing w:after="120"/>
        <w:rPr>
          <w:rFonts w:cstheme="minorHAnsi"/>
          <w:sz w:val="20"/>
          <w:szCs w:val="20"/>
        </w:rPr>
      </w:pPr>
      <w:r w:rsidRPr="006C7B74">
        <w:rPr>
          <w:rFonts w:cstheme="minorHAnsi"/>
          <w:sz w:val="20"/>
          <w:szCs w:val="20"/>
        </w:rPr>
        <w:t>Demand for industrial land in the Southern Region</w:t>
      </w:r>
      <w:r w:rsidR="000A6FE3" w:rsidRPr="006C7B74">
        <w:rPr>
          <w:rFonts w:cstheme="minorHAnsi"/>
          <w:sz w:val="20"/>
          <w:szCs w:val="20"/>
        </w:rPr>
        <w:t>, and particularly in the Southern SSIP,</w:t>
      </w:r>
      <w:r w:rsidRPr="006C7B74">
        <w:rPr>
          <w:rFonts w:cstheme="minorHAnsi"/>
          <w:sz w:val="20"/>
          <w:szCs w:val="20"/>
        </w:rPr>
        <w:t xml:space="preserve"> has been strong for the manufacturing sector. This sector accounted for approximately 3</w:t>
      </w:r>
      <w:r w:rsidR="0075085F" w:rsidRPr="006C7B74">
        <w:rPr>
          <w:rFonts w:cstheme="minorHAnsi"/>
          <w:sz w:val="20"/>
          <w:szCs w:val="20"/>
        </w:rPr>
        <w:t>2</w:t>
      </w:r>
      <w:r w:rsidRPr="006C7B74">
        <w:rPr>
          <w:rFonts w:cstheme="minorHAnsi"/>
          <w:sz w:val="20"/>
          <w:szCs w:val="20"/>
        </w:rPr>
        <w:t xml:space="preserve"> per cent of workplaces in the Southern SSIP in 201</w:t>
      </w:r>
      <w:r w:rsidR="00BD385B" w:rsidRPr="006C7B74">
        <w:rPr>
          <w:rFonts w:cstheme="minorHAnsi"/>
          <w:sz w:val="20"/>
          <w:szCs w:val="20"/>
        </w:rPr>
        <w:t>6</w:t>
      </w:r>
      <w:r w:rsidR="00B10E28" w:rsidRPr="006C7B74">
        <w:rPr>
          <w:rFonts w:cstheme="minorHAnsi"/>
          <w:sz w:val="20"/>
          <w:szCs w:val="20"/>
        </w:rPr>
        <w:t>-</w:t>
      </w:r>
      <w:r w:rsidRPr="006C7B74">
        <w:rPr>
          <w:rFonts w:cstheme="minorHAnsi"/>
          <w:sz w:val="20"/>
          <w:szCs w:val="20"/>
        </w:rPr>
        <w:t>1</w:t>
      </w:r>
      <w:r w:rsidR="00BD385B" w:rsidRPr="006C7B74">
        <w:rPr>
          <w:rFonts w:cstheme="minorHAnsi"/>
          <w:sz w:val="20"/>
          <w:szCs w:val="20"/>
        </w:rPr>
        <w:t>7</w:t>
      </w:r>
      <w:r w:rsidRPr="006C7B74">
        <w:rPr>
          <w:rFonts w:cstheme="minorHAnsi"/>
          <w:sz w:val="20"/>
          <w:szCs w:val="20"/>
        </w:rPr>
        <w:t xml:space="preserve"> compared to 22 per cent of workplaces across Melbourne as a whole. </w:t>
      </w:r>
      <w:r w:rsidR="00462EE8" w:rsidRPr="006C7B74">
        <w:rPr>
          <w:rFonts w:cstheme="minorHAnsi"/>
          <w:sz w:val="20"/>
          <w:szCs w:val="20"/>
        </w:rPr>
        <w:t>While t</w:t>
      </w:r>
      <w:r w:rsidR="005A17CC" w:rsidRPr="006C7B74">
        <w:rPr>
          <w:rFonts w:cstheme="minorHAnsi"/>
          <w:sz w:val="20"/>
          <w:szCs w:val="20"/>
        </w:rPr>
        <w:t xml:space="preserve">hese </w:t>
      </w:r>
      <w:r w:rsidR="00E962EC" w:rsidRPr="006C7B74">
        <w:rPr>
          <w:rFonts w:cstheme="minorHAnsi"/>
          <w:sz w:val="20"/>
          <w:szCs w:val="20"/>
        </w:rPr>
        <w:t>t</w:t>
      </w:r>
      <w:r w:rsidR="003837F2" w:rsidRPr="006C7B74">
        <w:rPr>
          <w:rFonts w:cstheme="minorHAnsi"/>
          <w:sz w:val="20"/>
          <w:szCs w:val="20"/>
        </w:rPr>
        <w:t>y</w:t>
      </w:r>
      <w:r w:rsidR="00E962EC" w:rsidRPr="006C7B74">
        <w:rPr>
          <w:rFonts w:cstheme="minorHAnsi"/>
          <w:sz w:val="20"/>
          <w:szCs w:val="20"/>
        </w:rPr>
        <w:t xml:space="preserve">pes of </w:t>
      </w:r>
      <w:r w:rsidR="005A17CC" w:rsidRPr="006C7B74">
        <w:rPr>
          <w:rFonts w:cstheme="minorHAnsi"/>
          <w:sz w:val="20"/>
          <w:szCs w:val="20"/>
        </w:rPr>
        <w:lastRenderedPageBreak/>
        <w:t xml:space="preserve">operations will continue to </w:t>
      </w:r>
      <w:r w:rsidR="00462EE8" w:rsidRPr="006C7B74">
        <w:rPr>
          <w:rFonts w:cstheme="minorHAnsi"/>
          <w:sz w:val="20"/>
          <w:szCs w:val="20"/>
        </w:rPr>
        <w:t>drive demand for land within the region, increasingly</w:t>
      </w:r>
      <w:r w:rsidR="00E962EC" w:rsidRPr="006C7B74">
        <w:rPr>
          <w:rFonts w:cstheme="minorHAnsi"/>
          <w:sz w:val="20"/>
          <w:szCs w:val="20"/>
        </w:rPr>
        <w:t xml:space="preserve"> the freight</w:t>
      </w:r>
      <w:r w:rsidR="00CE62D1" w:rsidRPr="006C7B74">
        <w:rPr>
          <w:rFonts w:cstheme="minorHAnsi"/>
          <w:sz w:val="20"/>
          <w:szCs w:val="20"/>
        </w:rPr>
        <w:t>,</w:t>
      </w:r>
      <w:r w:rsidR="00E962EC" w:rsidRPr="006C7B74">
        <w:rPr>
          <w:rFonts w:cstheme="minorHAnsi"/>
          <w:sz w:val="20"/>
          <w:szCs w:val="20"/>
        </w:rPr>
        <w:t xml:space="preserve"> logistics </w:t>
      </w:r>
      <w:r w:rsidR="008E3F52" w:rsidRPr="006C7B74">
        <w:rPr>
          <w:rFonts w:cstheme="minorHAnsi"/>
          <w:sz w:val="20"/>
          <w:szCs w:val="20"/>
        </w:rPr>
        <w:t>and warehous</w:t>
      </w:r>
      <w:r w:rsidR="00CE62D1" w:rsidRPr="006C7B74">
        <w:rPr>
          <w:rFonts w:cstheme="minorHAnsi"/>
          <w:sz w:val="20"/>
          <w:szCs w:val="20"/>
        </w:rPr>
        <w:t xml:space="preserve">e </w:t>
      </w:r>
      <w:r w:rsidR="00E962EC" w:rsidRPr="006C7B74">
        <w:rPr>
          <w:rFonts w:cstheme="minorHAnsi"/>
          <w:sz w:val="20"/>
          <w:szCs w:val="20"/>
        </w:rPr>
        <w:t>sector</w:t>
      </w:r>
      <w:r w:rsidR="00CE62D1" w:rsidRPr="006C7B74">
        <w:rPr>
          <w:rFonts w:cstheme="minorHAnsi"/>
          <w:sz w:val="20"/>
          <w:szCs w:val="20"/>
        </w:rPr>
        <w:t>s will</w:t>
      </w:r>
      <w:r w:rsidR="002E0C45" w:rsidRPr="006C7B74">
        <w:rPr>
          <w:rFonts w:cstheme="minorHAnsi"/>
          <w:sz w:val="20"/>
          <w:szCs w:val="20"/>
        </w:rPr>
        <w:t xml:space="preserve"> grow to support strong </w:t>
      </w:r>
      <w:r w:rsidR="007C4C21" w:rsidRPr="006C7B74">
        <w:rPr>
          <w:rFonts w:cstheme="minorHAnsi"/>
          <w:sz w:val="20"/>
          <w:szCs w:val="20"/>
        </w:rPr>
        <w:t xml:space="preserve">projected </w:t>
      </w:r>
      <w:r w:rsidR="002E0C45" w:rsidRPr="006C7B74">
        <w:rPr>
          <w:rFonts w:cstheme="minorHAnsi"/>
          <w:sz w:val="20"/>
          <w:szCs w:val="20"/>
        </w:rPr>
        <w:t>population growth</w:t>
      </w:r>
      <w:r w:rsidR="00B85288" w:rsidRPr="006C7B74">
        <w:rPr>
          <w:rFonts w:cstheme="minorHAnsi"/>
          <w:sz w:val="20"/>
          <w:szCs w:val="20"/>
        </w:rPr>
        <w:t xml:space="preserve"> in the region</w:t>
      </w:r>
      <w:r w:rsidR="002E0C45" w:rsidRPr="006C7B74">
        <w:rPr>
          <w:rFonts w:cstheme="minorHAnsi"/>
          <w:sz w:val="20"/>
          <w:szCs w:val="20"/>
        </w:rPr>
        <w:t>.</w:t>
      </w:r>
    </w:p>
    <w:p w14:paraId="15E724CC" w14:textId="77777777" w:rsidR="00F96E2C" w:rsidRPr="006C7B74" w:rsidRDefault="00F96E2C" w:rsidP="00934C4D">
      <w:pPr>
        <w:spacing w:after="120"/>
        <w:rPr>
          <w:rFonts w:cstheme="minorHAnsi"/>
          <w:sz w:val="20"/>
          <w:szCs w:val="20"/>
        </w:rPr>
      </w:pPr>
    </w:p>
    <w:p w14:paraId="5F7B74EF" w14:textId="19240A99" w:rsidR="00F96E2C" w:rsidRPr="006C7B74" w:rsidRDefault="00F96E2C" w:rsidP="00C802F6">
      <w:pPr>
        <w:pStyle w:val="Heading5"/>
      </w:pPr>
      <w:r w:rsidRPr="006C7B74">
        <w:t xml:space="preserve">Table </w:t>
      </w:r>
      <w:r w:rsidR="0099616A" w:rsidRPr="006C7B74">
        <w:t>28</w:t>
      </w:r>
      <w:r w:rsidRPr="006C7B74">
        <w:t xml:space="preserve">: Industrial </w:t>
      </w:r>
      <w:r w:rsidR="00190AA3" w:rsidRPr="006C7B74">
        <w:t>l</w:t>
      </w:r>
      <w:r w:rsidRPr="006C7B74">
        <w:t xml:space="preserve">and </w:t>
      </w:r>
      <w:r w:rsidR="00190AA3" w:rsidRPr="006C7B74">
        <w:t>c</w:t>
      </w:r>
      <w:r w:rsidRPr="006C7B74">
        <w:t>onsumption</w:t>
      </w:r>
      <w:r w:rsidR="003E32DF" w:rsidRPr="006C7B74">
        <w:t>,</w:t>
      </w:r>
      <w:r w:rsidR="000B00E9" w:rsidRPr="006C7B74">
        <w:t xml:space="preserve"> Southern Region, 20</w:t>
      </w:r>
      <w:r w:rsidR="003833BF" w:rsidRPr="006C7B74">
        <w:t>15-</w:t>
      </w:r>
      <w:r w:rsidR="000B00E9" w:rsidRPr="006C7B74">
        <w:t>16 to 20</w:t>
      </w:r>
      <w:r w:rsidR="003833BF" w:rsidRPr="006C7B74">
        <w:t>17-</w:t>
      </w:r>
      <w:r w:rsidR="000B00E9" w:rsidRPr="006C7B74">
        <w:t>18</w:t>
      </w:r>
    </w:p>
    <w:tbl>
      <w:tblPr>
        <w:tblW w:w="5000" w:type="pct"/>
        <w:tblLook w:val="04A0" w:firstRow="1" w:lastRow="0" w:firstColumn="1" w:lastColumn="0" w:noHBand="0" w:noVBand="1"/>
      </w:tblPr>
      <w:tblGrid>
        <w:gridCol w:w="3874"/>
        <w:gridCol w:w="1716"/>
        <w:gridCol w:w="1716"/>
        <w:gridCol w:w="1714"/>
      </w:tblGrid>
      <w:tr w:rsidR="00490F9E" w:rsidRPr="006C7B74" w14:paraId="43BAE654" w14:textId="77777777" w:rsidTr="00DC580D">
        <w:trPr>
          <w:trHeight w:val="735"/>
        </w:trPr>
        <w:tc>
          <w:tcPr>
            <w:tcW w:w="2147" w:type="pct"/>
            <w:tcBorders>
              <w:top w:val="nil"/>
              <w:left w:val="nil"/>
              <w:bottom w:val="single" w:sz="8" w:space="0" w:color="4D446C"/>
              <w:right w:val="nil"/>
            </w:tcBorders>
            <w:shd w:val="clear" w:color="000000" w:fill="4D446C"/>
            <w:noWrap/>
            <w:vAlign w:val="center"/>
            <w:hideMark/>
          </w:tcPr>
          <w:p w14:paraId="11822113" w14:textId="77777777" w:rsidR="00490F9E" w:rsidRPr="006C7B74" w:rsidRDefault="00490F9E" w:rsidP="00490F9E">
            <w:pPr>
              <w:rPr>
                <w:rFonts w:ascii="Calibri" w:hAnsi="Calibri" w:cs="Calibri"/>
                <w:b/>
                <w:bCs/>
                <w:color w:val="FFFFFF"/>
                <w:sz w:val="18"/>
                <w:szCs w:val="18"/>
                <w:lang w:eastAsia="en-AU"/>
              </w:rPr>
            </w:pPr>
            <w:r w:rsidRPr="006C7B74">
              <w:rPr>
                <w:rFonts w:ascii="Calibri" w:hAnsi="Calibri" w:cs="Calibri"/>
                <w:b/>
                <w:bCs/>
                <w:color w:val="FFFFFF"/>
                <w:sz w:val="18"/>
                <w:szCs w:val="18"/>
                <w:lang w:eastAsia="en-AU"/>
              </w:rPr>
              <w:t>Council / SSIP</w:t>
            </w:r>
          </w:p>
        </w:tc>
        <w:tc>
          <w:tcPr>
            <w:tcW w:w="951" w:type="pct"/>
            <w:tcBorders>
              <w:top w:val="nil"/>
              <w:left w:val="nil"/>
              <w:bottom w:val="single" w:sz="8" w:space="0" w:color="4D446C"/>
              <w:right w:val="nil"/>
            </w:tcBorders>
            <w:shd w:val="clear" w:color="000000" w:fill="4D446C"/>
            <w:vAlign w:val="center"/>
            <w:hideMark/>
          </w:tcPr>
          <w:p w14:paraId="483B84E2" w14:textId="1B9F3A90" w:rsidR="00490F9E" w:rsidRPr="006C7B74" w:rsidRDefault="00490F9E" w:rsidP="00490F9E">
            <w:pPr>
              <w:jc w:val="center"/>
              <w:rPr>
                <w:rFonts w:ascii="Calibri" w:hAnsi="Calibri" w:cs="Calibri"/>
                <w:b/>
                <w:bCs/>
                <w:color w:val="FFFFFF"/>
                <w:sz w:val="18"/>
                <w:szCs w:val="18"/>
                <w:lang w:eastAsia="en-AU"/>
              </w:rPr>
            </w:pPr>
            <w:r w:rsidRPr="006C7B74">
              <w:rPr>
                <w:rFonts w:ascii="Calibri" w:hAnsi="Calibri" w:cs="Calibri"/>
                <w:b/>
                <w:bCs/>
                <w:color w:val="FFFFFF"/>
                <w:sz w:val="18"/>
                <w:szCs w:val="18"/>
              </w:rPr>
              <w:t>2015-16</w:t>
            </w:r>
            <w:r w:rsidR="00A31B63" w:rsidRPr="006C7B74">
              <w:rPr>
                <w:rFonts w:ascii="Calibri" w:hAnsi="Calibri" w:cs="Calibri"/>
                <w:b/>
                <w:bCs/>
                <w:color w:val="FFFFFF"/>
                <w:sz w:val="18"/>
                <w:szCs w:val="18"/>
              </w:rPr>
              <w:t xml:space="preserve"> (ha)</w:t>
            </w:r>
          </w:p>
        </w:tc>
        <w:tc>
          <w:tcPr>
            <w:tcW w:w="951" w:type="pct"/>
            <w:tcBorders>
              <w:top w:val="nil"/>
              <w:left w:val="nil"/>
              <w:bottom w:val="single" w:sz="8" w:space="0" w:color="4D446C"/>
              <w:right w:val="nil"/>
            </w:tcBorders>
            <w:shd w:val="clear" w:color="000000" w:fill="4D446C"/>
            <w:vAlign w:val="center"/>
            <w:hideMark/>
          </w:tcPr>
          <w:p w14:paraId="2E65A7AC" w14:textId="08CE9E8E" w:rsidR="00490F9E" w:rsidRPr="006C7B74" w:rsidRDefault="00490F9E" w:rsidP="00490F9E">
            <w:pPr>
              <w:jc w:val="center"/>
              <w:rPr>
                <w:rFonts w:ascii="Calibri" w:hAnsi="Calibri" w:cs="Calibri"/>
                <w:b/>
                <w:bCs/>
                <w:color w:val="FFFFFF"/>
                <w:sz w:val="18"/>
                <w:szCs w:val="18"/>
                <w:lang w:eastAsia="en-AU"/>
              </w:rPr>
            </w:pPr>
            <w:r w:rsidRPr="006C7B74">
              <w:rPr>
                <w:rFonts w:ascii="Calibri" w:hAnsi="Calibri" w:cs="Calibri"/>
                <w:b/>
                <w:bCs/>
                <w:color w:val="FFFFFF"/>
                <w:sz w:val="18"/>
                <w:szCs w:val="18"/>
              </w:rPr>
              <w:t>2016-17</w:t>
            </w:r>
            <w:r w:rsidR="00A31B63" w:rsidRPr="006C7B74">
              <w:rPr>
                <w:rFonts w:ascii="Calibri" w:hAnsi="Calibri" w:cs="Calibri"/>
                <w:b/>
                <w:bCs/>
                <w:color w:val="FFFFFF"/>
                <w:sz w:val="18"/>
                <w:szCs w:val="18"/>
              </w:rPr>
              <w:t xml:space="preserve"> (ha)</w:t>
            </w:r>
          </w:p>
        </w:tc>
        <w:tc>
          <w:tcPr>
            <w:tcW w:w="950" w:type="pct"/>
            <w:tcBorders>
              <w:top w:val="nil"/>
              <w:left w:val="nil"/>
              <w:bottom w:val="single" w:sz="8" w:space="0" w:color="4D446C"/>
              <w:right w:val="nil"/>
            </w:tcBorders>
            <w:shd w:val="clear" w:color="000000" w:fill="4D446C"/>
            <w:vAlign w:val="center"/>
            <w:hideMark/>
          </w:tcPr>
          <w:p w14:paraId="0CDE3599" w14:textId="71006700" w:rsidR="00490F9E" w:rsidRPr="006C7B74" w:rsidRDefault="00490F9E" w:rsidP="00490F9E">
            <w:pPr>
              <w:jc w:val="center"/>
              <w:rPr>
                <w:rFonts w:ascii="Calibri" w:hAnsi="Calibri" w:cs="Calibri"/>
                <w:b/>
                <w:bCs/>
                <w:color w:val="FFFFFF"/>
                <w:sz w:val="18"/>
                <w:szCs w:val="18"/>
                <w:lang w:eastAsia="en-AU"/>
              </w:rPr>
            </w:pPr>
            <w:r w:rsidRPr="006C7B74">
              <w:rPr>
                <w:rFonts w:ascii="Calibri" w:hAnsi="Calibri" w:cs="Calibri"/>
                <w:b/>
                <w:bCs/>
                <w:color w:val="FFFFFF"/>
                <w:sz w:val="18"/>
                <w:szCs w:val="18"/>
              </w:rPr>
              <w:t>2017-18</w:t>
            </w:r>
            <w:r w:rsidR="00A31B63" w:rsidRPr="006C7B74">
              <w:rPr>
                <w:rFonts w:ascii="Calibri" w:hAnsi="Calibri" w:cs="Calibri"/>
                <w:b/>
                <w:bCs/>
                <w:color w:val="FFFFFF"/>
                <w:sz w:val="18"/>
                <w:szCs w:val="18"/>
              </w:rPr>
              <w:t xml:space="preserve"> (ha)</w:t>
            </w:r>
          </w:p>
        </w:tc>
      </w:tr>
      <w:tr w:rsidR="00207072" w:rsidRPr="006C7B74" w14:paraId="3FE8DA49" w14:textId="77777777" w:rsidTr="00DC580D">
        <w:trPr>
          <w:trHeight w:val="315"/>
        </w:trPr>
        <w:tc>
          <w:tcPr>
            <w:tcW w:w="2147" w:type="pct"/>
            <w:tcBorders>
              <w:top w:val="nil"/>
              <w:left w:val="nil"/>
              <w:bottom w:val="single" w:sz="8" w:space="0" w:color="4D446C"/>
              <w:right w:val="nil"/>
            </w:tcBorders>
            <w:shd w:val="clear" w:color="auto" w:fill="auto"/>
            <w:noWrap/>
            <w:vAlign w:val="center"/>
            <w:hideMark/>
          </w:tcPr>
          <w:p w14:paraId="742303BF" w14:textId="77777777" w:rsidR="00207072" w:rsidRPr="006C7B74" w:rsidRDefault="00207072" w:rsidP="00207072">
            <w:pPr>
              <w:rPr>
                <w:rFonts w:ascii="Calibri" w:hAnsi="Calibri" w:cs="Calibri"/>
                <w:color w:val="000000"/>
                <w:sz w:val="18"/>
                <w:szCs w:val="18"/>
                <w:lang w:eastAsia="en-AU"/>
              </w:rPr>
            </w:pPr>
            <w:r w:rsidRPr="006C7B74">
              <w:rPr>
                <w:rFonts w:ascii="Calibri" w:hAnsi="Calibri" w:cs="Calibri"/>
                <w:color w:val="000000"/>
                <w:sz w:val="18"/>
                <w:szCs w:val="18"/>
                <w:lang w:eastAsia="en-AU"/>
              </w:rPr>
              <w:t>Cardinia</w:t>
            </w:r>
          </w:p>
        </w:tc>
        <w:tc>
          <w:tcPr>
            <w:tcW w:w="951" w:type="pct"/>
            <w:tcBorders>
              <w:top w:val="nil"/>
              <w:left w:val="nil"/>
              <w:bottom w:val="single" w:sz="8" w:space="0" w:color="4D446C"/>
              <w:right w:val="nil"/>
            </w:tcBorders>
            <w:shd w:val="clear" w:color="auto" w:fill="auto"/>
            <w:noWrap/>
            <w:vAlign w:val="center"/>
            <w:hideMark/>
          </w:tcPr>
          <w:p w14:paraId="7E53B16A" w14:textId="77777777" w:rsidR="00207072" w:rsidRPr="006C7B74" w:rsidRDefault="00207072" w:rsidP="00207072">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15.1</w:t>
            </w:r>
          </w:p>
        </w:tc>
        <w:tc>
          <w:tcPr>
            <w:tcW w:w="951" w:type="pct"/>
            <w:tcBorders>
              <w:top w:val="nil"/>
              <w:left w:val="nil"/>
              <w:bottom w:val="single" w:sz="8" w:space="0" w:color="4D446C"/>
              <w:right w:val="nil"/>
            </w:tcBorders>
            <w:shd w:val="clear" w:color="auto" w:fill="auto"/>
            <w:noWrap/>
            <w:vAlign w:val="center"/>
            <w:hideMark/>
          </w:tcPr>
          <w:p w14:paraId="6BCA3999" w14:textId="77777777" w:rsidR="00207072" w:rsidRPr="006C7B74" w:rsidRDefault="00207072" w:rsidP="00207072">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12.8</w:t>
            </w:r>
          </w:p>
        </w:tc>
        <w:tc>
          <w:tcPr>
            <w:tcW w:w="950" w:type="pct"/>
            <w:tcBorders>
              <w:top w:val="nil"/>
              <w:left w:val="nil"/>
              <w:bottom w:val="single" w:sz="8" w:space="0" w:color="4D446C"/>
              <w:right w:val="nil"/>
            </w:tcBorders>
            <w:shd w:val="clear" w:color="auto" w:fill="auto"/>
            <w:noWrap/>
            <w:vAlign w:val="center"/>
            <w:hideMark/>
          </w:tcPr>
          <w:p w14:paraId="481099CB" w14:textId="77777777" w:rsidR="00207072" w:rsidRPr="006C7B74" w:rsidRDefault="00207072" w:rsidP="00207072">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14.8</w:t>
            </w:r>
          </w:p>
        </w:tc>
      </w:tr>
      <w:tr w:rsidR="00207072" w:rsidRPr="006C7B74" w14:paraId="0ECF6E40" w14:textId="77777777" w:rsidTr="00DC580D">
        <w:trPr>
          <w:trHeight w:val="315"/>
        </w:trPr>
        <w:tc>
          <w:tcPr>
            <w:tcW w:w="2147" w:type="pct"/>
            <w:tcBorders>
              <w:top w:val="nil"/>
              <w:left w:val="nil"/>
              <w:bottom w:val="single" w:sz="8" w:space="0" w:color="4D446C"/>
              <w:right w:val="nil"/>
            </w:tcBorders>
            <w:shd w:val="clear" w:color="auto" w:fill="auto"/>
            <w:noWrap/>
            <w:vAlign w:val="center"/>
            <w:hideMark/>
          </w:tcPr>
          <w:p w14:paraId="630AFEAE" w14:textId="77777777" w:rsidR="00207072" w:rsidRPr="006C7B74" w:rsidRDefault="00207072" w:rsidP="00207072">
            <w:pPr>
              <w:rPr>
                <w:rFonts w:ascii="Calibri" w:hAnsi="Calibri" w:cs="Calibri"/>
                <w:color w:val="000000"/>
                <w:sz w:val="18"/>
                <w:szCs w:val="18"/>
                <w:lang w:eastAsia="en-AU"/>
              </w:rPr>
            </w:pPr>
            <w:r w:rsidRPr="006C7B74">
              <w:rPr>
                <w:rFonts w:ascii="Calibri" w:hAnsi="Calibri" w:cs="Calibri"/>
                <w:color w:val="000000"/>
                <w:sz w:val="18"/>
                <w:szCs w:val="18"/>
                <w:lang w:eastAsia="en-AU"/>
              </w:rPr>
              <w:t>Casey</w:t>
            </w:r>
          </w:p>
        </w:tc>
        <w:tc>
          <w:tcPr>
            <w:tcW w:w="951" w:type="pct"/>
            <w:tcBorders>
              <w:top w:val="nil"/>
              <w:left w:val="nil"/>
              <w:bottom w:val="single" w:sz="8" w:space="0" w:color="4D446C"/>
              <w:right w:val="nil"/>
            </w:tcBorders>
            <w:shd w:val="clear" w:color="auto" w:fill="auto"/>
            <w:noWrap/>
            <w:vAlign w:val="center"/>
            <w:hideMark/>
          </w:tcPr>
          <w:p w14:paraId="37D94316" w14:textId="77777777" w:rsidR="00207072" w:rsidRPr="006C7B74" w:rsidRDefault="00207072" w:rsidP="00207072">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4.1</w:t>
            </w:r>
          </w:p>
        </w:tc>
        <w:tc>
          <w:tcPr>
            <w:tcW w:w="951" w:type="pct"/>
            <w:tcBorders>
              <w:top w:val="nil"/>
              <w:left w:val="nil"/>
              <w:bottom w:val="single" w:sz="8" w:space="0" w:color="4D446C"/>
              <w:right w:val="nil"/>
            </w:tcBorders>
            <w:shd w:val="clear" w:color="auto" w:fill="auto"/>
            <w:noWrap/>
            <w:vAlign w:val="center"/>
            <w:hideMark/>
          </w:tcPr>
          <w:p w14:paraId="24EF6FB9" w14:textId="77777777" w:rsidR="00207072" w:rsidRPr="006C7B74" w:rsidRDefault="00207072" w:rsidP="00207072">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7.8</w:t>
            </w:r>
          </w:p>
        </w:tc>
        <w:tc>
          <w:tcPr>
            <w:tcW w:w="950" w:type="pct"/>
            <w:tcBorders>
              <w:top w:val="nil"/>
              <w:left w:val="nil"/>
              <w:bottom w:val="single" w:sz="8" w:space="0" w:color="4D446C"/>
              <w:right w:val="nil"/>
            </w:tcBorders>
            <w:shd w:val="clear" w:color="auto" w:fill="auto"/>
            <w:noWrap/>
            <w:vAlign w:val="center"/>
            <w:hideMark/>
          </w:tcPr>
          <w:p w14:paraId="109DBFB0" w14:textId="77777777" w:rsidR="00207072" w:rsidRPr="006C7B74" w:rsidRDefault="00207072" w:rsidP="00207072">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9.4</w:t>
            </w:r>
          </w:p>
        </w:tc>
      </w:tr>
      <w:tr w:rsidR="00207072" w:rsidRPr="006C7B74" w14:paraId="00E3F057" w14:textId="77777777" w:rsidTr="00DC580D">
        <w:trPr>
          <w:trHeight w:val="315"/>
        </w:trPr>
        <w:tc>
          <w:tcPr>
            <w:tcW w:w="2147" w:type="pct"/>
            <w:tcBorders>
              <w:top w:val="nil"/>
              <w:left w:val="nil"/>
              <w:bottom w:val="single" w:sz="8" w:space="0" w:color="4D446C"/>
              <w:right w:val="nil"/>
            </w:tcBorders>
            <w:shd w:val="clear" w:color="auto" w:fill="auto"/>
            <w:noWrap/>
            <w:vAlign w:val="center"/>
            <w:hideMark/>
          </w:tcPr>
          <w:p w14:paraId="46C54047" w14:textId="77777777" w:rsidR="00207072" w:rsidRPr="006C7B74" w:rsidRDefault="00207072" w:rsidP="00207072">
            <w:pPr>
              <w:rPr>
                <w:rFonts w:ascii="Calibri" w:hAnsi="Calibri" w:cs="Calibri"/>
                <w:color w:val="000000"/>
                <w:sz w:val="18"/>
                <w:szCs w:val="18"/>
                <w:lang w:eastAsia="en-AU"/>
              </w:rPr>
            </w:pPr>
            <w:r w:rsidRPr="006C7B74">
              <w:rPr>
                <w:rFonts w:ascii="Calibri" w:hAnsi="Calibri" w:cs="Calibri"/>
                <w:color w:val="000000"/>
                <w:sz w:val="18"/>
                <w:szCs w:val="18"/>
                <w:lang w:eastAsia="en-AU"/>
              </w:rPr>
              <w:t>Frankston</w:t>
            </w:r>
          </w:p>
        </w:tc>
        <w:tc>
          <w:tcPr>
            <w:tcW w:w="951" w:type="pct"/>
            <w:tcBorders>
              <w:top w:val="nil"/>
              <w:left w:val="nil"/>
              <w:bottom w:val="single" w:sz="8" w:space="0" w:color="4D446C"/>
              <w:right w:val="nil"/>
            </w:tcBorders>
            <w:shd w:val="clear" w:color="auto" w:fill="auto"/>
            <w:noWrap/>
            <w:vAlign w:val="center"/>
            <w:hideMark/>
          </w:tcPr>
          <w:p w14:paraId="183FB205" w14:textId="77777777" w:rsidR="00207072" w:rsidRPr="006C7B74" w:rsidRDefault="00207072" w:rsidP="00207072">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10.6</w:t>
            </w:r>
          </w:p>
        </w:tc>
        <w:tc>
          <w:tcPr>
            <w:tcW w:w="951" w:type="pct"/>
            <w:tcBorders>
              <w:top w:val="nil"/>
              <w:left w:val="nil"/>
              <w:bottom w:val="single" w:sz="8" w:space="0" w:color="4D446C"/>
              <w:right w:val="nil"/>
            </w:tcBorders>
            <w:shd w:val="clear" w:color="auto" w:fill="auto"/>
            <w:noWrap/>
            <w:vAlign w:val="center"/>
            <w:hideMark/>
          </w:tcPr>
          <w:p w14:paraId="5E9D3591" w14:textId="77777777" w:rsidR="00207072" w:rsidRPr="006C7B74" w:rsidRDefault="00207072" w:rsidP="00207072">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8.7</w:t>
            </w:r>
          </w:p>
        </w:tc>
        <w:tc>
          <w:tcPr>
            <w:tcW w:w="950" w:type="pct"/>
            <w:tcBorders>
              <w:top w:val="nil"/>
              <w:left w:val="nil"/>
              <w:bottom w:val="single" w:sz="8" w:space="0" w:color="4D446C"/>
              <w:right w:val="nil"/>
            </w:tcBorders>
            <w:shd w:val="clear" w:color="auto" w:fill="auto"/>
            <w:noWrap/>
            <w:vAlign w:val="center"/>
            <w:hideMark/>
          </w:tcPr>
          <w:p w14:paraId="501CEE04" w14:textId="77777777" w:rsidR="00207072" w:rsidRPr="006C7B74" w:rsidRDefault="00207072" w:rsidP="00207072">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8.3</w:t>
            </w:r>
          </w:p>
        </w:tc>
      </w:tr>
      <w:tr w:rsidR="00207072" w:rsidRPr="006C7B74" w14:paraId="2949DE11" w14:textId="77777777" w:rsidTr="00DC580D">
        <w:trPr>
          <w:trHeight w:val="315"/>
        </w:trPr>
        <w:tc>
          <w:tcPr>
            <w:tcW w:w="2147" w:type="pct"/>
            <w:tcBorders>
              <w:top w:val="nil"/>
              <w:left w:val="nil"/>
              <w:bottom w:val="single" w:sz="8" w:space="0" w:color="4D446C"/>
              <w:right w:val="nil"/>
            </w:tcBorders>
            <w:shd w:val="clear" w:color="auto" w:fill="auto"/>
            <w:noWrap/>
            <w:vAlign w:val="center"/>
            <w:hideMark/>
          </w:tcPr>
          <w:p w14:paraId="4387E7C3" w14:textId="77777777" w:rsidR="00207072" w:rsidRPr="006C7B74" w:rsidRDefault="00207072" w:rsidP="00207072">
            <w:pPr>
              <w:rPr>
                <w:rFonts w:ascii="Calibri" w:hAnsi="Calibri" w:cs="Calibri"/>
                <w:color w:val="000000"/>
                <w:sz w:val="18"/>
                <w:szCs w:val="18"/>
                <w:lang w:eastAsia="en-AU"/>
              </w:rPr>
            </w:pPr>
            <w:r w:rsidRPr="006C7B74">
              <w:rPr>
                <w:rFonts w:ascii="Calibri" w:hAnsi="Calibri" w:cs="Calibri"/>
                <w:color w:val="000000"/>
                <w:sz w:val="18"/>
                <w:szCs w:val="18"/>
                <w:lang w:eastAsia="en-AU"/>
              </w:rPr>
              <w:t>Greater Dandenong</w:t>
            </w:r>
          </w:p>
        </w:tc>
        <w:tc>
          <w:tcPr>
            <w:tcW w:w="951" w:type="pct"/>
            <w:tcBorders>
              <w:top w:val="nil"/>
              <w:left w:val="nil"/>
              <w:bottom w:val="single" w:sz="8" w:space="0" w:color="4D446C"/>
              <w:right w:val="nil"/>
            </w:tcBorders>
            <w:shd w:val="clear" w:color="auto" w:fill="auto"/>
            <w:noWrap/>
            <w:vAlign w:val="center"/>
            <w:hideMark/>
          </w:tcPr>
          <w:p w14:paraId="4FD2F97C" w14:textId="77777777" w:rsidR="00207072" w:rsidRPr="006C7B74" w:rsidRDefault="00207072" w:rsidP="00207072">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53.7</w:t>
            </w:r>
          </w:p>
        </w:tc>
        <w:tc>
          <w:tcPr>
            <w:tcW w:w="951" w:type="pct"/>
            <w:tcBorders>
              <w:top w:val="nil"/>
              <w:left w:val="nil"/>
              <w:bottom w:val="single" w:sz="8" w:space="0" w:color="4D446C"/>
              <w:right w:val="nil"/>
            </w:tcBorders>
            <w:shd w:val="clear" w:color="auto" w:fill="auto"/>
            <w:noWrap/>
            <w:vAlign w:val="center"/>
            <w:hideMark/>
          </w:tcPr>
          <w:p w14:paraId="6BB9E096" w14:textId="77777777" w:rsidR="00207072" w:rsidRPr="006C7B74" w:rsidRDefault="00207072" w:rsidP="00207072">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74.2</w:t>
            </w:r>
          </w:p>
        </w:tc>
        <w:tc>
          <w:tcPr>
            <w:tcW w:w="950" w:type="pct"/>
            <w:tcBorders>
              <w:top w:val="nil"/>
              <w:left w:val="nil"/>
              <w:bottom w:val="single" w:sz="8" w:space="0" w:color="4D446C"/>
              <w:right w:val="nil"/>
            </w:tcBorders>
            <w:shd w:val="clear" w:color="auto" w:fill="auto"/>
            <w:noWrap/>
            <w:vAlign w:val="center"/>
            <w:hideMark/>
          </w:tcPr>
          <w:p w14:paraId="54E9D2D3" w14:textId="77777777" w:rsidR="00207072" w:rsidRPr="006C7B74" w:rsidRDefault="00207072" w:rsidP="00207072">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57.5</w:t>
            </w:r>
          </w:p>
        </w:tc>
      </w:tr>
      <w:tr w:rsidR="00207072" w:rsidRPr="006C7B74" w14:paraId="041DB93A" w14:textId="77777777" w:rsidTr="00DC580D">
        <w:trPr>
          <w:trHeight w:val="315"/>
        </w:trPr>
        <w:tc>
          <w:tcPr>
            <w:tcW w:w="2147" w:type="pct"/>
            <w:tcBorders>
              <w:top w:val="nil"/>
              <w:left w:val="nil"/>
              <w:bottom w:val="single" w:sz="8" w:space="0" w:color="4D446C"/>
              <w:right w:val="nil"/>
            </w:tcBorders>
            <w:shd w:val="clear" w:color="auto" w:fill="auto"/>
            <w:noWrap/>
            <w:vAlign w:val="center"/>
            <w:hideMark/>
          </w:tcPr>
          <w:p w14:paraId="11D8FDDB" w14:textId="77777777" w:rsidR="00207072" w:rsidRPr="006C7B74" w:rsidRDefault="00207072" w:rsidP="00207072">
            <w:pPr>
              <w:rPr>
                <w:rFonts w:ascii="Calibri" w:hAnsi="Calibri" w:cs="Calibri"/>
                <w:color w:val="000000"/>
                <w:sz w:val="18"/>
                <w:szCs w:val="18"/>
                <w:lang w:eastAsia="en-AU"/>
              </w:rPr>
            </w:pPr>
            <w:r w:rsidRPr="006C7B74">
              <w:rPr>
                <w:rFonts w:ascii="Calibri" w:hAnsi="Calibri" w:cs="Calibri"/>
                <w:color w:val="000000"/>
                <w:sz w:val="18"/>
                <w:szCs w:val="18"/>
                <w:lang w:eastAsia="en-AU"/>
              </w:rPr>
              <w:t>Kingston</w:t>
            </w:r>
          </w:p>
        </w:tc>
        <w:tc>
          <w:tcPr>
            <w:tcW w:w="951" w:type="pct"/>
            <w:tcBorders>
              <w:top w:val="nil"/>
              <w:left w:val="nil"/>
              <w:bottom w:val="single" w:sz="8" w:space="0" w:color="4D446C"/>
              <w:right w:val="nil"/>
            </w:tcBorders>
            <w:shd w:val="clear" w:color="auto" w:fill="auto"/>
            <w:noWrap/>
            <w:vAlign w:val="center"/>
            <w:hideMark/>
          </w:tcPr>
          <w:p w14:paraId="4C8F7F91" w14:textId="77777777" w:rsidR="00207072" w:rsidRPr="006C7B74" w:rsidRDefault="00207072" w:rsidP="00207072">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14.6</w:t>
            </w:r>
          </w:p>
        </w:tc>
        <w:tc>
          <w:tcPr>
            <w:tcW w:w="951" w:type="pct"/>
            <w:tcBorders>
              <w:top w:val="nil"/>
              <w:left w:val="nil"/>
              <w:bottom w:val="single" w:sz="8" w:space="0" w:color="4D446C"/>
              <w:right w:val="nil"/>
            </w:tcBorders>
            <w:shd w:val="clear" w:color="auto" w:fill="auto"/>
            <w:noWrap/>
            <w:vAlign w:val="center"/>
            <w:hideMark/>
          </w:tcPr>
          <w:p w14:paraId="381DC2AE" w14:textId="77777777" w:rsidR="00207072" w:rsidRPr="006C7B74" w:rsidRDefault="00207072" w:rsidP="00207072">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2.8</w:t>
            </w:r>
          </w:p>
        </w:tc>
        <w:tc>
          <w:tcPr>
            <w:tcW w:w="950" w:type="pct"/>
            <w:tcBorders>
              <w:top w:val="nil"/>
              <w:left w:val="nil"/>
              <w:bottom w:val="single" w:sz="8" w:space="0" w:color="4D446C"/>
              <w:right w:val="nil"/>
            </w:tcBorders>
            <w:shd w:val="clear" w:color="auto" w:fill="auto"/>
            <w:noWrap/>
            <w:vAlign w:val="center"/>
            <w:hideMark/>
          </w:tcPr>
          <w:p w14:paraId="68C2615A" w14:textId="77777777" w:rsidR="00207072" w:rsidRPr="006C7B74" w:rsidRDefault="00207072" w:rsidP="00207072">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13.4</w:t>
            </w:r>
          </w:p>
        </w:tc>
      </w:tr>
      <w:tr w:rsidR="00207072" w:rsidRPr="006C7B74" w14:paraId="36219CC7" w14:textId="77777777" w:rsidTr="00DC580D">
        <w:trPr>
          <w:trHeight w:val="315"/>
        </w:trPr>
        <w:tc>
          <w:tcPr>
            <w:tcW w:w="2147" w:type="pct"/>
            <w:tcBorders>
              <w:top w:val="nil"/>
              <w:left w:val="nil"/>
              <w:bottom w:val="single" w:sz="8" w:space="0" w:color="4D446C"/>
              <w:right w:val="nil"/>
            </w:tcBorders>
            <w:shd w:val="clear" w:color="auto" w:fill="auto"/>
            <w:noWrap/>
            <w:vAlign w:val="center"/>
            <w:hideMark/>
          </w:tcPr>
          <w:p w14:paraId="03579F65" w14:textId="77777777" w:rsidR="00207072" w:rsidRPr="006C7B74" w:rsidRDefault="00207072" w:rsidP="00207072">
            <w:pPr>
              <w:rPr>
                <w:rFonts w:ascii="Calibri" w:hAnsi="Calibri" w:cs="Calibri"/>
                <w:color w:val="000000"/>
                <w:sz w:val="18"/>
                <w:szCs w:val="18"/>
                <w:lang w:eastAsia="en-AU"/>
              </w:rPr>
            </w:pPr>
            <w:r w:rsidRPr="006C7B74">
              <w:rPr>
                <w:rFonts w:ascii="Calibri" w:hAnsi="Calibri" w:cs="Calibri"/>
                <w:color w:val="000000"/>
                <w:sz w:val="18"/>
                <w:szCs w:val="18"/>
                <w:lang w:eastAsia="en-AU"/>
              </w:rPr>
              <w:t>Mornington Peninsula</w:t>
            </w:r>
          </w:p>
        </w:tc>
        <w:tc>
          <w:tcPr>
            <w:tcW w:w="951" w:type="pct"/>
            <w:tcBorders>
              <w:top w:val="nil"/>
              <w:left w:val="nil"/>
              <w:bottom w:val="single" w:sz="8" w:space="0" w:color="4D446C"/>
              <w:right w:val="nil"/>
            </w:tcBorders>
            <w:shd w:val="clear" w:color="auto" w:fill="auto"/>
            <w:noWrap/>
            <w:vAlign w:val="center"/>
            <w:hideMark/>
          </w:tcPr>
          <w:p w14:paraId="538A9771" w14:textId="77777777" w:rsidR="00207072" w:rsidRPr="006C7B74" w:rsidRDefault="00207072" w:rsidP="00207072">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3.9</w:t>
            </w:r>
          </w:p>
        </w:tc>
        <w:tc>
          <w:tcPr>
            <w:tcW w:w="951" w:type="pct"/>
            <w:tcBorders>
              <w:top w:val="nil"/>
              <w:left w:val="nil"/>
              <w:bottom w:val="single" w:sz="8" w:space="0" w:color="4D446C"/>
              <w:right w:val="nil"/>
            </w:tcBorders>
            <w:shd w:val="clear" w:color="auto" w:fill="auto"/>
            <w:noWrap/>
            <w:vAlign w:val="center"/>
            <w:hideMark/>
          </w:tcPr>
          <w:p w14:paraId="06E0BB45" w14:textId="77777777" w:rsidR="00207072" w:rsidRPr="006C7B74" w:rsidRDefault="00207072" w:rsidP="00207072">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3.0</w:t>
            </w:r>
          </w:p>
        </w:tc>
        <w:tc>
          <w:tcPr>
            <w:tcW w:w="950" w:type="pct"/>
            <w:tcBorders>
              <w:top w:val="nil"/>
              <w:left w:val="nil"/>
              <w:bottom w:val="single" w:sz="8" w:space="0" w:color="4D446C"/>
              <w:right w:val="nil"/>
            </w:tcBorders>
            <w:shd w:val="clear" w:color="auto" w:fill="auto"/>
            <w:noWrap/>
            <w:vAlign w:val="center"/>
            <w:hideMark/>
          </w:tcPr>
          <w:p w14:paraId="767D0B26" w14:textId="77777777" w:rsidR="00207072" w:rsidRPr="006C7B74" w:rsidRDefault="00207072" w:rsidP="00207072">
            <w:pPr>
              <w:jc w:val="center"/>
              <w:rPr>
                <w:rFonts w:ascii="Calibri" w:hAnsi="Calibri" w:cs="Calibri"/>
                <w:color w:val="363534"/>
                <w:sz w:val="18"/>
                <w:szCs w:val="18"/>
                <w:lang w:eastAsia="en-AU"/>
              </w:rPr>
            </w:pPr>
            <w:r w:rsidRPr="006C7B74">
              <w:rPr>
                <w:rFonts w:ascii="Calibri" w:hAnsi="Calibri" w:cs="Calibri"/>
                <w:color w:val="363534"/>
                <w:sz w:val="18"/>
                <w:szCs w:val="18"/>
                <w:lang w:eastAsia="en-AU"/>
              </w:rPr>
              <w:t>6.8</w:t>
            </w:r>
          </w:p>
        </w:tc>
      </w:tr>
      <w:tr w:rsidR="00207072" w:rsidRPr="006C7B74" w14:paraId="34ACA97D" w14:textId="77777777" w:rsidTr="00DC580D">
        <w:trPr>
          <w:trHeight w:val="315"/>
        </w:trPr>
        <w:tc>
          <w:tcPr>
            <w:tcW w:w="2147" w:type="pct"/>
            <w:tcBorders>
              <w:top w:val="nil"/>
              <w:left w:val="nil"/>
              <w:bottom w:val="single" w:sz="8" w:space="0" w:color="4D446C"/>
              <w:right w:val="nil"/>
            </w:tcBorders>
            <w:shd w:val="clear" w:color="auto" w:fill="auto"/>
            <w:noWrap/>
            <w:vAlign w:val="center"/>
            <w:hideMark/>
          </w:tcPr>
          <w:p w14:paraId="42884E64" w14:textId="77777777" w:rsidR="00207072" w:rsidRPr="006C7B74" w:rsidRDefault="00207072" w:rsidP="00207072">
            <w:pPr>
              <w:rPr>
                <w:rFonts w:ascii="Calibri" w:hAnsi="Calibri" w:cs="Calibri"/>
                <w:b/>
                <w:bCs/>
                <w:color w:val="000000"/>
                <w:sz w:val="18"/>
                <w:szCs w:val="18"/>
                <w:lang w:eastAsia="en-AU"/>
              </w:rPr>
            </w:pPr>
            <w:r w:rsidRPr="006C7B74">
              <w:rPr>
                <w:rFonts w:ascii="Calibri" w:hAnsi="Calibri" w:cs="Calibri"/>
                <w:b/>
                <w:bCs/>
                <w:color w:val="000000"/>
                <w:sz w:val="18"/>
                <w:szCs w:val="18"/>
                <w:lang w:eastAsia="en-AU"/>
              </w:rPr>
              <w:t>Southern Region</w:t>
            </w:r>
          </w:p>
        </w:tc>
        <w:tc>
          <w:tcPr>
            <w:tcW w:w="951" w:type="pct"/>
            <w:tcBorders>
              <w:top w:val="nil"/>
              <w:left w:val="nil"/>
              <w:bottom w:val="single" w:sz="8" w:space="0" w:color="4D446C"/>
              <w:right w:val="nil"/>
            </w:tcBorders>
            <w:shd w:val="clear" w:color="auto" w:fill="auto"/>
            <w:noWrap/>
            <w:vAlign w:val="center"/>
            <w:hideMark/>
          </w:tcPr>
          <w:p w14:paraId="023432D7" w14:textId="77777777" w:rsidR="00207072" w:rsidRPr="006C7B74" w:rsidRDefault="00207072" w:rsidP="00207072">
            <w:pPr>
              <w:jc w:val="center"/>
              <w:rPr>
                <w:rFonts w:ascii="Calibri" w:hAnsi="Calibri" w:cs="Calibri"/>
                <w:b/>
                <w:bCs/>
                <w:color w:val="363534"/>
                <w:sz w:val="18"/>
                <w:szCs w:val="18"/>
                <w:lang w:eastAsia="en-AU"/>
              </w:rPr>
            </w:pPr>
            <w:r w:rsidRPr="006C7B74">
              <w:rPr>
                <w:rFonts w:ascii="Calibri" w:hAnsi="Calibri" w:cs="Calibri"/>
                <w:b/>
                <w:bCs/>
                <w:color w:val="363534"/>
                <w:sz w:val="18"/>
                <w:szCs w:val="18"/>
                <w:lang w:eastAsia="en-AU"/>
              </w:rPr>
              <w:t>102.0</w:t>
            </w:r>
          </w:p>
        </w:tc>
        <w:tc>
          <w:tcPr>
            <w:tcW w:w="951" w:type="pct"/>
            <w:tcBorders>
              <w:top w:val="nil"/>
              <w:left w:val="nil"/>
              <w:bottom w:val="single" w:sz="8" w:space="0" w:color="4D446C"/>
              <w:right w:val="nil"/>
            </w:tcBorders>
            <w:shd w:val="clear" w:color="auto" w:fill="auto"/>
            <w:noWrap/>
            <w:vAlign w:val="center"/>
            <w:hideMark/>
          </w:tcPr>
          <w:p w14:paraId="278F13C9" w14:textId="77777777" w:rsidR="00207072" w:rsidRPr="006C7B74" w:rsidRDefault="00207072" w:rsidP="00207072">
            <w:pPr>
              <w:jc w:val="center"/>
              <w:rPr>
                <w:rFonts w:ascii="Calibri" w:hAnsi="Calibri" w:cs="Calibri"/>
                <w:b/>
                <w:bCs/>
                <w:color w:val="363534"/>
                <w:sz w:val="18"/>
                <w:szCs w:val="18"/>
                <w:lang w:eastAsia="en-AU"/>
              </w:rPr>
            </w:pPr>
            <w:r w:rsidRPr="006C7B74">
              <w:rPr>
                <w:rFonts w:ascii="Calibri" w:hAnsi="Calibri" w:cs="Calibri"/>
                <w:b/>
                <w:bCs/>
                <w:color w:val="363534"/>
                <w:sz w:val="18"/>
                <w:szCs w:val="18"/>
                <w:lang w:eastAsia="en-AU"/>
              </w:rPr>
              <w:t>109.3</w:t>
            </w:r>
          </w:p>
        </w:tc>
        <w:tc>
          <w:tcPr>
            <w:tcW w:w="950" w:type="pct"/>
            <w:tcBorders>
              <w:top w:val="nil"/>
              <w:left w:val="nil"/>
              <w:bottom w:val="single" w:sz="8" w:space="0" w:color="4D446C"/>
              <w:right w:val="nil"/>
            </w:tcBorders>
            <w:shd w:val="clear" w:color="auto" w:fill="auto"/>
            <w:noWrap/>
            <w:vAlign w:val="center"/>
            <w:hideMark/>
          </w:tcPr>
          <w:p w14:paraId="36F6C9E8" w14:textId="77777777" w:rsidR="00207072" w:rsidRPr="006C7B74" w:rsidRDefault="00207072" w:rsidP="00207072">
            <w:pPr>
              <w:jc w:val="center"/>
              <w:rPr>
                <w:rFonts w:ascii="Calibri" w:hAnsi="Calibri" w:cs="Calibri"/>
                <w:b/>
                <w:bCs/>
                <w:color w:val="363534"/>
                <w:sz w:val="18"/>
                <w:szCs w:val="18"/>
                <w:lang w:eastAsia="en-AU"/>
              </w:rPr>
            </w:pPr>
            <w:r w:rsidRPr="006C7B74">
              <w:rPr>
                <w:rFonts w:ascii="Calibri" w:hAnsi="Calibri" w:cs="Calibri"/>
                <w:b/>
                <w:bCs/>
                <w:color w:val="363534"/>
                <w:sz w:val="18"/>
                <w:szCs w:val="18"/>
                <w:lang w:eastAsia="en-AU"/>
              </w:rPr>
              <w:t>110.2</w:t>
            </w:r>
          </w:p>
        </w:tc>
      </w:tr>
      <w:tr w:rsidR="00207072" w:rsidRPr="006C7B74" w14:paraId="30FFF3C1" w14:textId="77777777" w:rsidTr="00DC580D">
        <w:trPr>
          <w:trHeight w:val="315"/>
        </w:trPr>
        <w:tc>
          <w:tcPr>
            <w:tcW w:w="2147" w:type="pct"/>
            <w:tcBorders>
              <w:top w:val="nil"/>
              <w:left w:val="nil"/>
              <w:bottom w:val="single" w:sz="8" w:space="0" w:color="4D446C"/>
              <w:right w:val="nil"/>
            </w:tcBorders>
            <w:shd w:val="clear" w:color="auto" w:fill="auto"/>
            <w:noWrap/>
            <w:vAlign w:val="center"/>
            <w:hideMark/>
          </w:tcPr>
          <w:p w14:paraId="5EEF02F0" w14:textId="77777777" w:rsidR="00207072" w:rsidRPr="006C7B74" w:rsidRDefault="00207072" w:rsidP="00207072">
            <w:pPr>
              <w:rPr>
                <w:rFonts w:ascii="Calibri" w:hAnsi="Calibri" w:cs="Calibri"/>
                <w:i/>
                <w:iCs/>
                <w:color w:val="000000"/>
                <w:sz w:val="18"/>
                <w:szCs w:val="18"/>
                <w:lang w:eastAsia="en-AU"/>
              </w:rPr>
            </w:pPr>
            <w:r w:rsidRPr="006C7B74">
              <w:rPr>
                <w:rFonts w:ascii="Calibri" w:hAnsi="Calibri" w:cs="Calibri"/>
                <w:i/>
                <w:iCs/>
                <w:color w:val="000000"/>
                <w:sz w:val="18"/>
                <w:szCs w:val="18"/>
                <w:lang w:eastAsia="en-AU"/>
              </w:rPr>
              <w:t>Southern SSIP</w:t>
            </w:r>
          </w:p>
        </w:tc>
        <w:tc>
          <w:tcPr>
            <w:tcW w:w="951" w:type="pct"/>
            <w:tcBorders>
              <w:top w:val="nil"/>
              <w:left w:val="nil"/>
              <w:bottom w:val="single" w:sz="8" w:space="0" w:color="4D446C"/>
              <w:right w:val="nil"/>
            </w:tcBorders>
            <w:shd w:val="clear" w:color="auto" w:fill="auto"/>
            <w:noWrap/>
            <w:vAlign w:val="center"/>
            <w:hideMark/>
          </w:tcPr>
          <w:p w14:paraId="1250ABEC" w14:textId="77777777" w:rsidR="00207072" w:rsidRPr="006C7B74" w:rsidRDefault="00207072" w:rsidP="00207072">
            <w:pPr>
              <w:jc w:val="center"/>
              <w:rPr>
                <w:rFonts w:ascii="Calibri" w:hAnsi="Calibri" w:cs="Calibri"/>
                <w:i/>
                <w:iCs/>
                <w:color w:val="363534"/>
                <w:sz w:val="18"/>
                <w:szCs w:val="18"/>
                <w:lang w:eastAsia="en-AU"/>
              </w:rPr>
            </w:pPr>
            <w:r w:rsidRPr="006C7B74">
              <w:rPr>
                <w:rFonts w:ascii="Calibri" w:hAnsi="Calibri" w:cs="Calibri"/>
                <w:i/>
                <w:iCs/>
                <w:color w:val="363534"/>
                <w:sz w:val="18"/>
                <w:szCs w:val="18"/>
                <w:lang w:eastAsia="en-AU"/>
              </w:rPr>
              <w:t>55.9</w:t>
            </w:r>
          </w:p>
        </w:tc>
        <w:tc>
          <w:tcPr>
            <w:tcW w:w="951" w:type="pct"/>
            <w:tcBorders>
              <w:top w:val="nil"/>
              <w:left w:val="nil"/>
              <w:bottom w:val="single" w:sz="8" w:space="0" w:color="4D446C"/>
              <w:right w:val="nil"/>
            </w:tcBorders>
            <w:shd w:val="clear" w:color="auto" w:fill="auto"/>
            <w:noWrap/>
            <w:vAlign w:val="center"/>
            <w:hideMark/>
          </w:tcPr>
          <w:p w14:paraId="3BE04471" w14:textId="77777777" w:rsidR="00207072" w:rsidRPr="006C7B74" w:rsidRDefault="00207072" w:rsidP="00207072">
            <w:pPr>
              <w:jc w:val="center"/>
              <w:rPr>
                <w:rFonts w:ascii="Calibri" w:hAnsi="Calibri" w:cs="Calibri"/>
                <w:i/>
                <w:iCs/>
                <w:color w:val="363534"/>
                <w:sz w:val="18"/>
                <w:szCs w:val="18"/>
                <w:lang w:eastAsia="en-AU"/>
              </w:rPr>
            </w:pPr>
            <w:r w:rsidRPr="006C7B74">
              <w:rPr>
                <w:rFonts w:ascii="Calibri" w:hAnsi="Calibri" w:cs="Calibri"/>
                <w:i/>
                <w:iCs/>
                <w:color w:val="363534"/>
                <w:sz w:val="18"/>
                <w:szCs w:val="18"/>
                <w:lang w:eastAsia="en-AU"/>
              </w:rPr>
              <w:t>71.4</w:t>
            </w:r>
          </w:p>
        </w:tc>
        <w:tc>
          <w:tcPr>
            <w:tcW w:w="950" w:type="pct"/>
            <w:tcBorders>
              <w:top w:val="nil"/>
              <w:left w:val="nil"/>
              <w:bottom w:val="single" w:sz="8" w:space="0" w:color="4D446C"/>
              <w:right w:val="nil"/>
            </w:tcBorders>
            <w:shd w:val="clear" w:color="auto" w:fill="auto"/>
            <w:noWrap/>
            <w:vAlign w:val="center"/>
            <w:hideMark/>
          </w:tcPr>
          <w:p w14:paraId="25AE765F" w14:textId="77777777" w:rsidR="00207072" w:rsidRPr="006C7B74" w:rsidRDefault="00207072" w:rsidP="00207072">
            <w:pPr>
              <w:jc w:val="center"/>
              <w:rPr>
                <w:rFonts w:ascii="Calibri" w:hAnsi="Calibri" w:cs="Calibri"/>
                <w:i/>
                <w:iCs/>
                <w:color w:val="363534"/>
                <w:sz w:val="18"/>
                <w:szCs w:val="18"/>
                <w:lang w:eastAsia="en-AU"/>
              </w:rPr>
            </w:pPr>
            <w:r w:rsidRPr="006C7B74">
              <w:rPr>
                <w:rFonts w:ascii="Calibri" w:hAnsi="Calibri" w:cs="Calibri"/>
                <w:i/>
                <w:iCs/>
                <w:color w:val="363534"/>
                <w:sz w:val="18"/>
                <w:szCs w:val="18"/>
                <w:lang w:eastAsia="en-AU"/>
              </w:rPr>
              <w:t>63.3</w:t>
            </w:r>
          </w:p>
        </w:tc>
      </w:tr>
      <w:tr w:rsidR="00207072" w:rsidRPr="006C7B74" w14:paraId="5DBD2D12" w14:textId="77777777" w:rsidTr="00DC580D">
        <w:trPr>
          <w:trHeight w:val="315"/>
        </w:trPr>
        <w:tc>
          <w:tcPr>
            <w:tcW w:w="2147" w:type="pct"/>
            <w:tcBorders>
              <w:top w:val="nil"/>
              <w:left w:val="nil"/>
              <w:bottom w:val="single" w:sz="8" w:space="0" w:color="4D446C"/>
              <w:right w:val="nil"/>
            </w:tcBorders>
            <w:shd w:val="clear" w:color="auto" w:fill="auto"/>
            <w:noWrap/>
            <w:vAlign w:val="center"/>
            <w:hideMark/>
          </w:tcPr>
          <w:p w14:paraId="6636F366" w14:textId="1400F02C" w:rsidR="00207072" w:rsidRPr="006C7B74" w:rsidRDefault="00207072" w:rsidP="00207072">
            <w:pPr>
              <w:rPr>
                <w:rFonts w:ascii="Calibri" w:hAnsi="Calibri" w:cs="Calibri"/>
                <w:i/>
                <w:iCs/>
                <w:color w:val="000000"/>
                <w:sz w:val="18"/>
                <w:szCs w:val="18"/>
                <w:lang w:eastAsia="en-AU"/>
              </w:rPr>
            </w:pPr>
            <w:r w:rsidRPr="006C7B74">
              <w:rPr>
                <w:rFonts w:ascii="Calibri" w:hAnsi="Calibri" w:cs="Calibri"/>
                <w:i/>
                <w:iCs/>
                <w:color w:val="000000"/>
                <w:sz w:val="18"/>
                <w:szCs w:val="18"/>
                <w:lang w:eastAsia="en-AU"/>
              </w:rPr>
              <w:t>Officer</w:t>
            </w:r>
            <w:r w:rsidR="002E196B" w:rsidRPr="006C7B74">
              <w:rPr>
                <w:rFonts w:ascii="Calibri" w:hAnsi="Calibri" w:cs="Calibri"/>
                <w:i/>
                <w:iCs/>
                <w:color w:val="000000"/>
                <w:sz w:val="18"/>
                <w:szCs w:val="18"/>
                <w:lang w:eastAsia="en-AU"/>
              </w:rPr>
              <w:t>-</w:t>
            </w:r>
            <w:r w:rsidRPr="006C7B74">
              <w:rPr>
                <w:rFonts w:ascii="Calibri" w:hAnsi="Calibri" w:cs="Calibri"/>
                <w:i/>
                <w:iCs/>
                <w:color w:val="000000"/>
                <w:sz w:val="18"/>
                <w:szCs w:val="18"/>
                <w:lang w:eastAsia="en-AU"/>
              </w:rPr>
              <w:t>Pakenham SSIP</w:t>
            </w:r>
          </w:p>
        </w:tc>
        <w:tc>
          <w:tcPr>
            <w:tcW w:w="951" w:type="pct"/>
            <w:tcBorders>
              <w:top w:val="nil"/>
              <w:left w:val="nil"/>
              <w:bottom w:val="single" w:sz="8" w:space="0" w:color="4D446C"/>
              <w:right w:val="nil"/>
            </w:tcBorders>
            <w:shd w:val="clear" w:color="auto" w:fill="auto"/>
            <w:noWrap/>
            <w:vAlign w:val="center"/>
            <w:hideMark/>
          </w:tcPr>
          <w:p w14:paraId="65248A69" w14:textId="77777777" w:rsidR="00207072" w:rsidRPr="006C7B74" w:rsidRDefault="00207072" w:rsidP="00207072">
            <w:pPr>
              <w:jc w:val="center"/>
              <w:rPr>
                <w:rFonts w:ascii="Calibri" w:hAnsi="Calibri" w:cs="Calibri"/>
                <w:i/>
                <w:iCs/>
                <w:color w:val="363534"/>
                <w:sz w:val="18"/>
                <w:szCs w:val="18"/>
                <w:lang w:eastAsia="en-AU"/>
              </w:rPr>
            </w:pPr>
            <w:r w:rsidRPr="006C7B74">
              <w:rPr>
                <w:rFonts w:ascii="Calibri" w:hAnsi="Calibri" w:cs="Calibri"/>
                <w:i/>
                <w:iCs/>
                <w:color w:val="363534"/>
                <w:sz w:val="18"/>
                <w:szCs w:val="18"/>
                <w:lang w:eastAsia="en-AU"/>
              </w:rPr>
              <w:t>15.5</w:t>
            </w:r>
          </w:p>
        </w:tc>
        <w:tc>
          <w:tcPr>
            <w:tcW w:w="951" w:type="pct"/>
            <w:tcBorders>
              <w:top w:val="nil"/>
              <w:left w:val="nil"/>
              <w:bottom w:val="single" w:sz="8" w:space="0" w:color="4D446C"/>
              <w:right w:val="nil"/>
            </w:tcBorders>
            <w:shd w:val="clear" w:color="auto" w:fill="auto"/>
            <w:noWrap/>
            <w:vAlign w:val="center"/>
            <w:hideMark/>
          </w:tcPr>
          <w:p w14:paraId="45DECFBC" w14:textId="77777777" w:rsidR="00207072" w:rsidRPr="006C7B74" w:rsidRDefault="00207072" w:rsidP="00207072">
            <w:pPr>
              <w:jc w:val="center"/>
              <w:rPr>
                <w:rFonts w:ascii="Calibri" w:hAnsi="Calibri" w:cs="Calibri"/>
                <w:i/>
                <w:iCs/>
                <w:color w:val="363534"/>
                <w:sz w:val="18"/>
                <w:szCs w:val="18"/>
                <w:lang w:eastAsia="en-AU"/>
              </w:rPr>
            </w:pPr>
            <w:r w:rsidRPr="006C7B74">
              <w:rPr>
                <w:rFonts w:ascii="Calibri" w:hAnsi="Calibri" w:cs="Calibri"/>
                <w:i/>
                <w:iCs/>
                <w:color w:val="363534"/>
                <w:sz w:val="18"/>
                <w:szCs w:val="18"/>
                <w:lang w:eastAsia="en-AU"/>
              </w:rPr>
              <w:t>12.4</w:t>
            </w:r>
          </w:p>
        </w:tc>
        <w:tc>
          <w:tcPr>
            <w:tcW w:w="950" w:type="pct"/>
            <w:tcBorders>
              <w:top w:val="nil"/>
              <w:left w:val="nil"/>
              <w:bottom w:val="single" w:sz="8" w:space="0" w:color="4D446C"/>
              <w:right w:val="nil"/>
            </w:tcBorders>
            <w:shd w:val="clear" w:color="auto" w:fill="auto"/>
            <w:noWrap/>
            <w:vAlign w:val="center"/>
            <w:hideMark/>
          </w:tcPr>
          <w:p w14:paraId="0FD4473A" w14:textId="77777777" w:rsidR="00207072" w:rsidRPr="006C7B74" w:rsidRDefault="00207072" w:rsidP="00207072">
            <w:pPr>
              <w:jc w:val="center"/>
              <w:rPr>
                <w:rFonts w:ascii="Calibri" w:hAnsi="Calibri" w:cs="Calibri"/>
                <w:i/>
                <w:iCs/>
                <w:color w:val="363534"/>
                <w:sz w:val="18"/>
                <w:szCs w:val="18"/>
                <w:lang w:eastAsia="en-AU"/>
              </w:rPr>
            </w:pPr>
            <w:r w:rsidRPr="006C7B74">
              <w:rPr>
                <w:rFonts w:ascii="Calibri" w:hAnsi="Calibri" w:cs="Calibri"/>
                <w:i/>
                <w:iCs/>
                <w:color w:val="363534"/>
                <w:sz w:val="18"/>
                <w:szCs w:val="18"/>
                <w:lang w:eastAsia="en-AU"/>
              </w:rPr>
              <w:t>13.9</w:t>
            </w:r>
          </w:p>
        </w:tc>
      </w:tr>
      <w:tr w:rsidR="00207072" w:rsidRPr="006C7B74" w14:paraId="1C6529B4" w14:textId="77777777" w:rsidTr="00DC580D">
        <w:trPr>
          <w:trHeight w:val="315"/>
        </w:trPr>
        <w:tc>
          <w:tcPr>
            <w:tcW w:w="2147" w:type="pct"/>
            <w:tcBorders>
              <w:top w:val="nil"/>
              <w:left w:val="nil"/>
              <w:bottom w:val="single" w:sz="8" w:space="0" w:color="4D446C"/>
              <w:right w:val="nil"/>
            </w:tcBorders>
            <w:shd w:val="clear" w:color="auto" w:fill="auto"/>
            <w:noWrap/>
            <w:vAlign w:val="center"/>
            <w:hideMark/>
          </w:tcPr>
          <w:p w14:paraId="3D7703CD" w14:textId="77777777" w:rsidR="00207072" w:rsidRPr="006C7B74" w:rsidRDefault="00207072" w:rsidP="00207072">
            <w:pPr>
              <w:rPr>
                <w:rFonts w:ascii="Calibri" w:hAnsi="Calibri" w:cs="Calibri"/>
                <w:i/>
                <w:iCs/>
                <w:color w:val="000000"/>
                <w:sz w:val="18"/>
                <w:szCs w:val="18"/>
                <w:lang w:eastAsia="en-AU"/>
              </w:rPr>
            </w:pPr>
            <w:r w:rsidRPr="006C7B74">
              <w:rPr>
                <w:rFonts w:ascii="Calibri" w:hAnsi="Calibri" w:cs="Calibri"/>
                <w:i/>
                <w:iCs/>
                <w:color w:val="000000"/>
                <w:sz w:val="18"/>
                <w:szCs w:val="18"/>
                <w:lang w:eastAsia="en-AU"/>
              </w:rPr>
              <w:t>Hastings SSIP</w:t>
            </w:r>
          </w:p>
        </w:tc>
        <w:tc>
          <w:tcPr>
            <w:tcW w:w="951" w:type="pct"/>
            <w:tcBorders>
              <w:top w:val="nil"/>
              <w:left w:val="nil"/>
              <w:bottom w:val="single" w:sz="8" w:space="0" w:color="4D446C"/>
              <w:right w:val="nil"/>
            </w:tcBorders>
            <w:shd w:val="clear" w:color="auto" w:fill="auto"/>
            <w:noWrap/>
            <w:vAlign w:val="center"/>
            <w:hideMark/>
          </w:tcPr>
          <w:p w14:paraId="19D99768" w14:textId="77777777" w:rsidR="00207072" w:rsidRPr="006C7B74" w:rsidRDefault="00207072" w:rsidP="00207072">
            <w:pPr>
              <w:jc w:val="center"/>
              <w:rPr>
                <w:rFonts w:ascii="Calibri" w:hAnsi="Calibri" w:cs="Calibri"/>
                <w:i/>
                <w:iCs/>
                <w:color w:val="363534"/>
                <w:sz w:val="18"/>
                <w:szCs w:val="18"/>
                <w:lang w:eastAsia="en-AU"/>
              </w:rPr>
            </w:pPr>
            <w:r w:rsidRPr="006C7B74">
              <w:rPr>
                <w:rFonts w:ascii="Calibri" w:hAnsi="Calibri" w:cs="Calibri"/>
                <w:i/>
                <w:iCs/>
                <w:color w:val="363534"/>
                <w:sz w:val="18"/>
                <w:szCs w:val="18"/>
                <w:lang w:eastAsia="en-AU"/>
              </w:rPr>
              <w:t>0.0</w:t>
            </w:r>
          </w:p>
        </w:tc>
        <w:tc>
          <w:tcPr>
            <w:tcW w:w="951" w:type="pct"/>
            <w:tcBorders>
              <w:top w:val="nil"/>
              <w:left w:val="nil"/>
              <w:bottom w:val="single" w:sz="8" w:space="0" w:color="4D446C"/>
              <w:right w:val="nil"/>
            </w:tcBorders>
            <w:shd w:val="clear" w:color="auto" w:fill="auto"/>
            <w:noWrap/>
            <w:vAlign w:val="center"/>
            <w:hideMark/>
          </w:tcPr>
          <w:p w14:paraId="4B9232A5" w14:textId="77777777" w:rsidR="00207072" w:rsidRPr="006C7B74" w:rsidRDefault="00207072" w:rsidP="00207072">
            <w:pPr>
              <w:jc w:val="center"/>
              <w:rPr>
                <w:rFonts w:ascii="Calibri" w:hAnsi="Calibri" w:cs="Calibri"/>
                <w:i/>
                <w:iCs/>
                <w:color w:val="363534"/>
                <w:sz w:val="18"/>
                <w:szCs w:val="18"/>
                <w:lang w:eastAsia="en-AU"/>
              </w:rPr>
            </w:pPr>
            <w:r w:rsidRPr="006C7B74">
              <w:rPr>
                <w:rFonts w:ascii="Calibri" w:hAnsi="Calibri" w:cs="Calibri"/>
                <w:i/>
                <w:iCs/>
                <w:color w:val="363534"/>
                <w:sz w:val="18"/>
                <w:szCs w:val="18"/>
                <w:lang w:eastAsia="en-AU"/>
              </w:rPr>
              <w:t>0.0</w:t>
            </w:r>
          </w:p>
        </w:tc>
        <w:tc>
          <w:tcPr>
            <w:tcW w:w="950" w:type="pct"/>
            <w:tcBorders>
              <w:top w:val="nil"/>
              <w:left w:val="nil"/>
              <w:bottom w:val="single" w:sz="8" w:space="0" w:color="4D446C"/>
              <w:right w:val="nil"/>
            </w:tcBorders>
            <w:shd w:val="clear" w:color="auto" w:fill="auto"/>
            <w:noWrap/>
            <w:vAlign w:val="center"/>
            <w:hideMark/>
          </w:tcPr>
          <w:p w14:paraId="42ADB0D1" w14:textId="77777777" w:rsidR="00207072" w:rsidRPr="006C7B74" w:rsidRDefault="00207072" w:rsidP="00207072">
            <w:pPr>
              <w:jc w:val="center"/>
              <w:rPr>
                <w:rFonts w:ascii="Calibri" w:hAnsi="Calibri" w:cs="Calibri"/>
                <w:i/>
                <w:iCs/>
                <w:color w:val="363534"/>
                <w:sz w:val="18"/>
                <w:szCs w:val="18"/>
                <w:lang w:eastAsia="en-AU"/>
              </w:rPr>
            </w:pPr>
            <w:r w:rsidRPr="006C7B74">
              <w:rPr>
                <w:rFonts w:ascii="Calibri" w:hAnsi="Calibri" w:cs="Calibri"/>
                <w:i/>
                <w:iCs/>
                <w:color w:val="363534"/>
                <w:sz w:val="18"/>
                <w:szCs w:val="18"/>
                <w:lang w:eastAsia="en-AU"/>
              </w:rPr>
              <w:t>-3.6</w:t>
            </w:r>
          </w:p>
        </w:tc>
      </w:tr>
    </w:tbl>
    <w:p w14:paraId="591C6AC7" w14:textId="6920612B" w:rsidR="00F96E2C" w:rsidRPr="006C7B74" w:rsidRDefault="00DC580D" w:rsidP="00DC580D">
      <w:pPr>
        <w:pStyle w:val="Quote"/>
        <w:rPr>
          <w:rFonts w:cstheme="minorHAnsi"/>
          <w:sz w:val="20"/>
          <w:szCs w:val="20"/>
        </w:rPr>
      </w:pPr>
      <w:r w:rsidRPr="006C7B74">
        <w:t>Source: Department of Environment, Land, Water and Planning, Urban Development Program – Melbourne Metropolitan Industrial 2018</w:t>
      </w:r>
    </w:p>
    <w:p w14:paraId="323935DA" w14:textId="16B75412" w:rsidR="00F96E2C" w:rsidRPr="006C7B74" w:rsidRDefault="00F96E2C" w:rsidP="00934C4D">
      <w:pPr>
        <w:spacing w:after="120"/>
        <w:rPr>
          <w:rFonts w:cstheme="minorHAnsi"/>
          <w:sz w:val="20"/>
          <w:szCs w:val="20"/>
        </w:rPr>
      </w:pPr>
      <w:r w:rsidRPr="006C7B74">
        <w:rPr>
          <w:rFonts w:cstheme="minorHAnsi"/>
          <w:sz w:val="20"/>
          <w:szCs w:val="20"/>
        </w:rPr>
        <w:t xml:space="preserve">Over the last </w:t>
      </w:r>
      <w:r w:rsidR="00B10E28" w:rsidRPr="006C7B74">
        <w:rPr>
          <w:rFonts w:cstheme="minorHAnsi"/>
          <w:sz w:val="20"/>
          <w:szCs w:val="20"/>
        </w:rPr>
        <w:t>three</w:t>
      </w:r>
      <w:r w:rsidRPr="006C7B74">
        <w:rPr>
          <w:rFonts w:cstheme="minorHAnsi"/>
          <w:sz w:val="20"/>
          <w:szCs w:val="20"/>
        </w:rPr>
        <w:t xml:space="preserve"> years, the average rate of consumption of industrial land in the region has been </w:t>
      </w:r>
      <w:r w:rsidR="00016D70" w:rsidRPr="006C7B74">
        <w:rPr>
          <w:rFonts w:cstheme="minorHAnsi"/>
          <w:sz w:val="20"/>
          <w:szCs w:val="20"/>
        </w:rPr>
        <w:t>107</w:t>
      </w:r>
      <w:r w:rsidRPr="006C7B74">
        <w:rPr>
          <w:rFonts w:cstheme="minorHAnsi"/>
          <w:sz w:val="20"/>
          <w:szCs w:val="20"/>
        </w:rPr>
        <w:t xml:space="preserve"> hectares per annum. </w:t>
      </w:r>
      <w:r w:rsidR="004C2A57" w:rsidRPr="006C7B74">
        <w:rPr>
          <w:rFonts w:cstheme="minorHAnsi"/>
          <w:sz w:val="20"/>
          <w:szCs w:val="20"/>
        </w:rPr>
        <w:t>Consumption rates have been</w:t>
      </w:r>
      <w:r w:rsidR="007B67BA" w:rsidRPr="006C7B74">
        <w:rPr>
          <w:rFonts w:cstheme="minorHAnsi"/>
          <w:sz w:val="20"/>
          <w:szCs w:val="20"/>
        </w:rPr>
        <w:t xml:space="preserve"> </w:t>
      </w:r>
      <w:r w:rsidR="004C2A57" w:rsidRPr="006C7B74">
        <w:rPr>
          <w:rFonts w:cstheme="minorHAnsi"/>
          <w:sz w:val="20"/>
          <w:szCs w:val="20"/>
        </w:rPr>
        <w:t>higher than this over the last two years</w:t>
      </w:r>
      <w:r w:rsidR="007A71FA" w:rsidRPr="006C7B74">
        <w:rPr>
          <w:rFonts w:cstheme="minorHAnsi"/>
          <w:sz w:val="20"/>
          <w:szCs w:val="20"/>
        </w:rPr>
        <w:t xml:space="preserve"> </w:t>
      </w:r>
      <w:r w:rsidRPr="006C7B74">
        <w:rPr>
          <w:rFonts w:cstheme="minorHAnsi"/>
          <w:sz w:val="20"/>
          <w:szCs w:val="20"/>
        </w:rPr>
        <w:t>and during the period 201</w:t>
      </w:r>
      <w:r w:rsidR="00997FFD" w:rsidRPr="006C7B74">
        <w:rPr>
          <w:rFonts w:cstheme="minorHAnsi"/>
          <w:sz w:val="20"/>
          <w:szCs w:val="20"/>
        </w:rPr>
        <w:t>7</w:t>
      </w:r>
      <w:r w:rsidR="007A71FA" w:rsidRPr="006C7B74">
        <w:rPr>
          <w:rFonts w:cstheme="minorHAnsi"/>
          <w:sz w:val="20"/>
          <w:szCs w:val="20"/>
        </w:rPr>
        <w:t>-</w:t>
      </w:r>
      <w:r w:rsidRPr="006C7B74">
        <w:rPr>
          <w:rFonts w:cstheme="minorHAnsi"/>
          <w:sz w:val="20"/>
          <w:szCs w:val="20"/>
        </w:rPr>
        <w:t>1</w:t>
      </w:r>
      <w:r w:rsidR="00997FFD" w:rsidRPr="006C7B74">
        <w:rPr>
          <w:rFonts w:cstheme="minorHAnsi"/>
          <w:sz w:val="20"/>
          <w:szCs w:val="20"/>
        </w:rPr>
        <w:t>8</w:t>
      </w:r>
      <w:r w:rsidRPr="006C7B74">
        <w:rPr>
          <w:rFonts w:cstheme="minorHAnsi"/>
          <w:sz w:val="20"/>
          <w:szCs w:val="20"/>
        </w:rPr>
        <w:t xml:space="preserve"> was at 1</w:t>
      </w:r>
      <w:r w:rsidR="00997FFD" w:rsidRPr="006C7B74">
        <w:rPr>
          <w:rFonts w:cstheme="minorHAnsi"/>
          <w:sz w:val="20"/>
          <w:szCs w:val="20"/>
        </w:rPr>
        <w:t>10</w:t>
      </w:r>
      <w:r w:rsidRPr="006C7B74">
        <w:rPr>
          <w:rFonts w:cstheme="minorHAnsi"/>
          <w:sz w:val="20"/>
          <w:szCs w:val="20"/>
        </w:rPr>
        <w:t xml:space="preserve"> hectares</w:t>
      </w:r>
      <w:r w:rsidR="00A16286" w:rsidRPr="006C7B74">
        <w:rPr>
          <w:rFonts w:cstheme="minorHAnsi"/>
          <w:sz w:val="20"/>
          <w:szCs w:val="20"/>
        </w:rPr>
        <w:t>. A</w:t>
      </w:r>
      <w:r w:rsidR="00123E0D" w:rsidRPr="006C7B74">
        <w:rPr>
          <w:rFonts w:cstheme="minorHAnsi"/>
          <w:sz w:val="20"/>
          <w:szCs w:val="20"/>
        </w:rPr>
        <w:t>lmost</w:t>
      </w:r>
      <w:r w:rsidR="00D20D7F" w:rsidRPr="006C7B74">
        <w:rPr>
          <w:rFonts w:cstheme="minorHAnsi"/>
          <w:sz w:val="20"/>
          <w:szCs w:val="20"/>
        </w:rPr>
        <w:t xml:space="preserve"> </w:t>
      </w:r>
      <w:r w:rsidR="00BC0DE9" w:rsidRPr="006C7B74">
        <w:rPr>
          <w:rFonts w:cstheme="minorHAnsi"/>
          <w:sz w:val="20"/>
          <w:szCs w:val="20"/>
        </w:rPr>
        <w:t xml:space="preserve">60 per cent of this </w:t>
      </w:r>
      <w:r w:rsidR="001313A5" w:rsidRPr="006C7B74">
        <w:rPr>
          <w:rFonts w:cstheme="minorHAnsi"/>
          <w:sz w:val="20"/>
          <w:szCs w:val="20"/>
        </w:rPr>
        <w:t>consumption</w:t>
      </w:r>
      <w:r w:rsidR="00BC0DE9" w:rsidRPr="006C7B74">
        <w:rPr>
          <w:rFonts w:cstheme="minorHAnsi"/>
          <w:sz w:val="20"/>
          <w:szCs w:val="20"/>
        </w:rPr>
        <w:t xml:space="preserve"> occurr</w:t>
      </w:r>
      <w:r w:rsidR="001313A5" w:rsidRPr="006C7B74">
        <w:rPr>
          <w:rFonts w:cstheme="minorHAnsi"/>
          <w:sz w:val="20"/>
          <w:szCs w:val="20"/>
        </w:rPr>
        <w:t>ed</w:t>
      </w:r>
      <w:r w:rsidRPr="006C7B74">
        <w:rPr>
          <w:rFonts w:cstheme="minorHAnsi"/>
          <w:sz w:val="20"/>
          <w:szCs w:val="20"/>
        </w:rPr>
        <w:t xml:space="preserve"> within the </w:t>
      </w:r>
      <w:r w:rsidR="00BC0DE9" w:rsidRPr="006C7B74">
        <w:rPr>
          <w:rFonts w:cstheme="minorHAnsi"/>
          <w:sz w:val="20"/>
          <w:szCs w:val="20"/>
        </w:rPr>
        <w:t xml:space="preserve">Southern </w:t>
      </w:r>
      <w:r w:rsidRPr="006C7B74">
        <w:rPr>
          <w:rFonts w:cstheme="minorHAnsi"/>
          <w:sz w:val="20"/>
          <w:szCs w:val="20"/>
        </w:rPr>
        <w:t>SSIP (</w:t>
      </w:r>
      <w:r w:rsidR="00FA0C0B" w:rsidRPr="006C7B74">
        <w:rPr>
          <w:rFonts w:cstheme="minorHAnsi"/>
          <w:sz w:val="20"/>
          <w:szCs w:val="20"/>
        </w:rPr>
        <w:t>63</w:t>
      </w:r>
      <w:r w:rsidRPr="006C7B74">
        <w:rPr>
          <w:rFonts w:cstheme="minorHAnsi"/>
          <w:sz w:val="20"/>
          <w:szCs w:val="20"/>
        </w:rPr>
        <w:t xml:space="preserve"> h</w:t>
      </w:r>
      <w:r w:rsidR="00FA0C0B" w:rsidRPr="006C7B74">
        <w:rPr>
          <w:rFonts w:cstheme="minorHAnsi"/>
          <w:sz w:val="20"/>
          <w:szCs w:val="20"/>
        </w:rPr>
        <w:t>ect</w:t>
      </w:r>
      <w:r w:rsidR="00DA731D" w:rsidRPr="006C7B74">
        <w:rPr>
          <w:rFonts w:cstheme="minorHAnsi"/>
          <w:sz w:val="20"/>
          <w:szCs w:val="20"/>
        </w:rPr>
        <w:t>a</w:t>
      </w:r>
      <w:r w:rsidR="00FA0C0B" w:rsidRPr="006C7B74">
        <w:rPr>
          <w:rFonts w:cstheme="minorHAnsi"/>
          <w:sz w:val="20"/>
          <w:szCs w:val="20"/>
        </w:rPr>
        <w:t>res</w:t>
      </w:r>
      <w:r w:rsidRPr="006C7B74">
        <w:rPr>
          <w:rFonts w:cstheme="minorHAnsi"/>
          <w:sz w:val="20"/>
          <w:szCs w:val="20"/>
        </w:rPr>
        <w:t xml:space="preserve">). </w:t>
      </w:r>
    </w:p>
    <w:p w14:paraId="6B917942" w14:textId="102361A8" w:rsidR="004C3B36" w:rsidRPr="006C7B74" w:rsidRDefault="00F96E2C" w:rsidP="00B15291">
      <w:pPr>
        <w:spacing w:after="120"/>
        <w:rPr>
          <w:rFonts w:cstheme="minorHAnsi"/>
          <w:sz w:val="20"/>
          <w:szCs w:val="20"/>
        </w:rPr>
      </w:pPr>
      <w:r w:rsidRPr="006C7B74">
        <w:rPr>
          <w:rFonts w:cstheme="minorHAnsi"/>
          <w:sz w:val="20"/>
          <w:szCs w:val="20"/>
        </w:rPr>
        <w:t xml:space="preserve">If consumption rates remain at </w:t>
      </w:r>
      <w:r w:rsidR="007E55D0" w:rsidRPr="006C7B74">
        <w:rPr>
          <w:rFonts w:cstheme="minorHAnsi"/>
          <w:sz w:val="20"/>
          <w:szCs w:val="20"/>
        </w:rPr>
        <w:t xml:space="preserve">last year’s </w:t>
      </w:r>
      <w:r w:rsidRPr="006C7B74">
        <w:rPr>
          <w:rFonts w:cstheme="minorHAnsi"/>
          <w:sz w:val="20"/>
          <w:szCs w:val="20"/>
        </w:rPr>
        <w:t xml:space="preserve">level, it is anticipated that the region as a whole has approximately </w:t>
      </w:r>
      <w:r w:rsidR="00CA401A" w:rsidRPr="006C7B74">
        <w:rPr>
          <w:rFonts w:cstheme="minorHAnsi"/>
          <w:sz w:val="20"/>
          <w:szCs w:val="20"/>
        </w:rPr>
        <w:t>2</w:t>
      </w:r>
      <w:r w:rsidR="00CC663D" w:rsidRPr="006C7B74">
        <w:rPr>
          <w:rFonts w:cstheme="minorHAnsi"/>
          <w:sz w:val="20"/>
          <w:szCs w:val="20"/>
        </w:rPr>
        <w:t>1</w:t>
      </w:r>
      <w:r w:rsidR="00CA401A" w:rsidRPr="006C7B74">
        <w:rPr>
          <w:rFonts w:cstheme="minorHAnsi"/>
          <w:sz w:val="20"/>
          <w:szCs w:val="20"/>
        </w:rPr>
        <w:t xml:space="preserve"> </w:t>
      </w:r>
      <w:r w:rsidRPr="006C7B74">
        <w:rPr>
          <w:rFonts w:cstheme="minorHAnsi"/>
          <w:sz w:val="20"/>
          <w:szCs w:val="20"/>
        </w:rPr>
        <w:t xml:space="preserve">years supply of zoned industrial land. </w:t>
      </w:r>
      <w:r w:rsidR="00726110" w:rsidRPr="006C7B74">
        <w:rPr>
          <w:rFonts w:cstheme="minorHAnsi"/>
          <w:sz w:val="20"/>
          <w:szCs w:val="20"/>
        </w:rPr>
        <w:t xml:space="preserve">If land in Mornington Peninsula zoned Special Use Zone 1 is removed from supply, there would be </w:t>
      </w:r>
      <w:r w:rsidR="00CB081B" w:rsidRPr="006C7B74">
        <w:rPr>
          <w:rFonts w:cstheme="minorHAnsi"/>
          <w:sz w:val="20"/>
          <w:szCs w:val="20"/>
        </w:rPr>
        <w:t>just over 1</w:t>
      </w:r>
      <w:r w:rsidR="002B2473" w:rsidRPr="006C7B74">
        <w:rPr>
          <w:rFonts w:cstheme="minorHAnsi"/>
          <w:sz w:val="20"/>
          <w:szCs w:val="20"/>
        </w:rPr>
        <w:t>2</w:t>
      </w:r>
      <w:r w:rsidR="00CB081B" w:rsidRPr="006C7B74">
        <w:rPr>
          <w:rFonts w:cstheme="minorHAnsi"/>
          <w:sz w:val="20"/>
          <w:szCs w:val="20"/>
        </w:rPr>
        <w:t xml:space="preserve"> years supply of zoned </w:t>
      </w:r>
      <w:r w:rsidR="00E820C4" w:rsidRPr="006C7B74">
        <w:rPr>
          <w:rFonts w:cstheme="minorHAnsi"/>
          <w:sz w:val="20"/>
          <w:szCs w:val="20"/>
        </w:rPr>
        <w:t>industrial land.</w:t>
      </w:r>
      <w:r w:rsidR="00726110" w:rsidRPr="006C7B74">
        <w:rPr>
          <w:rFonts w:cstheme="minorHAnsi"/>
          <w:sz w:val="20"/>
          <w:szCs w:val="20"/>
        </w:rPr>
        <w:t xml:space="preserve"> </w:t>
      </w:r>
    </w:p>
    <w:p w14:paraId="1DBDDD8A" w14:textId="6EE4F561" w:rsidR="00F96E2C" w:rsidRPr="006C7B74" w:rsidRDefault="00F96E2C" w:rsidP="00B15291">
      <w:pPr>
        <w:spacing w:after="120"/>
        <w:rPr>
          <w:rFonts w:cstheme="minorHAnsi"/>
          <w:sz w:val="20"/>
          <w:szCs w:val="20"/>
        </w:rPr>
      </w:pPr>
      <w:r w:rsidRPr="006C7B74">
        <w:rPr>
          <w:rFonts w:cstheme="minorHAnsi"/>
          <w:sz w:val="20"/>
          <w:szCs w:val="20"/>
        </w:rPr>
        <w:t xml:space="preserve">Unzoned areas identified for future industrial purposes could provide another </w:t>
      </w:r>
      <w:r w:rsidR="007E67E2" w:rsidRPr="006C7B74">
        <w:rPr>
          <w:rFonts w:cstheme="minorHAnsi"/>
          <w:sz w:val="20"/>
          <w:szCs w:val="20"/>
        </w:rPr>
        <w:t xml:space="preserve">7 </w:t>
      </w:r>
      <w:r w:rsidRPr="006C7B74">
        <w:rPr>
          <w:rFonts w:cstheme="minorHAnsi"/>
          <w:sz w:val="20"/>
          <w:szCs w:val="20"/>
        </w:rPr>
        <w:t xml:space="preserve">years of supply, but this is </w:t>
      </w:r>
      <w:r w:rsidR="00EC3A0B" w:rsidRPr="006C7B74">
        <w:rPr>
          <w:rFonts w:cstheme="minorHAnsi"/>
          <w:sz w:val="20"/>
          <w:szCs w:val="20"/>
        </w:rPr>
        <w:t>dependent</w:t>
      </w:r>
      <w:r w:rsidRPr="006C7B74">
        <w:rPr>
          <w:rFonts w:cstheme="minorHAnsi"/>
          <w:sz w:val="20"/>
          <w:szCs w:val="20"/>
        </w:rPr>
        <w:t xml:space="preserve"> on future planning for these areas as part of the </w:t>
      </w:r>
      <w:r w:rsidR="00AA2681" w:rsidRPr="006C7B74">
        <w:rPr>
          <w:rFonts w:cstheme="minorHAnsi"/>
          <w:sz w:val="20"/>
          <w:szCs w:val="20"/>
        </w:rPr>
        <w:t>PSP</w:t>
      </w:r>
      <w:r w:rsidRPr="006C7B74">
        <w:rPr>
          <w:rFonts w:cstheme="minorHAnsi"/>
          <w:sz w:val="20"/>
          <w:szCs w:val="20"/>
        </w:rPr>
        <w:t xml:space="preserve"> process.</w:t>
      </w:r>
      <w:r w:rsidR="00972126" w:rsidRPr="006C7B74">
        <w:rPr>
          <w:rFonts w:cstheme="minorHAnsi"/>
          <w:sz w:val="20"/>
          <w:szCs w:val="20"/>
        </w:rPr>
        <w:t xml:space="preserve"> </w:t>
      </w:r>
      <w:r w:rsidRPr="006C7B74">
        <w:rPr>
          <w:rFonts w:cstheme="minorHAnsi"/>
          <w:sz w:val="20"/>
          <w:szCs w:val="20"/>
        </w:rPr>
        <w:t xml:space="preserve">Of the total </w:t>
      </w:r>
      <w:r w:rsidR="00A057A7" w:rsidRPr="006C7B74">
        <w:rPr>
          <w:rFonts w:cstheme="minorHAnsi"/>
          <w:sz w:val="20"/>
          <w:szCs w:val="20"/>
        </w:rPr>
        <w:t xml:space="preserve">future </w:t>
      </w:r>
      <w:r w:rsidRPr="006C7B74">
        <w:rPr>
          <w:rFonts w:cstheme="minorHAnsi"/>
          <w:sz w:val="20"/>
          <w:szCs w:val="20"/>
        </w:rPr>
        <w:t xml:space="preserve">unzoned supply, around </w:t>
      </w:r>
      <w:r w:rsidR="0083495C" w:rsidRPr="006C7B74">
        <w:rPr>
          <w:rFonts w:cstheme="minorHAnsi"/>
          <w:sz w:val="20"/>
          <w:szCs w:val="20"/>
        </w:rPr>
        <w:t xml:space="preserve">80 </w:t>
      </w:r>
      <w:r w:rsidRPr="006C7B74">
        <w:rPr>
          <w:rFonts w:cstheme="minorHAnsi"/>
          <w:sz w:val="20"/>
          <w:szCs w:val="20"/>
        </w:rPr>
        <w:t xml:space="preserve">per cent is </w:t>
      </w:r>
      <w:r w:rsidR="0083495C" w:rsidRPr="006C7B74">
        <w:rPr>
          <w:rFonts w:cstheme="minorHAnsi"/>
          <w:sz w:val="20"/>
          <w:szCs w:val="20"/>
        </w:rPr>
        <w:t xml:space="preserve">located </w:t>
      </w:r>
      <w:r w:rsidRPr="006C7B74">
        <w:rPr>
          <w:rFonts w:cstheme="minorHAnsi"/>
          <w:sz w:val="20"/>
          <w:szCs w:val="20"/>
        </w:rPr>
        <w:t>within the Officer</w:t>
      </w:r>
      <w:r w:rsidR="003D1187" w:rsidRPr="006C7B74">
        <w:rPr>
          <w:rFonts w:cstheme="minorHAnsi"/>
          <w:sz w:val="20"/>
          <w:szCs w:val="20"/>
        </w:rPr>
        <w:t>-</w:t>
      </w:r>
      <w:r w:rsidRPr="006C7B74">
        <w:rPr>
          <w:rFonts w:cstheme="minorHAnsi"/>
          <w:sz w:val="20"/>
          <w:szCs w:val="20"/>
        </w:rPr>
        <w:t xml:space="preserve">Pakenham SSIP. </w:t>
      </w:r>
    </w:p>
    <w:p w14:paraId="5211EE32" w14:textId="77777777" w:rsidR="00C356D4" w:rsidRPr="006C7B74" w:rsidRDefault="007C4C21" w:rsidP="00523315">
      <w:pPr>
        <w:spacing w:after="120"/>
        <w:rPr>
          <w:rFonts w:cstheme="minorHAnsi"/>
          <w:sz w:val="20"/>
          <w:szCs w:val="20"/>
        </w:rPr>
      </w:pPr>
      <w:r w:rsidRPr="006C7B74">
        <w:rPr>
          <w:rFonts w:cstheme="minorHAnsi"/>
          <w:sz w:val="20"/>
          <w:szCs w:val="20"/>
        </w:rPr>
        <w:t>It</w:t>
      </w:r>
      <w:r w:rsidR="00D233D5" w:rsidRPr="006C7B74">
        <w:rPr>
          <w:rFonts w:cstheme="minorHAnsi"/>
          <w:sz w:val="20"/>
          <w:szCs w:val="20"/>
        </w:rPr>
        <w:t xml:space="preserve"> is estimated that land supply in the Southern SSIP will become </w:t>
      </w:r>
      <w:r w:rsidR="00571CBE" w:rsidRPr="006C7B74">
        <w:rPr>
          <w:rFonts w:cstheme="minorHAnsi"/>
          <w:sz w:val="20"/>
          <w:szCs w:val="20"/>
        </w:rPr>
        <w:t xml:space="preserve">significantly </w:t>
      </w:r>
      <w:r w:rsidR="00D233D5" w:rsidRPr="006C7B74">
        <w:rPr>
          <w:rFonts w:cstheme="minorHAnsi"/>
          <w:sz w:val="20"/>
          <w:szCs w:val="20"/>
        </w:rPr>
        <w:t xml:space="preserve">constrained </w:t>
      </w:r>
      <w:r w:rsidR="00571CBE" w:rsidRPr="006C7B74">
        <w:rPr>
          <w:rFonts w:cstheme="minorHAnsi"/>
          <w:sz w:val="20"/>
          <w:szCs w:val="20"/>
        </w:rPr>
        <w:t xml:space="preserve">in </w:t>
      </w:r>
      <w:r w:rsidR="00D233D5" w:rsidRPr="006C7B74">
        <w:rPr>
          <w:rFonts w:cstheme="minorHAnsi"/>
          <w:sz w:val="20"/>
          <w:szCs w:val="20"/>
        </w:rPr>
        <w:t>the early 2020s</w:t>
      </w:r>
      <w:r w:rsidR="00571CBE" w:rsidRPr="006C7B74">
        <w:rPr>
          <w:rFonts w:cstheme="minorHAnsi"/>
          <w:sz w:val="20"/>
          <w:szCs w:val="20"/>
        </w:rPr>
        <w:t xml:space="preserve"> and </w:t>
      </w:r>
      <w:r w:rsidR="00610297" w:rsidRPr="006C7B74">
        <w:rPr>
          <w:rFonts w:cstheme="minorHAnsi"/>
          <w:sz w:val="20"/>
          <w:szCs w:val="20"/>
        </w:rPr>
        <w:t>be exhausted by the mid-2020s</w:t>
      </w:r>
      <w:r w:rsidR="00D233D5" w:rsidRPr="006C7B74">
        <w:rPr>
          <w:rFonts w:cstheme="minorHAnsi"/>
          <w:sz w:val="20"/>
          <w:szCs w:val="20"/>
        </w:rPr>
        <w:t>.</w:t>
      </w:r>
      <w:r w:rsidRPr="006C7B74">
        <w:rPr>
          <w:rFonts w:cstheme="minorHAnsi"/>
          <w:sz w:val="20"/>
          <w:szCs w:val="20"/>
        </w:rPr>
        <w:t xml:space="preserve"> </w:t>
      </w:r>
      <w:r w:rsidR="00D233D5" w:rsidRPr="006C7B74">
        <w:rPr>
          <w:rFonts w:cstheme="minorHAnsi"/>
          <w:sz w:val="20"/>
          <w:szCs w:val="20"/>
        </w:rPr>
        <w:t>When this occurs, demand transfer is likely to occur at the closest industrial areas</w:t>
      </w:r>
      <w:r w:rsidRPr="006C7B74">
        <w:rPr>
          <w:rFonts w:cstheme="minorHAnsi"/>
          <w:sz w:val="20"/>
          <w:szCs w:val="20"/>
        </w:rPr>
        <w:t xml:space="preserve">. </w:t>
      </w:r>
    </w:p>
    <w:p w14:paraId="0003BACA" w14:textId="641C1CC0" w:rsidR="00523315" w:rsidRPr="006C7B74" w:rsidRDefault="00D233D5" w:rsidP="00523315">
      <w:pPr>
        <w:spacing w:after="120"/>
        <w:rPr>
          <w:rFonts w:cstheme="minorHAnsi"/>
          <w:sz w:val="20"/>
          <w:szCs w:val="20"/>
        </w:rPr>
      </w:pPr>
      <w:r w:rsidRPr="006C7B74">
        <w:rPr>
          <w:rFonts w:cstheme="minorHAnsi"/>
          <w:sz w:val="20"/>
          <w:szCs w:val="20"/>
        </w:rPr>
        <w:t xml:space="preserve">The exhaustion of industrial land within the Southern SSIP within the next decade will likely direct future demand for large-format, </w:t>
      </w:r>
      <w:proofErr w:type="gramStart"/>
      <w:r w:rsidR="00017E06" w:rsidRPr="006C7B74">
        <w:rPr>
          <w:rFonts w:cstheme="minorHAnsi"/>
          <w:sz w:val="20"/>
          <w:szCs w:val="20"/>
        </w:rPr>
        <w:t>r</w:t>
      </w:r>
      <w:r w:rsidRPr="006C7B74">
        <w:rPr>
          <w:rFonts w:cstheme="minorHAnsi"/>
          <w:sz w:val="20"/>
          <w:szCs w:val="20"/>
        </w:rPr>
        <w:t>egionally</w:t>
      </w:r>
      <w:r w:rsidR="00FC3C73" w:rsidRPr="006C7B74">
        <w:rPr>
          <w:rFonts w:cstheme="minorHAnsi"/>
          <w:sz w:val="20"/>
          <w:szCs w:val="20"/>
        </w:rPr>
        <w:t>-</w:t>
      </w:r>
      <w:r w:rsidRPr="006C7B74">
        <w:rPr>
          <w:rFonts w:cstheme="minorHAnsi"/>
          <w:sz w:val="20"/>
          <w:szCs w:val="20"/>
        </w:rPr>
        <w:t>significant</w:t>
      </w:r>
      <w:proofErr w:type="gramEnd"/>
      <w:r w:rsidRPr="006C7B74">
        <w:rPr>
          <w:rFonts w:cstheme="minorHAnsi"/>
          <w:sz w:val="20"/>
          <w:szCs w:val="20"/>
        </w:rPr>
        <w:t xml:space="preserve"> industrial uses into neighbouring areas, such as </w:t>
      </w:r>
      <w:r w:rsidR="005366E9" w:rsidRPr="006C7B74">
        <w:rPr>
          <w:rFonts w:cstheme="minorHAnsi"/>
          <w:sz w:val="20"/>
          <w:szCs w:val="20"/>
        </w:rPr>
        <w:t xml:space="preserve">Braeside and </w:t>
      </w:r>
      <w:r w:rsidRPr="006C7B74">
        <w:rPr>
          <w:rFonts w:cstheme="minorHAnsi"/>
          <w:sz w:val="20"/>
          <w:szCs w:val="20"/>
        </w:rPr>
        <w:t>Cranbourne West</w:t>
      </w:r>
      <w:r w:rsidR="00610297" w:rsidRPr="006C7B74">
        <w:rPr>
          <w:rFonts w:cstheme="minorHAnsi"/>
          <w:sz w:val="20"/>
          <w:szCs w:val="20"/>
        </w:rPr>
        <w:t xml:space="preserve">. In these locations </w:t>
      </w:r>
      <w:r w:rsidRPr="006C7B74">
        <w:rPr>
          <w:rFonts w:cstheme="minorHAnsi"/>
          <w:sz w:val="20"/>
          <w:szCs w:val="20"/>
        </w:rPr>
        <w:t xml:space="preserve">there are relatively large contiguous tracts of vacant industrial land with </w:t>
      </w:r>
      <w:r w:rsidR="006B7418" w:rsidRPr="006C7B74">
        <w:rPr>
          <w:rFonts w:cstheme="minorHAnsi"/>
          <w:sz w:val="20"/>
          <w:szCs w:val="20"/>
        </w:rPr>
        <w:t>easy</w:t>
      </w:r>
      <w:r w:rsidR="00F723C4" w:rsidRPr="006C7B74">
        <w:rPr>
          <w:rFonts w:cstheme="minorHAnsi"/>
          <w:sz w:val="20"/>
          <w:szCs w:val="20"/>
        </w:rPr>
        <w:t xml:space="preserve"> access to the Principal Freight Network </w:t>
      </w:r>
      <w:r w:rsidRPr="006C7B74">
        <w:rPr>
          <w:rFonts w:cstheme="minorHAnsi"/>
          <w:sz w:val="20"/>
          <w:szCs w:val="20"/>
        </w:rPr>
        <w:t>for large heavy vehicles and access to existing supply chains and distribution networks</w:t>
      </w:r>
      <w:r w:rsidR="00532D94" w:rsidRPr="006C7B74">
        <w:rPr>
          <w:rFonts w:cstheme="minorHAnsi"/>
          <w:sz w:val="20"/>
          <w:szCs w:val="20"/>
        </w:rPr>
        <w:t xml:space="preserve">. Development will </w:t>
      </w:r>
      <w:r w:rsidR="007C4C21" w:rsidRPr="006C7B74">
        <w:rPr>
          <w:rFonts w:cstheme="minorHAnsi"/>
          <w:sz w:val="20"/>
          <w:szCs w:val="20"/>
        </w:rPr>
        <w:t xml:space="preserve">progressively </w:t>
      </w:r>
      <w:r w:rsidR="00532D94" w:rsidRPr="006C7B74">
        <w:rPr>
          <w:rFonts w:cstheme="minorHAnsi"/>
          <w:sz w:val="20"/>
          <w:szCs w:val="20"/>
        </w:rPr>
        <w:t xml:space="preserve">move </w:t>
      </w:r>
      <w:r w:rsidR="007C4C21" w:rsidRPr="006C7B74">
        <w:rPr>
          <w:rFonts w:cstheme="minorHAnsi"/>
          <w:sz w:val="20"/>
          <w:szCs w:val="20"/>
        </w:rPr>
        <w:t xml:space="preserve">to </w:t>
      </w:r>
      <w:r w:rsidR="00532D94" w:rsidRPr="006C7B74">
        <w:rPr>
          <w:rFonts w:cstheme="minorHAnsi"/>
          <w:sz w:val="20"/>
          <w:szCs w:val="20"/>
        </w:rPr>
        <w:t xml:space="preserve">the </w:t>
      </w:r>
      <w:r w:rsidR="007C4C21" w:rsidRPr="006C7B74">
        <w:rPr>
          <w:rFonts w:cstheme="minorHAnsi"/>
          <w:sz w:val="20"/>
          <w:szCs w:val="20"/>
        </w:rPr>
        <w:t>Officer-Pakenham SSIP</w:t>
      </w:r>
      <w:r w:rsidR="00532D94" w:rsidRPr="006C7B74">
        <w:rPr>
          <w:rFonts w:cstheme="minorHAnsi"/>
          <w:sz w:val="20"/>
          <w:szCs w:val="20"/>
        </w:rPr>
        <w:t xml:space="preserve"> as land in these locations is exhausted</w:t>
      </w:r>
      <w:r w:rsidR="00730370" w:rsidRPr="006C7B74">
        <w:rPr>
          <w:rFonts w:cstheme="minorHAnsi"/>
          <w:sz w:val="20"/>
          <w:szCs w:val="20"/>
        </w:rPr>
        <w:t xml:space="preserve"> and new major road connections, such as the North East Link, are delivered</w:t>
      </w:r>
      <w:r w:rsidRPr="006C7B74">
        <w:rPr>
          <w:rFonts w:cstheme="minorHAnsi"/>
          <w:sz w:val="20"/>
          <w:szCs w:val="20"/>
        </w:rPr>
        <w:t>.</w:t>
      </w:r>
    </w:p>
    <w:p w14:paraId="00500FF3" w14:textId="77777777" w:rsidR="00A12C6F" w:rsidRPr="006C7B74" w:rsidRDefault="00A12C6F" w:rsidP="00523315">
      <w:pPr>
        <w:spacing w:after="120"/>
        <w:rPr>
          <w:rFonts w:cstheme="minorHAnsi"/>
          <w:sz w:val="20"/>
          <w:szCs w:val="20"/>
        </w:rPr>
      </w:pPr>
    </w:p>
    <w:p w14:paraId="27AB2CED" w14:textId="2587D16F" w:rsidR="00850F06" w:rsidRPr="006C7B74" w:rsidRDefault="00850F06" w:rsidP="00850F06">
      <w:pPr>
        <w:spacing w:after="120"/>
        <w:rPr>
          <w:rFonts w:cstheme="minorHAnsi"/>
          <w:sz w:val="20"/>
          <w:szCs w:val="20"/>
        </w:rPr>
      </w:pPr>
      <w:r w:rsidRPr="006C7B74">
        <w:rPr>
          <w:rFonts w:cstheme="minorBidi"/>
          <w:b/>
          <w:bCs/>
          <w:sz w:val="20"/>
          <w:szCs w:val="20"/>
        </w:rPr>
        <w:lastRenderedPageBreak/>
        <w:t xml:space="preserve">Figure </w:t>
      </w:r>
      <w:r w:rsidR="00CD1904" w:rsidRPr="006C7B74">
        <w:rPr>
          <w:rFonts w:cstheme="minorBidi"/>
          <w:b/>
          <w:bCs/>
          <w:sz w:val="20"/>
          <w:szCs w:val="20"/>
        </w:rPr>
        <w:t>2</w:t>
      </w:r>
      <w:r w:rsidR="00DC23D3" w:rsidRPr="006C7B74">
        <w:rPr>
          <w:rFonts w:cstheme="minorBidi"/>
          <w:b/>
          <w:bCs/>
          <w:sz w:val="20"/>
          <w:szCs w:val="20"/>
        </w:rPr>
        <w:t>9</w:t>
      </w:r>
      <w:r w:rsidRPr="006C7B74">
        <w:rPr>
          <w:rFonts w:cstheme="minorBidi"/>
          <w:b/>
          <w:bCs/>
          <w:sz w:val="20"/>
          <w:szCs w:val="20"/>
        </w:rPr>
        <w:t>: Change of zoned industrial land, Southern Region, 2000-01 to 2017-18</w:t>
      </w:r>
      <w:r w:rsidR="003D3C38" w:rsidRPr="006C7B74">
        <w:rPr>
          <w:noProof/>
        </w:rPr>
        <w:drawing>
          <wp:inline distT="0" distB="0" distL="0" distR="0" wp14:anchorId="1D999C74" wp14:editId="1C6A715D">
            <wp:extent cx="5727700" cy="4013200"/>
            <wp:effectExtent l="0" t="0" r="6350" b="6350"/>
            <wp:docPr id="1984355088" name="Picture 1984355088" descr="Map showing change of zoned industrial land, Southern Region, 2000-01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27700" cy="4013200"/>
                    </a:xfrm>
                    <a:prstGeom prst="rect">
                      <a:avLst/>
                    </a:prstGeom>
                  </pic:spPr>
                </pic:pic>
              </a:graphicData>
            </a:graphic>
          </wp:inline>
        </w:drawing>
      </w:r>
    </w:p>
    <w:p w14:paraId="015E2A47" w14:textId="6A99762A" w:rsidR="00850F06" w:rsidRPr="006C7B74" w:rsidRDefault="00DC580D" w:rsidP="00DC580D">
      <w:pPr>
        <w:pStyle w:val="Quote"/>
        <w:rPr>
          <w:sz w:val="20"/>
        </w:rPr>
      </w:pPr>
      <w:r w:rsidRPr="006C7B74">
        <w:t>Source: Department of Environment, Land, Water and Planning, Urban Development Program – Melbourne Metropolitan Industrial 2018</w:t>
      </w:r>
    </w:p>
    <w:p w14:paraId="76474080" w14:textId="1DA31234" w:rsidR="00F047B7" w:rsidRPr="006C7B74" w:rsidRDefault="00281073" w:rsidP="00281073">
      <w:pPr>
        <w:spacing w:after="120"/>
        <w:rPr>
          <w:rFonts w:cstheme="minorHAnsi"/>
          <w:sz w:val="20"/>
          <w:szCs w:val="20"/>
        </w:rPr>
      </w:pPr>
      <w:r w:rsidRPr="006C7B74">
        <w:rPr>
          <w:rFonts w:cstheme="minorHAnsi"/>
          <w:sz w:val="20"/>
          <w:szCs w:val="20"/>
        </w:rPr>
        <w:t xml:space="preserve">Between 2000-01 and 2017-18 a total of 328 hectares of industrial land was rezoned across the region for other non-industrial uses. </w:t>
      </w:r>
    </w:p>
    <w:p w14:paraId="3257DB85" w14:textId="691ABD3B" w:rsidR="00792283" w:rsidRPr="006C7B74" w:rsidRDefault="00281073" w:rsidP="00792283">
      <w:pPr>
        <w:spacing w:after="120"/>
        <w:rPr>
          <w:rFonts w:cstheme="minorHAnsi"/>
          <w:sz w:val="20"/>
          <w:szCs w:val="20"/>
        </w:rPr>
      </w:pPr>
      <w:r w:rsidRPr="006C7B74">
        <w:rPr>
          <w:rFonts w:cstheme="minorHAnsi"/>
          <w:sz w:val="20"/>
          <w:szCs w:val="20"/>
        </w:rPr>
        <w:t xml:space="preserve">The largest </w:t>
      </w:r>
      <w:r w:rsidR="008A6EB9" w:rsidRPr="006C7B74">
        <w:rPr>
          <w:rFonts w:cstheme="minorHAnsi"/>
          <w:sz w:val="20"/>
          <w:szCs w:val="20"/>
        </w:rPr>
        <w:t>single</w:t>
      </w:r>
      <w:r w:rsidRPr="006C7B74">
        <w:rPr>
          <w:rFonts w:cstheme="minorHAnsi"/>
          <w:sz w:val="20"/>
          <w:szCs w:val="20"/>
        </w:rPr>
        <w:t xml:space="preserve"> loss of industrial land over this period was within </w:t>
      </w:r>
      <w:r w:rsidR="008209F6" w:rsidRPr="006C7B74">
        <w:rPr>
          <w:rFonts w:cstheme="minorHAnsi"/>
          <w:sz w:val="20"/>
          <w:szCs w:val="20"/>
        </w:rPr>
        <w:t>Casey</w:t>
      </w:r>
      <w:r w:rsidR="00E014C4" w:rsidRPr="006C7B74">
        <w:rPr>
          <w:rFonts w:cstheme="minorHAnsi"/>
          <w:sz w:val="20"/>
          <w:szCs w:val="20"/>
        </w:rPr>
        <w:t>,</w:t>
      </w:r>
      <w:r w:rsidR="008209F6" w:rsidRPr="006C7B74">
        <w:rPr>
          <w:rFonts w:cstheme="minorHAnsi"/>
          <w:sz w:val="20"/>
          <w:szCs w:val="20"/>
        </w:rPr>
        <w:t xml:space="preserve"> where just under </w:t>
      </w:r>
      <w:r w:rsidR="00662FE7" w:rsidRPr="006C7B74">
        <w:rPr>
          <w:rFonts w:cstheme="minorHAnsi"/>
          <w:sz w:val="20"/>
          <w:szCs w:val="20"/>
        </w:rPr>
        <w:t>28 hectares of industrial land was rezoned to allow for residential development</w:t>
      </w:r>
      <w:r w:rsidRPr="006C7B74">
        <w:rPr>
          <w:rFonts w:cstheme="minorHAnsi"/>
          <w:sz w:val="20"/>
          <w:szCs w:val="20"/>
        </w:rPr>
        <w:t xml:space="preserve">. </w:t>
      </w:r>
      <w:r w:rsidR="00CE2C2F" w:rsidRPr="006C7B74">
        <w:rPr>
          <w:rFonts w:cstheme="minorHAnsi"/>
          <w:sz w:val="20"/>
          <w:szCs w:val="20"/>
        </w:rPr>
        <w:t xml:space="preserve">Of the remaining industrial land </w:t>
      </w:r>
      <w:proofErr w:type="spellStart"/>
      <w:r w:rsidR="00CE2C2F" w:rsidRPr="006C7B74">
        <w:rPr>
          <w:rFonts w:cstheme="minorHAnsi"/>
          <w:sz w:val="20"/>
          <w:szCs w:val="20"/>
        </w:rPr>
        <w:t>rezonings</w:t>
      </w:r>
      <w:proofErr w:type="spellEnd"/>
      <w:r w:rsidR="00CE2C2F" w:rsidRPr="006C7B74">
        <w:rPr>
          <w:rFonts w:cstheme="minorHAnsi"/>
          <w:sz w:val="20"/>
          <w:szCs w:val="20"/>
        </w:rPr>
        <w:t xml:space="preserve"> that occurred over this period,</w:t>
      </w:r>
      <w:r w:rsidR="00FF38DB" w:rsidRPr="006C7B74">
        <w:rPr>
          <w:rFonts w:cstheme="minorHAnsi"/>
          <w:sz w:val="20"/>
          <w:szCs w:val="20"/>
        </w:rPr>
        <w:t xml:space="preserve"> almost 60 per cent involved sites of</w:t>
      </w:r>
      <w:r w:rsidRPr="006C7B74">
        <w:rPr>
          <w:rFonts w:cstheme="minorHAnsi"/>
          <w:sz w:val="20"/>
          <w:szCs w:val="20"/>
        </w:rPr>
        <w:t xml:space="preserve"> less than 2 hectares in size.</w:t>
      </w:r>
    </w:p>
    <w:p w14:paraId="479DB95F" w14:textId="79343C89" w:rsidR="00E84D8D" w:rsidRPr="006C7B74" w:rsidRDefault="00E84D8D" w:rsidP="00FF38DB">
      <w:pPr>
        <w:spacing w:after="120"/>
        <w:rPr>
          <w:rFonts w:cstheme="minorHAnsi"/>
          <w:sz w:val="20"/>
          <w:szCs w:val="20"/>
        </w:rPr>
      </w:pPr>
      <w:r w:rsidRPr="006C7B74">
        <w:rPr>
          <w:rFonts w:cstheme="minorHAnsi"/>
          <w:sz w:val="20"/>
          <w:szCs w:val="20"/>
        </w:rPr>
        <w:t>Of all the industrial land rezoned over the period,</w:t>
      </w:r>
      <w:r w:rsidR="00B4266B" w:rsidRPr="006C7B74">
        <w:rPr>
          <w:rFonts w:cstheme="minorHAnsi"/>
          <w:sz w:val="20"/>
          <w:szCs w:val="20"/>
        </w:rPr>
        <w:t xml:space="preserve"> around 37 per cent was rezoned to allow for mixed</w:t>
      </w:r>
      <w:r w:rsidR="00994D93" w:rsidRPr="006C7B74">
        <w:rPr>
          <w:rFonts w:cstheme="minorHAnsi"/>
          <w:sz w:val="20"/>
          <w:szCs w:val="20"/>
        </w:rPr>
        <w:t>-</w:t>
      </w:r>
      <w:r w:rsidR="00B4266B" w:rsidRPr="006C7B74">
        <w:rPr>
          <w:rFonts w:cstheme="minorHAnsi"/>
          <w:sz w:val="20"/>
          <w:szCs w:val="20"/>
        </w:rPr>
        <w:t>use or residential development.</w:t>
      </w:r>
    </w:p>
    <w:p w14:paraId="7186A858" w14:textId="77777777" w:rsidR="00BF2984" w:rsidRPr="006C7B74" w:rsidRDefault="00BF2984" w:rsidP="00FF38DB">
      <w:pPr>
        <w:spacing w:after="120"/>
        <w:rPr>
          <w:rFonts w:cstheme="minorHAnsi"/>
          <w:sz w:val="20"/>
          <w:szCs w:val="20"/>
        </w:rPr>
      </w:pPr>
    </w:p>
    <w:p w14:paraId="17E8BA7F" w14:textId="52318CE3" w:rsidR="00F96E2C" w:rsidRPr="006C7B74" w:rsidRDefault="00F96E2C" w:rsidP="007420C4">
      <w:pPr>
        <w:pStyle w:val="Heading3"/>
      </w:pPr>
      <w:r w:rsidRPr="006C7B74">
        <w:t>Commercial land</w:t>
      </w:r>
    </w:p>
    <w:p w14:paraId="564758ED" w14:textId="6529CA0C" w:rsidR="00F96E2C" w:rsidRPr="006C7B74" w:rsidRDefault="00F96E2C" w:rsidP="00934C4D">
      <w:pPr>
        <w:spacing w:after="120"/>
        <w:rPr>
          <w:rFonts w:cstheme="minorHAnsi"/>
          <w:sz w:val="20"/>
          <w:szCs w:val="20"/>
        </w:rPr>
      </w:pPr>
      <w:r w:rsidRPr="006C7B74">
        <w:rPr>
          <w:rFonts w:cstheme="minorHAnsi"/>
          <w:sz w:val="20"/>
          <w:szCs w:val="20"/>
        </w:rPr>
        <w:t>Currently across the region there is a total of 8</w:t>
      </w:r>
      <w:r w:rsidR="00B11B21" w:rsidRPr="006C7B74">
        <w:rPr>
          <w:rFonts w:cstheme="minorHAnsi"/>
          <w:sz w:val="20"/>
          <w:szCs w:val="20"/>
        </w:rPr>
        <w:t>55</w:t>
      </w:r>
      <w:r w:rsidRPr="006C7B74">
        <w:rPr>
          <w:rFonts w:cstheme="minorHAnsi"/>
          <w:sz w:val="20"/>
          <w:szCs w:val="20"/>
        </w:rPr>
        <w:t xml:space="preserve"> hectares of land that has been identified as being zoned for commercial purpose</w:t>
      </w:r>
      <w:r w:rsidR="00125732" w:rsidRPr="006C7B74">
        <w:rPr>
          <w:rFonts w:cstheme="minorHAnsi"/>
          <w:sz w:val="20"/>
          <w:szCs w:val="20"/>
        </w:rPr>
        <w:t>s</w:t>
      </w:r>
      <w:r w:rsidRPr="006C7B74">
        <w:rPr>
          <w:rFonts w:cstheme="minorHAnsi"/>
          <w:sz w:val="20"/>
          <w:szCs w:val="20"/>
        </w:rPr>
        <w:t xml:space="preserve">. It is estimated that there is </w:t>
      </w:r>
      <w:r w:rsidR="00F463C1" w:rsidRPr="006C7B74">
        <w:rPr>
          <w:rFonts w:cstheme="minorHAnsi"/>
          <w:sz w:val="20"/>
          <w:szCs w:val="20"/>
        </w:rPr>
        <w:t xml:space="preserve">almost </w:t>
      </w:r>
      <w:r w:rsidRPr="006C7B74">
        <w:rPr>
          <w:rFonts w:cstheme="minorHAnsi"/>
          <w:sz w:val="20"/>
          <w:szCs w:val="20"/>
        </w:rPr>
        <w:t>3.</w:t>
      </w:r>
      <w:r w:rsidR="006A0CC7" w:rsidRPr="006C7B74">
        <w:rPr>
          <w:rFonts w:cstheme="minorHAnsi"/>
          <w:sz w:val="20"/>
          <w:szCs w:val="20"/>
        </w:rPr>
        <w:t xml:space="preserve">2 </w:t>
      </w:r>
      <w:r w:rsidRPr="006C7B74">
        <w:rPr>
          <w:rFonts w:cstheme="minorHAnsi"/>
          <w:sz w:val="20"/>
          <w:szCs w:val="20"/>
        </w:rPr>
        <w:t xml:space="preserve">million square metres of floorspace used for or available for commercial purposes on this land. </w:t>
      </w:r>
      <w:r w:rsidR="00F32E9F" w:rsidRPr="006C7B74">
        <w:rPr>
          <w:rFonts w:cstheme="minorHAnsi"/>
          <w:sz w:val="20"/>
          <w:szCs w:val="20"/>
        </w:rPr>
        <w:t xml:space="preserve">Approximately </w:t>
      </w:r>
      <w:r w:rsidR="00BE2AC0" w:rsidRPr="006C7B74">
        <w:rPr>
          <w:rFonts w:cstheme="minorHAnsi"/>
          <w:sz w:val="20"/>
          <w:szCs w:val="20"/>
        </w:rPr>
        <w:t>4</w:t>
      </w:r>
      <w:r w:rsidR="00BE2AC0">
        <w:rPr>
          <w:rFonts w:cstheme="minorHAnsi"/>
          <w:sz w:val="20"/>
          <w:szCs w:val="20"/>
        </w:rPr>
        <w:t>3</w:t>
      </w:r>
      <w:r w:rsidR="00BE2AC0" w:rsidRPr="006C7B74">
        <w:rPr>
          <w:rFonts w:cstheme="minorHAnsi"/>
          <w:sz w:val="20"/>
          <w:szCs w:val="20"/>
        </w:rPr>
        <w:t xml:space="preserve"> </w:t>
      </w:r>
      <w:r w:rsidR="00821E26" w:rsidRPr="006C7B74">
        <w:rPr>
          <w:rFonts w:cstheme="minorHAnsi"/>
          <w:sz w:val="20"/>
          <w:szCs w:val="20"/>
        </w:rPr>
        <w:t>per cent of all the existing floo</w:t>
      </w:r>
      <w:r w:rsidR="00636264" w:rsidRPr="006C7B74">
        <w:rPr>
          <w:rFonts w:cstheme="minorHAnsi"/>
          <w:sz w:val="20"/>
          <w:szCs w:val="20"/>
        </w:rPr>
        <w:t>r</w:t>
      </w:r>
      <w:r w:rsidR="00821E26" w:rsidRPr="006C7B74">
        <w:rPr>
          <w:rFonts w:cstheme="minorHAnsi"/>
          <w:sz w:val="20"/>
          <w:szCs w:val="20"/>
        </w:rPr>
        <w:t>space supply is located within the municipalities of Casey and Greater</w:t>
      </w:r>
      <w:r w:rsidR="00AB2320" w:rsidRPr="006C7B74">
        <w:rPr>
          <w:rFonts w:cstheme="minorHAnsi"/>
          <w:sz w:val="20"/>
          <w:szCs w:val="20"/>
        </w:rPr>
        <w:t xml:space="preserve"> </w:t>
      </w:r>
      <w:r w:rsidR="00821E26" w:rsidRPr="006C7B74">
        <w:rPr>
          <w:rFonts w:cstheme="minorHAnsi"/>
          <w:sz w:val="20"/>
          <w:szCs w:val="20"/>
        </w:rPr>
        <w:t>Dandenong.</w:t>
      </w:r>
    </w:p>
    <w:p w14:paraId="4281A12A" w14:textId="1C60C201" w:rsidR="006920A2" w:rsidRPr="006C7B74" w:rsidRDefault="00F96E2C" w:rsidP="00934C4D">
      <w:pPr>
        <w:spacing w:after="120"/>
        <w:rPr>
          <w:rFonts w:cstheme="minorHAnsi"/>
          <w:sz w:val="20"/>
          <w:szCs w:val="20"/>
        </w:rPr>
      </w:pPr>
      <w:r w:rsidRPr="006C7B74">
        <w:rPr>
          <w:rFonts w:cstheme="minorHAnsi"/>
          <w:sz w:val="20"/>
          <w:szCs w:val="20"/>
        </w:rPr>
        <w:t>Across the region a total of 21</w:t>
      </w:r>
      <w:r w:rsidR="000D79D0" w:rsidRPr="006C7B74">
        <w:rPr>
          <w:rFonts w:cstheme="minorHAnsi"/>
          <w:sz w:val="20"/>
          <w:szCs w:val="20"/>
        </w:rPr>
        <w:t>6</w:t>
      </w:r>
      <w:r w:rsidRPr="006C7B74">
        <w:rPr>
          <w:rFonts w:cstheme="minorHAnsi"/>
          <w:sz w:val="20"/>
          <w:szCs w:val="20"/>
        </w:rPr>
        <w:t xml:space="preserve"> commercial areas or centres have been identified. Of these, 17</w:t>
      </w:r>
      <w:r w:rsidR="000D79D0" w:rsidRPr="006C7B74">
        <w:rPr>
          <w:rFonts w:cstheme="minorHAnsi"/>
          <w:sz w:val="20"/>
          <w:szCs w:val="20"/>
        </w:rPr>
        <w:t>1</w:t>
      </w:r>
      <w:r w:rsidRPr="006C7B74">
        <w:rPr>
          <w:rFonts w:cstheme="minorHAnsi"/>
          <w:sz w:val="20"/>
          <w:szCs w:val="20"/>
        </w:rPr>
        <w:t xml:space="preserve"> have less than 10,000 square metres of floorspace. </w:t>
      </w:r>
    </w:p>
    <w:p w14:paraId="0AFCC932" w14:textId="46FF6226" w:rsidR="003E1547" w:rsidRPr="006C7B74" w:rsidRDefault="005B4CDE" w:rsidP="00934C4D">
      <w:pPr>
        <w:spacing w:after="120"/>
        <w:rPr>
          <w:rFonts w:cstheme="minorHAnsi"/>
          <w:sz w:val="20"/>
          <w:szCs w:val="20"/>
        </w:rPr>
      </w:pPr>
      <w:r w:rsidRPr="006C7B74">
        <w:rPr>
          <w:rFonts w:cstheme="minorHAnsi"/>
          <w:sz w:val="20"/>
          <w:szCs w:val="20"/>
        </w:rPr>
        <w:t>Sev</w:t>
      </w:r>
      <w:r w:rsidR="00DE4484" w:rsidRPr="006C7B74">
        <w:rPr>
          <w:rFonts w:cstheme="minorHAnsi"/>
          <w:sz w:val="20"/>
          <w:szCs w:val="20"/>
        </w:rPr>
        <w:t>en</w:t>
      </w:r>
      <w:r w:rsidR="00F96E2C" w:rsidRPr="006C7B74">
        <w:rPr>
          <w:rFonts w:cstheme="minorHAnsi"/>
          <w:sz w:val="20"/>
          <w:szCs w:val="20"/>
        </w:rPr>
        <w:t xml:space="preserve"> centres have more than 100,000 square metres of floorspace. </w:t>
      </w:r>
      <w:r w:rsidR="006920A2" w:rsidRPr="006C7B74">
        <w:rPr>
          <w:rFonts w:cstheme="minorHAnsi"/>
          <w:sz w:val="20"/>
          <w:szCs w:val="20"/>
        </w:rPr>
        <w:t xml:space="preserve">This includes </w:t>
      </w:r>
      <w:r w:rsidR="00AD211C" w:rsidRPr="006C7B74">
        <w:rPr>
          <w:rFonts w:cstheme="minorHAnsi"/>
          <w:sz w:val="20"/>
          <w:szCs w:val="20"/>
        </w:rPr>
        <w:t xml:space="preserve">large </w:t>
      </w:r>
      <w:r w:rsidR="00A11CCF" w:rsidRPr="006C7B74">
        <w:rPr>
          <w:rFonts w:cstheme="minorHAnsi"/>
          <w:sz w:val="20"/>
          <w:szCs w:val="20"/>
        </w:rPr>
        <w:t>free-standing shopping</w:t>
      </w:r>
      <w:r w:rsidR="00214A94" w:rsidRPr="006C7B74">
        <w:rPr>
          <w:rFonts w:cstheme="minorHAnsi"/>
          <w:sz w:val="20"/>
          <w:szCs w:val="20"/>
        </w:rPr>
        <w:t>-</w:t>
      </w:r>
      <w:r w:rsidR="00A11CCF" w:rsidRPr="006C7B74">
        <w:rPr>
          <w:rFonts w:cstheme="minorHAnsi"/>
          <w:sz w:val="20"/>
          <w:szCs w:val="20"/>
        </w:rPr>
        <w:t>centre</w:t>
      </w:r>
      <w:r w:rsidR="00DF47D4" w:rsidRPr="006C7B74">
        <w:rPr>
          <w:rFonts w:cstheme="minorHAnsi"/>
          <w:sz w:val="20"/>
          <w:szCs w:val="20"/>
        </w:rPr>
        <w:t xml:space="preserve"> based </w:t>
      </w:r>
      <w:r w:rsidR="00415191" w:rsidRPr="006C7B74">
        <w:rPr>
          <w:rFonts w:cstheme="minorHAnsi"/>
          <w:sz w:val="20"/>
          <w:szCs w:val="20"/>
        </w:rPr>
        <w:t>locations</w:t>
      </w:r>
      <w:r w:rsidR="00DF47D4" w:rsidRPr="006C7B74">
        <w:rPr>
          <w:rFonts w:cstheme="minorHAnsi"/>
          <w:sz w:val="20"/>
          <w:szCs w:val="20"/>
        </w:rPr>
        <w:t xml:space="preserve"> such as </w:t>
      </w:r>
      <w:r w:rsidR="006213F1" w:rsidRPr="006C7B74">
        <w:rPr>
          <w:rFonts w:cstheme="minorHAnsi"/>
          <w:sz w:val="20"/>
          <w:szCs w:val="20"/>
        </w:rPr>
        <w:t>Fountain Gate-</w:t>
      </w:r>
      <w:r w:rsidR="00DF47D4" w:rsidRPr="006C7B74">
        <w:rPr>
          <w:rFonts w:cstheme="minorHAnsi"/>
          <w:sz w:val="20"/>
          <w:szCs w:val="20"/>
        </w:rPr>
        <w:t>Narre</w:t>
      </w:r>
      <w:r w:rsidR="006213F1" w:rsidRPr="006C7B74">
        <w:rPr>
          <w:rFonts w:cstheme="minorHAnsi"/>
          <w:sz w:val="20"/>
          <w:szCs w:val="20"/>
        </w:rPr>
        <w:t xml:space="preserve"> </w:t>
      </w:r>
      <w:r w:rsidR="00DF47D4" w:rsidRPr="006C7B74">
        <w:rPr>
          <w:rFonts w:cstheme="minorHAnsi"/>
          <w:sz w:val="20"/>
          <w:szCs w:val="20"/>
        </w:rPr>
        <w:t>Warren</w:t>
      </w:r>
      <w:r w:rsidR="006213F1" w:rsidRPr="006C7B74">
        <w:rPr>
          <w:rFonts w:cstheme="minorHAnsi"/>
          <w:sz w:val="20"/>
          <w:szCs w:val="20"/>
        </w:rPr>
        <w:t xml:space="preserve"> and Cheltenham-Southland</w:t>
      </w:r>
      <w:r w:rsidR="00B75993" w:rsidRPr="006C7B74">
        <w:rPr>
          <w:rFonts w:cstheme="minorHAnsi"/>
          <w:sz w:val="20"/>
          <w:szCs w:val="20"/>
        </w:rPr>
        <w:t xml:space="preserve">, and </w:t>
      </w:r>
      <w:r w:rsidR="00AD211C" w:rsidRPr="006C7B74">
        <w:rPr>
          <w:rFonts w:cstheme="minorHAnsi"/>
          <w:sz w:val="20"/>
          <w:szCs w:val="20"/>
        </w:rPr>
        <w:t xml:space="preserve">traditional </w:t>
      </w:r>
      <w:r w:rsidR="00B75993" w:rsidRPr="006C7B74">
        <w:rPr>
          <w:rFonts w:cstheme="minorHAnsi"/>
          <w:sz w:val="20"/>
          <w:szCs w:val="20"/>
        </w:rPr>
        <w:t>strip-based centres such as</w:t>
      </w:r>
      <w:r w:rsidR="00AD211C" w:rsidRPr="006C7B74">
        <w:rPr>
          <w:rFonts w:cstheme="minorHAnsi"/>
          <w:sz w:val="20"/>
          <w:szCs w:val="20"/>
        </w:rPr>
        <w:t xml:space="preserve"> Dandenong and Franksto</w:t>
      </w:r>
      <w:r w:rsidR="00B75927" w:rsidRPr="006C7B74">
        <w:rPr>
          <w:rFonts w:cstheme="minorHAnsi"/>
          <w:sz w:val="20"/>
          <w:szCs w:val="20"/>
        </w:rPr>
        <w:t xml:space="preserve">n. Combined these centres account for </w:t>
      </w:r>
      <w:r w:rsidR="003E1547" w:rsidRPr="006C7B74">
        <w:rPr>
          <w:rFonts w:cstheme="minorHAnsi"/>
          <w:sz w:val="20"/>
          <w:szCs w:val="20"/>
        </w:rPr>
        <w:t>4</w:t>
      </w:r>
      <w:r w:rsidR="001E1832" w:rsidRPr="006C7B74">
        <w:rPr>
          <w:rFonts w:cstheme="minorHAnsi"/>
          <w:sz w:val="20"/>
          <w:szCs w:val="20"/>
        </w:rPr>
        <w:t>6</w:t>
      </w:r>
      <w:r w:rsidR="003E1547" w:rsidRPr="006C7B74">
        <w:rPr>
          <w:rFonts w:cstheme="minorHAnsi"/>
          <w:sz w:val="20"/>
          <w:szCs w:val="20"/>
        </w:rPr>
        <w:t xml:space="preserve"> per cent of the identified commercial floorspace across the region.</w:t>
      </w:r>
    </w:p>
    <w:p w14:paraId="009EB64A" w14:textId="56CEAD87" w:rsidR="00F96E2C" w:rsidRPr="006C7B74" w:rsidRDefault="00F96E2C" w:rsidP="00934C4D">
      <w:pPr>
        <w:spacing w:after="120"/>
        <w:rPr>
          <w:rFonts w:cstheme="minorHAnsi"/>
          <w:sz w:val="20"/>
          <w:szCs w:val="20"/>
        </w:rPr>
      </w:pPr>
      <w:r w:rsidRPr="006C7B74">
        <w:rPr>
          <w:rFonts w:cstheme="minorHAnsi"/>
          <w:sz w:val="20"/>
          <w:szCs w:val="20"/>
        </w:rPr>
        <w:t>Kingston has the largest number of centres (</w:t>
      </w:r>
      <w:r w:rsidR="001E1832" w:rsidRPr="006C7B74">
        <w:rPr>
          <w:rFonts w:cstheme="minorHAnsi"/>
          <w:sz w:val="20"/>
          <w:szCs w:val="20"/>
        </w:rPr>
        <w:t>49</w:t>
      </w:r>
      <w:r w:rsidRPr="006C7B74">
        <w:rPr>
          <w:rFonts w:cstheme="minorHAnsi"/>
          <w:sz w:val="20"/>
          <w:szCs w:val="20"/>
        </w:rPr>
        <w:t>) and Cardinia the fewest (1</w:t>
      </w:r>
      <w:r w:rsidR="00DE4484" w:rsidRPr="006C7B74">
        <w:rPr>
          <w:rFonts w:cstheme="minorHAnsi"/>
          <w:sz w:val="20"/>
          <w:szCs w:val="20"/>
        </w:rPr>
        <w:t>6</w:t>
      </w:r>
      <w:r w:rsidRPr="006C7B74">
        <w:rPr>
          <w:rFonts w:cstheme="minorHAnsi"/>
          <w:sz w:val="20"/>
          <w:szCs w:val="20"/>
        </w:rPr>
        <w:t xml:space="preserve">). Only </w:t>
      </w:r>
      <w:r w:rsidR="008E6F42" w:rsidRPr="006C7B74">
        <w:rPr>
          <w:rFonts w:cstheme="minorHAnsi"/>
          <w:sz w:val="20"/>
          <w:szCs w:val="20"/>
        </w:rPr>
        <w:t>7</w:t>
      </w:r>
      <w:r w:rsidRPr="006C7B74">
        <w:rPr>
          <w:rFonts w:cstheme="minorHAnsi"/>
          <w:sz w:val="20"/>
          <w:szCs w:val="20"/>
        </w:rPr>
        <w:t xml:space="preserve"> per cent of all the existing floorspace supply is located within the municipality of Cardinia.</w:t>
      </w:r>
    </w:p>
    <w:p w14:paraId="24FB198F" w14:textId="77777777" w:rsidR="00BF1AD4" w:rsidRPr="006C7B74" w:rsidRDefault="00BF1AD4" w:rsidP="00934C4D">
      <w:pPr>
        <w:spacing w:after="120"/>
        <w:rPr>
          <w:rFonts w:cstheme="minorHAnsi"/>
          <w:sz w:val="20"/>
          <w:szCs w:val="20"/>
        </w:rPr>
      </w:pPr>
    </w:p>
    <w:p w14:paraId="1BDDE1A2" w14:textId="0913F9F6" w:rsidR="00F96E2C" w:rsidRPr="006C7B74" w:rsidRDefault="00F96E2C" w:rsidP="00275163">
      <w:pPr>
        <w:pStyle w:val="Heading5"/>
      </w:pPr>
      <w:r w:rsidRPr="006C7B74">
        <w:lastRenderedPageBreak/>
        <w:t xml:space="preserve">Table </w:t>
      </w:r>
      <w:r w:rsidR="00CD1904" w:rsidRPr="006C7B74">
        <w:t>29</w:t>
      </w:r>
      <w:r w:rsidRPr="006C7B74">
        <w:t>: Existing commercial floorspace by centre size,</w:t>
      </w:r>
      <w:r w:rsidR="00463EE0" w:rsidRPr="006C7B74">
        <w:t xml:space="preserve"> Southern Region</w:t>
      </w:r>
    </w:p>
    <w:tbl>
      <w:tblPr>
        <w:tblW w:w="5186" w:type="pct"/>
        <w:tblLayout w:type="fixed"/>
        <w:tblLook w:val="04A0" w:firstRow="1" w:lastRow="0" w:firstColumn="1" w:lastColumn="0" w:noHBand="0" w:noVBand="1"/>
      </w:tblPr>
      <w:tblGrid>
        <w:gridCol w:w="995"/>
        <w:gridCol w:w="704"/>
        <w:gridCol w:w="850"/>
        <w:gridCol w:w="640"/>
        <w:gridCol w:w="840"/>
        <w:gridCol w:w="732"/>
        <w:gridCol w:w="911"/>
        <w:gridCol w:w="696"/>
        <w:gridCol w:w="947"/>
        <w:gridCol w:w="911"/>
        <w:gridCol w:w="1130"/>
      </w:tblGrid>
      <w:tr w:rsidR="00016122" w:rsidRPr="006C7B74" w14:paraId="308F763E" w14:textId="77777777" w:rsidTr="006C7B74">
        <w:trPr>
          <w:trHeight w:val="255"/>
        </w:trPr>
        <w:tc>
          <w:tcPr>
            <w:tcW w:w="532" w:type="pct"/>
            <w:tcBorders>
              <w:top w:val="nil"/>
              <w:left w:val="nil"/>
              <w:bottom w:val="nil"/>
              <w:right w:val="nil"/>
            </w:tcBorders>
            <w:shd w:val="clear" w:color="000000" w:fill="4D446C"/>
            <w:noWrap/>
            <w:vAlign w:val="center"/>
            <w:hideMark/>
          </w:tcPr>
          <w:p w14:paraId="6BE4F7CC" w14:textId="77777777" w:rsidR="00016122" w:rsidRPr="006C7B74" w:rsidRDefault="00016122" w:rsidP="00016122">
            <w:pPr>
              <w:rPr>
                <w:rFonts w:ascii="Calibri" w:hAnsi="Calibri" w:cs="Calibri"/>
                <w:b/>
                <w:bCs/>
                <w:color w:val="FFFFFF"/>
                <w:sz w:val="16"/>
                <w:szCs w:val="16"/>
                <w:lang w:eastAsia="en-AU"/>
              </w:rPr>
            </w:pPr>
            <w:r w:rsidRPr="006C7B74">
              <w:rPr>
                <w:rFonts w:ascii="Calibri" w:hAnsi="Calibri" w:cs="Calibri"/>
                <w:b/>
                <w:bCs/>
                <w:color w:val="FFFFFF"/>
                <w:sz w:val="16"/>
                <w:szCs w:val="16"/>
                <w:lang w:eastAsia="en-AU"/>
              </w:rPr>
              <w:t>Council</w:t>
            </w:r>
          </w:p>
        </w:tc>
        <w:tc>
          <w:tcPr>
            <w:tcW w:w="830" w:type="pct"/>
            <w:gridSpan w:val="2"/>
            <w:tcBorders>
              <w:top w:val="single" w:sz="4" w:space="0" w:color="auto"/>
              <w:left w:val="nil"/>
              <w:bottom w:val="nil"/>
              <w:right w:val="nil"/>
            </w:tcBorders>
            <w:shd w:val="clear" w:color="000000" w:fill="4D446C"/>
            <w:noWrap/>
            <w:vAlign w:val="center"/>
            <w:hideMark/>
          </w:tcPr>
          <w:p w14:paraId="4A034764" w14:textId="0FF6DDA1" w:rsidR="00016122" w:rsidRPr="006C7B74" w:rsidRDefault="00016122" w:rsidP="00016122">
            <w:pPr>
              <w:jc w:val="center"/>
              <w:rPr>
                <w:rFonts w:ascii="Calibri" w:hAnsi="Calibri" w:cs="Calibri"/>
                <w:b/>
                <w:bCs/>
                <w:color w:val="FFFFFF"/>
                <w:sz w:val="16"/>
                <w:szCs w:val="16"/>
                <w:lang w:eastAsia="en-AU"/>
              </w:rPr>
            </w:pPr>
            <w:r w:rsidRPr="006C7B74">
              <w:rPr>
                <w:rFonts w:ascii="Calibri" w:hAnsi="Calibri" w:cs="Calibri"/>
                <w:b/>
                <w:bCs/>
                <w:color w:val="FFFFFF"/>
                <w:sz w:val="16"/>
                <w:szCs w:val="16"/>
                <w:lang w:eastAsia="en-AU"/>
              </w:rPr>
              <w:t>Less than 2</w:t>
            </w:r>
            <w:r w:rsidR="001953FE" w:rsidRPr="006C7B74">
              <w:rPr>
                <w:rFonts w:ascii="Calibri" w:hAnsi="Calibri" w:cs="Calibri"/>
                <w:b/>
                <w:bCs/>
                <w:color w:val="FFFFFF"/>
                <w:sz w:val="16"/>
                <w:szCs w:val="16"/>
                <w:lang w:eastAsia="en-AU"/>
              </w:rPr>
              <w:t>,</w:t>
            </w:r>
            <w:r w:rsidRPr="006C7B74">
              <w:rPr>
                <w:rFonts w:ascii="Calibri" w:hAnsi="Calibri" w:cs="Calibri"/>
                <w:b/>
                <w:bCs/>
                <w:color w:val="FFFFFF"/>
                <w:sz w:val="16"/>
                <w:szCs w:val="16"/>
                <w:lang w:eastAsia="en-AU"/>
              </w:rPr>
              <w:t>000 (m</w:t>
            </w:r>
            <w:r w:rsidRPr="006C7B74">
              <w:rPr>
                <w:rFonts w:ascii="Calibri" w:hAnsi="Calibri" w:cs="Calibri"/>
                <w:b/>
                <w:bCs/>
                <w:color w:val="FFFFFF"/>
                <w:sz w:val="16"/>
                <w:szCs w:val="16"/>
                <w:vertAlign w:val="superscript"/>
                <w:lang w:eastAsia="en-AU"/>
              </w:rPr>
              <w:t>2</w:t>
            </w:r>
            <w:r w:rsidRPr="006C7B74">
              <w:rPr>
                <w:rFonts w:ascii="Calibri" w:hAnsi="Calibri" w:cs="Calibri"/>
                <w:b/>
                <w:bCs/>
                <w:color w:val="FFFFFF"/>
                <w:sz w:val="16"/>
                <w:szCs w:val="16"/>
                <w:lang w:eastAsia="en-AU"/>
              </w:rPr>
              <w:t>)</w:t>
            </w:r>
          </w:p>
        </w:tc>
        <w:tc>
          <w:tcPr>
            <w:tcW w:w="791" w:type="pct"/>
            <w:gridSpan w:val="2"/>
            <w:tcBorders>
              <w:top w:val="single" w:sz="4" w:space="0" w:color="auto"/>
              <w:left w:val="nil"/>
              <w:bottom w:val="nil"/>
              <w:right w:val="nil"/>
            </w:tcBorders>
            <w:shd w:val="clear" w:color="000000" w:fill="4D446C"/>
            <w:noWrap/>
            <w:vAlign w:val="center"/>
            <w:hideMark/>
          </w:tcPr>
          <w:p w14:paraId="7AD6B1F3" w14:textId="77777777" w:rsidR="00016122" w:rsidRPr="006C7B74" w:rsidRDefault="00016122" w:rsidP="00016122">
            <w:pPr>
              <w:jc w:val="center"/>
              <w:rPr>
                <w:rFonts w:ascii="Calibri" w:hAnsi="Calibri" w:cs="Calibri"/>
                <w:b/>
                <w:bCs/>
                <w:color w:val="FFFFFF"/>
                <w:sz w:val="16"/>
                <w:szCs w:val="16"/>
                <w:lang w:eastAsia="en-AU"/>
              </w:rPr>
            </w:pPr>
            <w:r w:rsidRPr="006C7B74">
              <w:rPr>
                <w:rFonts w:ascii="Calibri" w:hAnsi="Calibri" w:cs="Calibri"/>
                <w:b/>
                <w:bCs/>
                <w:color w:val="FFFFFF"/>
                <w:sz w:val="16"/>
                <w:szCs w:val="16"/>
                <w:lang w:eastAsia="en-AU"/>
              </w:rPr>
              <w:t>2,000 to 9,999 (m</w:t>
            </w:r>
            <w:r w:rsidRPr="006C7B74">
              <w:rPr>
                <w:rFonts w:ascii="Calibri" w:hAnsi="Calibri" w:cs="Calibri"/>
                <w:b/>
                <w:bCs/>
                <w:color w:val="FFFFFF"/>
                <w:sz w:val="16"/>
                <w:szCs w:val="16"/>
                <w:vertAlign w:val="superscript"/>
                <w:lang w:eastAsia="en-AU"/>
              </w:rPr>
              <w:t>2</w:t>
            </w:r>
            <w:r w:rsidRPr="006C7B74">
              <w:rPr>
                <w:rFonts w:ascii="Calibri" w:hAnsi="Calibri" w:cs="Calibri"/>
                <w:b/>
                <w:bCs/>
                <w:color w:val="FFFFFF"/>
                <w:sz w:val="16"/>
                <w:szCs w:val="16"/>
                <w:lang w:eastAsia="en-AU"/>
              </w:rPr>
              <w:t>)</w:t>
            </w:r>
          </w:p>
        </w:tc>
        <w:tc>
          <w:tcPr>
            <w:tcW w:w="878" w:type="pct"/>
            <w:gridSpan w:val="2"/>
            <w:tcBorders>
              <w:top w:val="single" w:sz="4" w:space="0" w:color="auto"/>
              <w:left w:val="nil"/>
              <w:bottom w:val="nil"/>
              <w:right w:val="nil"/>
            </w:tcBorders>
            <w:shd w:val="clear" w:color="000000" w:fill="4D446C"/>
            <w:noWrap/>
            <w:vAlign w:val="center"/>
            <w:hideMark/>
          </w:tcPr>
          <w:p w14:paraId="1975A354" w14:textId="77777777" w:rsidR="00016122" w:rsidRPr="006C7B74" w:rsidRDefault="00016122" w:rsidP="00016122">
            <w:pPr>
              <w:jc w:val="center"/>
              <w:rPr>
                <w:rFonts w:ascii="Calibri" w:hAnsi="Calibri" w:cs="Calibri"/>
                <w:b/>
                <w:bCs/>
                <w:color w:val="FFFFFF"/>
                <w:sz w:val="16"/>
                <w:szCs w:val="16"/>
                <w:lang w:eastAsia="en-AU"/>
              </w:rPr>
            </w:pPr>
            <w:r w:rsidRPr="006C7B74">
              <w:rPr>
                <w:rFonts w:ascii="Calibri" w:hAnsi="Calibri" w:cs="Calibri"/>
                <w:b/>
                <w:bCs/>
                <w:color w:val="FFFFFF"/>
                <w:sz w:val="16"/>
                <w:szCs w:val="16"/>
                <w:lang w:eastAsia="en-AU"/>
              </w:rPr>
              <w:t>10,000 to 49,999 (m</w:t>
            </w:r>
            <w:r w:rsidRPr="006C7B74">
              <w:rPr>
                <w:rFonts w:ascii="Calibri" w:hAnsi="Calibri" w:cs="Calibri"/>
                <w:b/>
                <w:bCs/>
                <w:color w:val="FFFFFF"/>
                <w:sz w:val="16"/>
                <w:szCs w:val="16"/>
                <w:vertAlign w:val="superscript"/>
                <w:lang w:eastAsia="en-AU"/>
              </w:rPr>
              <w:t>2</w:t>
            </w:r>
            <w:r w:rsidRPr="006C7B74">
              <w:rPr>
                <w:rFonts w:ascii="Calibri" w:hAnsi="Calibri" w:cs="Calibri"/>
                <w:b/>
                <w:bCs/>
                <w:color w:val="FFFFFF"/>
                <w:sz w:val="16"/>
                <w:szCs w:val="16"/>
                <w:lang w:eastAsia="en-AU"/>
              </w:rPr>
              <w:t>)</w:t>
            </w:r>
          </w:p>
        </w:tc>
        <w:tc>
          <w:tcPr>
            <w:tcW w:w="878" w:type="pct"/>
            <w:gridSpan w:val="2"/>
            <w:tcBorders>
              <w:top w:val="single" w:sz="4" w:space="0" w:color="auto"/>
              <w:left w:val="nil"/>
              <w:bottom w:val="nil"/>
              <w:right w:val="nil"/>
            </w:tcBorders>
            <w:shd w:val="clear" w:color="000000" w:fill="4D446C"/>
            <w:noWrap/>
            <w:vAlign w:val="center"/>
            <w:hideMark/>
          </w:tcPr>
          <w:p w14:paraId="51077E4B" w14:textId="77777777" w:rsidR="00016122" w:rsidRPr="006C7B74" w:rsidRDefault="00016122" w:rsidP="00016122">
            <w:pPr>
              <w:jc w:val="center"/>
              <w:rPr>
                <w:rFonts w:ascii="Calibri" w:hAnsi="Calibri" w:cs="Calibri"/>
                <w:b/>
                <w:bCs/>
                <w:color w:val="FFFFFF"/>
                <w:sz w:val="16"/>
                <w:szCs w:val="16"/>
                <w:lang w:eastAsia="en-AU"/>
              </w:rPr>
            </w:pPr>
            <w:r w:rsidRPr="006C7B74">
              <w:rPr>
                <w:rFonts w:ascii="Calibri" w:hAnsi="Calibri" w:cs="Calibri"/>
                <w:b/>
                <w:bCs/>
                <w:color w:val="FFFFFF"/>
                <w:sz w:val="16"/>
                <w:szCs w:val="16"/>
                <w:lang w:eastAsia="en-AU"/>
              </w:rPr>
              <w:t>50,000 to 99,999 (m</w:t>
            </w:r>
            <w:r w:rsidRPr="006C7B74">
              <w:rPr>
                <w:rFonts w:ascii="Calibri" w:hAnsi="Calibri" w:cs="Calibri"/>
                <w:b/>
                <w:bCs/>
                <w:color w:val="FFFFFF"/>
                <w:sz w:val="16"/>
                <w:szCs w:val="16"/>
                <w:vertAlign w:val="superscript"/>
                <w:lang w:eastAsia="en-AU"/>
              </w:rPr>
              <w:t>2</w:t>
            </w:r>
            <w:r w:rsidRPr="006C7B74">
              <w:rPr>
                <w:rFonts w:ascii="Calibri" w:hAnsi="Calibri" w:cs="Calibri"/>
                <w:b/>
                <w:bCs/>
                <w:color w:val="FFFFFF"/>
                <w:sz w:val="16"/>
                <w:szCs w:val="16"/>
                <w:lang w:eastAsia="en-AU"/>
              </w:rPr>
              <w:t>)</w:t>
            </w:r>
          </w:p>
        </w:tc>
        <w:tc>
          <w:tcPr>
            <w:tcW w:w="1091" w:type="pct"/>
            <w:gridSpan w:val="2"/>
            <w:tcBorders>
              <w:top w:val="single" w:sz="4" w:space="0" w:color="auto"/>
              <w:left w:val="nil"/>
              <w:bottom w:val="nil"/>
              <w:right w:val="nil"/>
            </w:tcBorders>
            <w:shd w:val="clear" w:color="000000" w:fill="4D446C"/>
            <w:noWrap/>
            <w:vAlign w:val="center"/>
            <w:hideMark/>
          </w:tcPr>
          <w:p w14:paraId="2784E69A" w14:textId="77777777" w:rsidR="00016122" w:rsidRPr="006C7B74" w:rsidRDefault="00016122" w:rsidP="00016122">
            <w:pPr>
              <w:jc w:val="center"/>
              <w:rPr>
                <w:rFonts w:ascii="Calibri" w:hAnsi="Calibri" w:cs="Calibri"/>
                <w:b/>
                <w:bCs/>
                <w:color w:val="FFFFFF"/>
                <w:sz w:val="16"/>
                <w:szCs w:val="16"/>
                <w:lang w:eastAsia="en-AU"/>
              </w:rPr>
            </w:pPr>
            <w:r w:rsidRPr="006C7B74">
              <w:rPr>
                <w:rFonts w:ascii="Calibri" w:hAnsi="Calibri" w:cs="Calibri"/>
                <w:b/>
                <w:bCs/>
                <w:color w:val="FFFFFF"/>
                <w:sz w:val="16"/>
                <w:szCs w:val="16"/>
                <w:lang w:eastAsia="en-AU"/>
              </w:rPr>
              <w:t>Greater than 100,000 (m</w:t>
            </w:r>
            <w:r w:rsidRPr="006C7B74">
              <w:rPr>
                <w:rFonts w:ascii="Calibri" w:hAnsi="Calibri" w:cs="Calibri"/>
                <w:b/>
                <w:bCs/>
                <w:color w:val="FFFFFF"/>
                <w:sz w:val="16"/>
                <w:szCs w:val="16"/>
                <w:vertAlign w:val="superscript"/>
                <w:lang w:eastAsia="en-AU"/>
              </w:rPr>
              <w:t>2</w:t>
            </w:r>
            <w:r w:rsidRPr="006C7B74">
              <w:rPr>
                <w:rFonts w:ascii="Calibri" w:hAnsi="Calibri" w:cs="Calibri"/>
                <w:b/>
                <w:bCs/>
                <w:color w:val="FFFFFF"/>
                <w:sz w:val="16"/>
                <w:szCs w:val="16"/>
                <w:lang w:eastAsia="en-AU"/>
              </w:rPr>
              <w:t>)</w:t>
            </w:r>
          </w:p>
        </w:tc>
      </w:tr>
      <w:tr w:rsidR="005237A6" w:rsidRPr="006C7B74" w14:paraId="2FD1FBD2" w14:textId="77777777" w:rsidTr="006C7B74">
        <w:trPr>
          <w:trHeight w:val="337"/>
        </w:trPr>
        <w:tc>
          <w:tcPr>
            <w:tcW w:w="532" w:type="pct"/>
            <w:tcBorders>
              <w:top w:val="nil"/>
              <w:left w:val="nil"/>
              <w:bottom w:val="single" w:sz="8" w:space="0" w:color="44546A"/>
              <w:right w:val="nil"/>
            </w:tcBorders>
            <w:shd w:val="clear" w:color="auto" w:fill="auto"/>
            <w:vAlign w:val="center"/>
            <w:hideMark/>
          </w:tcPr>
          <w:p w14:paraId="0AB7E944" w14:textId="77777777" w:rsidR="00016122" w:rsidRPr="006C7B74" w:rsidRDefault="00016122" w:rsidP="00016122">
            <w:pPr>
              <w:rPr>
                <w:rFonts w:ascii="Calibri" w:hAnsi="Calibri" w:cs="Calibri"/>
                <w:b/>
                <w:color w:val="000000"/>
                <w:sz w:val="14"/>
                <w:szCs w:val="16"/>
                <w:lang w:eastAsia="en-AU"/>
              </w:rPr>
            </w:pPr>
            <w:r w:rsidRPr="006C7B74">
              <w:rPr>
                <w:rFonts w:ascii="Calibri" w:hAnsi="Calibri" w:cs="Calibri"/>
                <w:b/>
                <w:color w:val="000000"/>
                <w:sz w:val="14"/>
                <w:szCs w:val="16"/>
                <w:lang w:eastAsia="en-AU"/>
              </w:rPr>
              <w:t> </w:t>
            </w:r>
          </w:p>
        </w:tc>
        <w:tc>
          <w:tcPr>
            <w:tcW w:w="376" w:type="pct"/>
            <w:tcBorders>
              <w:top w:val="nil"/>
              <w:left w:val="nil"/>
              <w:bottom w:val="single" w:sz="8" w:space="0" w:color="44546A"/>
              <w:right w:val="nil"/>
            </w:tcBorders>
            <w:shd w:val="clear" w:color="auto" w:fill="auto"/>
            <w:vAlign w:val="center"/>
            <w:hideMark/>
          </w:tcPr>
          <w:p w14:paraId="4C7C86C8" w14:textId="77777777" w:rsidR="00016122" w:rsidRPr="006C7B74" w:rsidRDefault="00016122" w:rsidP="00016122">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No. of centres</w:t>
            </w:r>
          </w:p>
        </w:tc>
        <w:tc>
          <w:tcPr>
            <w:tcW w:w="454" w:type="pct"/>
            <w:tcBorders>
              <w:top w:val="nil"/>
              <w:left w:val="nil"/>
              <w:bottom w:val="single" w:sz="8" w:space="0" w:color="44546A"/>
              <w:right w:val="nil"/>
            </w:tcBorders>
            <w:shd w:val="clear" w:color="auto" w:fill="auto"/>
            <w:vAlign w:val="center"/>
            <w:hideMark/>
          </w:tcPr>
          <w:p w14:paraId="604B7F85" w14:textId="77777777" w:rsidR="00016122" w:rsidRPr="006C7B74" w:rsidRDefault="00016122" w:rsidP="00016122">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Floorspace (m</w:t>
            </w:r>
            <w:r w:rsidRPr="006C7B74">
              <w:rPr>
                <w:rFonts w:ascii="Calibri" w:hAnsi="Calibri" w:cs="Calibri"/>
                <w:color w:val="000000"/>
                <w:sz w:val="14"/>
                <w:szCs w:val="16"/>
                <w:vertAlign w:val="superscript"/>
                <w:lang w:eastAsia="en-AU"/>
              </w:rPr>
              <w:t>2</w:t>
            </w:r>
            <w:r w:rsidRPr="006C7B74">
              <w:rPr>
                <w:rFonts w:ascii="Calibri" w:hAnsi="Calibri" w:cs="Calibri"/>
                <w:color w:val="000000"/>
                <w:sz w:val="14"/>
                <w:szCs w:val="16"/>
                <w:lang w:eastAsia="en-AU"/>
              </w:rPr>
              <w:t>)</w:t>
            </w:r>
          </w:p>
        </w:tc>
        <w:tc>
          <w:tcPr>
            <w:tcW w:w="342" w:type="pct"/>
            <w:tcBorders>
              <w:top w:val="nil"/>
              <w:left w:val="nil"/>
              <w:bottom w:val="single" w:sz="8" w:space="0" w:color="44546A"/>
              <w:right w:val="nil"/>
            </w:tcBorders>
            <w:shd w:val="clear" w:color="auto" w:fill="auto"/>
            <w:vAlign w:val="center"/>
            <w:hideMark/>
          </w:tcPr>
          <w:p w14:paraId="4B67FB7D" w14:textId="77777777" w:rsidR="00016122" w:rsidRPr="006C7B74" w:rsidRDefault="00016122" w:rsidP="00016122">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No. of centres</w:t>
            </w:r>
          </w:p>
        </w:tc>
        <w:tc>
          <w:tcPr>
            <w:tcW w:w="449" w:type="pct"/>
            <w:tcBorders>
              <w:top w:val="nil"/>
              <w:left w:val="nil"/>
              <w:bottom w:val="single" w:sz="8" w:space="0" w:color="44546A"/>
              <w:right w:val="nil"/>
            </w:tcBorders>
            <w:shd w:val="clear" w:color="auto" w:fill="auto"/>
            <w:vAlign w:val="center"/>
            <w:hideMark/>
          </w:tcPr>
          <w:p w14:paraId="6F27D302" w14:textId="77777777" w:rsidR="00016122" w:rsidRPr="006C7B74" w:rsidRDefault="00016122" w:rsidP="00016122">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Floorspace (m</w:t>
            </w:r>
            <w:r w:rsidRPr="006C7B74">
              <w:rPr>
                <w:rFonts w:ascii="Calibri" w:hAnsi="Calibri" w:cs="Calibri"/>
                <w:color w:val="000000"/>
                <w:sz w:val="14"/>
                <w:szCs w:val="16"/>
                <w:vertAlign w:val="superscript"/>
                <w:lang w:eastAsia="en-AU"/>
              </w:rPr>
              <w:t>2</w:t>
            </w:r>
            <w:r w:rsidRPr="006C7B74">
              <w:rPr>
                <w:rFonts w:ascii="Calibri" w:hAnsi="Calibri" w:cs="Calibri"/>
                <w:color w:val="000000"/>
                <w:sz w:val="14"/>
                <w:szCs w:val="16"/>
                <w:lang w:eastAsia="en-AU"/>
              </w:rPr>
              <w:t>)</w:t>
            </w:r>
          </w:p>
        </w:tc>
        <w:tc>
          <w:tcPr>
            <w:tcW w:w="391" w:type="pct"/>
            <w:tcBorders>
              <w:top w:val="nil"/>
              <w:left w:val="nil"/>
              <w:bottom w:val="single" w:sz="8" w:space="0" w:color="44546A"/>
              <w:right w:val="nil"/>
            </w:tcBorders>
            <w:shd w:val="clear" w:color="auto" w:fill="auto"/>
            <w:vAlign w:val="center"/>
            <w:hideMark/>
          </w:tcPr>
          <w:p w14:paraId="65D6E371" w14:textId="77777777" w:rsidR="00016122" w:rsidRPr="006C7B74" w:rsidRDefault="00016122" w:rsidP="00016122">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No. of centres</w:t>
            </w:r>
          </w:p>
        </w:tc>
        <w:tc>
          <w:tcPr>
            <w:tcW w:w="487" w:type="pct"/>
            <w:tcBorders>
              <w:top w:val="nil"/>
              <w:left w:val="nil"/>
              <w:bottom w:val="single" w:sz="8" w:space="0" w:color="44546A"/>
              <w:right w:val="nil"/>
            </w:tcBorders>
            <w:shd w:val="clear" w:color="auto" w:fill="auto"/>
            <w:vAlign w:val="center"/>
            <w:hideMark/>
          </w:tcPr>
          <w:p w14:paraId="7FE05FA8" w14:textId="77777777" w:rsidR="00016122" w:rsidRPr="006C7B74" w:rsidRDefault="00016122" w:rsidP="00016122">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Floorspace (m</w:t>
            </w:r>
            <w:r w:rsidRPr="006C7B74">
              <w:rPr>
                <w:rFonts w:ascii="Calibri" w:hAnsi="Calibri" w:cs="Calibri"/>
                <w:color w:val="000000"/>
                <w:sz w:val="14"/>
                <w:szCs w:val="16"/>
                <w:vertAlign w:val="superscript"/>
                <w:lang w:eastAsia="en-AU"/>
              </w:rPr>
              <w:t>2</w:t>
            </w:r>
            <w:r w:rsidRPr="006C7B74">
              <w:rPr>
                <w:rFonts w:ascii="Calibri" w:hAnsi="Calibri" w:cs="Calibri"/>
                <w:color w:val="000000"/>
                <w:sz w:val="14"/>
                <w:szCs w:val="16"/>
                <w:lang w:eastAsia="en-AU"/>
              </w:rPr>
              <w:t>)</w:t>
            </w:r>
          </w:p>
        </w:tc>
        <w:tc>
          <w:tcPr>
            <w:tcW w:w="372" w:type="pct"/>
            <w:tcBorders>
              <w:top w:val="nil"/>
              <w:left w:val="nil"/>
              <w:bottom w:val="single" w:sz="8" w:space="0" w:color="44546A"/>
              <w:right w:val="nil"/>
            </w:tcBorders>
            <w:shd w:val="clear" w:color="auto" w:fill="auto"/>
            <w:vAlign w:val="center"/>
            <w:hideMark/>
          </w:tcPr>
          <w:p w14:paraId="5DC2A8AA" w14:textId="77777777" w:rsidR="00016122" w:rsidRPr="006C7B74" w:rsidRDefault="00016122" w:rsidP="00016122">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No. of centres</w:t>
            </w:r>
          </w:p>
        </w:tc>
        <w:tc>
          <w:tcPr>
            <w:tcW w:w="505" w:type="pct"/>
            <w:tcBorders>
              <w:top w:val="nil"/>
              <w:left w:val="nil"/>
              <w:bottom w:val="single" w:sz="8" w:space="0" w:color="44546A"/>
              <w:right w:val="nil"/>
            </w:tcBorders>
            <w:shd w:val="clear" w:color="auto" w:fill="auto"/>
            <w:vAlign w:val="center"/>
            <w:hideMark/>
          </w:tcPr>
          <w:p w14:paraId="0FCD6CAF" w14:textId="77777777" w:rsidR="00016122" w:rsidRPr="006C7B74" w:rsidRDefault="00016122" w:rsidP="00016122">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Floorspace (m</w:t>
            </w:r>
            <w:r w:rsidRPr="006C7B74">
              <w:rPr>
                <w:rFonts w:ascii="Calibri" w:hAnsi="Calibri" w:cs="Calibri"/>
                <w:color w:val="000000"/>
                <w:sz w:val="14"/>
                <w:szCs w:val="16"/>
                <w:vertAlign w:val="superscript"/>
                <w:lang w:eastAsia="en-AU"/>
              </w:rPr>
              <w:t>2</w:t>
            </w:r>
            <w:r w:rsidRPr="006C7B74">
              <w:rPr>
                <w:rFonts w:ascii="Calibri" w:hAnsi="Calibri" w:cs="Calibri"/>
                <w:color w:val="000000"/>
                <w:sz w:val="14"/>
                <w:szCs w:val="16"/>
                <w:lang w:eastAsia="en-AU"/>
              </w:rPr>
              <w:t>)</w:t>
            </w:r>
          </w:p>
        </w:tc>
        <w:tc>
          <w:tcPr>
            <w:tcW w:w="487" w:type="pct"/>
            <w:tcBorders>
              <w:top w:val="nil"/>
              <w:left w:val="nil"/>
              <w:bottom w:val="single" w:sz="8" w:space="0" w:color="44546A"/>
              <w:right w:val="nil"/>
            </w:tcBorders>
            <w:shd w:val="clear" w:color="auto" w:fill="auto"/>
            <w:vAlign w:val="center"/>
            <w:hideMark/>
          </w:tcPr>
          <w:p w14:paraId="56CF30C4" w14:textId="77777777" w:rsidR="00016122" w:rsidRPr="006C7B74" w:rsidRDefault="00016122" w:rsidP="00016122">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No. of centres</w:t>
            </w:r>
          </w:p>
        </w:tc>
        <w:tc>
          <w:tcPr>
            <w:tcW w:w="604" w:type="pct"/>
            <w:tcBorders>
              <w:top w:val="nil"/>
              <w:left w:val="nil"/>
              <w:bottom w:val="single" w:sz="8" w:space="0" w:color="44546A"/>
              <w:right w:val="nil"/>
            </w:tcBorders>
            <w:shd w:val="clear" w:color="auto" w:fill="auto"/>
            <w:vAlign w:val="center"/>
            <w:hideMark/>
          </w:tcPr>
          <w:p w14:paraId="658EBC12" w14:textId="77777777" w:rsidR="00016122" w:rsidRPr="006C7B74" w:rsidRDefault="00016122" w:rsidP="00016122">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Floorspace (m</w:t>
            </w:r>
            <w:r w:rsidRPr="006C7B74">
              <w:rPr>
                <w:rFonts w:ascii="Calibri" w:hAnsi="Calibri" w:cs="Calibri"/>
                <w:color w:val="000000"/>
                <w:sz w:val="14"/>
                <w:szCs w:val="16"/>
                <w:vertAlign w:val="superscript"/>
                <w:lang w:eastAsia="en-AU"/>
              </w:rPr>
              <w:t>2</w:t>
            </w:r>
            <w:r w:rsidRPr="006C7B74">
              <w:rPr>
                <w:rFonts w:ascii="Calibri" w:hAnsi="Calibri" w:cs="Calibri"/>
                <w:color w:val="000000"/>
                <w:sz w:val="14"/>
                <w:szCs w:val="16"/>
                <w:lang w:eastAsia="en-AU"/>
              </w:rPr>
              <w:t>)</w:t>
            </w:r>
          </w:p>
        </w:tc>
      </w:tr>
      <w:tr w:rsidR="005237A6" w:rsidRPr="006C7B74" w14:paraId="6BAFBF77" w14:textId="77777777" w:rsidTr="006C7B74">
        <w:trPr>
          <w:trHeight w:val="240"/>
        </w:trPr>
        <w:tc>
          <w:tcPr>
            <w:tcW w:w="532" w:type="pct"/>
            <w:tcBorders>
              <w:top w:val="nil"/>
              <w:left w:val="nil"/>
              <w:bottom w:val="single" w:sz="8" w:space="0" w:color="44546A"/>
              <w:right w:val="nil"/>
            </w:tcBorders>
            <w:shd w:val="clear" w:color="auto" w:fill="auto"/>
            <w:vAlign w:val="center"/>
            <w:hideMark/>
          </w:tcPr>
          <w:p w14:paraId="25B675BE" w14:textId="77777777" w:rsidR="00016122" w:rsidRPr="006C7B74" w:rsidRDefault="00016122" w:rsidP="00016122">
            <w:pPr>
              <w:rPr>
                <w:rFonts w:ascii="Calibri" w:hAnsi="Calibri" w:cs="Calibri"/>
                <w:color w:val="000000"/>
                <w:sz w:val="16"/>
                <w:szCs w:val="16"/>
                <w:lang w:eastAsia="en-AU"/>
              </w:rPr>
            </w:pPr>
            <w:r w:rsidRPr="006C7B74">
              <w:rPr>
                <w:rFonts w:ascii="Calibri" w:hAnsi="Calibri" w:cs="Calibri"/>
                <w:color w:val="000000"/>
                <w:sz w:val="16"/>
                <w:szCs w:val="16"/>
                <w:lang w:eastAsia="en-AU"/>
              </w:rPr>
              <w:t xml:space="preserve">Cardinia </w:t>
            </w:r>
          </w:p>
        </w:tc>
        <w:tc>
          <w:tcPr>
            <w:tcW w:w="376" w:type="pct"/>
            <w:tcBorders>
              <w:top w:val="nil"/>
              <w:left w:val="nil"/>
              <w:bottom w:val="single" w:sz="8" w:space="0" w:color="44546A"/>
              <w:right w:val="nil"/>
            </w:tcBorders>
            <w:shd w:val="clear" w:color="auto" w:fill="auto"/>
            <w:vAlign w:val="center"/>
            <w:hideMark/>
          </w:tcPr>
          <w:p w14:paraId="63CFB451"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7</w:t>
            </w:r>
          </w:p>
        </w:tc>
        <w:tc>
          <w:tcPr>
            <w:tcW w:w="454" w:type="pct"/>
            <w:tcBorders>
              <w:top w:val="nil"/>
              <w:left w:val="nil"/>
              <w:bottom w:val="single" w:sz="8" w:space="0" w:color="44546A"/>
              <w:right w:val="nil"/>
            </w:tcBorders>
            <w:shd w:val="clear" w:color="auto" w:fill="auto"/>
            <w:vAlign w:val="center"/>
            <w:hideMark/>
          </w:tcPr>
          <w:p w14:paraId="32456D68"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1,100</w:t>
            </w:r>
          </w:p>
        </w:tc>
        <w:tc>
          <w:tcPr>
            <w:tcW w:w="342" w:type="pct"/>
            <w:tcBorders>
              <w:top w:val="nil"/>
              <w:left w:val="nil"/>
              <w:bottom w:val="single" w:sz="8" w:space="0" w:color="44546A"/>
              <w:right w:val="nil"/>
            </w:tcBorders>
            <w:shd w:val="clear" w:color="auto" w:fill="auto"/>
            <w:vAlign w:val="center"/>
            <w:hideMark/>
          </w:tcPr>
          <w:p w14:paraId="2C82EA6D"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4</w:t>
            </w:r>
          </w:p>
        </w:tc>
        <w:tc>
          <w:tcPr>
            <w:tcW w:w="449" w:type="pct"/>
            <w:tcBorders>
              <w:top w:val="nil"/>
              <w:left w:val="nil"/>
              <w:bottom w:val="single" w:sz="8" w:space="0" w:color="44546A"/>
              <w:right w:val="nil"/>
            </w:tcBorders>
            <w:shd w:val="clear" w:color="auto" w:fill="auto"/>
            <w:vAlign w:val="center"/>
            <w:hideMark/>
          </w:tcPr>
          <w:p w14:paraId="3568218E"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21,700</w:t>
            </w:r>
          </w:p>
        </w:tc>
        <w:tc>
          <w:tcPr>
            <w:tcW w:w="391" w:type="pct"/>
            <w:tcBorders>
              <w:top w:val="nil"/>
              <w:left w:val="nil"/>
              <w:bottom w:val="single" w:sz="8" w:space="0" w:color="44546A"/>
              <w:right w:val="nil"/>
            </w:tcBorders>
            <w:shd w:val="clear" w:color="auto" w:fill="auto"/>
            <w:vAlign w:val="center"/>
            <w:hideMark/>
          </w:tcPr>
          <w:p w14:paraId="76DC02C6"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4</w:t>
            </w:r>
          </w:p>
        </w:tc>
        <w:tc>
          <w:tcPr>
            <w:tcW w:w="487" w:type="pct"/>
            <w:tcBorders>
              <w:top w:val="nil"/>
              <w:left w:val="nil"/>
              <w:bottom w:val="single" w:sz="8" w:space="0" w:color="44546A"/>
              <w:right w:val="nil"/>
            </w:tcBorders>
            <w:shd w:val="clear" w:color="auto" w:fill="auto"/>
            <w:vAlign w:val="center"/>
            <w:hideMark/>
          </w:tcPr>
          <w:p w14:paraId="71635CFD"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72,350</w:t>
            </w:r>
          </w:p>
        </w:tc>
        <w:tc>
          <w:tcPr>
            <w:tcW w:w="372" w:type="pct"/>
            <w:tcBorders>
              <w:top w:val="nil"/>
              <w:left w:val="nil"/>
              <w:bottom w:val="single" w:sz="8" w:space="0" w:color="44546A"/>
              <w:right w:val="nil"/>
            </w:tcBorders>
            <w:shd w:val="clear" w:color="auto" w:fill="auto"/>
            <w:vAlign w:val="center"/>
            <w:hideMark/>
          </w:tcPr>
          <w:p w14:paraId="0BF347E1"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0</w:t>
            </w:r>
          </w:p>
        </w:tc>
        <w:tc>
          <w:tcPr>
            <w:tcW w:w="505" w:type="pct"/>
            <w:tcBorders>
              <w:top w:val="nil"/>
              <w:left w:val="nil"/>
              <w:bottom w:val="single" w:sz="8" w:space="0" w:color="44546A"/>
              <w:right w:val="nil"/>
            </w:tcBorders>
            <w:shd w:val="clear" w:color="auto" w:fill="auto"/>
            <w:vAlign w:val="center"/>
            <w:hideMark/>
          </w:tcPr>
          <w:p w14:paraId="0F1940DB"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0</w:t>
            </w:r>
          </w:p>
        </w:tc>
        <w:tc>
          <w:tcPr>
            <w:tcW w:w="487" w:type="pct"/>
            <w:tcBorders>
              <w:top w:val="nil"/>
              <w:left w:val="nil"/>
              <w:bottom w:val="single" w:sz="8" w:space="0" w:color="44546A"/>
              <w:right w:val="nil"/>
            </w:tcBorders>
            <w:shd w:val="clear" w:color="auto" w:fill="auto"/>
            <w:vAlign w:val="center"/>
            <w:hideMark/>
          </w:tcPr>
          <w:p w14:paraId="56D9DB49"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w:t>
            </w:r>
          </w:p>
        </w:tc>
        <w:tc>
          <w:tcPr>
            <w:tcW w:w="604" w:type="pct"/>
            <w:tcBorders>
              <w:top w:val="nil"/>
              <w:left w:val="nil"/>
              <w:bottom w:val="single" w:sz="8" w:space="0" w:color="44546A"/>
              <w:right w:val="nil"/>
            </w:tcBorders>
            <w:shd w:val="clear" w:color="auto" w:fill="auto"/>
            <w:vAlign w:val="center"/>
            <w:hideMark/>
          </w:tcPr>
          <w:p w14:paraId="7EBE7587"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111,550</w:t>
            </w:r>
          </w:p>
        </w:tc>
      </w:tr>
      <w:tr w:rsidR="005237A6" w:rsidRPr="006C7B74" w14:paraId="2FFF24E2" w14:textId="77777777" w:rsidTr="006C7B74">
        <w:trPr>
          <w:trHeight w:val="240"/>
        </w:trPr>
        <w:tc>
          <w:tcPr>
            <w:tcW w:w="532" w:type="pct"/>
            <w:tcBorders>
              <w:top w:val="nil"/>
              <w:left w:val="nil"/>
              <w:bottom w:val="single" w:sz="8" w:space="0" w:color="44546A"/>
              <w:right w:val="nil"/>
            </w:tcBorders>
            <w:shd w:val="clear" w:color="auto" w:fill="auto"/>
            <w:vAlign w:val="center"/>
            <w:hideMark/>
          </w:tcPr>
          <w:p w14:paraId="50512926" w14:textId="77777777" w:rsidR="00016122" w:rsidRPr="006C7B74" w:rsidRDefault="00016122" w:rsidP="00016122">
            <w:pPr>
              <w:rPr>
                <w:rFonts w:ascii="Calibri" w:hAnsi="Calibri" w:cs="Calibri"/>
                <w:color w:val="000000"/>
                <w:sz w:val="16"/>
                <w:szCs w:val="16"/>
                <w:lang w:eastAsia="en-AU"/>
              </w:rPr>
            </w:pPr>
            <w:r w:rsidRPr="006C7B74">
              <w:rPr>
                <w:rFonts w:ascii="Calibri" w:hAnsi="Calibri" w:cs="Calibri"/>
                <w:color w:val="000000"/>
                <w:sz w:val="16"/>
                <w:szCs w:val="16"/>
                <w:lang w:eastAsia="en-AU"/>
              </w:rPr>
              <w:t>Casey</w:t>
            </w:r>
          </w:p>
        </w:tc>
        <w:tc>
          <w:tcPr>
            <w:tcW w:w="376" w:type="pct"/>
            <w:tcBorders>
              <w:top w:val="nil"/>
              <w:left w:val="nil"/>
              <w:bottom w:val="single" w:sz="8" w:space="0" w:color="44546A"/>
              <w:right w:val="nil"/>
            </w:tcBorders>
            <w:shd w:val="clear" w:color="auto" w:fill="auto"/>
            <w:vAlign w:val="center"/>
            <w:hideMark/>
          </w:tcPr>
          <w:p w14:paraId="54A46674"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10</w:t>
            </w:r>
          </w:p>
        </w:tc>
        <w:tc>
          <w:tcPr>
            <w:tcW w:w="454" w:type="pct"/>
            <w:tcBorders>
              <w:top w:val="nil"/>
              <w:left w:val="nil"/>
              <w:bottom w:val="single" w:sz="8" w:space="0" w:color="44546A"/>
              <w:right w:val="nil"/>
            </w:tcBorders>
            <w:shd w:val="clear" w:color="auto" w:fill="auto"/>
            <w:vAlign w:val="center"/>
            <w:hideMark/>
          </w:tcPr>
          <w:p w14:paraId="41FB4D34"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11,900</w:t>
            </w:r>
          </w:p>
        </w:tc>
        <w:tc>
          <w:tcPr>
            <w:tcW w:w="342" w:type="pct"/>
            <w:tcBorders>
              <w:top w:val="nil"/>
              <w:left w:val="nil"/>
              <w:bottom w:val="single" w:sz="8" w:space="0" w:color="44546A"/>
              <w:right w:val="nil"/>
            </w:tcBorders>
            <w:shd w:val="clear" w:color="auto" w:fill="auto"/>
            <w:vAlign w:val="center"/>
            <w:hideMark/>
          </w:tcPr>
          <w:p w14:paraId="60CD8E4B"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15</w:t>
            </w:r>
          </w:p>
        </w:tc>
        <w:tc>
          <w:tcPr>
            <w:tcW w:w="449" w:type="pct"/>
            <w:tcBorders>
              <w:top w:val="nil"/>
              <w:left w:val="nil"/>
              <w:bottom w:val="single" w:sz="8" w:space="0" w:color="44546A"/>
              <w:right w:val="nil"/>
            </w:tcBorders>
            <w:shd w:val="clear" w:color="auto" w:fill="auto"/>
            <w:vAlign w:val="center"/>
            <w:hideMark/>
          </w:tcPr>
          <w:p w14:paraId="48D8BB3F"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87,050</w:t>
            </w:r>
          </w:p>
        </w:tc>
        <w:tc>
          <w:tcPr>
            <w:tcW w:w="391" w:type="pct"/>
            <w:tcBorders>
              <w:top w:val="nil"/>
              <w:left w:val="nil"/>
              <w:bottom w:val="single" w:sz="8" w:space="0" w:color="44546A"/>
              <w:right w:val="nil"/>
            </w:tcBorders>
            <w:shd w:val="clear" w:color="auto" w:fill="auto"/>
            <w:vAlign w:val="center"/>
            <w:hideMark/>
          </w:tcPr>
          <w:p w14:paraId="3D943E39"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7</w:t>
            </w:r>
          </w:p>
        </w:tc>
        <w:tc>
          <w:tcPr>
            <w:tcW w:w="487" w:type="pct"/>
            <w:tcBorders>
              <w:top w:val="nil"/>
              <w:left w:val="nil"/>
              <w:bottom w:val="single" w:sz="8" w:space="0" w:color="44546A"/>
              <w:right w:val="nil"/>
            </w:tcBorders>
            <w:shd w:val="clear" w:color="auto" w:fill="auto"/>
            <w:vAlign w:val="center"/>
            <w:hideMark/>
          </w:tcPr>
          <w:p w14:paraId="7B23DE7B"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198,700</w:t>
            </w:r>
          </w:p>
        </w:tc>
        <w:tc>
          <w:tcPr>
            <w:tcW w:w="372" w:type="pct"/>
            <w:tcBorders>
              <w:top w:val="nil"/>
              <w:left w:val="nil"/>
              <w:bottom w:val="single" w:sz="8" w:space="0" w:color="44546A"/>
              <w:right w:val="nil"/>
            </w:tcBorders>
            <w:shd w:val="clear" w:color="auto" w:fill="auto"/>
            <w:vAlign w:val="center"/>
            <w:hideMark/>
          </w:tcPr>
          <w:p w14:paraId="2A1B035B"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0</w:t>
            </w:r>
          </w:p>
        </w:tc>
        <w:tc>
          <w:tcPr>
            <w:tcW w:w="505" w:type="pct"/>
            <w:tcBorders>
              <w:top w:val="nil"/>
              <w:left w:val="nil"/>
              <w:bottom w:val="single" w:sz="8" w:space="0" w:color="44546A"/>
              <w:right w:val="nil"/>
            </w:tcBorders>
            <w:shd w:val="clear" w:color="auto" w:fill="auto"/>
            <w:vAlign w:val="center"/>
            <w:hideMark/>
          </w:tcPr>
          <w:p w14:paraId="695C7879"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0</w:t>
            </w:r>
          </w:p>
        </w:tc>
        <w:tc>
          <w:tcPr>
            <w:tcW w:w="487" w:type="pct"/>
            <w:tcBorders>
              <w:top w:val="nil"/>
              <w:left w:val="nil"/>
              <w:bottom w:val="single" w:sz="8" w:space="0" w:color="44546A"/>
              <w:right w:val="nil"/>
            </w:tcBorders>
            <w:shd w:val="clear" w:color="auto" w:fill="auto"/>
            <w:vAlign w:val="center"/>
            <w:hideMark/>
          </w:tcPr>
          <w:p w14:paraId="1B869F90"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w:t>
            </w:r>
          </w:p>
        </w:tc>
        <w:tc>
          <w:tcPr>
            <w:tcW w:w="604" w:type="pct"/>
            <w:tcBorders>
              <w:top w:val="nil"/>
              <w:left w:val="nil"/>
              <w:bottom w:val="single" w:sz="8" w:space="0" w:color="44546A"/>
              <w:right w:val="nil"/>
            </w:tcBorders>
            <w:shd w:val="clear" w:color="auto" w:fill="auto"/>
            <w:vAlign w:val="center"/>
            <w:hideMark/>
          </w:tcPr>
          <w:p w14:paraId="16A4167B"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420,650</w:t>
            </w:r>
          </w:p>
        </w:tc>
      </w:tr>
      <w:tr w:rsidR="005237A6" w:rsidRPr="006C7B74" w14:paraId="645A792D" w14:textId="77777777" w:rsidTr="006C7B74">
        <w:trPr>
          <w:trHeight w:val="240"/>
        </w:trPr>
        <w:tc>
          <w:tcPr>
            <w:tcW w:w="532" w:type="pct"/>
            <w:tcBorders>
              <w:top w:val="nil"/>
              <w:left w:val="nil"/>
              <w:bottom w:val="single" w:sz="8" w:space="0" w:color="44546A"/>
              <w:right w:val="nil"/>
            </w:tcBorders>
            <w:shd w:val="clear" w:color="auto" w:fill="auto"/>
            <w:vAlign w:val="center"/>
            <w:hideMark/>
          </w:tcPr>
          <w:p w14:paraId="6A36AE6B" w14:textId="77777777" w:rsidR="00016122" w:rsidRPr="006C7B74" w:rsidRDefault="00016122" w:rsidP="00016122">
            <w:pPr>
              <w:rPr>
                <w:rFonts w:ascii="Calibri" w:hAnsi="Calibri" w:cs="Calibri"/>
                <w:color w:val="000000"/>
                <w:sz w:val="16"/>
                <w:szCs w:val="16"/>
                <w:lang w:eastAsia="en-AU"/>
              </w:rPr>
            </w:pPr>
            <w:r w:rsidRPr="006C7B74">
              <w:rPr>
                <w:rFonts w:ascii="Calibri" w:hAnsi="Calibri" w:cs="Calibri"/>
                <w:color w:val="000000"/>
                <w:sz w:val="16"/>
                <w:szCs w:val="16"/>
                <w:lang w:eastAsia="en-AU"/>
              </w:rPr>
              <w:t>Frankston</w:t>
            </w:r>
          </w:p>
        </w:tc>
        <w:tc>
          <w:tcPr>
            <w:tcW w:w="376" w:type="pct"/>
            <w:tcBorders>
              <w:top w:val="nil"/>
              <w:left w:val="nil"/>
              <w:bottom w:val="single" w:sz="8" w:space="0" w:color="44546A"/>
              <w:right w:val="nil"/>
            </w:tcBorders>
            <w:shd w:val="clear" w:color="auto" w:fill="auto"/>
            <w:vAlign w:val="center"/>
            <w:hideMark/>
          </w:tcPr>
          <w:p w14:paraId="4ECE212D"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17</w:t>
            </w:r>
          </w:p>
        </w:tc>
        <w:tc>
          <w:tcPr>
            <w:tcW w:w="454" w:type="pct"/>
            <w:tcBorders>
              <w:top w:val="nil"/>
              <w:left w:val="nil"/>
              <w:bottom w:val="single" w:sz="8" w:space="0" w:color="44546A"/>
              <w:right w:val="nil"/>
            </w:tcBorders>
            <w:shd w:val="clear" w:color="auto" w:fill="auto"/>
            <w:vAlign w:val="center"/>
            <w:hideMark/>
          </w:tcPr>
          <w:p w14:paraId="54DBA12D"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18,050</w:t>
            </w:r>
          </w:p>
        </w:tc>
        <w:tc>
          <w:tcPr>
            <w:tcW w:w="342" w:type="pct"/>
            <w:tcBorders>
              <w:top w:val="nil"/>
              <w:left w:val="nil"/>
              <w:bottom w:val="single" w:sz="8" w:space="0" w:color="44546A"/>
              <w:right w:val="nil"/>
            </w:tcBorders>
            <w:shd w:val="clear" w:color="auto" w:fill="auto"/>
            <w:vAlign w:val="center"/>
            <w:hideMark/>
          </w:tcPr>
          <w:p w14:paraId="08C30F6C"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14</w:t>
            </w:r>
          </w:p>
        </w:tc>
        <w:tc>
          <w:tcPr>
            <w:tcW w:w="449" w:type="pct"/>
            <w:tcBorders>
              <w:top w:val="nil"/>
              <w:left w:val="nil"/>
              <w:bottom w:val="single" w:sz="8" w:space="0" w:color="44546A"/>
              <w:right w:val="nil"/>
            </w:tcBorders>
            <w:shd w:val="clear" w:color="auto" w:fill="auto"/>
            <w:vAlign w:val="center"/>
            <w:hideMark/>
          </w:tcPr>
          <w:p w14:paraId="3E334E11"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56,200</w:t>
            </w:r>
          </w:p>
        </w:tc>
        <w:tc>
          <w:tcPr>
            <w:tcW w:w="391" w:type="pct"/>
            <w:tcBorders>
              <w:top w:val="nil"/>
              <w:left w:val="nil"/>
              <w:bottom w:val="single" w:sz="8" w:space="0" w:color="44546A"/>
              <w:right w:val="nil"/>
            </w:tcBorders>
            <w:shd w:val="clear" w:color="auto" w:fill="auto"/>
            <w:vAlign w:val="center"/>
            <w:hideMark/>
          </w:tcPr>
          <w:p w14:paraId="5146C5FB"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w:t>
            </w:r>
          </w:p>
        </w:tc>
        <w:tc>
          <w:tcPr>
            <w:tcW w:w="487" w:type="pct"/>
            <w:tcBorders>
              <w:top w:val="nil"/>
              <w:left w:val="nil"/>
              <w:bottom w:val="single" w:sz="8" w:space="0" w:color="44546A"/>
              <w:right w:val="nil"/>
            </w:tcBorders>
            <w:shd w:val="clear" w:color="auto" w:fill="auto"/>
            <w:vAlign w:val="center"/>
            <w:hideMark/>
          </w:tcPr>
          <w:p w14:paraId="232605ED"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22,500</w:t>
            </w:r>
          </w:p>
        </w:tc>
        <w:tc>
          <w:tcPr>
            <w:tcW w:w="372" w:type="pct"/>
            <w:tcBorders>
              <w:top w:val="nil"/>
              <w:left w:val="nil"/>
              <w:bottom w:val="single" w:sz="8" w:space="0" w:color="44546A"/>
              <w:right w:val="nil"/>
            </w:tcBorders>
            <w:shd w:val="clear" w:color="auto" w:fill="auto"/>
            <w:vAlign w:val="center"/>
            <w:hideMark/>
          </w:tcPr>
          <w:p w14:paraId="04BE237A"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w:t>
            </w:r>
          </w:p>
        </w:tc>
        <w:tc>
          <w:tcPr>
            <w:tcW w:w="505" w:type="pct"/>
            <w:tcBorders>
              <w:top w:val="nil"/>
              <w:left w:val="nil"/>
              <w:bottom w:val="single" w:sz="8" w:space="0" w:color="44546A"/>
              <w:right w:val="nil"/>
            </w:tcBorders>
            <w:shd w:val="clear" w:color="auto" w:fill="auto"/>
            <w:vAlign w:val="center"/>
            <w:hideMark/>
          </w:tcPr>
          <w:p w14:paraId="0D63B2A6"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113,800</w:t>
            </w:r>
          </w:p>
        </w:tc>
        <w:tc>
          <w:tcPr>
            <w:tcW w:w="487" w:type="pct"/>
            <w:tcBorders>
              <w:top w:val="nil"/>
              <w:left w:val="nil"/>
              <w:bottom w:val="single" w:sz="8" w:space="0" w:color="44546A"/>
              <w:right w:val="nil"/>
            </w:tcBorders>
            <w:shd w:val="clear" w:color="auto" w:fill="auto"/>
            <w:vAlign w:val="center"/>
            <w:hideMark/>
          </w:tcPr>
          <w:p w14:paraId="44C94E0A"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w:t>
            </w:r>
          </w:p>
        </w:tc>
        <w:tc>
          <w:tcPr>
            <w:tcW w:w="604" w:type="pct"/>
            <w:tcBorders>
              <w:top w:val="nil"/>
              <w:left w:val="nil"/>
              <w:bottom w:val="single" w:sz="8" w:space="0" w:color="44546A"/>
              <w:right w:val="nil"/>
            </w:tcBorders>
            <w:shd w:val="clear" w:color="auto" w:fill="auto"/>
            <w:vAlign w:val="center"/>
            <w:hideMark/>
          </w:tcPr>
          <w:p w14:paraId="79C3B743" w14:textId="52F36B5B" w:rsidR="00016122" w:rsidRPr="006C7B74" w:rsidRDefault="005237A6"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274,700</w:t>
            </w:r>
          </w:p>
        </w:tc>
      </w:tr>
      <w:tr w:rsidR="005237A6" w:rsidRPr="006C7B74" w14:paraId="5DD4A4DC" w14:textId="77777777" w:rsidTr="006C7B74">
        <w:trPr>
          <w:trHeight w:val="240"/>
        </w:trPr>
        <w:tc>
          <w:tcPr>
            <w:tcW w:w="532" w:type="pct"/>
            <w:tcBorders>
              <w:top w:val="nil"/>
              <w:left w:val="nil"/>
              <w:bottom w:val="single" w:sz="8" w:space="0" w:color="44546A"/>
              <w:right w:val="nil"/>
            </w:tcBorders>
            <w:shd w:val="clear" w:color="auto" w:fill="auto"/>
            <w:vAlign w:val="center"/>
            <w:hideMark/>
          </w:tcPr>
          <w:p w14:paraId="7DE7ACA7" w14:textId="77777777" w:rsidR="00016122" w:rsidRPr="006C7B74" w:rsidRDefault="00016122" w:rsidP="00016122">
            <w:pPr>
              <w:rPr>
                <w:rFonts w:ascii="Calibri" w:hAnsi="Calibri" w:cs="Calibri"/>
                <w:color w:val="000000"/>
                <w:sz w:val="16"/>
                <w:szCs w:val="16"/>
                <w:lang w:eastAsia="en-AU"/>
              </w:rPr>
            </w:pPr>
            <w:r w:rsidRPr="006C7B74">
              <w:rPr>
                <w:rFonts w:ascii="Calibri" w:hAnsi="Calibri" w:cs="Calibri"/>
                <w:color w:val="000000"/>
                <w:sz w:val="16"/>
                <w:szCs w:val="16"/>
                <w:lang w:eastAsia="en-AU"/>
              </w:rPr>
              <w:t>Greater Dandenong</w:t>
            </w:r>
          </w:p>
        </w:tc>
        <w:tc>
          <w:tcPr>
            <w:tcW w:w="376" w:type="pct"/>
            <w:tcBorders>
              <w:top w:val="nil"/>
              <w:left w:val="nil"/>
              <w:bottom w:val="single" w:sz="8" w:space="0" w:color="44546A"/>
              <w:right w:val="nil"/>
            </w:tcBorders>
            <w:shd w:val="clear" w:color="auto" w:fill="auto"/>
            <w:vAlign w:val="center"/>
            <w:hideMark/>
          </w:tcPr>
          <w:p w14:paraId="3BD785CB"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25</w:t>
            </w:r>
          </w:p>
        </w:tc>
        <w:tc>
          <w:tcPr>
            <w:tcW w:w="454" w:type="pct"/>
            <w:tcBorders>
              <w:top w:val="nil"/>
              <w:left w:val="nil"/>
              <w:bottom w:val="single" w:sz="8" w:space="0" w:color="44546A"/>
              <w:right w:val="nil"/>
            </w:tcBorders>
            <w:shd w:val="clear" w:color="auto" w:fill="auto"/>
            <w:vAlign w:val="center"/>
            <w:hideMark/>
          </w:tcPr>
          <w:p w14:paraId="563491CA"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26,200</w:t>
            </w:r>
          </w:p>
        </w:tc>
        <w:tc>
          <w:tcPr>
            <w:tcW w:w="342" w:type="pct"/>
            <w:tcBorders>
              <w:top w:val="nil"/>
              <w:left w:val="nil"/>
              <w:bottom w:val="single" w:sz="8" w:space="0" w:color="44546A"/>
              <w:right w:val="nil"/>
            </w:tcBorders>
            <w:shd w:val="clear" w:color="auto" w:fill="auto"/>
            <w:vAlign w:val="center"/>
            <w:hideMark/>
          </w:tcPr>
          <w:p w14:paraId="39C9D271"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6</w:t>
            </w:r>
          </w:p>
        </w:tc>
        <w:tc>
          <w:tcPr>
            <w:tcW w:w="449" w:type="pct"/>
            <w:tcBorders>
              <w:top w:val="nil"/>
              <w:left w:val="nil"/>
              <w:bottom w:val="single" w:sz="8" w:space="0" w:color="44546A"/>
              <w:right w:val="nil"/>
            </w:tcBorders>
            <w:shd w:val="clear" w:color="auto" w:fill="auto"/>
            <w:vAlign w:val="center"/>
            <w:hideMark/>
          </w:tcPr>
          <w:p w14:paraId="0E9B0DA6"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24,100</w:t>
            </w:r>
          </w:p>
        </w:tc>
        <w:tc>
          <w:tcPr>
            <w:tcW w:w="391" w:type="pct"/>
            <w:tcBorders>
              <w:top w:val="nil"/>
              <w:left w:val="nil"/>
              <w:bottom w:val="single" w:sz="8" w:space="0" w:color="44546A"/>
              <w:right w:val="nil"/>
            </w:tcBorders>
            <w:shd w:val="clear" w:color="auto" w:fill="auto"/>
            <w:vAlign w:val="center"/>
            <w:hideMark/>
          </w:tcPr>
          <w:p w14:paraId="6D674F8D"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3</w:t>
            </w:r>
          </w:p>
        </w:tc>
        <w:tc>
          <w:tcPr>
            <w:tcW w:w="487" w:type="pct"/>
            <w:tcBorders>
              <w:top w:val="nil"/>
              <w:left w:val="nil"/>
              <w:bottom w:val="single" w:sz="8" w:space="0" w:color="44546A"/>
              <w:right w:val="nil"/>
            </w:tcBorders>
            <w:shd w:val="clear" w:color="auto" w:fill="auto"/>
            <w:vAlign w:val="center"/>
            <w:hideMark/>
          </w:tcPr>
          <w:p w14:paraId="2F63C18B"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82,950</w:t>
            </w:r>
          </w:p>
        </w:tc>
        <w:tc>
          <w:tcPr>
            <w:tcW w:w="372" w:type="pct"/>
            <w:tcBorders>
              <w:top w:val="nil"/>
              <w:left w:val="nil"/>
              <w:bottom w:val="single" w:sz="8" w:space="0" w:color="44546A"/>
              <w:right w:val="nil"/>
            </w:tcBorders>
            <w:shd w:val="clear" w:color="auto" w:fill="auto"/>
            <w:vAlign w:val="center"/>
            <w:hideMark/>
          </w:tcPr>
          <w:p w14:paraId="2104CBF0"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0</w:t>
            </w:r>
          </w:p>
        </w:tc>
        <w:tc>
          <w:tcPr>
            <w:tcW w:w="505" w:type="pct"/>
            <w:tcBorders>
              <w:top w:val="nil"/>
              <w:left w:val="nil"/>
              <w:bottom w:val="single" w:sz="8" w:space="0" w:color="44546A"/>
              <w:right w:val="nil"/>
            </w:tcBorders>
            <w:shd w:val="clear" w:color="auto" w:fill="auto"/>
            <w:vAlign w:val="center"/>
            <w:hideMark/>
          </w:tcPr>
          <w:p w14:paraId="501072E1"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0</w:t>
            </w:r>
          </w:p>
        </w:tc>
        <w:tc>
          <w:tcPr>
            <w:tcW w:w="487" w:type="pct"/>
            <w:tcBorders>
              <w:top w:val="nil"/>
              <w:left w:val="nil"/>
              <w:bottom w:val="single" w:sz="8" w:space="0" w:color="44546A"/>
              <w:right w:val="nil"/>
            </w:tcBorders>
            <w:shd w:val="clear" w:color="auto" w:fill="auto"/>
            <w:vAlign w:val="center"/>
            <w:hideMark/>
          </w:tcPr>
          <w:p w14:paraId="22140086"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w:t>
            </w:r>
          </w:p>
        </w:tc>
        <w:tc>
          <w:tcPr>
            <w:tcW w:w="604" w:type="pct"/>
            <w:tcBorders>
              <w:top w:val="nil"/>
              <w:left w:val="nil"/>
              <w:bottom w:val="single" w:sz="8" w:space="0" w:color="44546A"/>
              <w:right w:val="nil"/>
            </w:tcBorders>
            <w:shd w:val="clear" w:color="auto" w:fill="auto"/>
            <w:vAlign w:val="center"/>
            <w:hideMark/>
          </w:tcPr>
          <w:p w14:paraId="7464E5E6"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520,650</w:t>
            </w:r>
          </w:p>
        </w:tc>
      </w:tr>
      <w:tr w:rsidR="005237A6" w:rsidRPr="006C7B74" w14:paraId="1D1DB960" w14:textId="77777777" w:rsidTr="006C7B74">
        <w:trPr>
          <w:trHeight w:val="240"/>
        </w:trPr>
        <w:tc>
          <w:tcPr>
            <w:tcW w:w="532" w:type="pct"/>
            <w:tcBorders>
              <w:top w:val="nil"/>
              <w:left w:val="nil"/>
              <w:bottom w:val="single" w:sz="8" w:space="0" w:color="44546A"/>
              <w:right w:val="nil"/>
            </w:tcBorders>
            <w:shd w:val="clear" w:color="auto" w:fill="auto"/>
            <w:vAlign w:val="center"/>
            <w:hideMark/>
          </w:tcPr>
          <w:p w14:paraId="41C572F3" w14:textId="77777777" w:rsidR="00016122" w:rsidRPr="006C7B74" w:rsidRDefault="00016122" w:rsidP="00016122">
            <w:pPr>
              <w:rPr>
                <w:rFonts w:ascii="Calibri" w:hAnsi="Calibri" w:cs="Calibri"/>
                <w:color w:val="000000"/>
                <w:sz w:val="16"/>
                <w:szCs w:val="16"/>
                <w:lang w:eastAsia="en-AU"/>
              </w:rPr>
            </w:pPr>
            <w:r w:rsidRPr="006C7B74">
              <w:rPr>
                <w:rFonts w:ascii="Calibri" w:hAnsi="Calibri" w:cs="Calibri"/>
                <w:color w:val="000000"/>
                <w:sz w:val="16"/>
                <w:szCs w:val="16"/>
                <w:lang w:eastAsia="en-AU"/>
              </w:rPr>
              <w:t>Kingston</w:t>
            </w:r>
          </w:p>
        </w:tc>
        <w:tc>
          <w:tcPr>
            <w:tcW w:w="376" w:type="pct"/>
            <w:tcBorders>
              <w:top w:val="nil"/>
              <w:left w:val="nil"/>
              <w:bottom w:val="single" w:sz="8" w:space="0" w:color="44546A"/>
              <w:right w:val="nil"/>
            </w:tcBorders>
            <w:shd w:val="clear" w:color="auto" w:fill="auto"/>
            <w:vAlign w:val="center"/>
            <w:hideMark/>
          </w:tcPr>
          <w:p w14:paraId="4ED7A4C0" w14:textId="5F6A5A06"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w:t>
            </w:r>
            <w:r w:rsidR="00DE4CC3" w:rsidRPr="006C7B74">
              <w:rPr>
                <w:rFonts w:ascii="Calibri" w:hAnsi="Calibri" w:cs="Calibri"/>
                <w:color w:val="000000"/>
                <w:sz w:val="16"/>
                <w:szCs w:val="16"/>
                <w:lang w:eastAsia="en-AU"/>
              </w:rPr>
              <w:t>2</w:t>
            </w:r>
          </w:p>
        </w:tc>
        <w:tc>
          <w:tcPr>
            <w:tcW w:w="454" w:type="pct"/>
            <w:tcBorders>
              <w:top w:val="nil"/>
              <w:left w:val="nil"/>
              <w:bottom w:val="single" w:sz="8" w:space="0" w:color="44546A"/>
              <w:right w:val="nil"/>
            </w:tcBorders>
            <w:shd w:val="clear" w:color="auto" w:fill="auto"/>
            <w:vAlign w:val="center"/>
            <w:hideMark/>
          </w:tcPr>
          <w:p w14:paraId="41D836BC" w14:textId="0E0C7B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24,</w:t>
            </w:r>
            <w:r w:rsidR="00DE4CC3" w:rsidRPr="006C7B74">
              <w:rPr>
                <w:rFonts w:ascii="Calibri" w:hAnsi="Calibri" w:cs="Calibri"/>
                <w:color w:val="000000"/>
                <w:sz w:val="16"/>
                <w:szCs w:val="16"/>
                <w:lang w:eastAsia="en-AU"/>
              </w:rPr>
              <w:t>300</w:t>
            </w:r>
          </w:p>
        </w:tc>
        <w:tc>
          <w:tcPr>
            <w:tcW w:w="342" w:type="pct"/>
            <w:tcBorders>
              <w:top w:val="nil"/>
              <w:left w:val="nil"/>
              <w:bottom w:val="single" w:sz="8" w:space="0" w:color="44546A"/>
              <w:right w:val="nil"/>
            </w:tcBorders>
            <w:shd w:val="clear" w:color="auto" w:fill="auto"/>
            <w:vAlign w:val="center"/>
            <w:hideMark/>
          </w:tcPr>
          <w:p w14:paraId="1EB8B419"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16</w:t>
            </w:r>
          </w:p>
        </w:tc>
        <w:tc>
          <w:tcPr>
            <w:tcW w:w="449" w:type="pct"/>
            <w:tcBorders>
              <w:top w:val="nil"/>
              <w:left w:val="nil"/>
              <w:bottom w:val="single" w:sz="8" w:space="0" w:color="44546A"/>
              <w:right w:val="nil"/>
            </w:tcBorders>
            <w:shd w:val="clear" w:color="auto" w:fill="auto"/>
            <w:vAlign w:val="center"/>
            <w:hideMark/>
          </w:tcPr>
          <w:p w14:paraId="2EE1E8D7" w14:textId="0FE92B32"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72,</w:t>
            </w:r>
            <w:r w:rsidR="005237A6" w:rsidRPr="006C7B74">
              <w:rPr>
                <w:rFonts w:ascii="Calibri" w:hAnsi="Calibri" w:cs="Calibri"/>
                <w:color w:val="000000"/>
                <w:sz w:val="16"/>
                <w:szCs w:val="16"/>
                <w:lang w:eastAsia="en-AU"/>
              </w:rPr>
              <w:t>250</w:t>
            </w:r>
          </w:p>
        </w:tc>
        <w:tc>
          <w:tcPr>
            <w:tcW w:w="391" w:type="pct"/>
            <w:tcBorders>
              <w:top w:val="nil"/>
              <w:left w:val="nil"/>
              <w:bottom w:val="single" w:sz="8" w:space="0" w:color="44546A"/>
              <w:right w:val="nil"/>
            </w:tcBorders>
            <w:shd w:val="clear" w:color="auto" w:fill="auto"/>
            <w:vAlign w:val="center"/>
            <w:hideMark/>
          </w:tcPr>
          <w:p w14:paraId="2BAE5E11"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8</w:t>
            </w:r>
          </w:p>
        </w:tc>
        <w:tc>
          <w:tcPr>
            <w:tcW w:w="487" w:type="pct"/>
            <w:tcBorders>
              <w:top w:val="nil"/>
              <w:left w:val="nil"/>
              <w:bottom w:val="single" w:sz="8" w:space="0" w:color="44546A"/>
              <w:right w:val="nil"/>
            </w:tcBorders>
            <w:shd w:val="clear" w:color="auto" w:fill="auto"/>
            <w:vAlign w:val="center"/>
            <w:hideMark/>
          </w:tcPr>
          <w:p w14:paraId="5B5B8379"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178,600</w:t>
            </w:r>
          </w:p>
        </w:tc>
        <w:tc>
          <w:tcPr>
            <w:tcW w:w="372" w:type="pct"/>
            <w:tcBorders>
              <w:top w:val="nil"/>
              <w:left w:val="nil"/>
              <w:bottom w:val="single" w:sz="8" w:space="0" w:color="44546A"/>
              <w:right w:val="nil"/>
            </w:tcBorders>
            <w:shd w:val="clear" w:color="auto" w:fill="auto"/>
            <w:vAlign w:val="center"/>
            <w:hideMark/>
          </w:tcPr>
          <w:p w14:paraId="60CF95DE"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w:t>
            </w:r>
          </w:p>
        </w:tc>
        <w:tc>
          <w:tcPr>
            <w:tcW w:w="505" w:type="pct"/>
            <w:tcBorders>
              <w:top w:val="nil"/>
              <w:left w:val="nil"/>
              <w:bottom w:val="single" w:sz="8" w:space="0" w:color="44546A"/>
              <w:right w:val="nil"/>
            </w:tcBorders>
            <w:shd w:val="clear" w:color="auto" w:fill="auto"/>
            <w:vAlign w:val="center"/>
            <w:hideMark/>
          </w:tcPr>
          <w:p w14:paraId="16B5487B"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176,150</w:t>
            </w:r>
          </w:p>
        </w:tc>
        <w:tc>
          <w:tcPr>
            <w:tcW w:w="487" w:type="pct"/>
            <w:tcBorders>
              <w:top w:val="nil"/>
              <w:left w:val="nil"/>
              <w:bottom w:val="single" w:sz="8" w:space="0" w:color="44546A"/>
              <w:right w:val="nil"/>
            </w:tcBorders>
            <w:shd w:val="clear" w:color="auto" w:fill="auto"/>
            <w:vAlign w:val="center"/>
            <w:hideMark/>
          </w:tcPr>
          <w:p w14:paraId="43AA6090"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w:t>
            </w:r>
          </w:p>
        </w:tc>
        <w:tc>
          <w:tcPr>
            <w:tcW w:w="604" w:type="pct"/>
            <w:tcBorders>
              <w:top w:val="nil"/>
              <w:left w:val="nil"/>
              <w:bottom w:val="single" w:sz="8" w:space="0" w:color="44546A"/>
              <w:right w:val="nil"/>
            </w:tcBorders>
            <w:shd w:val="clear" w:color="auto" w:fill="auto"/>
            <w:vAlign w:val="center"/>
            <w:hideMark/>
          </w:tcPr>
          <w:p w14:paraId="7A4751E5"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144,450</w:t>
            </w:r>
          </w:p>
        </w:tc>
      </w:tr>
      <w:tr w:rsidR="005237A6" w:rsidRPr="006C7B74" w14:paraId="7EEC259D" w14:textId="77777777" w:rsidTr="006C7B74">
        <w:trPr>
          <w:trHeight w:val="240"/>
        </w:trPr>
        <w:tc>
          <w:tcPr>
            <w:tcW w:w="532" w:type="pct"/>
            <w:tcBorders>
              <w:top w:val="nil"/>
              <w:left w:val="nil"/>
              <w:bottom w:val="single" w:sz="8" w:space="0" w:color="44546A"/>
              <w:right w:val="nil"/>
            </w:tcBorders>
            <w:shd w:val="clear" w:color="auto" w:fill="auto"/>
            <w:vAlign w:val="center"/>
            <w:hideMark/>
          </w:tcPr>
          <w:p w14:paraId="185D6308" w14:textId="77777777" w:rsidR="00016122" w:rsidRPr="006C7B74" w:rsidRDefault="00016122" w:rsidP="00016122">
            <w:pPr>
              <w:rPr>
                <w:rFonts w:ascii="Calibri" w:hAnsi="Calibri" w:cs="Calibri"/>
                <w:color w:val="000000"/>
                <w:sz w:val="16"/>
                <w:szCs w:val="16"/>
                <w:lang w:eastAsia="en-AU"/>
              </w:rPr>
            </w:pPr>
            <w:r w:rsidRPr="006C7B74">
              <w:rPr>
                <w:rFonts w:ascii="Calibri" w:hAnsi="Calibri" w:cs="Calibri"/>
                <w:color w:val="000000"/>
                <w:sz w:val="16"/>
                <w:szCs w:val="16"/>
                <w:lang w:eastAsia="en-AU"/>
              </w:rPr>
              <w:t xml:space="preserve">Mornington Peninsula </w:t>
            </w:r>
          </w:p>
        </w:tc>
        <w:tc>
          <w:tcPr>
            <w:tcW w:w="376" w:type="pct"/>
            <w:tcBorders>
              <w:top w:val="nil"/>
              <w:left w:val="nil"/>
              <w:bottom w:val="single" w:sz="8" w:space="0" w:color="44546A"/>
              <w:right w:val="nil"/>
            </w:tcBorders>
            <w:shd w:val="clear" w:color="auto" w:fill="auto"/>
            <w:vAlign w:val="center"/>
            <w:hideMark/>
          </w:tcPr>
          <w:p w14:paraId="51ACE480"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22</w:t>
            </w:r>
          </w:p>
        </w:tc>
        <w:tc>
          <w:tcPr>
            <w:tcW w:w="454" w:type="pct"/>
            <w:tcBorders>
              <w:top w:val="nil"/>
              <w:left w:val="nil"/>
              <w:bottom w:val="single" w:sz="8" w:space="0" w:color="44546A"/>
              <w:right w:val="nil"/>
            </w:tcBorders>
            <w:shd w:val="clear" w:color="auto" w:fill="auto"/>
            <w:vAlign w:val="center"/>
            <w:hideMark/>
          </w:tcPr>
          <w:p w14:paraId="70C6DDFC"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20,150</w:t>
            </w:r>
          </w:p>
        </w:tc>
        <w:tc>
          <w:tcPr>
            <w:tcW w:w="342" w:type="pct"/>
            <w:tcBorders>
              <w:top w:val="nil"/>
              <w:left w:val="nil"/>
              <w:bottom w:val="single" w:sz="8" w:space="0" w:color="44546A"/>
              <w:right w:val="nil"/>
            </w:tcBorders>
            <w:shd w:val="clear" w:color="auto" w:fill="auto"/>
            <w:vAlign w:val="center"/>
            <w:hideMark/>
          </w:tcPr>
          <w:p w14:paraId="183F046F"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13</w:t>
            </w:r>
          </w:p>
        </w:tc>
        <w:tc>
          <w:tcPr>
            <w:tcW w:w="449" w:type="pct"/>
            <w:tcBorders>
              <w:top w:val="nil"/>
              <w:left w:val="nil"/>
              <w:bottom w:val="single" w:sz="8" w:space="0" w:color="44546A"/>
              <w:right w:val="nil"/>
            </w:tcBorders>
            <w:shd w:val="clear" w:color="auto" w:fill="auto"/>
            <w:vAlign w:val="center"/>
            <w:hideMark/>
          </w:tcPr>
          <w:p w14:paraId="4499E1C7"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59,800</w:t>
            </w:r>
          </w:p>
        </w:tc>
        <w:tc>
          <w:tcPr>
            <w:tcW w:w="391" w:type="pct"/>
            <w:tcBorders>
              <w:top w:val="nil"/>
              <w:left w:val="nil"/>
              <w:bottom w:val="single" w:sz="8" w:space="0" w:color="44546A"/>
              <w:right w:val="nil"/>
            </w:tcBorders>
            <w:shd w:val="clear" w:color="auto" w:fill="auto"/>
            <w:vAlign w:val="center"/>
            <w:hideMark/>
          </w:tcPr>
          <w:p w14:paraId="5E7765C2"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7</w:t>
            </w:r>
          </w:p>
        </w:tc>
        <w:tc>
          <w:tcPr>
            <w:tcW w:w="487" w:type="pct"/>
            <w:tcBorders>
              <w:top w:val="nil"/>
              <w:left w:val="nil"/>
              <w:bottom w:val="single" w:sz="8" w:space="0" w:color="44546A"/>
              <w:right w:val="nil"/>
            </w:tcBorders>
            <w:shd w:val="clear" w:color="auto" w:fill="auto"/>
            <w:vAlign w:val="center"/>
            <w:hideMark/>
          </w:tcPr>
          <w:p w14:paraId="2587B4D8"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183,500</w:t>
            </w:r>
          </w:p>
        </w:tc>
        <w:tc>
          <w:tcPr>
            <w:tcW w:w="372" w:type="pct"/>
            <w:tcBorders>
              <w:top w:val="nil"/>
              <w:left w:val="nil"/>
              <w:bottom w:val="single" w:sz="8" w:space="0" w:color="44546A"/>
              <w:right w:val="nil"/>
            </w:tcBorders>
            <w:shd w:val="clear" w:color="auto" w:fill="auto"/>
            <w:vAlign w:val="center"/>
            <w:hideMark/>
          </w:tcPr>
          <w:p w14:paraId="6231957D"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3</w:t>
            </w:r>
          </w:p>
        </w:tc>
        <w:tc>
          <w:tcPr>
            <w:tcW w:w="505" w:type="pct"/>
            <w:tcBorders>
              <w:top w:val="nil"/>
              <w:left w:val="nil"/>
              <w:bottom w:val="single" w:sz="8" w:space="0" w:color="44546A"/>
              <w:right w:val="nil"/>
            </w:tcBorders>
            <w:shd w:val="clear" w:color="auto" w:fill="auto"/>
            <w:vAlign w:val="center"/>
            <w:hideMark/>
          </w:tcPr>
          <w:p w14:paraId="2340C024"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243,400</w:t>
            </w:r>
          </w:p>
        </w:tc>
        <w:tc>
          <w:tcPr>
            <w:tcW w:w="487" w:type="pct"/>
            <w:tcBorders>
              <w:top w:val="nil"/>
              <w:left w:val="nil"/>
              <w:bottom w:val="single" w:sz="8" w:space="0" w:color="44546A"/>
              <w:right w:val="nil"/>
            </w:tcBorders>
            <w:shd w:val="clear" w:color="auto" w:fill="auto"/>
            <w:vAlign w:val="center"/>
            <w:hideMark/>
          </w:tcPr>
          <w:p w14:paraId="0617F5DB"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0</w:t>
            </w:r>
          </w:p>
        </w:tc>
        <w:tc>
          <w:tcPr>
            <w:tcW w:w="604" w:type="pct"/>
            <w:tcBorders>
              <w:top w:val="nil"/>
              <w:left w:val="nil"/>
              <w:bottom w:val="single" w:sz="8" w:space="0" w:color="44546A"/>
              <w:right w:val="nil"/>
            </w:tcBorders>
            <w:shd w:val="clear" w:color="auto" w:fill="auto"/>
            <w:vAlign w:val="center"/>
            <w:hideMark/>
          </w:tcPr>
          <w:p w14:paraId="603F7EB1" w14:textId="77777777" w:rsidR="00016122" w:rsidRPr="006C7B74" w:rsidRDefault="00016122" w:rsidP="00016122">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0</w:t>
            </w:r>
          </w:p>
        </w:tc>
      </w:tr>
      <w:tr w:rsidR="005237A6" w:rsidRPr="006C7B74" w14:paraId="4D3DA868" w14:textId="77777777" w:rsidTr="006C7B74">
        <w:trPr>
          <w:trHeight w:val="240"/>
        </w:trPr>
        <w:tc>
          <w:tcPr>
            <w:tcW w:w="532" w:type="pct"/>
            <w:tcBorders>
              <w:top w:val="nil"/>
              <w:left w:val="nil"/>
              <w:bottom w:val="single" w:sz="8" w:space="0" w:color="44546A"/>
              <w:right w:val="nil"/>
            </w:tcBorders>
            <w:shd w:val="clear" w:color="auto" w:fill="auto"/>
            <w:vAlign w:val="center"/>
            <w:hideMark/>
          </w:tcPr>
          <w:p w14:paraId="446BE5A8" w14:textId="77777777" w:rsidR="00016122" w:rsidRPr="006C7B74" w:rsidRDefault="00016122" w:rsidP="00016122">
            <w:pPr>
              <w:rPr>
                <w:rFonts w:ascii="Calibri" w:hAnsi="Calibri" w:cs="Calibri"/>
                <w:b/>
                <w:bCs/>
                <w:color w:val="000000"/>
                <w:sz w:val="16"/>
                <w:szCs w:val="16"/>
                <w:lang w:eastAsia="en-AU"/>
              </w:rPr>
            </w:pPr>
            <w:r w:rsidRPr="006C7B74">
              <w:rPr>
                <w:rFonts w:ascii="Calibri" w:hAnsi="Calibri" w:cs="Calibri"/>
                <w:b/>
                <w:bCs/>
                <w:color w:val="000000"/>
                <w:sz w:val="16"/>
                <w:szCs w:val="16"/>
                <w:lang w:eastAsia="en-AU"/>
              </w:rPr>
              <w:t>Total</w:t>
            </w:r>
          </w:p>
        </w:tc>
        <w:tc>
          <w:tcPr>
            <w:tcW w:w="376" w:type="pct"/>
            <w:tcBorders>
              <w:top w:val="nil"/>
              <w:left w:val="nil"/>
              <w:bottom w:val="single" w:sz="8" w:space="0" w:color="44546A"/>
              <w:right w:val="nil"/>
            </w:tcBorders>
            <w:shd w:val="clear" w:color="auto" w:fill="auto"/>
            <w:vAlign w:val="center"/>
            <w:hideMark/>
          </w:tcPr>
          <w:p w14:paraId="7A562DFA" w14:textId="7F2AE205" w:rsidR="00016122" w:rsidRPr="006C7B74" w:rsidRDefault="00016122" w:rsidP="00016122">
            <w:pPr>
              <w:jc w:val="center"/>
              <w:rPr>
                <w:rFonts w:ascii="Calibri" w:hAnsi="Calibri" w:cs="Calibri"/>
                <w:b/>
                <w:color w:val="000000"/>
                <w:sz w:val="16"/>
                <w:szCs w:val="16"/>
                <w:lang w:eastAsia="en-AU"/>
              </w:rPr>
            </w:pPr>
            <w:r w:rsidRPr="006C7B74">
              <w:rPr>
                <w:rFonts w:ascii="Calibri" w:hAnsi="Calibri" w:cs="Calibri"/>
                <w:b/>
                <w:bCs/>
                <w:color w:val="000000"/>
                <w:sz w:val="16"/>
                <w:szCs w:val="16"/>
                <w:lang w:eastAsia="en-AU"/>
              </w:rPr>
              <w:t>10</w:t>
            </w:r>
            <w:r w:rsidR="00DE4CC3" w:rsidRPr="006C7B74">
              <w:rPr>
                <w:rFonts w:ascii="Calibri" w:hAnsi="Calibri" w:cs="Calibri"/>
                <w:b/>
                <w:bCs/>
                <w:color w:val="000000"/>
                <w:sz w:val="16"/>
                <w:szCs w:val="16"/>
                <w:lang w:eastAsia="en-AU"/>
              </w:rPr>
              <w:t>3</w:t>
            </w:r>
          </w:p>
        </w:tc>
        <w:tc>
          <w:tcPr>
            <w:tcW w:w="454" w:type="pct"/>
            <w:tcBorders>
              <w:top w:val="nil"/>
              <w:left w:val="nil"/>
              <w:bottom w:val="single" w:sz="8" w:space="0" w:color="44546A"/>
              <w:right w:val="nil"/>
            </w:tcBorders>
            <w:shd w:val="clear" w:color="auto" w:fill="auto"/>
            <w:vAlign w:val="center"/>
            <w:hideMark/>
          </w:tcPr>
          <w:p w14:paraId="572EC8C1" w14:textId="2B2DD73F" w:rsidR="00016122" w:rsidRPr="006C7B74" w:rsidRDefault="00DE4CC3" w:rsidP="00016122">
            <w:pPr>
              <w:jc w:val="center"/>
              <w:rPr>
                <w:rFonts w:ascii="Calibri" w:hAnsi="Calibri" w:cs="Calibri"/>
                <w:b/>
                <w:color w:val="000000"/>
                <w:sz w:val="16"/>
                <w:szCs w:val="16"/>
                <w:lang w:eastAsia="en-AU"/>
              </w:rPr>
            </w:pPr>
            <w:r w:rsidRPr="006C7B74">
              <w:rPr>
                <w:rFonts w:ascii="Calibri" w:hAnsi="Calibri" w:cs="Calibri"/>
                <w:b/>
                <w:bCs/>
                <w:color w:val="000000"/>
                <w:sz w:val="16"/>
                <w:szCs w:val="16"/>
                <w:lang w:eastAsia="en-AU"/>
              </w:rPr>
              <w:t>101,700</w:t>
            </w:r>
          </w:p>
        </w:tc>
        <w:tc>
          <w:tcPr>
            <w:tcW w:w="342" w:type="pct"/>
            <w:tcBorders>
              <w:top w:val="nil"/>
              <w:left w:val="nil"/>
              <w:bottom w:val="single" w:sz="8" w:space="0" w:color="44546A"/>
              <w:right w:val="nil"/>
            </w:tcBorders>
            <w:shd w:val="clear" w:color="auto" w:fill="auto"/>
            <w:vAlign w:val="center"/>
            <w:hideMark/>
          </w:tcPr>
          <w:p w14:paraId="38D8748C" w14:textId="77777777" w:rsidR="00016122" w:rsidRPr="006C7B74" w:rsidRDefault="00016122" w:rsidP="00016122">
            <w:pPr>
              <w:jc w:val="center"/>
              <w:rPr>
                <w:rFonts w:ascii="Calibri" w:hAnsi="Calibri" w:cs="Calibri"/>
                <w:b/>
                <w:color w:val="000000"/>
                <w:sz w:val="16"/>
                <w:szCs w:val="16"/>
                <w:lang w:eastAsia="en-AU"/>
              </w:rPr>
            </w:pPr>
            <w:r w:rsidRPr="006C7B74">
              <w:rPr>
                <w:rFonts w:ascii="Calibri" w:hAnsi="Calibri" w:cs="Calibri"/>
                <w:b/>
                <w:color w:val="000000"/>
                <w:sz w:val="16"/>
                <w:szCs w:val="16"/>
                <w:lang w:eastAsia="en-AU"/>
              </w:rPr>
              <w:t>68</w:t>
            </w:r>
          </w:p>
        </w:tc>
        <w:tc>
          <w:tcPr>
            <w:tcW w:w="449" w:type="pct"/>
            <w:tcBorders>
              <w:top w:val="nil"/>
              <w:left w:val="nil"/>
              <w:bottom w:val="single" w:sz="8" w:space="0" w:color="44546A"/>
              <w:right w:val="nil"/>
            </w:tcBorders>
            <w:shd w:val="clear" w:color="auto" w:fill="auto"/>
            <w:vAlign w:val="center"/>
            <w:hideMark/>
          </w:tcPr>
          <w:p w14:paraId="62FBEFEE" w14:textId="18A7686D" w:rsidR="00016122" w:rsidRPr="006C7B74" w:rsidRDefault="00016122" w:rsidP="00016122">
            <w:pPr>
              <w:jc w:val="center"/>
              <w:rPr>
                <w:rFonts w:ascii="Calibri" w:hAnsi="Calibri" w:cs="Calibri"/>
                <w:b/>
                <w:color w:val="000000"/>
                <w:sz w:val="16"/>
                <w:szCs w:val="16"/>
                <w:lang w:eastAsia="en-AU"/>
              </w:rPr>
            </w:pPr>
            <w:r w:rsidRPr="006C7B74">
              <w:rPr>
                <w:rFonts w:ascii="Calibri" w:hAnsi="Calibri" w:cs="Calibri"/>
                <w:b/>
                <w:color w:val="000000"/>
                <w:sz w:val="16"/>
                <w:szCs w:val="16"/>
                <w:lang w:eastAsia="en-AU"/>
              </w:rPr>
              <w:t>321,</w:t>
            </w:r>
            <w:r w:rsidR="005237A6" w:rsidRPr="006C7B74">
              <w:rPr>
                <w:rFonts w:ascii="Calibri" w:hAnsi="Calibri" w:cs="Calibri"/>
                <w:b/>
                <w:color w:val="000000"/>
                <w:sz w:val="16"/>
                <w:szCs w:val="16"/>
                <w:lang w:eastAsia="en-AU"/>
              </w:rPr>
              <w:t>100</w:t>
            </w:r>
          </w:p>
        </w:tc>
        <w:tc>
          <w:tcPr>
            <w:tcW w:w="391" w:type="pct"/>
            <w:tcBorders>
              <w:top w:val="nil"/>
              <w:left w:val="nil"/>
              <w:bottom w:val="single" w:sz="8" w:space="0" w:color="44546A"/>
              <w:right w:val="nil"/>
            </w:tcBorders>
            <w:shd w:val="clear" w:color="auto" w:fill="auto"/>
            <w:vAlign w:val="center"/>
            <w:hideMark/>
          </w:tcPr>
          <w:p w14:paraId="76306BD4" w14:textId="77777777" w:rsidR="00016122" w:rsidRPr="006C7B74" w:rsidRDefault="00016122" w:rsidP="00016122">
            <w:pPr>
              <w:jc w:val="center"/>
              <w:rPr>
                <w:rFonts w:ascii="Calibri" w:hAnsi="Calibri" w:cs="Calibri"/>
                <w:b/>
                <w:color w:val="000000"/>
                <w:sz w:val="16"/>
                <w:szCs w:val="16"/>
                <w:lang w:eastAsia="en-AU"/>
              </w:rPr>
            </w:pPr>
            <w:r w:rsidRPr="006C7B74">
              <w:rPr>
                <w:rFonts w:ascii="Calibri" w:hAnsi="Calibri" w:cs="Calibri"/>
                <w:b/>
                <w:color w:val="000000"/>
                <w:sz w:val="16"/>
                <w:szCs w:val="16"/>
                <w:lang w:eastAsia="en-AU"/>
              </w:rPr>
              <w:t>31</w:t>
            </w:r>
          </w:p>
        </w:tc>
        <w:tc>
          <w:tcPr>
            <w:tcW w:w="487" w:type="pct"/>
            <w:tcBorders>
              <w:top w:val="nil"/>
              <w:left w:val="nil"/>
              <w:bottom w:val="single" w:sz="8" w:space="0" w:color="44546A"/>
              <w:right w:val="nil"/>
            </w:tcBorders>
            <w:shd w:val="clear" w:color="auto" w:fill="auto"/>
            <w:vAlign w:val="center"/>
            <w:hideMark/>
          </w:tcPr>
          <w:p w14:paraId="3AA59336" w14:textId="77777777" w:rsidR="00016122" w:rsidRPr="006C7B74" w:rsidRDefault="00016122" w:rsidP="00016122">
            <w:pPr>
              <w:jc w:val="center"/>
              <w:rPr>
                <w:rFonts w:ascii="Calibri" w:hAnsi="Calibri" w:cs="Calibri"/>
                <w:b/>
                <w:color w:val="000000"/>
                <w:sz w:val="16"/>
                <w:szCs w:val="16"/>
                <w:lang w:eastAsia="en-AU"/>
              </w:rPr>
            </w:pPr>
            <w:r w:rsidRPr="006C7B74">
              <w:rPr>
                <w:rFonts w:ascii="Calibri" w:hAnsi="Calibri" w:cs="Calibri"/>
                <w:b/>
                <w:color w:val="000000"/>
                <w:sz w:val="16"/>
                <w:szCs w:val="16"/>
                <w:lang w:eastAsia="en-AU"/>
              </w:rPr>
              <w:t>738,600</w:t>
            </w:r>
          </w:p>
        </w:tc>
        <w:tc>
          <w:tcPr>
            <w:tcW w:w="372" w:type="pct"/>
            <w:tcBorders>
              <w:top w:val="nil"/>
              <w:left w:val="nil"/>
              <w:bottom w:val="single" w:sz="8" w:space="0" w:color="44546A"/>
              <w:right w:val="nil"/>
            </w:tcBorders>
            <w:shd w:val="clear" w:color="auto" w:fill="auto"/>
            <w:vAlign w:val="center"/>
            <w:hideMark/>
          </w:tcPr>
          <w:p w14:paraId="7D0D475F" w14:textId="77777777" w:rsidR="00016122" w:rsidRPr="006C7B74" w:rsidRDefault="00016122" w:rsidP="00016122">
            <w:pPr>
              <w:jc w:val="center"/>
              <w:rPr>
                <w:rFonts w:ascii="Calibri" w:hAnsi="Calibri" w:cs="Calibri"/>
                <w:b/>
                <w:color w:val="000000"/>
                <w:sz w:val="16"/>
                <w:szCs w:val="16"/>
                <w:lang w:eastAsia="en-AU"/>
              </w:rPr>
            </w:pPr>
            <w:r w:rsidRPr="006C7B74">
              <w:rPr>
                <w:rFonts w:ascii="Calibri" w:hAnsi="Calibri" w:cs="Calibri"/>
                <w:b/>
                <w:color w:val="000000"/>
                <w:sz w:val="16"/>
                <w:szCs w:val="16"/>
                <w:lang w:eastAsia="en-AU"/>
              </w:rPr>
              <w:t>7</w:t>
            </w:r>
          </w:p>
        </w:tc>
        <w:tc>
          <w:tcPr>
            <w:tcW w:w="505" w:type="pct"/>
            <w:tcBorders>
              <w:top w:val="nil"/>
              <w:left w:val="nil"/>
              <w:bottom w:val="single" w:sz="8" w:space="0" w:color="44546A"/>
              <w:right w:val="nil"/>
            </w:tcBorders>
            <w:shd w:val="clear" w:color="auto" w:fill="auto"/>
            <w:vAlign w:val="center"/>
            <w:hideMark/>
          </w:tcPr>
          <w:p w14:paraId="0177EFAB" w14:textId="77777777" w:rsidR="00016122" w:rsidRPr="006C7B74" w:rsidRDefault="00016122" w:rsidP="00016122">
            <w:pPr>
              <w:jc w:val="center"/>
              <w:rPr>
                <w:rFonts w:ascii="Calibri" w:hAnsi="Calibri" w:cs="Calibri"/>
                <w:b/>
                <w:color w:val="000000"/>
                <w:sz w:val="16"/>
                <w:szCs w:val="16"/>
                <w:lang w:eastAsia="en-AU"/>
              </w:rPr>
            </w:pPr>
            <w:r w:rsidRPr="006C7B74">
              <w:rPr>
                <w:rFonts w:ascii="Calibri" w:hAnsi="Calibri" w:cs="Calibri"/>
                <w:b/>
                <w:color w:val="000000"/>
                <w:sz w:val="16"/>
                <w:szCs w:val="16"/>
                <w:lang w:eastAsia="en-AU"/>
              </w:rPr>
              <w:t>533,350</w:t>
            </w:r>
          </w:p>
        </w:tc>
        <w:tc>
          <w:tcPr>
            <w:tcW w:w="487" w:type="pct"/>
            <w:tcBorders>
              <w:top w:val="nil"/>
              <w:left w:val="nil"/>
              <w:bottom w:val="single" w:sz="8" w:space="0" w:color="44546A"/>
              <w:right w:val="nil"/>
            </w:tcBorders>
            <w:shd w:val="clear" w:color="auto" w:fill="auto"/>
            <w:vAlign w:val="center"/>
            <w:hideMark/>
          </w:tcPr>
          <w:p w14:paraId="713212D0" w14:textId="77777777" w:rsidR="00016122" w:rsidRPr="006C7B74" w:rsidRDefault="00016122" w:rsidP="00016122">
            <w:pPr>
              <w:jc w:val="center"/>
              <w:rPr>
                <w:rFonts w:ascii="Calibri" w:hAnsi="Calibri" w:cs="Calibri"/>
                <w:b/>
                <w:color w:val="000000"/>
                <w:sz w:val="16"/>
                <w:szCs w:val="16"/>
                <w:lang w:eastAsia="en-AU"/>
              </w:rPr>
            </w:pPr>
            <w:r w:rsidRPr="006C7B74">
              <w:rPr>
                <w:rFonts w:ascii="Calibri" w:hAnsi="Calibri" w:cs="Calibri"/>
                <w:b/>
                <w:color w:val="000000"/>
                <w:sz w:val="16"/>
                <w:szCs w:val="16"/>
                <w:lang w:eastAsia="en-AU"/>
              </w:rPr>
              <w:t>7</w:t>
            </w:r>
          </w:p>
        </w:tc>
        <w:tc>
          <w:tcPr>
            <w:tcW w:w="604" w:type="pct"/>
            <w:tcBorders>
              <w:top w:val="nil"/>
              <w:left w:val="nil"/>
              <w:bottom w:val="single" w:sz="8" w:space="0" w:color="44546A"/>
              <w:right w:val="nil"/>
            </w:tcBorders>
            <w:shd w:val="clear" w:color="auto" w:fill="auto"/>
            <w:vAlign w:val="center"/>
            <w:hideMark/>
          </w:tcPr>
          <w:p w14:paraId="2908AF66" w14:textId="695DDD96" w:rsidR="00016122" w:rsidRPr="006C7B74" w:rsidRDefault="005237A6" w:rsidP="00016122">
            <w:pPr>
              <w:jc w:val="center"/>
              <w:rPr>
                <w:rFonts w:ascii="Calibri" w:hAnsi="Calibri" w:cs="Calibri"/>
                <w:b/>
                <w:color w:val="000000"/>
                <w:sz w:val="16"/>
                <w:szCs w:val="16"/>
                <w:lang w:eastAsia="en-AU"/>
              </w:rPr>
            </w:pPr>
            <w:r w:rsidRPr="006C7B74">
              <w:rPr>
                <w:rFonts w:ascii="Calibri" w:hAnsi="Calibri" w:cs="Calibri"/>
                <w:b/>
                <w:color w:val="000000"/>
                <w:sz w:val="16"/>
                <w:szCs w:val="16"/>
                <w:lang w:eastAsia="en-AU"/>
              </w:rPr>
              <w:t>1,472,000</w:t>
            </w:r>
          </w:p>
        </w:tc>
      </w:tr>
    </w:tbl>
    <w:p w14:paraId="2A25B65B" w14:textId="5E691427" w:rsidR="00F96E2C" w:rsidRPr="006C7B74" w:rsidRDefault="00275163" w:rsidP="00275163">
      <w:pPr>
        <w:pStyle w:val="Quote"/>
      </w:pPr>
      <w:r w:rsidRPr="006C7B74">
        <w:t>Source: Department of Environment, Land, Water and Planning, unpublished data (</w:t>
      </w:r>
      <w:r w:rsidR="00BF4443" w:rsidRPr="006C7B74">
        <w:t>20</w:t>
      </w:r>
      <w:r w:rsidR="00BF4443">
        <w:t>20</w:t>
      </w:r>
      <w:r w:rsidRPr="006C7B74">
        <w:t>)</w:t>
      </w:r>
    </w:p>
    <w:p w14:paraId="2556EFE4" w14:textId="77777777" w:rsidR="00275163" w:rsidRPr="006C7B74" w:rsidRDefault="00275163" w:rsidP="00275163"/>
    <w:p w14:paraId="178AA507" w14:textId="1FF4CF89" w:rsidR="00D25F69" w:rsidRPr="006C7B74" w:rsidRDefault="00F96E2C" w:rsidP="00934C4D">
      <w:pPr>
        <w:spacing w:after="120"/>
        <w:rPr>
          <w:rFonts w:cstheme="minorHAnsi"/>
          <w:sz w:val="20"/>
          <w:szCs w:val="20"/>
        </w:rPr>
      </w:pPr>
      <w:r w:rsidRPr="006C7B74">
        <w:rPr>
          <w:rFonts w:cstheme="minorHAnsi"/>
          <w:sz w:val="20"/>
          <w:szCs w:val="20"/>
        </w:rPr>
        <w:t xml:space="preserve">In addition to the existing zoned commercial land, approximately </w:t>
      </w:r>
      <w:r w:rsidR="00D84F77" w:rsidRPr="006C7B74">
        <w:rPr>
          <w:rFonts w:cstheme="minorHAnsi"/>
          <w:sz w:val="20"/>
          <w:szCs w:val="20"/>
        </w:rPr>
        <w:t xml:space="preserve">555 </w:t>
      </w:r>
      <w:r w:rsidRPr="006C7B74">
        <w:rPr>
          <w:rFonts w:cstheme="minorHAnsi"/>
          <w:sz w:val="20"/>
          <w:szCs w:val="20"/>
        </w:rPr>
        <w:t xml:space="preserve">hectares of land has been identified through other strategic plans (such as Growth Corridor Plans and </w:t>
      </w:r>
      <w:r w:rsidR="00AA2681" w:rsidRPr="006C7B74">
        <w:rPr>
          <w:rFonts w:cstheme="minorHAnsi"/>
          <w:sz w:val="20"/>
          <w:szCs w:val="20"/>
        </w:rPr>
        <w:t>PSP</w:t>
      </w:r>
      <w:r w:rsidR="00CD5343" w:rsidRPr="006C7B74">
        <w:rPr>
          <w:rFonts w:cstheme="minorHAnsi"/>
          <w:sz w:val="20"/>
          <w:szCs w:val="20"/>
        </w:rPr>
        <w:t>s</w:t>
      </w:r>
      <w:r w:rsidRPr="006C7B74">
        <w:rPr>
          <w:rFonts w:cstheme="minorHAnsi"/>
          <w:sz w:val="20"/>
          <w:szCs w:val="20"/>
        </w:rPr>
        <w:t xml:space="preserve">) for future commercial purposes. </w:t>
      </w:r>
      <w:r w:rsidR="00D40BD2" w:rsidRPr="006C7B74">
        <w:rPr>
          <w:rFonts w:cstheme="minorHAnsi"/>
          <w:sz w:val="20"/>
          <w:szCs w:val="20"/>
        </w:rPr>
        <w:t>These areas are confined to Cardinia and Casey</w:t>
      </w:r>
      <w:r w:rsidR="00D25F69" w:rsidRPr="006C7B74">
        <w:rPr>
          <w:rFonts w:cstheme="minorHAnsi"/>
          <w:sz w:val="20"/>
          <w:szCs w:val="20"/>
        </w:rPr>
        <w:t>.</w:t>
      </w:r>
    </w:p>
    <w:p w14:paraId="17E32140" w14:textId="35C9E3DD" w:rsidR="00F96E2C" w:rsidRPr="006C7B74" w:rsidRDefault="00D25F69" w:rsidP="00934C4D">
      <w:pPr>
        <w:spacing w:after="120"/>
        <w:rPr>
          <w:rFonts w:cstheme="minorHAnsi"/>
          <w:sz w:val="20"/>
          <w:szCs w:val="20"/>
        </w:rPr>
      </w:pPr>
      <w:r w:rsidRPr="006C7B74">
        <w:rPr>
          <w:rFonts w:cstheme="minorHAnsi"/>
          <w:sz w:val="20"/>
          <w:szCs w:val="20"/>
        </w:rPr>
        <w:t xml:space="preserve">A significant proportion of this land has been identified </w:t>
      </w:r>
      <w:r w:rsidR="00C46ADB" w:rsidRPr="006C7B74">
        <w:rPr>
          <w:rFonts w:cstheme="minorHAnsi"/>
          <w:sz w:val="20"/>
          <w:szCs w:val="20"/>
        </w:rPr>
        <w:t xml:space="preserve">in areas </w:t>
      </w:r>
      <w:r w:rsidR="00191C54" w:rsidRPr="006C7B74">
        <w:rPr>
          <w:rFonts w:cstheme="minorHAnsi"/>
          <w:sz w:val="20"/>
          <w:szCs w:val="20"/>
        </w:rPr>
        <w:t>designated</w:t>
      </w:r>
      <w:r w:rsidR="00C46ADB" w:rsidRPr="006C7B74">
        <w:rPr>
          <w:rFonts w:cstheme="minorHAnsi"/>
          <w:sz w:val="20"/>
          <w:szCs w:val="20"/>
        </w:rPr>
        <w:t xml:space="preserve"> as future business </w:t>
      </w:r>
      <w:r w:rsidR="003F0729" w:rsidRPr="006C7B74">
        <w:rPr>
          <w:rFonts w:cstheme="minorHAnsi"/>
          <w:sz w:val="20"/>
          <w:szCs w:val="20"/>
        </w:rPr>
        <w:t xml:space="preserve">with residential </w:t>
      </w:r>
      <w:r w:rsidR="00C46ADB" w:rsidRPr="006C7B74">
        <w:rPr>
          <w:rFonts w:cstheme="minorHAnsi"/>
          <w:sz w:val="20"/>
          <w:szCs w:val="20"/>
        </w:rPr>
        <w:t xml:space="preserve">precincts in the </w:t>
      </w:r>
      <w:r w:rsidR="001950ED" w:rsidRPr="006C7B74">
        <w:rPr>
          <w:rFonts w:cstheme="minorHAnsi"/>
          <w:sz w:val="20"/>
          <w:szCs w:val="20"/>
        </w:rPr>
        <w:t xml:space="preserve">municipalities of </w:t>
      </w:r>
      <w:r w:rsidR="00C46ADB" w:rsidRPr="006C7B74">
        <w:rPr>
          <w:rFonts w:cstheme="minorHAnsi"/>
          <w:sz w:val="20"/>
          <w:szCs w:val="20"/>
        </w:rPr>
        <w:t>C</w:t>
      </w:r>
      <w:r w:rsidR="001950ED" w:rsidRPr="006C7B74">
        <w:rPr>
          <w:rFonts w:cstheme="minorHAnsi"/>
          <w:sz w:val="20"/>
          <w:szCs w:val="20"/>
        </w:rPr>
        <w:t>ardinia (</w:t>
      </w:r>
      <w:r w:rsidR="00592E0C" w:rsidRPr="006C7B74">
        <w:rPr>
          <w:rFonts w:cstheme="minorHAnsi"/>
          <w:sz w:val="20"/>
          <w:szCs w:val="20"/>
        </w:rPr>
        <w:t xml:space="preserve">160 </w:t>
      </w:r>
      <w:r w:rsidR="001950ED" w:rsidRPr="006C7B74">
        <w:rPr>
          <w:rFonts w:cstheme="minorHAnsi"/>
          <w:sz w:val="20"/>
          <w:szCs w:val="20"/>
        </w:rPr>
        <w:t>hectares) and Casey (</w:t>
      </w:r>
      <w:r w:rsidR="00735A48" w:rsidRPr="006C7B74">
        <w:rPr>
          <w:rFonts w:cstheme="minorHAnsi"/>
          <w:sz w:val="20"/>
          <w:szCs w:val="20"/>
        </w:rPr>
        <w:t xml:space="preserve">85 </w:t>
      </w:r>
      <w:r w:rsidR="001950ED" w:rsidRPr="006C7B74">
        <w:rPr>
          <w:rFonts w:cstheme="minorHAnsi"/>
          <w:sz w:val="20"/>
          <w:szCs w:val="20"/>
        </w:rPr>
        <w:t>hectares).</w:t>
      </w:r>
      <w:r w:rsidR="00CC678A" w:rsidRPr="006C7B74">
        <w:rPr>
          <w:rFonts w:cstheme="minorHAnsi"/>
          <w:sz w:val="20"/>
          <w:szCs w:val="20"/>
        </w:rPr>
        <w:t xml:space="preserve"> </w:t>
      </w:r>
      <w:r w:rsidR="00A8031C" w:rsidRPr="006C7B74">
        <w:rPr>
          <w:rFonts w:cstheme="minorHAnsi"/>
          <w:sz w:val="20"/>
          <w:szCs w:val="20"/>
        </w:rPr>
        <w:t xml:space="preserve">These areas are intended to be suitable for a range of other employment uses, including some industrial uses, as well as some residential uses. </w:t>
      </w:r>
      <w:r w:rsidR="00CC678A" w:rsidRPr="006C7B74">
        <w:rPr>
          <w:rFonts w:cstheme="minorHAnsi"/>
          <w:sz w:val="20"/>
          <w:szCs w:val="20"/>
        </w:rPr>
        <w:t>This land acco</w:t>
      </w:r>
      <w:r w:rsidR="003401A4" w:rsidRPr="006C7B74">
        <w:rPr>
          <w:rFonts w:cstheme="minorHAnsi"/>
          <w:sz w:val="20"/>
          <w:szCs w:val="20"/>
        </w:rPr>
        <w:t>u</w:t>
      </w:r>
      <w:r w:rsidR="00CC678A" w:rsidRPr="006C7B74">
        <w:rPr>
          <w:rFonts w:cstheme="minorHAnsi"/>
          <w:sz w:val="20"/>
          <w:szCs w:val="20"/>
        </w:rPr>
        <w:t xml:space="preserve">nts for </w:t>
      </w:r>
      <w:r w:rsidR="0045235C" w:rsidRPr="006C7B74">
        <w:rPr>
          <w:rFonts w:cstheme="minorHAnsi"/>
          <w:sz w:val="20"/>
          <w:szCs w:val="20"/>
        </w:rPr>
        <w:t xml:space="preserve">just over </w:t>
      </w:r>
      <w:r w:rsidR="00BA5E1D" w:rsidRPr="006C7B74">
        <w:rPr>
          <w:rFonts w:cstheme="minorHAnsi"/>
          <w:sz w:val="20"/>
          <w:szCs w:val="20"/>
        </w:rPr>
        <w:t xml:space="preserve">44 </w:t>
      </w:r>
      <w:r w:rsidR="00CC678A" w:rsidRPr="006C7B74">
        <w:rPr>
          <w:rFonts w:cstheme="minorHAnsi"/>
          <w:sz w:val="20"/>
          <w:szCs w:val="20"/>
        </w:rPr>
        <w:t>per cent of all future commercial land identified for the region</w:t>
      </w:r>
      <w:r w:rsidR="00AD36D8" w:rsidRPr="006C7B74">
        <w:rPr>
          <w:rFonts w:cstheme="minorHAnsi"/>
          <w:sz w:val="20"/>
          <w:szCs w:val="20"/>
        </w:rPr>
        <w:t xml:space="preserve"> and </w:t>
      </w:r>
      <w:r w:rsidR="00E47930" w:rsidRPr="006C7B74">
        <w:rPr>
          <w:rFonts w:cstheme="minorHAnsi"/>
          <w:sz w:val="20"/>
          <w:szCs w:val="20"/>
        </w:rPr>
        <w:t>nearly 20</w:t>
      </w:r>
      <w:r w:rsidR="00AD36D8" w:rsidRPr="006C7B74">
        <w:rPr>
          <w:rFonts w:cstheme="minorHAnsi"/>
          <w:sz w:val="20"/>
          <w:szCs w:val="20"/>
        </w:rPr>
        <w:t xml:space="preserve"> per cent of all future supply</w:t>
      </w:r>
      <w:r w:rsidR="00A2609A" w:rsidRPr="006C7B74">
        <w:rPr>
          <w:rFonts w:cstheme="minorHAnsi"/>
          <w:sz w:val="20"/>
          <w:szCs w:val="20"/>
        </w:rPr>
        <w:t xml:space="preserve"> for the entire metropolitan area</w:t>
      </w:r>
      <w:r w:rsidR="00953B39" w:rsidRPr="006C7B74">
        <w:rPr>
          <w:rFonts w:cstheme="minorHAnsi"/>
          <w:sz w:val="20"/>
          <w:szCs w:val="20"/>
        </w:rPr>
        <w:t xml:space="preserve">. </w:t>
      </w:r>
    </w:p>
    <w:p w14:paraId="56CEF823" w14:textId="77777777" w:rsidR="00F96E2C" w:rsidRPr="006C7B74" w:rsidRDefault="00F96E2C" w:rsidP="00934C4D">
      <w:pPr>
        <w:spacing w:after="120"/>
        <w:rPr>
          <w:rFonts w:cstheme="minorHAnsi"/>
          <w:sz w:val="20"/>
          <w:szCs w:val="20"/>
        </w:rPr>
      </w:pPr>
    </w:p>
    <w:p w14:paraId="5D122D2E" w14:textId="0F8D80F2" w:rsidR="00F96E2C" w:rsidRPr="006C7B74" w:rsidRDefault="00F96E2C" w:rsidP="00C802F6">
      <w:pPr>
        <w:pStyle w:val="Heading5"/>
      </w:pPr>
      <w:r w:rsidRPr="006C7B74">
        <w:t xml:space="preserve">Table </w:t>
      </w:r>
      <w:r w:rsidR="005532FF" w:rsidRPr="006C7B74">
        <w:t>30</w:t>
      </w:r>
      <w:r w:rsidRPr="006C7B74">
        <w:t>: Future commercial land supply</w:t>
      </w:r>
      <w:r w:rsidR="006326CE" w:rsidRPr="006C7B74">
        <w:t>, Southern Region</w:t>
      </w:r>
    </w:p>
    <w:tbl>
      <w:tblPr>
        <w:tblStyle w:val="TableGrid"/>
        <w:tblW w:w="5000" w:type="pct"/>
        <w:tblLook w:val="04A0" w:firstRow="1" w:lastRow="0" w:firstColumn="1" w:lastColumn="0" w:noHBand="0" w:noVBand="1"/>
      </w:tblPr>
      <w:tblGrid>
        <w:gridCol w:w="3119"/>
        <w:gridCol w:w="2834"/>
        <w:gridCol w:w="3067"/>
      </w:tblGrid>
      <w:tr w:rsidR="00AC2EE0" w:rsidRPr="006C7B74" w14:paraId="37684D9F" w14:textId="77777777" w:rsidTr="000D058C">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729" w:type="pct"/>
            <w:noWrap/>
            <w:hideMark/>
          </w:tcPr>
          <w:p w14:paraId="43695B20" w14:textId="6C212C48" w:rsidR="00AC2EE0" w:rsidRPr="006C7B74" w:rsidRDefault="00457348" w:rsidP="003C516A">
            <w:pPr>
              <w:pStyle w:val="TableHeaderRow"/>
            </w:pPr>
            <w:r w:rsidRPr="006C7B74">
              <w:t>Council</w:t>
            </w:r>
          </w:p>
        </w:tc>
        <w:tc>
          <w:tcPr>
            <w:tcW w:w="1571" w:type="pct"/>
          </w:tcPr>
          <w:p w14:paraId="3BD9B3A4" w14:textId="3D10ACE6" w:rsidR="00AC2EE0" w:rsidRPr="006C7B74" w:rsidRDefault="00672D63" w:rsidP="003C516A">
            <w:pPr>
              <w:pStyle w:val="TableHeaderRow"/>
              <w:cnfStyle w:val="100000000000" w:firstRow="1" w:lastRow="0" w:firstColumn="0" w:lastColumn="0" w:oddVBand="0" w:evenVBand="0" w:oddHBand="0" w:evenHBand="0" w:firstRowFirstColumn="0" w:firstRowLastColumn="0" w:lastRowFirstColumn="0" w:lastRowLastColumn="0"/>
              <w:rPr>
                <w:b/>
              </w:rPr>
            </w:pPr>
            <w:r w:rsidRPr="006C7B74">
              <w:t>Future commercial land (ha)</w:t>
            </w:r>
          </w:p>
        </w:tc>
        <w:tc>
          <w:tcPr>
            <w:tcW w:w="1700" w:type="pct"/>
          </w:tcPr>
          <w:p w14:paraId="7486E549" w14:textId="33D8F9E9" w:rsidR="00AC2EE0" w:rsidRPr="006C7B74" w:rsidRDefault="00AC2EE0" w:rsidP="003C516A">
            <w:pPr>
              <w:pStyle w:val="TableHeaderRow"/>
              <w:cnfStyle w:val="100000000000" w:firstRow="1" w:lastRow="0" w:firstColumn="0" w:lastColumn="0" w:oddVBand="0" w:evenVBand="0" w:oddHBand="0" w:evenHBand="0" w:firstRowFirstColumn="0" w:firstRowLastColumn="0" w:lastRowFirstColumn="0" w:lastRowLastColumn="0"/>
            </w:pPr>
            <w:r w:rsidRPr="006C7B74">
              <w:t xml:space="preserve">Share of </w:t>
            </w:r>
            <w:r w:rsidR="00AC68D1" w:rsidRPr="006C7B74">
              <w:t>m</w:t>
            </w:r>
            <w:r w:rsidRPr="006C7B74">
              <w:t>etro</w:t>
            </w:r>
            <w:r w:rsidR="0040366D" w:rsidRPr="006C7B74">
              <w:t>politan Melbourne</w:t>
            </w:r>
          </w:p>
        </w:tc>
      </w:tr>
      <w:tr w:rsidR="007D34DD" w:rsidRPr="006C7B74" w14:paraId="5D0AFB94" w14:textId="77777777" w:rsidTr="000D058C">
        <w:trPr>
          <w:trHeight w:val="283"/>
        </w:trPr>
        <w:tc>
          <w:tcPr>
            <w:cnfStyle w:val="001000000000" w:firstRow="0" w:lastRow="0" w:firstColumn="1" w:lastColumn="0" w:oddVBand="0" w:evenVBand="0" w:oddHBand="0" w:evenHBand="0" w:firstRowFirstColumn="0" w:firstRowLastColumn="0" w:lastRowFirstColumn="0" w:lastRowLastColumn="0"/>
            <w:tcW w:w="1729" w:type="pct"/>
            <w:noWrap/>
            <w:vAlign w:val="top"/>
            <w:hideMark/>
          </w:tcPr>
          <w:p w14:paraId="3776A900" w14:textId="25F825C8" w:rsidR="007D34DD" w:rsidRPr="006C7B74" w:rsidRDefault="007D34DD" w:rsidP="007D34DD">
            <w:pPr>
              <w:spacing w:before="0" w:after="120" w:line="240" w:lineRule="auto"/>
              <w:rPr>
                <w:rFonts w:cstheme="minorHAnsi"/>
                <w:color w:val="000000"/>
                <w:sz w:val="18"/>
              </w:rPr>
            </w:pPr>
            <w:r w:rsidRPr="006C7B74">
              <w:rPr>
                <w:sz w:val="18"/>
              </w:rPr>
              <w:t>C</w:t>
            </w:r>
            <w:r w:rsidR="00D04D65" w:rsidRPr="006C7B74">
              <w:rPr>
                <w:sz w:val="18"/>
              </w:rPr>
              <w:t>ardinia</w:t>
            </w:r>
          </w:p>
        </w:tc>
        <w:tc>
          <w:tcPr>
            <w:tcW w:w="1571" w:type="pct"/>
            <w:noWrap/>
            <w:vAlign w:val="top"/>
            <w:hideMark/>
          </w:tcPr>
          <w:p w14:paraId="5E3E2F7A" w14:textId="1D3761CA" w:rsidR="007D34DD" w:rsidRPr="006C7B74" w:rsidRDefault="00675D6D" w:rsidP="007D34DD">
            <w:pPr>
              <w:spacing w:before="0" w:after="12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8"/>
              </w:rPr>
            </w:pPr>
            <w:r w:rsidRPr="006C7B74">
              <w:rPr>
                <w:sz w:val="18"/>
              </w:rPr>
              <w:t>300</w:t>
            </w:r>
          </w:p>
        </w:tc>
        <w:tc>
          <w:tcPr>
            <w:tcW w:w="1700" w:type="pct"/>
            <w:noWrap/>
            <w:vAlign w:val="top"/>
            <w:hideMark/>
          </w:tcPr>
          <w:p w14:paraId="12B04A4B" w14:textId="70AF4750" w:rsidR="007D34DD" w:rsidRPr="006C7B74" w:rsidRDefault="000441A5" w:rsidP="007D34DD">
            <w:pPr>
              <w:spacing w:before="0" w:after="12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8"/>
              </w:rPr>
            </w:pPr>
            <w:r w:rsidRPr="006C7B74">
              <w:rPr>
                <w:sz w:val="18"/>
              </w:rPr>
              <w:t>23</w:t>
            </w:r>
            <w:r w:rsidR="007D34DD" w:rsidRPr="006C7B74">
              <w:rPr>
                <w:sz w:val="18"/>
              </w:rPr>
              <w:t>%</w:t>
            </w:r>
          </w:p>
        </w:tc>
      </w:tr>
      <w:tr w:rsidR="007D34DD" w:rsidRPr="006C7B74" w14:paraId="04E046F8" w14:textId="77777777" w:rsidTr="000D058C">
        <w:trPr>
          <w:trHeight w:val="283"/>
        </w:trPr>
        <w:tc>
          <w:tcPr>
            <w:cnfStyle w:val="001000000000" w:firstRow="0" w:lastRow="0" w:firstColumn="1" w:lastColumn="0" w:oddVBand="0" w:evenVBand="0" w:oddHBand="0" w:evenHBand="0" w:firstRowFirstColumn="0" w:firstRowLastColumn="0" w:lastRowFirstColumn="0" w:lastRowLastColumn="0"/>
            <w:tcW w:w="1729" w:type="pct"/>
            <w:noWrap/>
            <w:vAlign w:val="top"/>
            <w:hideMark/>
          </w:tcPr>
          <w:p w14:paraId="096234CF" w14:textId="3BCE1DBB" w:rsidR="007D34DD" w:rsidRPr="006C7B74" w:rsidRDefault="007D34DD" w:rsidP="007D34DD">
            <w:pPr>
              <w:spacing w:before="0" w:after="120" w:line="240" w:lineRule="auto"/>
              <w:rPr>
                <w:rFonts w:cstheme="minorHAnsi"/>
                <w:color w:val="000000"/>
                <w:sz w:val="18"/>
              </w:rPr>
            </w:pPr>
            <w:r w:rsidRPr="006C7B74">
              <w:rPr>
                <w:sz w:val="18"/>
              </w:rPr>
              <w:t>C</w:t>
            </w:r>
            <w:r w:rsidR="00AC68D1" w:rsidRPr="006C7B74">
              <w:rPr>
                <w:sz w:val="18"/>
              </w:rPr>
              <w:t>asey</w:t>
            </w:r>
          </w:p>
        </w:tc>
        <w:tc>
          <w:tcPr>
            <w:tcW w:w="1571" w:type="pct"/>
            <w:noWrap/>
            <w:vAlign w:val="top"/>
            <w:hideMark/>
          </w:tcPr>
          <w:p w14:paraId="1790AD16" w14:textId="0363A336" w:rsidR="007D34DD" w:rsidRPr="006C7B74" w:rsidRDefault="00592E0C" w:rsidP="007D34DD">
            <w:pPr>
              <w:spacing w:before="0" w:after="12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8"/>
              </w:rPr>
            </w:pPr>
            <w:r w:rsidRPr="006C7B74">
              <w:rPr>
                <w:sz w:val="18"/>
              </w:rPr>
              <w:t>255</w:t>
            </w:r>
          </w:p>
        </w:tc>
        <w:tc>
          <w:tcPr>
            <w:tcW w:w="1700" w:type="pct"/>
            <w:noWrap/>
            <w:vAlign w:val="top"/>
            <w:hideMark/>
          </w:tcPr>
          <w:p w14:paraId="244CEE33" w14:textId="20790804" w:rsidR="007D34DD" w:rsidRPr="006C7B74" w:rsidRDefault="005B5FEA" w:rsidP="007D34DD">
            <w:pPr>
              <w:spacing w:before="0" w:after="12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8"/>
              </w:rPr>
            </w:pPr>
            <w:r w:rsidRPr="006C7B74">
              <w:rPr>
                <w:sz w:val="18"/>
              </w:rPr>
              <w:t>19</w:t>
            </w:r>
            <w:r w:rsidR="007D34DD" w:rsidRPr="006C7B74">
              <w:rPr>
                <w:sz w:val="18"/>
              </w:rPr>
              <w:t>%</w:t>
            </w:r>
          </w:p>
        </w:tc>
      </w:tr>
      <w:tr w:rsidR="007D34DD" w:rsidRPr="006C7B74" w14:paraId="604A50D9" w14:textId="77777777" w:rsidTr="000D058C">
        <w:trPr>
          <w:trHeight w:val="283"/>
        </w:trPr>
        <w:tc>
          <w:tcPr>
            <w:cnfStyle w:val="001000000000" w:firstRow="0" w:lastRow="0" w:firstColumn="1" w:lastColumn="0" w:oddVBand="0" w:evenVBand="0" w:oddHBand="0" w:evenHBand="0" w:firstRowFirstColumn="0" w:firstRowLastColumn="0" w:lastRowFirstColumn="0" w:lastRowLastColumn="0"/>
            <w:tcW w:w="1729" w:type="pct"/>
            <w:noWrap/>
            <w:vAlign w:val="top"/>
            <w:hideMark/>
          </w:tcPr>
          <w:p w14:paraId="2B0F58C2" w14:textId="4EBCD5B2" w:rsidR="007D34DD" w:rsidRPr="006C7B74" w:rsidRDefault="00AC68D1" w:rsidP="007D34DD">
            <w:pPr>
              <w:spacing w:before="0" w:after="120" w:line="240" w:lineRule="auto"/>
              <w:rPr>
                <w:rFonts w:cstheme="minorHAnsi"/>
                <w:b/>
                <w:color w:val="000000"/>
                <w:sz w:val="18"/>
              </w:rPr>
            </w:pPr>
            <w:r w:rsidRPr="006C7B74">
              <w:rPr>
                <w:b/>
                <w:sz w:val="18"/>
              </w:rPr>
              <w:t>Total</w:t>
            </w:r>
          </w:p>
        </w:tc>
        <w:tc>
          <w:tcPr>
            <w:tcW w:w="1571" w:type="pct"/>
            <w:noWrap/>
            <w:vAlign w:val="top"/>
            <w:hideMark/>
          </w:tcPr>
          <w:p w14:paraId="06CCDAF4" w14:textId="5E353A2C" w:rsidR="007D34DD" w:rsidRPr="006C7B74" w:rsidRDefault="00592E0C" w:rsidP="007D34DD">
            <w:pPr>
              <w:spacing w:before="0" w:after="120" w:line="240" w:lineRule="auto"/>
              <w:cnfStyle w:val="000000000000" w:firstRow="0" w:lastRow="0" w:firstColumn="0" w:lastColumn="0" w:oddVBand="0" w:evenVBand="0" w:oddHBand="0" w:evenHBand="0" w:firstRowFirstColumn="0" w:firstRowLastColumn="0" w:lastRowFirstColumn="0" w:lastRowLastColumn="0"/>
              <w:rPr>
                <w:rFonts w:cstheme="minorHAnsi"/>
                <w:b/>
                <w:color w:val="000000"/>
                <w:sz w:val="18"/>
              </w:rPr>
            </w:pPr>
            <w:r w:rsidRPr="006C7B74">
              <w:rPr>
                <w:b/>
                <w:sz w:val="18"/>
              </w:rPr>
              <w:t>555</w:t>
            </w:r>
          </w:p>
        </w:tc>
        <w:tc>
          <w:tcPr>
            <w:tcW w:w="1700" w:type="pct"/>
            <w:noWrap/>
            <w:vAlign w:val="top"/>
            <w:hideMark/>
          </w:tcPr>
          <w:p w14:paraId="7BF87943" w14:textId="3B059715" w:rsidR="007D34DD" w:rsidRPr="006C7B74" w:rsidRDefault="002B6673" w:rsidP="007D34DD">
            <w:pPr>
              <w:spacing w:before="0" w:after="120" w:line="240" w:lineRule="auto"/>
              <w:cnfStyle w:val="000000000000" w:firstRow="0" w:lastRow="0" w:firstColumn="0" w:lastColumn="0" w:oddVBand="0" w:evenVBand="0" w:oddHBand="0" w:evenHBand="0" w:firstRowFirstColumn="0" w:firstRowLastColumn="0" w:lastRowFirstColumn="0" w:lastRowLastColumn="0"/>
              <w:rPr>
                <w:rFonts w:cstheme="minorHAnsi"/>
                <w:b/>
                <w:color w:val="000000"/>
                <w:sz w:val="18"/>
              </w:rPr>
            </w:pPr>
            <w:r w:rsidRPr="006C7B74">
              <w:rPr>
                <w:b/>
                <w:sz w:val="18"/>
              </w:rPr>
              <w:t>42</w:t>
            </w:r>
            <w:r w:rsidR="007D34DD" w:rsidRPr="006C7B74">
              <w:rPr>
                <w:b/>
                <w:sz w:val="18"/>
              </w:rPr>
              <w:t>%</w:t>
            </w:r>
          </w:p>
        </w:tc>
      </w:tr>
    </w:tbl>
    <w:p w14:paraId="5F577EA3" w14:textId="00370872" w:rsidR="00F96E2C" w:rsidRPr="006C7B74" w:rsidRDefault="00DC580D" w:rsidP="00CF7392">
      <w:pPr>
        <w:pStyle w:val="Quote"/>
      </w:pPr>
      <w:r w:rsidRPr="006C7B74">
        <w:t>Source:</w:t>
      </w:r>
      <w:r w:rsidR="007C154C" w:rsidRPr="006C7B74">
        <w:t xml:space="preserve"> </w:t>
      </w:r>
      <w:r w:rsidRPr="006C7B74">
        <w:t>Department of Environment, Land, Water and Planning, unpublished data (</w:t>
      </w:r>
      <w:r w:rsidR="00BF4443" w:rsidRPr="006C7B74">
        <w:t>20</w:t>
      </w:r>
      <w:r w:rsidR="00BF4443">
        <w:t>20</w:t>
      </w:r>
      <w:r w:rsidRPr="006C7B74">
        <w:t>)</w:t>
      </w:r>
    </w:p>
    <w:p w14:paraId="1017B356" w14:textId="77777777" w:rsidR="00CF7392" w:rsidRPr="006C7B74" w:rsidRDefault="00CF7392" w:rsidP="00934C4D">
      <w:pPr>
        <w:spacing w:after="120"/>
        <w:rPr>
          <w:rFonts w:cstheme="minorHAnsi"/>
          <w:sz w:val="20"/>
          <w:szCs w:val="20"/>
        </w:rPr>
      </w:pPr>
    </w:p>
    <w:p w14:paraId="7BA6BAA7" w14:textId="1F7D9E66" w:rsidR="00422F24" w:rsidRPr="006C7B74" w:rsidRDefault="00F96E2C" w:rsidP="00422F24">
      <w:pPr>
        <w:spacing w:after="120"/>
        <w:rPr>
          <w:rFonts w:cstheme="minorHAnsi"/>
          <w:sz w:val="20"/>
          <w:szCs w:val="20"/>
        </w:rPr>
      </w:pPr>
      <w:r w:rsidRPr="006C7B74">
        <w:rPr>
          <w:rFonts w:cstheme="minorHAnsi"/>
          <w:sz w:val="20"/>
          <w:szCs w:val="20"/>
        </w:rPr>
        <w:t>Based on projected growth, by 2031 it is anticipated that an additional 1</w:t>
      </w:r>
      <w:r w:rsidR="00B418F9" w:rsidRPr="006C7B74">
        <w:rPr>
          <w:rFonts w:cstheme="minorHAnsi"/>
          <w:sz w:val="20"/>
          <w:szCs w:val="20"/>
        </w:rPr>
        <w:t>.</w:t>
      </w:r>
      <w:r w:rsidR="008F4497" w:rsidRPr="006C7B74">
        <w:rPr>
          <w:rFonts w:cstheme="minorHAnsi"/>
          <w:sz w:val="20"/>
          <w:szCs w:val="20"/>
        </w:rPr>
        <w:t xml:space="preserve">4 </w:t>
      </w:r>
      <w:r w:rsidRPr="006C7B74">
        <w:rPr>
          <w:rFonts w:cstheme="minorHAnsi"/>
          <w:sz w:val="20"/>
          <w:szCs w:val="20"/>
        </w:rPr>
        <w:t xml:space="preserve">million square metres of commercial floorspace will be required across the Southern Region. Approximately </w:t>
      </w:r>
      <w:r w:rsidR="00DB3553" w:rsidRPr="006C7B74">
        <w:rPr>
          <w:rFonts w:cstheme="minorHAnsi"/>
          <w:sz w:val="20"/>
          <w:szCs w:val="20"/>
        </w:rPr>
        <w:t>800,000</w:t>
      </w:r>
      <w:r w:rsidRPr="006C7B74">
        <w:rPr>
          <w:rFonts w:cstheme="minorHAnsi"/>
          <w:sz w:val="20"/>
          <w:szCs w:val="20"/>
        </w:rPr>
        <w:t xml:space="preserve"> square metres will be required for office uses and </w:t>
      </w:r>
      <w:r w:rsidR="005B6DBF" w:rsidRPr="006C7B74">
        <w:rPr>
          <w:rFonts w:cstheme="minorHAnsi"/>
          <w:sz w:val="20"/>
          <w:szCs w:val="20"/>
        </w:rPr>
        <w:t>571,</w:t>
      </w:r>
      <w:r w:rsidR="004B1DE4" w:rsidRPr="006C7B74">
        <w:rPr>
          <w:rFonts w:cstheme="minorHAnsi"/>
          <w:sz w:val="20"/>
          <w:szCs w:val="20"/>
        </w:rPr>
        <w:t>0</w:t>
      </w:r>
      <w:r w:rsidR="005B6DBF" w:rsidRPr="006C7B74">
        <w:rPr>
          <w:rFonts w:cstheme="minorHAnsi"/>
          <w:sz w:val="20"/>
          <w:szCs w:val="20"/>
        </w:rPr>
        <w:t>00</w:t>
      </w:r>
      <w:r w:rsidRPr="006C7B74">
        <w:rPr>
          <w:rFonts w:cstheme="minorHAnsi"/>
          <w:sz w:val="20"/>
          <w:szCs w:val="20"/>
        </w:rPr>
        <w:t xml:space="preserve"> square metres will be required for retail. </w:t>
      </w:r>
      <w:r w:rsidR="004D158A" w:rsidRPr="006C7B74">
        <w:rPr>
          <w:rFonts w:cstheme="minorHAnsi"/>
          <w:sz w:val="20"/>
          <w:szCs w:val="20"/>
        </w:rPr>
        <w:t>Over</w:t>
      </w:r>
      <w:r w:rsidR="00A2609A" w:rsidRPr="006C7B74">
        <w:rPr>
          <w:rFonts w:cstheme="minorHAnsi"/>
          <w:sz w:val="20"/>
          <w:szCs w:val="20"/>
        </w:rPr>
        <w:t xml:space="preserve"> half</w:t>
      </w:r>
      <w:r w:rsidRPr="006C7B74">
        <w:rPr>
          <w:rFonts w:cstheme="minorHAnsi"/>
          <w:sz w:val="20"/>
          <w:szCs w:val="20"/>
        </w:rPr>
        <w:t xml:space="preserve"> of this additional floorspace </w:t>
      </w:r>
      <w:r w:rsidR="00CC6A25" w:rsidRPr="006C7B74">
        <w:rPr>
          <w:rFonts w:cstheme="minorHAnsi"/>
          <w:sz w:val="20"/>
          <w:szCs w:val="20"/>
        </w:rPr>
        <w:t xml:space="preserve">is anticipated </w:t>
      </w:r>
      <w:r w:rsidRPr="006C7B74">
        <w:rPr>
          <w:rFonts w:cstheme="minorHAnsi"/>
          <w:sz w:val="20"/>
          <w:szCs w:val="20"/>
        </w:rPr>
        <w:t xml:space="preserve">to be provided in the growth area municipalities of Cardinia and Casey. </w:t>
      </w:r>
      <w:r w:rsidR="00422F24" w:rsidRPr="006C7B74">
        <w:rPr>
          <w:rFonts w:cstheme="minorHAnsi"/>
          <w:sz w:val="20"/>
          <w:szCs w:val="20"/>
        </w:rPr>
        <w:t xml:space="preserve">These councils have </w:t>
      </w:r>
      <w:r w:rsidR="008D64A7" w:rsidRPr="006C7B74">
        <w:rPr>
          <w:rFonts w:cstheme="minorHAnsi"/>
          <w:sz w:val="20"/>
          <w:szCs w:val="20"/>
        </w:rPr>
        <w:t>land</w:t>
      </w:r>
      <w:r w:rsidRPr="006C7B74">
        <w:rPr>
          <w:rFonts w:cstheme="minorHAnsi"/>
          <w:sz w:val="20"/>
          <w:szCs w:val="20"/>
        </w:rPr>
        <w:t xml:space="preserve"> identified for future </w:t>
      </w:r>
      <w:r w:rsidR="00422F24" w:rsidRPr="006C7B74">
        <w:rPr>
          <w:rFonts w:cstheme="minorHAnsi"/>
          <w:sz w:val="20"/>
          <w:szCs w:val="20"/>
        </w:rPr>
        <w:t>c</w:t>
      </w:r>
      <w:r w:rsidRPr="006C7B74">
        <w:rPr>
          <w:rFonts w:cstheme="minorHAnsi"/>
          <w:sz w:val="20"/>
          <w:szCs w:val="20"/>
        </w:rPr>
        <w:t xml:space="preserve">ommercial purposes. </w:t>
      </w:r>
      <w:r w:rsidR="00D1113E" w:rsidRPr="006C7B74">
        <w:rPr>
          <w:rFonts w:cstheme="minorHAnsi"/>
          <w:sz w:val="20"/>
          <w:szCs w:val="20"/>
        </w:rPr>
        <w:t xml:space="preserve">Around one-third of the future commercial floorspace </w:t>
      </w:r>
      <w:r w:rsidR="00CC6A25" w:rsidRPr="006C7B74">
        <w:rPr>
          <w:rFonts w:cstheme="minorHAnsi"/>
          <w:sz w:val="20"/>
          <w:szCs w:val="20"/>
        </w:rPr>
        <w:t xml:space="preserve">projected is expected to be located in </w:t>
      </w:r>
      <w:r w:rsidR="00AF2FC3" w:rsidRPr="006C7B74">
        <w:rPr>
          <w:rFonts w:cstheme="minorHAnsi"/>
          <w:sz w:val="20"/>
          <w:szCs w:val="20"/>
        </w:rPr>
        <w:t>Greater Dandenong and Kingston.</w:t>
      </w:r>
    </w:p>
    <w:p w14:paraId="26BBCE2E" w14:textId="510A09CA" w:rsidR="00F96E2C" w:rsidRPr="006C7B74" w:rsidRDefault="00F96E2C" w:rsidP="00934C4D">
      <w:pPr>
        <w:spacing w:after="120"/>
        <w:rPr>
          <w:rFonts w:cstheme="minorHAnsi"/>
          <w:sz w:val="20"/>
          <w:szCs w:val="20"/>
        </w:rPr>
      </w:pPr>
      <w:r w:rsidRPr="006C7B74">
        <w:rPr>
          <w:rFonts w:cstheme="minorHAnsi"/>
          <w:sz w:val="20"/>
          <w:szCs w:val="20"/>
        </w:rPr>
        <w:t xml:space="preserve">The municipalities of Frankston, Greater Dandenong, Kingston and Mornington Peninsula </w:t>
      </w:r>
      <w:r w:rsidR="002803C4" w:rsidRPr="006C7B74">
        <w:rPr>
          <w:rFonts w:cstheme="minorHAnsi"/>
          <w:sz w:val="20"/>
          <w:szCs w:val="20"/>
        </w:rPr>
        <w:t xml:space="preserve">will </w:t>
      </w:r>
      <w:r w:rsidRPr="006C7B74">
        <w:rPr>
          <w:rFonts w:cstheme="minorHAnsi"/>
          <w:sz w:val="20"/>
          <w:szCs w:val="20"/>
        </w:rPr>
        <w:t xml:space="preserve">need to identify </w:t>
      </w:r>
      <w:r w:rsidR="002803C4" w:rsidRPr="006C7B74">
        <w:rPr>
          <w:rFonts w:cstheme="minorHAnsi"/>
          <w:sz w:val="20"/>
          <w:szCs w:val="20"/>
        </w:rPr>
        <w:t>options</w:t>
      </w:r>
      <w:r w:rsidRPr="006C7B74">
        <w:rPr>
          <w:rFonts w:cstheme="minorHAnsi"/>
          <w:sz w:val="20"/>
          <w:szCs w:val="20"/>
        </w:rPr>
        <w:t xml:space="preserve"> to accommodate projected demand for commercial floorspace within existing commercial areas, as well as considering areas that could accommodate future floorspace requirements</w:t>
      </w:r>
      <w:r w:rsidR="00CF00F7" w:rsidRPr="006C7B74">
        <w:rPr>
          <w:rFonts w:cstheme="minorHAnsi"/>
          <w:sz w:val="20"/>
          <w:szCs w:val="20"/>
        </w:rPr>
        <w:t xml:space="preserve"> through </w:t>
      </w:r>
      <w:proofErr w:type="spellStart"/>
      <w:r w:rsidR="00CF00F7" w:rsidRPr="006C7B74">
        <w:rPr>
          <w:rFonts w:cstheme="minorHAnsi"/>
          <w:sz w:val="20"/>
          <w:szCs w:val="20"/>
        </w:rPr>
        <w:t>rezonings</w:t>
      </w:r>
      <w:proofErr w:type="spellEnd"/>
      <w:r w:rsidRPr="006C7B74">
        <w:rPr>
          <w:rFonts w:cstheme="minorHAnsi"/>
          <w:sz w:val="20"/>
          <w:szCs w:val="20"/>
        </w:rPr>
        <w:t>.</w:t>
      </w:r>
    </w:p>
    <w:p w14:paraId="0DE1869E" w14:textId="77777777" w:rsidR="00F96E2C" w:rsidRPr="006C7B74" w:rsidRDefault="00F96E2C" w:rsidP="00934C4D">
      <w:pPr>
        <w:spacing w:after="120"/>
        <w:rPr>
          <w:rFonts w:cstheme="minorHAnsi"/>
          <w:sz w:val="20"/>
          <w:szCs w:val="20"/>
        </w:rPr>
      </w:pPr>
    </w:p>
    <w:p w14:paraId="2403D91A" w14:textId="77777777" w:rsidR="00CB76E5" w:rsidRPr="006C7B74" w:rsidRDefault="00CB76E5">
      <w:pPr>
        <w:rPr>
          <w:rFonts w:eastAsiaTheme="majorEastAsia" w:cstheme="majorBidi"/>
          <w:b/>
          <w:sz w:val="20"/>
        </w:rPr>
      </w:pPr>
      <w:r w:rsidRPr="006C7B74">
        <w:br w:type="page"/>
      </w:r>
    </w:p>
    <w:p w14:paraId="1FF60EF4" w14:textId="66B7E852" w:rsidR="00F96E2C" w:rsidRPr="006C7B74" w:rsidRDefault="00F96E2C" w:rsidP="0096678B">
      <w:pPr>
        <w:pStyle w:val="Heading5"/>
      </w:pPr>
      <w:r w:rsidRPr="006C7B74">
        <w:lastRenderedPageBreak/>
        <w:t xml:space="preserve">Table </w:t>
      </w:r>
      <w:r w:rsidR="00AC2EE0" w:rsidRPr="006C7B74">
        <w:t>31</w:t>
      </w:r>
      <w:r w:rsidRPr="006C7B74">
        <w:t xml:space="preserve">: Commercial floorspace supply and requirement, </w:t>
      </w:r>
      <w:r w:rsidR="008677B2" w:rsidRPr="006C7B74">
        <w:t>Southern Region</w:t>
      </w:r>
    </w:p>
    <w:tbl>
      <w:tblPr>
        <w:tblW w:w="5000" w:type="pct"/>
        <w:tblCellMar>
          <w:left w:w="0" w:type="dxa"/>
          <w:right w:w="0" w:type="dxa"/>
        </w:tblCellMar>
        <w:tblLook w:val="04A0" w:firstRow="1" w:lastRow="0" w:firstColumn="1" w:lastColumn="0" w:noHBand="0" w:noVBand="1"/>
      </w:tblPr>
      <w:tblGrid>
        <w:gridCol w:w="3646"/>
        <w:gridCol w:w="2479"/>
        <w:gridCol w:w="2895"/>
      </w:tblGrid>
      <w:tr w:rsidR="00A06647" w:rsidRPr="003C516A" w14:paraId="66E45E2E" w14:textId="77777777" w:rsidTr="00457348">
        <w:trPr>
          <w:trHeight w:val="690"/>
        </w:trPr>
        <w:tc>
          <w:tcPr>
            <w:tcW w:w="2021" w:type="pct"/>
            <w:tcBorders>
              <w:top w:val="nil"/>
              <w:left w:val="nil"/>
              <w:bottom w:val="nil"/>
              <w:right w:val="nil"/>
            </w:tcBorders>
            <w:shd w:val="clear" w:color="000000" w:fill="4D446C"/>
            <w:noWrap/>
            <w:tcMar>
              <w:top w:w="15" w:type="dxa"/>
              <w:left w:w="15" w:type="dxa"/>
              <w:bottom w:w="0" w:type="dxa"/>
              <w:right w:w="15" w:type="dxa"/>
            </w:tcMar>
            <w:vAlign w:val="center"/>
            <w:hideMark/>
          </w:tcPr>
          <w:p w14:paraId="4F26136C" w14:textId="60DF5E23" w:rsidR="00A06647" w:rsidRPr="003C516A" w:rsidRDefault="00A06647" w:rsidP="003C516A">
            <w:pPr>
              <w:pStyle w:val="TableHeaderRow"/>
            </w:pPr>
            <w:r w:rsidRPr="003C516A">
              <w:t>Council</w:t>
            </w:r>
          </w:p>
        </w:tc>
        <w:tc>
          <w:tcPr>
            <w:tcW w:w="1374" w:type="pct"/>
            <w:tcBorders>
              <w:top w:val="single" w:sz="4" w:space="0" w:color="auto"/>
              <w:left w:val="nil"/>
              <w:bottom w:val="nil"/>
              <w:right w:val="nil"/>
            </w:tcBorders>
            <w:shd w:val="clear" w:color="000000" w:fill="4D446C"/>
            <w:tcMar>
              <w:top w:w="15" w:type="dxa"/>
              <w:left w:w="15" w:type="dxa"/>
              <w:bottom w:w="0" w:type="dxa"/>
              <w:right w:w="15" w:type="dxa"/>
            </w:tcMar>
            <w:vAlign w:val="center"/>
            <w:hideMark/>
          </w:tcPr>
          <w:p w14:paraId="02C3E570" w14:textId="38D72F98" w:rsidR="00A06647" w:rsidRPr="003C516A" w:rsidRDefault="00A06647" w:rsidP="003C516A">
            <w:pPr>
              <w:pStyle w:val="TableHeaderRow"/>
              <w:jc w:val="center"/>
            </w:pPr>
            <w:r w:rsidRPr="003C516A">
              <w:t>Existing commercial</w:t>
            </w:r>
            <w:r w:rsidRPr="003C516A">
              <w:br/>
              <w:t>floorspace</w:t>
            </w:r>
            <w:r w:rsidR="00457348" w:rsidRPr="003C516A">
              <w:t xml:space="preserve"> 2018 </w:t>
            </w:r>
            <w:r w:rsidRPr="003C516A">
              <w:t>(m2)</w:t>
            </w:r>
          </w:p>
        </w:tc>
        <w:tc>
          <w:tcPr>
            <w:tcW w:w="1605" w:type="pct"/>
            <w:tcBorders>
              <w:top w:val="nil"/>
              <w:left w:val="nil"/>
              <w:bottom w:val="nil"/>
              <w:right w:val="nil"/>
            </w:tcBorders>
            <w:shd w:val="clear" w:color="000000" w:fill="4D446C"/>
            <w:tcMar>
              <w:top w:w="15" w:type="dxa"/>
              <w:left w:w="15" w:type="dxa"/>
              <w:bottom w:w="0" w:type="dxa"/>
              <w:right w:w="15" w:type="dxa"/>
            </w:tcMar>
            <w:vAlign w:val="center"/>
            <w:hideMark/>
          </w:tcPr>
          <w:p w14:paraId="03E36197" w14:textId="21C2EF8D" w:rsidR="00161973" w:rsidRPr="003C516A" w:rsidRDefault="00432011" w:rsidP="003C516A">
            <w:pPr>
              <w:pStyle w:val="TableHeaderRow"/>
              <w:jc w:val="center"/>
            </w:pPr>
            <w:r w:rsidRPr="003C516A">
              <w:t>Estimated a</w:t>
            </w:r>
            <w:r w:rsidR="00161973" w:rsidRPr="003C516A">
              <w:t>dditional commercial floorspace</w:t>
            </w:r>
          </w:p>
          <w:p w14:paraId="3045ACF1" w14:textId="1C2EC217" w:rsidR="00A06647" w:rsidRPr="003C516A" w:rsidRDefault="00161973" w:rsidP="003C516A">
            <w:pPr>
              <w:pStyle w:val="TableHeaderRow"/>
              <w:jc w:val="center"/>
            </w:pPr>
            <w:r w:rsidRPr="003C516A">
              <w:t>2016 to 2031 (m2)</w:t>
            </w:r>
          </w:p>
        </w:tc>
      </w:tr>
      <w:tr w:rsidR="00E76738" w:rsidRPr="006C7B74" w14:paraId="172B64BB" w14:textId="77777777" w:rsidTr="006C7B74">
        <w:trPr>
          <w:trHeight w:val="240"/>
        </w:trPr>
        <w:tc>
          <w:tcPr>
            <w:tcW w:w="2021"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61FDF52F" w14:textId="77777777" w:rsidR="00E76738" w:rsidRPr="006C7B74" w:rsidRDefault="00E76738" w:rsidP="00E76738">
            <w:pPr>
              <w:rPr>
                <w:rFonts w:ascii="Calibri" w:hAnsi="Calibri" w:cs="Calibri"/>
                <w:color w:val="000000"/>
                <w:sz w:val="16"/>
                <w:szCs w:val="16"/>
              </w:rPr>
            </w:pPr>
            <w:r w:rsidRPr="006C7B74">
              <w:rPr>
                <w:rFonts w:ascii="Calibri" w:hAnsi="Calibri" w:cs="Calibri"/>
                <w:color w:val="000000"/>
                <w:sz w:val="16"/>
                <w:szCs w:val="16"/>
              </w:rPr>
              <w:t xml:space="preserve">Cardinia </w:t>
            </w:r>
          </w:p>
        </w:tc>
        <w:tc>
          <w:tcPr>
            <w:tcW w:w="1374" w:type="pct"/>
            <w:tcBorders>
              <w:top w:val="nil"/>
              <w:left w:val="nil"/>
              <w:bottom w:val="single" w:sz="8" w:space="0" w:color="44546A"/>
              <w:right w:val="nil"/>
            </w:tcBorders>
            <w:shd w:val="clear" w:color="auto" w:fill="auto"/>
            <w:tcMar>
              <w:top w:w="15" w:type="dxa"/>
              <w:left w:w="15" w:type="dxa"/>
              <w:bottom w:w="0" w:type="dxa"/>
              <w:right w:w="15" w:type="dxa"/>
            </w:tcMar>
            <w:hideMark/>
          </w:tcPr>
          <w:p w14:paraId="66B3EA2F" w14:textId="48D8A227" w:rsidR="00E76738" w:rsidRPr="006C7B74" w:rsidRDefault="00E76738" w:rsidP="00E76738">
            <w:pPr>
              <w:jc w:val="center"/>
              <w:rPr>
                <w:rFonts w:ascii="Calibri" w:hAnsi="Calibri" w:cs="Calibri"/>
                <w:color w:val="000000"/>
                <w:sz w:val="18"/>
                <w:szCs w:val="18"/>
              </w:rPr>
            </w:pPr>
            <w:r w:rsidRPr="006C7B74">
              <w:rPr>
                <w:sz w:val="18"/>
                <w:szCs w:val="18"/>
              </w:rPr>
              <w:t>206,700</w:t>
            </w:r>
          </w:p>
        </w:tc>
        <w:tc>
          <w:tcPr>
            <w:tcW w:w="1605"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1F2BEC4F" w14:textId="458D9070" w:rsidR="00E76738" w:rsidRPr="006C7B74" w:rsidRDefault="00E76738" w:rsidP="00E76738">
            <w:pPr>
              <w:jc w:val="center"/>
              <w:rPr>
                <w:rFonts w:ascii="Calibri" w:hAnsi="Calibri" w:cs="Calibri"/>
                <w:color w:val="000000"/>
                <w:sz w:val="18"/>
                <w:szCs w:val="18"/>
              </w:rPr>
            </w:pPr>
            <w:r w:rsidRPr="006C7B74">
              <w:rPr>
                <w:rFonts w:ascii="Calibri" w:hAnsi="Calibri" w:cs="Calibri"/>
                <w:color w:val="000000"/>
                <w:sz w:val="18"/>
                <w:szCs w:val="18"/>
              </w:rPr>
              <w:t xml:space="preserve">217,000 </w:t>
            </w:r>
          </w:p>
        </w:tc>
      </w:tr>
      <w:tr w:rsidR="00E76738" w:rsidRPr="006C7B74" w14:paraId="06D5CE70" w14:textId="77777777" w:rsidTr="006C7B74">
        <w:trPr>
          <w:trHeight w:val="240"/>
        </w:trPr>
        <w:tc>
          <w:tcPr>
            <w:tcW w:w="2021"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76C41CD7" w14:textId="77777777" w:rsidR="00E76738" w:rsidRPr="006C7B74" w:rsidRDefault="00E76738" w:rsidP="00E76738">
            <w:pPr>
              <w:rPr>
                <w:rFonts w:ascii="Calibri" w:hAnsi="Calibri" w:cs="Calibri"/>
                <w:color w:val="000000"/>
                <w:sz w:val="16"/>
                <w:szCs w:val="16"/>
              </w:rPr>
            </w:pPr>
            <w:r w:rsidRPr="006C7B74">
              <w:rPr>
                <w:rFonts w:ascii="Calibri" w:hAnsi="Calibri" w:cs="Calibri"/>
                <w:color w:val="000000"/>
                <w:sz w:val="16"/>
                <w:szCs w:val="16"/>
              </w:rPr>
              <w:t>Casey</w:t>
            </w:r>
          </w:p>
        </w:tc>
        <w:tc>
          <w:tcPr>
            <w:tcW w:w="1374" w:type="pct"/>
            <w:tcBorders>
              <w:top w:val="nil"/>
              <w:left w:val="nil"/>
              <w:bottom w:val="single" w:sz="8" w:space="0" w:color="44546A"/>
              <w:right w:val="nil"/>
            </w:tcBorders>
            <w:shd w:val="clear" w:color="auto" w:fill="auto"/>
            <w:tcMar>
              <w:top w:w="15" w:type="dxa"/>
              <w:left w:w="15" w:type="dxa"/>
              <w:bottom w:w="0" w:type="dxa"/>
              <w:right w:w="15" w:type="dxa"/>
            </w:tcMar>
            <w:hideMark/>
          </w:tcPr>
          <w:p w14:paraId="5C936C2C" w14:textId="395C1EB9" w:rsidR="00E76738" w:rsidRPr="006C7B74" w:rsidRDefault="00E76738" w:rsidP="00E76738">
            <w:pPr>
              <w:jc w:val="center"/>
              <w:rPr>
                <w:rFonts w:ascii="Calibri" w:hAnsi="Calibri" w:cs="Calibri"/>
                <w:color w:val="000000"/>
                <w:sz w:val="18"/>
                <w:szCs w:val="18"/>
              </w:rPr>
            </w:pPr>
            <w:r w:rsidRPr="006C7B74">
              <w:rPr>
                <w:sz w:val="18"/>
                <w:szCs w:val="18"/>
              </w:rPr>
              <w:t>718,300</w:t>
            </w:r>
          </w:p>
        </w:tc>
        <w:tc>
          <w:tcPr>
            <w:tcW w:w="1605"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1EA9CECB" w14:textId="62EAE078" w:rsidR="00E76738" w:rsidRPr="006C7B74" w:rsidRDefault="00E76738" w:rsidP="00E76738">
            <w:pPr>
              <w:jc w:val="center"/>
              <w:rPr>
                <w:rFonts w:ascii="Calibri" w:hAnsi="Calibri" w:cs="Calibri"/>
                <w:color w:val="000000"/>
                <w:sz w:val="18"/>
                <w:szCs w:val="18"/>
              </w:rPr>
            </w:pPr>
            <w:r w:rsidRPr="006C7B74">
              <w:rPr>
                <w:rFonts w:ascii="Calibri" w:hAnsi="Calibri" w:cs="Calibri"/>
                <w:color w:val="000000"/>
                <w:sz w:val="18"/>
                <w:szCs w:val="18"/>
              </w:rPr>
              <w:t xml:space="preserve">541,000 </w:t>
            </w:r>
          </w:p>
        </w:tc>
      </w:tr>
      <w:tr w:rsidR="00E76738" w:rsidRPr="006C7B74" w14:paraId="78919A65" w14:textId="77777777" w:rsidTr="006C7B74">
        <w:trPr>
          <w:trHeight w:val="240"/>
        </w:trPr>
        <w:tc>
          <w:tcPr>
            <w:tcW w:w="2021"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535D5203" w14:textId="77777777" w:rsidR="00E76738" w:rsidRPr="006C7B74" w:rsidRDefault="00E76738" w:rsidP="00E76738">
            <w:pPr>
              <w:rPr>
                <w:rFonts w:ascii="Calibri" w:hAnsi="Calibri" w:cs="Calibri"/>
                <w:color w:val="000000"/>
                <w:sz w:val="16"/>
                <w:szCs w:val="16"/>
              </w:rPr>
            </w:pPr>
            <w:r w:rsidRPr="006C7B74">
              <w:rPr>
                <w:rFonts w:ascii="Calibri" w:hAnsi="Calibri" w:cs="Calibri"/>
                <w:color w:val="000000"/>
                <w:sz w:val="16"/>
                <w:szCs w:val="16"/>
              </w:rPr>
              <w:t>Frankston</w:t>
            </w:r>
          </w:p>
        </w:tc>
        <w:tc>
          <w:tcPr>
            <w:tcW w:w="1374" w:type="pct"/>
            <w:tcBorders>
              <w:top w:val="nil"/>
              <w:left w:val="nil"/>
              <w:bottom w:val="single" w:sz="8" w:space="0" w:color="44546A"/>
              <w:right w:val="nil"/>
            </w:tcBorders>
            <w:shd w:val="clear" w:color="auto" w:fill="auto"/>
            <w:tcMar>
              <w:top w:w="15" w:type="dxa"/>
              <w:left w:w="15" w:type="dxa"/>
              <w:bottom w:w="0" w:type="dxa"/>
              <w:right w:w="15" w:type="dxa"/>
            </w:tcMar>
            <w:hideMark/>
          </w:tcPr>
          <w:p w14:paraId="3E202730" w14:textId="6C179307" w:rsidR="00E76738" w:rsidRPr="006C7B74" w:rsidRDefault="00E76738" w:rsidP="00E76738">
            <w:pPr>
              <w:jc w:val="center"/>
              <w:rPr>
                <w:rFonts w:ascii="Calibri" w:hAnsi="Calibri" w:cs="Calibri"/>
                <w:color w:val="000000"/>
                <w:sz w:val="18"/>
                <w:szCs w:val="18"/>
              </w:rPr>
            </w:pPr>
            <w:r w:rsidRPr="006C7B74">
              <w:rPr>
                <w:sz w:val="18"/>
                <w:szCs w:val="18"/>
              </w:rPr>
              <w:t>485,250</w:t>
            </w:r>
          </w:p>
        </w:tc>
        <w:tc>
          <w:tcPr>
            <w:tcW w:w="1605"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728C3E11" w14:textId="67B235E1" w:rsidR="00E76738" w:rsidRPr="006C7B74" w:rsidRDefault="00E76738" w:rsidP="00E76738">
            <w:pPr>
              <w:jc w:val="center"/>
              <w:rPr>
                <w:rFonts w:ascii="Calibri" w:hAnsi="Calibri" w:cs="Calibri"/>
                <w:color w:val="000000"/>
                <w:sz w:val="18"/>
                <w:szCs w:val="18"/>
              </w:rPr>
            </w:pPr>
            <w:r w:rsidRPr="006C7B74">
              <w:rPr>
                <w:rFonts w:ascii="Calibri" w:hAnsi="Calibri" w:cs="Calibri"/>
                <w:color w:val="000000"/>
                <w:sz w:val="18"/>
                <w:szCs w:val="18"/>
              </w:rPr>
              <w:t xml:space="preserve">75,000 </w:t>
            </w:r>
          </w:p>
        </w:tc>
      </w:tr>
      <w:tr w:rsidR="00E76738" w:rsidRPr="006C7B74" w14:paraId="1C73F074" w14:textId="77777777" w:rsidTr="006C7B74">
        <w:trPr>
          <w:trHeight w:val="240"/>
        </w:trPr>
        <w:tc>
          <w:tcPr>
            <w:tcW w:w="2021"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04DD17D2" w14:textId="77777777" w:rsidR="00E76738" w:rsidRPr="006C7B74" w:rsidRDefault="00E76738" w:rsidP="00E76738">
            <w:pPr>
              <w:rPr>
                <w:rFonts w:ascii="Calibri" w:hAnsi="Calibri" w:cs="Calibri"/>
                <w:color w:val="000000"/>
                <w:sz w:val="16"/>
                <w:szCs w:val="16"/>
              </w:rPr>
            </w:pPr>
            <w:r w:rsidRPr="006C7B74">
              <w:rPr>
                <w:rFonts w:ascii="Calibri" w:hAnsi="Calibri" w:cs="Calibri"/>
                <w:color w:val="000000"/>
                <w:sz w:val="16"/>
                <w:szCs w:val="16"/>
              </w:rPr>
              <w:t>Greater Dandenong</w:t>
            </w:r>
          </w:p>
        </w:tc>
        <w:tc>
          <w:tcPr>
            <w:tcW w:w="1374" w:type="pct"/>
            <w:tcBorders>
              <w:top w:val="nil"/>
              <w:left w:val="nil"/>
              <w:bottom w:val="single" w:sz="8" w:space="0" w:color="44546A"/>
              <w:right w:val="nil"/>
            </w:tcBorders>
            <w:shd w:val="clear" w:color="auto" w:fill="auto"/>
            <w:tcMar>
              <w:top w:w="15" w:type="dxa"/>
              <w:left w:w="15" w:type="dxa"/>
              <w:bottom w:w="0" w:type="dxa"/>
              <w:right w:w="15" w:type="dxa"/>
            </w:tcMar>
            <w:hideMark/>
          </w:tcPr>
          <w:p w14:paraId="30E781F8" w14:textId="4B70D55D" w:rsidR="00E76738" w:rsidRPr="006C7B74" w:rsidRDefault="00E76738" w:rsidP="00E76738">
            <w:pPr>
              <w:jc w:val="center"/>
              <w:rPr>
                <w:rFonts w:ascii="Calibri" w:hAnsi="Calibri" w:cs="Calibri"/>
                <w:color w:val="000000"/>
                <w:sz w:val="18"/>
                <w:szCs w:val="18"/>
              </w:rPr>
            </w:pPr>
            <w:r w:rsidRPr="006C7B74">
              <w:rPr>
                <w:sz w:val="18"/>
                <w:szCs w:val="18"/>
              </w:rPr>
              <w:t>653,900</w:t>
            </w:r>
          </w:p>
        </w:tc>
        <w:tc>
          <w:tcPr>
            <w:tcW w:w="1605"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3C71E727" w14:textId="3AC9F439" w:rsidR="00E76738" w:rsidRPr="006C7B74" w:rsidRDefault="00E76738" w:rsidP="00E76738">
            <w:pPr>
              <w:jc w:val="center"/>
              <w:rPr>
                <w:rFonts w:ascii="Calibri" w:hAnsi="Calibri" w:cs="Calibri"/>
                <w:color w:val="000000"/>
                <w:sz w:val="18"/>
                <w:szCs w:val="18"/>
              </w:rPr>
            </w:pPr>
            <w:r w:rsidRPr="006C7B74">
              <w:rPr>
                <w:rFonts w:ascii="Calibri" w:hAnsi="Calibri" w:cs="Calibri"/>
                <w:color w:val="000000"/>
                <w:sz w:val="18"/>
                <w:szCs w:val="18"/>
              </w:rPr>
              <w:t xml:space="preserve">213,000 </w:t>
            </w:r>
          </w:p>
        </w:tc>
      </w:tr>
      <w:tr w:rsidR="00E76738" w:rsidRPr="006C7B74" w14:paraId="08495294" w14:textId="77777777" w:rsidTr="006C7B74">
        <w:trPr>
          <w:trHeight w:val="240"/>
        </w:trPr>
        <w:tc>
          <w:tcPr>
            <w:tcW w:w="2021"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26DC5919" w14:textId="77777777" w:rsidR="00E76738" w:rsidRPr="006C7B74" w:rsidRDefault="00E76738" w:rsidP="00E76738">
            <w:pPr>
              <w:rPr>
                <w:rFonts w:ascii="Calibri" w:hAnsi="Calibri" w:cs="Calibri"/>
                <w:color w:val="000000"/>
                <w:sz w:val="16"/>
                <w:szCs w:val="16"/>
              </w:rPr>
            </w:pPr>
            <w:r w:rsidRPr="006C7B74">
              <w:rPr>
                <w:rFonts w:ascii="Calibri" w:hAnsi="Calibri" w:cs="Calibri"/>
                <w:color w:val="000000"/>
                <w:sz w:val="16"/>
                <w:szCs w:val="16"/>
              </w:rPr>
              <w:t>Kingston</w:t>
            </w:r>
          </w:p>
        </w:tc>
        <w:tc>
          <w:tcPr>
            <w:tcW w:w="1374" w:type="pct"/>
            <w:tcBorders>
              <w:top w:val="nil"/>
              <w:left w:val="nil"/>
              <w:bottom w:val="single" w:sz="8" w:space="0" w:color="44546A"/>
              <w:right w:val="nil"/>
            </w:tcBorders>
            <w:shd w:val="clear" w:color="auto" w:fill="auto"/>
            <w:tcMar>
              <w:top w:w="15" w:type="dxa"/>
              <w:left w:w="15" w:type="dxa"/>
              <w:bottom w:w="0" w:type="dxa"/>
              <w:right w:w="15" w:type="dxa"/>
            </w:tcMar>
            <w:hideMark/>
          </w:tcPr>
          <w:p w14:paraId="6E52EE71" w14:textId="649BEA9E" w:rsidR="00E76738" w:rsidRPr="006C7B74" w:rsidRDefault="00E76738" w:rsidP="00E76738">
            <w:pPr>
              <w:jc w:val="center"/>
              <w:rPr>
                <w:rFonts w:ascii="Calibri" w:hAnsi="Calibri" w:cs="Calibri"/>
                <w:color w:val="000000"/>
                <w:sz w:val="18"/>
                <w:szCs w:val="18"/>
              </w:rPr>
            </w:pPr>
            <w:r w:rsidRPr="006C7B74">
              <w:rPr>
                <w:sz w:val="18"/>
                <w:szCs w:val="18"/>
              </w:rPr>
              <w:t>595,750</w:t>
            </w:r>
          </w:p>
        </w:tc>
        <w:tc>
          <w:tcPr>
            <w:tcW w:w="1605"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7E92677F" w14:textId="70AAEF5E" w:rsidR="00E76738" w:rsidRPr="006C7B74" w:rsidRDefault="00E76738" w:rsidP="00E76738">
            <w:pPr>
              <w:jc w:val="center"/>
              <w:rPr>
                <w:rFonts w:ascii="Calibri" w:hAnsi="Calibri" w:cs="Calibri"/>
                <w:color w:val="000000"/>
                <w:sz w:val="18"/>
                <w:szCs w:val="18"/>
              </w:rPr>
            </w:pPr>
            <w:r w:rsidRPr="006C7B74">
              <w:rPr>
                <w:rFonts w:ascii="Calibri" w:hAnsi="Calibri" w:cs="Calibri"/>
                <w:color w:val="000000"/>
                <w:sz w:val="18"/>
                <w:szCs w:val="18"/>
              </w:rPr>
              <w:t xml:space="preserve">218,000 </w:t>
            </w:r>
          </w:p>
        </w:tc>
      </w:tr>
      <w:tr w:rsidR="00E76738" w:rsidRPr="006C7B74" w14:paraId="704C1B40" w14:textId="77777777" w:rsidTr="006C7B74">
        <w:trPr>
          <w:trHeight w:val="240"/>
        </w:trPr>
        <w:tc>
          <w:tcPr>
            <w:tcW w:w="2021"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7FF1ADB6" w14:textId="77777777" w:rsidR="00E76738" w:rsidRPr="006C7B74" w:rsidRDefault="00E76738" w:rsidP="00E76738">
            <w:pPr>
              <w:rPr>
                <w:rFonts w:ascii="Calibri" w:hAnsi="Calibri" w:cs="Calibri"/>
                <w:color w:val="000000"/>
                <w:sz w:val="16"/>
                <w:szCs w:val="16"/>
              </w:rPr>
            </w:pPr>
            <w:r w:rsidRPr="006C7B74">
              <w:rPr>
                <w:rFonts w:ascii="Calibri" w:hAnsi="Calibri" w:cs="Calibri"/>
                <w:color w:val="000000"/>
                <w:sz w:val="16"/>
                <w:szCs w:val="16"/>
              </w:rPr>
              <w:t xml:space="preserve">Mornington Peninsula </w:t>
            </w:r>
          </w:p>
        </w:tc>
        <w:tc>
          <w:tcPr>
            <w:tcW w:w="1374" w:type="pct"/>
            <w:tcBorders>
              <w:top w:val="nil"/>
              <w:left w:val="nil"/>
              <w:bottom w:val="single" w:sz="8" w:space="0" w:color="44546A"/>
              <w:right w:val="nil"/>
            </w:tcBorders>
            <w:shd w:val="clear" w:color="auto" w:fill="auto"/>
            <w:tcMar>
              <w:top w:w="15" w:type="dxa"/>
              <w:left w:w="15" w:type="dxa"/>
              <w:bottom w:w="0" w:type="dxa"/>
              <w:right w:w="15" w:type="dxa"/>
            </w:tcMar>
            <w:hideMark/>
          </w:tcPr>
          <w:p w14:paraId="75A216ED" w14:textId="17FE47E1" w:rsidR="00E76738" w:rsidRPr="006C7B74" w:rsidRDefault="00E76738" w:rsidP="00E76738">
            <w:pPr>
              <w:jc w:val="center"/>
              <w:rPr>
                <w:rFonts w:ascii="Calibri" w:hAnsi="Calibri" w:cs="Calibri"/>
                <w:color w:val="000000"/>
                <w:sz w:val="18"/>
                <w:szCs w:val="18"/>
              </w:rPr>
            </w:pPr>
            <w:r w:rsidRPr="006C7B74">
              <w:rPr>
                <w:sz w:val="18"/>
                <w:szCs w:val="18"/>
              </w:rPr>
              <w:t>506,850</w:t>
            </w:r>
          </w:p>
        </w:tc>
        <w:tc>
          <w:tcPr>
            <w:tcW w:w="1605"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66566D05" w14:textId="68ADDFFC" w:rsidR="00E76738" w:rsidRPr="006C7B74" w:rsidRDefault="00E76738" w:rsidP="00E76738">
            <w:pPr>
              <w:jc w:val="center"/>
              <w:rPr>
                <w:rFonts w:ascii="Calibri" w:hAnsi="Calibri" w:cs="Calibri"/>
                <w:color w:val="000000"/>
                <w:sz w:val="18"/>
                <w:szCs w:val="18"/>
              </w:rPr>
            </w:pPr>
            <w:r w:rsidRPr="006C7B74">
              <w:rPr>
                <w:rFonts w:ascii="Calibri" w:hAnsi="Calibri" w:cs="Calibri"/>
                <w:color w:val="000000"/>
                <w:sz w:val="18"/>
                <w:szCs w:val="18"/>
              </w:rPr>
              <w:t xml:space="preserve">107,000 </w:t>
            </w:r>
          </w:p>
        </w:tc>
      </w:tr>
      <w:tr w:rsidR="00E76738" w:rsidRPr="006C7B74" w14:paraId="25BBDAFF" w14:textId="77777777" w:rsidTr="006C7B74">
        <w:trPr>
          <w:trHeight w:val="240"/>
        </w:trPr>
        <w:tc>
          <w:tcPr>
            <w:tcW w:w="2021"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32BE5F69" w14:textId="77777777" w:rsidR="00E76738" w:rsidRPr="006C7B74" w:rsidRDefault="00E76738" w:rsidP="00E76738">
            <w:pPr>
              <w:rPr>
                <w:rFonts w:ascii="Calibri" w:hAnsi="Calibri" w:cs="Calibri"/>
                <w:b/>
                <w:bCs/>
                <w:color w:val="000000"/>
                <w:sz w:val="16"/>
                <w:szCs w:val="16"/>
              </w:rPr>
            </w:pPr>
            <w:r w:rsidRPr="006C7B74">
              <w:rPr>
                <w:rFonts w:ascii="Calibri" w:hAnsi="Calibri" w:cs="Calibri"/>
                <w:b/>
                <w:bCs/>
                <w:color w:val="000000"/>
                <w:sz w:val="16"/>
                <w:szCs w:val="16"/>
              </w:rPr>
              <w:t>Total</w:t>
            </w:r>
          </w:p>
        </w:tc>
        <w:tc>
          <w:tcPr>
            <w:tcW w:w="1374" w:type="pct"/>
            <w:tcBorders>
              <w:top w:val="nil"/>
              <w:left w:val="nil"/>
              <w:bottom w:val="single" w:sz="8" w:space="0" w:color="44546A"/>
              <w:right w:val="nil"/>
            </w:tcBorders>
            <w:shd w:val="clear" w:color="auto" w:fill="auto"/>
            <w:tcMar>
              <w:top w:w="15" w:type="dxa"/>
              <w:left w:w="15" w:type="dxa"/>
              <w:bottom w:w="0" w:type="dxa"/>
              <w:right w:w="15" w:type="dxa"/>
            </w:tcMar>
            <w:hideMark/>
          </w:tcPr>
          <w:p w14:paraId="4C5F0E0B" w14:textId="6CB601AE" w:rsidR="00E76738" w:rsidRPr="006C7B74" w:rsidRDefault="00E76738" w:rsidP="00E76738">
            <w:pPr>
              <w:jc w:val="center"/>
              <w:rPr>
                <w:rFonts w:ascii="Calibri" w:hAnsi="Calibri" w:cs="Calibri"/>
                <w:b/>
                <w:color w:val="000000"/>
                <w:sz w:val="18"/>
                <w:szCs w:val="18"/>
              </w:rPr>
            </w:pPr>
            <w:r w:rsidRPr="006C7B74">
              <w:rPr>
                <w:b/>
                <w:sz w:val="18"/>
                <w:szCs w:val="18"/>
              </w:rPr>
              <w:t>3,166,750</w:t>
            </w:r>
          </w:p>
        </w:tc>
        <w:tc>
          <w:tcPr>
            <w:tcW w:w="1605"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75AAA019" w14:textId="7176A3AE" w:rsidR="00E76738" w:rsidRPr="006C7B74" w:rsidRDefault="00E76738" w:rsidP="00E76738">
            <w:pPr>
              <w:jc w:val="center"/>
              <w:rPr>
                <w:rFonts w:ascii="Calibri" w:hAnsi="Calibri" w:cs="Calibri"/>
                <w:b/>
                <w:bCs/>
                <w:color w:val="000000"/>
                <w:sz w:val="18"/>
                <w:szCs w:val="18"/>
              </w:rPr>
            </w:pPr>
            <w:r w:rsidRPr="006C7B74">
              <w:rPr>
                <w:rFonts w:ascii="Calibri" w:hAnsi="Calibri" w:cs="Calibri"/>
                <w:b/>
                <w:color w:val="000000"/>
                <w:sz w:val="18"/>
                <w:szCs w:val="18"/>
              </w:rPr>
              <w:t xml:space="preserve">1,371,000 </w:t>
            </w:r>
          </w:p>
        </w:tc>
      </w:tr>
    </w:tbl>
    <w:p w14:paraId="7461A666" w14:textId="4E6CB9E8" w:rsidR="00F96E2C" w:rsidRPr="006C7B74" w:rsidRDefault="00CF7392" w:rsidP="00CF7392">
      <w:pPr>
        <w:pStyle w:val="Quote"/>
        <w:rPr>
          <w:rFonts w:cstheme="minorHAnsi"/>
          <w:sz w:val="20"/>
          <w:szCs w:val="20"/>
        </w:rPr>
      </w:pPr>
      <w:r w:rsidRPr="006C7B74">
        <w:t>Source:</w:t>
      </w:r>
      <w:r w:rsidR="007C154C" w:rsidRPr="006C7B74">
        <w:t xml:space="preserve"> </w:t>
      </w:r>
      <w:r w:rsidRPr="006C7B74">
        <w:t>Department of Environment, Land, Water and Planning, unpublished data (</w:t>
      </w:r>
      <w:r w:rsidR="00046CC2" w:rsidRPr="006C7B74">
        <w:t>20</w:t>
      </w:r>
      <w:r w:rsidR="00046CC2">
        <w:t>20</w:t>
      </w:r>
      <w:r w:rsidRPr="006C7B74">
        <w:t>)</w:t>
      </w:r>
    </w:p>
    <w:p w14:paraId="28638038" w14:textId="7F497B5D" w:rsidR="00F96E2C" w:rsidRPr="006C7B74" w:rsidRDefault="00F96E2C" w:rsidP="0096678B">
      <w:pPr>
        <w:pStyle w:val="Heading5"/>
      </w:pPr>
      <w:r w:rsidRPr="006C7B74">
        <w:t xml:space="preserve">Figure </w:t>
      </w:r>
      <w:r w:rsidR="00272A6B" w:rsidRPr="006C7B74">
        <w:t>30</w:t>
      </w:r>
      <w:r w:rsidRPr="006C7B74">
        <w:t xml:space="preserve">: </w:t>
      </w:r>
      <w:r w:rsidR="00475C58">
        <w:t xml:space="preserve">Estimated additional </w:t>
      </w:r>
      <w:r w:rsidR="00475C58" w:rsidRPr="006C7B74">
        <w:t>commercial floorspace</w:t>
      </w:r>
      <w:r w:rsidR="00475C58" w:rsidRPr="006C7B74" w:rsidDel="00475C58">
        <w:t xml:space="preserve"> </w:t>
      </w:r>
      <w:r w:rsidRPr="006C7B74">
        <w:t>by type and municipality,</w:t>
      </w:r>
      <w:r w:rsidR="00683A2D" w:rsidRPr="006C7B74">
        <w:t xml:space="preserve"> Southern Region,</w:t>
      </w:r>
      <w:r w:rsidRPr="006C7B74">
        <w:t xml:space="preserve"> 201</w:t>
      </w:r>
      <w:r w:rsidR="00821D8E" w:rsidRPr="006C7B74">
        <w:t>6</w:t>
      </w:r>
      <w:r w:rsidRPr="006C7B74">
        <w:t xml:space="preserve"> to 2031</w:t>
      </w:r>
    </w:p>
    <w:p w14:paraId="286C7B86" w14:textId="60905794" w:rsidR="00F96E2C" w:rsidRPr="006C7B74" w:rsidRDefault="0085017F" w:rsidP="00CF7392">
      <w:pPr>
        <w:pStyle w:val="Quote"/>
        <w:rPr>
          <w:rFonts w:cstheme="minorHAnsi"/>
          <w:sz w:val="20"/>
          <w:szCs w:val="20"/>
        </w:rPr>
      </w:pPr>
      <w:r>
        <w:rPr>
          <w:noProof/>
        </w:rPr>
        <w:drawing>
          <wp:inline distT="0" distB="0" distL="0" distR="0" wp14:anchorId="1C7CB976" wp14:editId="3B840D06">
            <wp:extent cx="5727700" cy="3041015"/>
            <wp:effectExtent l="0" t="0" r="0" b="0"/>
            <wp:docPr id="22" name="Chart 22" descr="Bar graph - Estimated additional commercial floorspace for Southern Region, 2016 to 2031. Shows estimates required for each council for office and retail floorspace.">
              <a:extLst xmlns:a="http://schemas.openxmlformats.org/drawingml/2006/main">
                <a:ext uri="{FF2B5EF4-FFF2-40B4-BE49-F238E27FC236}">
                  <a16:creationId xmlns:a16="http://schemas.microsoft.com/office/drawing/2014/main" id="{38590218-56A9-4201-9344-C823C4A7A8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00CF7392" w:rsidRPr="006C7B74">
        <w:t>Source:</w:t>
      </w:r>
      <w:r w:rsidR="007C154C" w:rsidRPr="006C7B74">
        <w:t xml:space="preserve"> </w:t>
      </w:r>
      <w:r w:rsidR="00CF7392" w:rsidRPr="006C7B74">
        <w:t>Department of Environment, Land, Water and Planning, unpublished data (</w:t>
      </w:r>
      <w:r w:rsidR="003E2D0C" w:rsidRPr="006C7B74">
        <w:t>20</w:t>
      </w:r>
      <w:r w:rsidR="003E2D0C">
        <w:t>20</w:t>
      </w:r>
      <w:r w:rsidR="00CF7392" w:rsidRPr="006C7B74">
        <w:t>)</w:t>
      </w:r>
    </w:p>
    <w:p w14:paraId="71EB2E8C" w14:textId="77777777" w:rsidR="00F96E2C" w:rsidRPr="006C7B74" w:rsidRDefault="00F96E2C" w:rsidP="00934C4D">
      <w:pPr>
        <w:spacing w:after="120"/>
        <w:rPr>
          <w:rFonts w:eastAsiaTheme="majorEastAsia" w:cstheme="minorHAnsi"/>
          <w:color w:val="4EBAC5" w:themeColor="accent1" w:themeShade="BF"/>
          <w:sz w:val="26"/>
          <w:szCs w:val="26"/>
        </w:rPr>
      </w:pPr>
      <w:r w:rsidRPr="006C7B74">
        <w:rPr>
          <w:rFonts w:cstheme="minorHAnsi"/>
        </w:rPr>
        <w:br w:type="page"/>
      </w:r>
    </w:p>
    <w:p w14:paraId="590120E6" w14:textId="77777777" w:rsidR="00DB3C3D" w:rsidRPr="006C7B74" w:rsidRDefault="00DB3C3D" w:rsidP="00934C4D">
      <w:pPr>
        <w:pStyle w:val="Heading2-Contenttable"/>
        <w:spacing w:after="120"/>
      </w:pPr>
      <w:bookmarkStart w:id="57" w:name="_Toc21694836"/>
      <w:r w:rsidRPr="006C7B74">
        <w:lastRenderedPageBreak/>
        <w:t>Planning framework for industrial and commercial land across the region</w:t>
      </w:r>
      <w:bookmarkEnd w:id="57"/>
    </w:p>
    <w:p w14:paraId="16F6687A" w14:textId="7CA5E946" w:rsidR="00BE50A7" w:rsidRPr="006C7B74" w:rsidRDefault="00DB3C3D" w:rsidP="00934C4D">
      <w:pPr>
        <w:pStyle w:val="paragraph"/>
        <w:spacing w:before="0" w:beforeAutospacing="0" w:after="120" w:afterAutospacing="0"/>
        <w:textAlignment w:val="baseline"/>
        <w:rPr>
          <w:rStyle w:val="normaltextrun"/>
          <w:rFonts w:cstheme="minorHAnsi"/>
          <w:sz w:val="20"/>
          <w:szCs w:val="20"/>
        </w:rPr>
      </w:pPr>
      <w:r w:rsidRPr="006C7B74">
        <w:rPr>
          <w:rStyle w:val="normaltextrun"/>
          <w:rFonts w:cstheme="minorHAnsi"/>
          <w:sz w:val="20"/>
          <w:szCs w:val="20"/>
        </w:rPr>
        <w:t>There is a large amount of industrial and commercial land providing state,</w:t>
      </w:r>
      <w:r w:rsidR="00370C8C" w:rsidRPr="006C7B74">
        <w:rPr>
          <w:rFonts w:cstheme="minorHAnsi"/>
          <w:sz w:val="20"/>
          <w:szCs w:val="20"/>
        </w:rPr>
        <w:t xml:space="preserve"> </w:t>
      </w:r>
      <w:r w:rsidRPr="006C7B74">
        <w:rPr>
          <w:rStyle w:val="normaltextrun"/>
          <w:rFonts w:cstheme="minorHAnsi"/>
          <w:sz w:val="20"/>
          <w:szCs w:val="20"/>
        </w:rPr>
        <w:t xml:space="preserve">regionally and </w:t>
      </w:r>
      <w:proofErr w:type="gramStart"/>
      <w:r w:rsidRPr="006C7B74">
        <w:rPr>
          <w:rStyle w:val="normaltextrun"/>
          <w:rFonts w:cstheme="minorHAnsi"/>
          <w:sz w:val="20"/>
          <w:szCs w:val="20"/>
        </w:rPr>
        <w:t>locally</w:t>
      </w:r>
      <w:r w:rsidR="00973A2D" w:rsidRPr="006C7B74">
        <w:rPr>
          <w:rStyle w:val="normaltextrun"/>
          <w:rFonts w:cstheme="minorHAnsi"/>
          <w:sz w:val="20"/>
          <w:szCs w:val="20"/>
        </w:rPr>
        <w:t>-</w:t>
      </w:r>
      <w:r w:rsidRPr="006C7B74">
        <w:rPr>
          <w:rStyle w:val="normaltextrun"/>
          <w:rFonts w:cstheme="minorHAnsi"/>
          <w:sz w:val="20"/>
          <w:szCs w:val="20"/>
        </w:rPr>
        <w:t>significant</w:t>
      </w:r>
      <w:proofErr w:type="gramEnd"/>
      <w:r w:rsidRPr="006C7B74">
        <w:rPr>
          <w:rStyle w:val="normaltextrun"/>
          <w:rFonts w:cstheme="minorHAnsi"/>
          <w:sz w:val="20"/>
          <w:szCs w:val="20"/>
        </w:rPr>
        <w:t xml:space="preserve"> employment and economic functions in the </w:t>
      </w:r>
      <w:r w:rsidR="00352B87" w:rsidRPr="006C7B74">
        <w:rPr>
          <w:rStyle w:val="normaltextrun"/>
          <w:rFonts w:cstheme="minorHAnsi"/>
          <w:sz w:val="20"/>
          <w:szCs w:val="20"/>
        </w:rPr>
        <w:t>S</w:t>
      </w:r>
      <w:r w:rsidRPr="006C7B74">
        <w:rPr>
          <w:rStyle w:val="normaltextrun"/>
          <w:rFonts w:cstheme="minorHAnsi"/>
          <w:sz w:val="20"/>
          <w:szCs w:val="20"/>
        </w:rPr>
        <w:t xml:space="preserve">outhern </w:t>
      </w:r>
      <w:r w:rsidR="00352B87" w:rsidRPr="006C7B74">
        <w:rPr>
          <w:rStyle w:val="normaltextrun"/>
          <w:rFonts w:cstheme="minorHAnsi"/>
          <w:sz w:val="20"/>
          <w:szCs w:val="20"/>
        </w:rPr>
        <w:t>R</w:t>
      </w:r>
      <w:r w:rsidRPr="006C7B74">
        <w:rPr>
          <w:rStyle w:val="normaltextrun"/>
          <w:rFonts w:cstheme="minorHAnsi"/>
          <w:sz w:val="20"/>
          <w:szCs w:val="20"/>
        </w:rPr>
        <w:t xml:space="preserve">egion. </w:t>
      </w:r>
      <w:r w:rsidR="00BE50A7" w:rsidRPr="006C7B74">
        <w:rPr>
          <w:rStyle w:val="normaltextrun"/>
          <w:rFonts w:cstheme="minorHAnsi"/>
          <w:sz w:val="20"/>
          <w:szCs w:val="20"/>
        </w:rPr>
        <w:t xml:space="preserve">Across the region there are good arterial road, freeway and fixed rail connections to major transport gateways such as the Port of Hastings, Moorabbin Airport, the </w:t>
      </w:r>
      <w:r w:rsidR="00186AAF" w:rsidRPr="006C7B74">
        <w:rPr>
          <w:rStyle w:val="normaltextrun"/>
          <w:rFonts w:cstheme="minorHAnsi"/>
          <w:sz w:val="20"/>
          <w:szCs w:val="20"/>
        </w:rPr>
        <w:t>possible</w:t>
      </w:r>
      <w:r w:rsidR="00BE50A7" w:rsidRPr="006C7B74">
        <w:rPr>
          <w:rStyle w:val="normaltextrun"/>
          <w:rFonts w:cstheme="minorHAnsi"/>
          <w:sz w:val="20"/>
          <w:szCs w:val="20"/>
        </w:rPr>
        <w:t xml:space="preserve"> </w:t>
      </w:r>
      <w:r w:rsidR="00186AAF" w:rsidRPr="006C7B74">
        <w:rPr>
          <w:rStyle w:val="normaltextrun"/>
          <w:rFonts w:cstheme="minorHAnsi"/>
          <w:sz w:val="20"/>
          <w:szCs w:val="20"/>
        </w:rPr>
        <w:t>S</w:t>
      </w:r>
      <w:r w:rsidR="00BE50A7" w:rsidRPr="006C7B74">
        <w:rPr>
          <w:rStyle w:val="normaltextrun"/>
          <w:rFonts w:cstheme="minorHAnsi"/>
          <w:sz w:val="20"/>
          <w:szCs w:val="20"/>
        </w:rPr>
        <w:t>outh-</w:t>
      </w:r>
      <w:r w:rsidR="00186AAF" w:rsidRPr="006C7B74">
        <w:rPr>
          <w:rStyle w:val="normaltextrun"/>
          <w:rFonts w:cstheme="minorHAnsi"/>
          <w:sz w:val="20"/>
          <w:szCs w:val="20"/>
        </w:rPr>
        <w:t>E</w:t>
      </w:r>
      <w:r w:rsidR="00BE50A7" w:rsidRPr="006C7B74">
        <w:rPr>
          <w:rStyle w:val="normaltextrun"/>
          <w:rFonts w:cstheme="minorHAnsi"/>
          <w:sz w:val="20"/>
          <w:szCs w:val="20"/>
        </w:rPr>
        <w:t xml:space="preserve">ast </w:t>
      </w:r>
      <w:r w:rsidR="00186AAF" w:rsidRPr="006C7B74">
        <w:rPr>
          <w:rStyle w:val="normaltextrun"/>
          <w:rFonts w:cstheme="minorHAnsi"/>
          <w:sz w:val="20"/>
          <w:szCs w:val="20"/>
        </w:rPr>
        <w:t>A</w:t>
      </w:r>
      <w:r w:rsidR="00BE50A7" w:rsidRPr="006C7B74">
        <w:rPr>
          <w:rStyle w:val="normaltextrun"/>
          <w:rFonts w:cstheme="minorHAnsi"/>
          <w:sz w:val="20"/>
          <w:szCs w:val="20"/>
        </w:rPr>
        <w:t>irport</w:t>
      </w:r>
      <w:r w:rsidR="00C932AB" w:rsidRPr="006C7B74">
        <w:rPr>
          <w:rStyle w:val="normaltextrun"/>
          <w:rFonts w:cstheme="minorHAnsi"/>
          <w:sz w:val="20"/>
          <w:szCs w:val="20"/>
        </w:rPr>
        <w:t xml:space="preserve"> and beyond to the Gippsland region</w:t>
      </w:r>
      <w:r w:rsidR="00BE50A7" w:rsidRPr="006C7B74">
        <w:rPr>
          <w:rStyle w:val="normaltextrun"/>
          <w:rFonts w:cstheme="minorHAnsi"/>
          <w:sz w:val="20"/>
          <w:szCs w:val="20"/>
        </w:rPr>
        <w:t>.</w:t>
      </w:r>
    </w:p>
    <w:p w14:paraId="1217F409" w14:textId="04E89422" w:rsidR="00A96714" w:rsidRPr="006C7B74" w:rsidRDefault="00BE50A7" w:rsidP="00934C4D">
      <w:pPr>
        <w:pStyle w:val="paragraph"/>
        <w:spacing w:before="0" w:beforeAutospacing="0" w:after="120" w:afterAutospacing="0"/>
        <w:textAlignment w:val="baseline"/>
        <w:rPr>
          <w:rStyle w:val="normaltextrun"/>
          <w:rFonts w:cstheme="minorHAnsi"/>
          <w:sz w:val="20"/>
          <w:szCs w:val="20"/>
        </w:rPr>
      </w:pPr>
      <w:r w:rsidRPr="006C7B74">
        <w:rPr>
          <w:rStyle w:val="normaltextrun"/>
          <w:rFonts w:cstheme="minorHAnsi"/>
          <w:sz w:val="20"/>
          <w:szCs w:val="20"/>
        </w:rPr>
        <w:t>The region’s significant industrial land holding is a key advantage</w:t>
      </w:r>
      <w:r w:rsidR="00A96714" w:rsidRPr="006C7B74">
        <w:rPr>
          <w:rStyle w:val="normaltextrun"/>
          <w:rFonts w:cstheme="minorHAnsi"/>
          <w:sz w:val="20"/>
          <w:szCs w:val="20"/>
        </w:rPr>
        <w:t>.</w:t>
      </w:r>
      <w:r w:rsidRPr="006C7B74">
        <w:rPr>
          <w:rStyle w:val="normaltextrun"/>
          <w:rFonts w:cstheme="minorHAnsi"/>
          <w:sz w:val="20"/>
          <w:szCs w:val="20"/>
        </w:rPr>
        <w:t xml:space="preserve"> </w:t>
      </w:r>
      <w:r w:rsidR="00973A2D" w:rsidRPr="006C7B74">
        <w:rPr>
          <w:rStyle w:val="normaltextrun"/>
          <w:rFonts w:cstheme="minorHAnsi"/>
          <w:sz w:val="20"/>
          <w:szCs w:val="20"/>
        </w:rPr>
        <w:t>However,</w:t>
      </w:r>
      <w:r w:rsidR="00ED70B9" w:rsidRPr="006C7B74">
        <w:rPr>
          <w:rStyle w:val="normaltextrun"/>
          <w:rFonts w:cstheme="minorHAnsi"/>
          <w:sz w:val="20"/>
          <w:szCs w:val="20"/>
        </w:rPr>
        <w:t xml:space="preserve"> </w:t>
      </w:r>
      <w:r w:rsidR="00C932AB" w:rsidRPr="006C7B74">
        <w:rPr>
          <w:rStyle w:val="normaltextrun"/>
          <w:rFonts w:cstheme="minorHAnsi"/>
          <w:sz w:val="20"/>
          <w:szCs w:val="20"/>
        </w:rPr>
        <w:t>m</w:t>
      </w:r>
      <w:r w:rsidR="00ED70B9" w:rsidRPr="006C7B74">
        <w:rPr>
          <w:rStyle w:val="normaltextrun"/>
          <w:rFonts w:cstheme="minorHAnsi"/>
          <w:sz w:val="20"/>
          <w:szCs w:val="20"/>
        </w:rPr>
        <w:t xml:space="preserve">any established industrial areas </w:t>
      </w:r>
      <w:r w:rsidR="00A96714" w:rsidRPr="006C7B74">
        <w:rPr>
          <w:rStyle w:val="normaltextrun"/>
          <w:rFonts w:cstheme="minorHAnsi"/>
          <w:sz w:val="20"/>
          <w:szCs w:val="20"/>
        </w:rPr>
        <w:t xml:space="preserve">such as those in Kingston around Moorabbin Airport, in Frankston around Carrum Downs and in Greater Dandenong in the Southern SSIP, </w:t>
      </w:r>
      <w:r w:rsidR="00ED70B9" w:rsidRPr="006C7B74">
        <w:rPr>
          <w:rStyle w:val="normaltextrun"/>
          <w:rFonts w:cstheme="minorHAnsi"/>
          <w:sz w:val="20"/>
          <w:szCs w:val="20"/>
        </w:rPr>
        <w:t>will soon offer little or no opportunity for further expansion</w:t>
      </w:r>
      <w:r w:rsidR="00C932AB" w:rsidRPr="006C7B74">
        <w:rPr>
          <w:rStyle w:val="normaltextrun"/>
          <w:rFonts w:cstheme="minorHAnsi"/>
          <w:sz w:val="20"/>
          <w:szCs w:val="20"/>
        </w:rPr>
        <w:t xml:space="preserve">. </w:t>
      </w:r>
      <w:r w:rsidR="00A96714" w:rsidRPr="006C7B74">
        <w:rPr>
          <w:rStyle w:val="normaltextrun"/>
          <w:rFonts w:cstheme="minorHAnsi"/>
          <w:sz w:val="20"/>
          <w:szCs w:val="20"/>
        </w:rPr>
        <w:t>These areas need to be protected and retained and o</w:t>
      </w:r>
      <w:r w:rsidR="00ED70B9" w:rsidRPr="006C7B74">
        <w:rPr>
          <w:rStyle w:val="normaltextrun"/>
          <w:rFonts w:cstheme="minorHAnsi"/>
          <w:sz w:val="20"/>
          <w:szCs w:val="20"/>
        </w:rPr>
        <w:t xml:space="preserve">pportunities to consolidate and recycle land </w:t>
      </w:r>
      <w:r w:rsidR="00A96714" w:rsidRPr="006C7B74">
        <w:rPr>
          <w:rStyle w:val="normaltextrun"/>
          <w:rFonts w:cstheme="minorHAnsi"/>
          <w:sz w:val="20"/>
          <w:szCs w:val="20"/>
        </w:rPr>
        <w:t>should</w:t>
      </w:r>
      <w:r w:rsidR="00ED70B9" w:rsidRPr="006C7B74">
        <w:rPr>
          <w:rStyle w:val="normaltextrun"/>
          <w:rFonts w:cstheme="minorHAnsi"/>
          <w:sz w:val="20"/>
          <w:szCs w:val="20"/>
        </w:rPr>
        <w:t xml:space="preserve"> be considered in these locations</w:t>
      </w:r>
      <w:r w:rsidR="00A96714" w:rsidRPr="006C7B74">
        <w:rPr>
          <w:rStyle w:val="normaltextrun"/>
          <w:rFonts w:cstheme="minorHAnsi"/>
          <w:sz w:val="20"/>
          <w:szCs w:val="20"/>
        </w:rPr>
        <w:t>.</w:t>
      </w:r>
    </w:p>
    <w:p w14:paraId="473B8CF5" w14:textId="1994A4F2" w:rsidR="00C932AB" w:rsidRPr="006C7B74" w:rsidRDefault="00A96714" w:rsidP="00934C4D">
      <w:pPr>
        <w:pStyle w:val="paragraph"/>
        <w:spacing w:before="0" w:beforeAutospacing="0" w:after="120" w:afterAutospacing="0"/>
        <w:textAlignment w:val="baseline"/>
        <w:rPr>
          <w:rStyle w:val="normaltextrun"/>
          <w:rFonts w:cstheme="minorHAnsi"/>
          <w:sz w:val="20"/>
          <w:szCs w:val="20"/>
        </w:rPr>
      </w:pPr>
      <w:r w:rsidRPr="006C7B74">
        <w:rPr>
          <w:rStyle w:val="normaltextrun"/>
          <w:rFonts w:cstheme="minorHAnsi"/>
          <w:sz w:val="20"/>
          <w:szCs w:val="20"/>
        </w:rPr>
        <w:t>C</w:t>
      </w:r>
      <w:r w:rsidR="00ED70B9" w:rsidRPr="006C7B74">
        <w:rPr>
          <w:rStyle w:val="normaltextrun"/>
          <w:rFonts w:cstheme="minorHAnsi"/>
          <w:sz w:val="20"/>
          <w:szCs w:val="20"/>
        </w:rPr>
        <w:t xml:space="preserve">rucial in supporting </w:t>
      </w:r>
      <w:r w:rsidR="00C932AB" w:rsidRPr="006C7B74">
        <w:rPr>
          <w:rStyle w:val="normaltextrun"/>
          <w:rFonts w:cstheme="minorHAnsi"/>
          <w:sz w:val="20"/>
          <w:szCs w:val="20"/>
        </w:rPr>
        <w:t>these areas</w:t>
      </w:r>
      <w:r w:rsidR="00ED70B9" w:rsidRPr="006C7B74">
        <w:rPr>
          <w:rStyle w:val="normaltextrun"/>
          <w:rFonts w:cstheme="minorHAnsi"/>
          <w:sz w:val="20"/>
          <w:szCs w:val="20"/>
        </w:rPr>
        <w:t xml:space="preserve"> will be new industrial areas that have been set aside. These can provide large areas of unfragmented land providing the required land area for freight, logistics, warehousing, transport, manufacturing and other larger format industrial uses</w:t>
      </w:r>
      <w:r w:rsidR="00C932AB" w:rsidRPr="006C7B74">
        <w:rPr>
          <w:rStyle w:val="normaltextrun"/>
          <w:rFonts w:cstheme="minorHAnsi"/>
          <w:sz w:val="20"/>
          <w:szCs w:val="20"/>
        </w:rPr>
        <w:t xml:space="preserve"> once supply runs out in other locations. While significant land is available in the Hastings area, it is limited to port related uses and </w:t>
      </w:r>
      <w:r w:rsidR="002C7671" w:rsidRPr="006C7B74">
        <w:rPr>
          <w:rStyle w:val="normaltextrun"/>
          <w:rFonts w:cstheme="minorHAnsi"/>
          <w:sz w:val="20"/>
          <w:szCs w:val="20"/>
        </w:rPr>
        <w:t>can</w:t>
      </w:r>
      <w:r w:rsidR="00C932AB" w:rsidRPr="006C7B74">
        <w:rPr>
          <w:rStyle w:val="normaltextrun"/>
          <w:rFonts w:cstheme="minorHAnsi"/>
          <w:sz w:val="20"/>
          <w:szCs w:val="20"/>
        </w:rPr>
        <w:t xml:space="preserve">not be developed for general industrial purposes. </w:t>
      </w:r>
    </w:p>
    <w:p w14:paraId="04676D61" w14:textId="77777777" w:rsidR="00A96714" w:rsidRPr="006C7B74" w:rsidRDefault="00A96714" w:rsidP="00A96714">
      <w:pPr>
        <w:pStyle w:val="paragraph"/>
        <w:spacing w:before="0" w:beforeAutospacing="0" w:after="120" w:afterAutospacing="0"/>
        <w:textAlignment w:val="baseline"/>
        <w:rPr>
          <w:rStyle w:val="normaltextrun"/>
          <w:rFonts w:cstheme="minorHAnsi"/>
          <w:sz w:val="20"/>
          <w:szCs w:val="20"/>
        </w:rPr>
      </w:pPr>
      <w:r w:rsidRPr="006C7B74">
        <w:rPr>
          <w:rStyle w:val="normaltextrun"/>
          <w:rFonts w:cstheme="minorHAnsi"/>
          <w:sz w:val="20"/>
          <w:szCs w:val="20"/>
        </w:rPr>
        <w:t>While the region has significant land set aside for future industrial purposes, it is increasingly under pressure for other non-industrial purposes. Reduction in land available for future industrial purposes will further reduce employment opportunities in the region, but particularly in growth areas.</w:t>
      </w:r>
    </w:p>
    <w:p w14:paraId="5B195900" w14:textId="1FBF036C" w:rsidR="00BE50A7" w:rsidRPr="006C7B74" w:rsidRDefault="00C932AB" w:rsidP="00934C4D">
      <w:pPr>
        <w:pStyle w:val="paragraph"/>
        <w:spacing w:before="0" w:beforeAutospacing="0" w:after="120" w:afterAutospacing="0"/>
        <w:textAlignment w:val="baseline"/>
        <w:rPr>
          <w:rStyle w:val="normaltextrun"/>
          <w:rFonts w:cstheme="minorHAnsi"/>
          <w:sz w:val="20"/>
          <w:szCs w:val="20"/>
        </w:rPr>
      </w:pPr>
      <w:r w:rsidRPr="006C7B74">
        <w:rPr>
          <w:rStyle w:val="normaltextrun"/>
          <w:rFonts w:cstheme="minorHAnsi"/>
          <w:sz w:val="20"/>
          <w:szCs w:val="20"/>
        </w:rPr>
        <w:t>Planning for industrial land across the region needs to be carefully managed to ensure it continues to support the regional economy. Areas significant to the region need to be protected and retained to support</w:t>
      </w:r>
      <w:r w:rsidR="001313E0" w:rsidRPr="006C7B74">
        <w:rPr>
          <w:rStyle w:val="normaltextrun"/>
          <w:rFonts w:cstheme="minorHAnsi"/>
          <w:sz w:val="20"/>
          <w:szCs w:val="20"/>
        </w:rPr>
        <w:t xml:space="preserve"> </w:t>
      </w:r>
      <w:r w:rsidRPr="006C7B74">
        <w:rPr>
          <w:rStyle w:val="normaltextrun"/>
          <w:rFonts w:cstheme="minorHAnsi"/>
          <w:sz w:val="20"/>
          <w:szCs w:val="20"/>
        </w:rPr>
        <w:t>the region’s economy and employment opportunities</w:t>
      </w:r>
      <w:r w:rsidR="001313E0" w:rsidRPr="006C7B74">
        <w:rPr>
          <w:rStyle w:val="normaltextrun"/>
          <w:rFonts w:cstheme="minorHAnsi"/>
          <w:sz w:val="20"/>
          <w:szCs w:val="20"/>
        </w:rPr>
        <w:t xml:space="preserve"> into the future.</w:t>
      </w:r>
      <w:r w:rsidRPr="006C7B74">
        <w:rPr>
          <w:rStyle w:val="normaltextrun"/>
          <w:rFonts w:cstheme="minorHAnsi"/>
          <w:sz w:val="20"/>
          <w:szCs w:val="20"/>
        </w:rPr>
        <w:t xml:space="preserve"> </w:t>
      </w:r>
    </w:p>
    <w:p w14:paraId="0049B0C6" w14:textId="4379DD2A" w:rsidR="00DB3C3D" w:rsidRPr="006C7B74" w:rsidRDefault="00A96714" w:rsidP="00A96714">
      <w:pPr>
        <w:pStyle w:val="paragraph"/>
        <w:spacing w:before="0" w:beforeAutospacing="0" w:after="120" w:afterAutospacing="0"/>
        <w:textAlignment w:val="baseline"/>
        <w:rPr>
          <w:rStyle w:val="normaltextrun"/>
          <w:rFonts w:cstheme="minorHAnsi"/>
          <w:sz w:val="20"/>
          <w:szCs w:val="20"/>
        </w:rPr>
      </w:pPr>
      <w:r w:rsidRPr="006C7B74">
        <w:rPr>
          <w:rStyle w:val="normaltextrun"/>
          <w:rFonts w:cstheme="minorHAnsi"/>
          <w:sz w:val="20"/>
          <w:szCs w:val="20"/>
        </w:rPr>
        <w:t xml:space="preserve">Considerable provision has been identified for future commercial development at future activity centres in growth areas as well as at two key growth area business </w:t>
      </w:r>
      <w:r w:rsidR="003F0729" w:rsidRPr="006C7B74">
        <w:rPr>
          <w:rStyle w:val="normaltextrun"/>
          <w:rFonts w:cstheme="minorHAnsi"/>
          <w:sz w:val="20"/>
          <w:szCs w:val="20"/>
        </w:rPr>
        <w:t xml:space="preserve">with residential </w:t>
      </w:r>
      <w:r w:rsidRPr="006C7B74">
        <w:rPr>
          <w:rStyle w:val="normaltextrun"/>
          <w:rFonts w:cstheme="minorHAnsi"/>
          <w:sz w:val="20"/>
          <w:szCs w:val="20"/>
        </w:rPr>
        <w:t xml:space="preserve">precincts in Cardinia and Casey. Future activity centres will play an important role in </w:t>
      </w:r>
      <w:r w:rsidR="001520D2" w:rsidRPr="006C7B74">
        <w:rPr>
          <w:rStyle w:val="normaltextrun"/>
          <w:rFonts w:cstheme="minorHAnsi"/>
          <w:sz w:val="20"/>
          <w:szCs w:val="20"/>
        </w:rPr>
        <w:t xml:space="preserve">providing for future retail and office floorspace and </w:t>
      </w:r>
      <w:r w:rsidRPr="006C7B74">
        <w:rPr>
          <w:rFonts w:cstheme="minorHAnsi"/>
          <w:sz w:val="20"/>
          <w:szCs w:val="20"/>
        </w:rPr>
        <w:t xml:space="preserve">supporting the delivery of 20-minute neighbourhoods. The growth areas business </w:t>
      </w:r>
      <w:r w:rsidR="003F0729" w:rsidRPr="006C7B74">
        <w:rPr>
          <w:rFonts w:cstheme="minorHAnsi"/>
          <w:sz w:val="20"/>
          <w:szCs w:val="20"/>
        </w:rPr>
        <w:t xml:space="preserve">with residential </w:t>
      </w:r>
      <w:r w:rsidRPr="006C7B74">
        <w:rPr>
          <w:rFonts w:cstheme="minorHAnsi"/>
          <w:sz w:val="20"/>
          <w:szCs w:val="20"/>
        </w:rPr>
        <w:t xml:space="preserve">precincts </w:t>
      </w:r>
      <w:r w:rsidR="001520D2" w:rsidRPr="006C7B74">
        <w:rPr>
          <w:rFonts w:cstheme="minorHAnsi"/>
          <w:sz w:val="20"/>
          <w:szCs w:val="20"/>
        </w:rPr>
        <w:t xml:space="preserve">also </w:t>
      </w:r>
      <w:r w:rsidRPr="006C7B74">
        <w:rPr>
          <w:rFonts w:cstheme="minorHAnsi"/>
          <w:sz w:val="20"/>
          <w:szCs w:val="20"/>
        </w:rPr>
        <w:t xml:space="preserve">offer </w:t>
      </w:r>
      <w:r w:rsidR="001520D2" w:rsidRPr="006C7B74">
        <w:rPr>
          <w:rFonts w:cstheme="minorHAnsi"/>
          <w:sz w:val="20"/>
          <w:szCs w:val="20"/>
        </w:rPr>
        <w:t xml:space="preserve">an opportunity to provide for significant office development and </w:t>
      </w:r>
      <w:r w:rsidRPr="006C7B74">
        <w:rPr>
          <w:rFonts w:cstheme="minorHAnsi"/>
          <w:sz w:val="20"/>
          <w:szCs w:val="20"/>
        </w:rPr>
        <w:t>higher-order</w:t>
      </w:r>
      <w:r w:rsidR="001520D2" w:rsidRPr="006C7B74">
        <w:rPr>
          <w:rFonts w:cstheme="minorHAnsi"/>
          <w:sz w:val="20"/>
          <w:szCs w:val="20"/>
        </w:rPr>
        <w:t xml:space="preserve">, knowledge-based jobs in the region. </w:t>
      </w:r>
      <w:r w:rsidRPr="006C7B74">
        <w:rPr>
          <w:rStyle w:val="normaltextrun"/>
          <w:rFonts w:cstheme="minorHAnsi"/>
          <w:sz w:val="20"/>
          <w:szCs w:val="20"/>
        </w:rPr>
        <w:t xml:space="preserve">Combined these areas </w:t>
      </w:r>
      <w:r w:rsidR="009C0E6E" w:rsidRPr="006C7B74">
        <w:rPr>
          <w:rStyle w:val="normaltextrun"/>
          <w:rFonts w:cstheme="minorHAnsi"/>
          <w:sz w:val="20"/>
          <w:szCs w:val="20"/>
        </w:rPr>
        <w:t>provide an</w:t>
      </w:r>
      <w:r w:rsidRPr="006C7B74">
        <w:rPr>
          <w:rStyle w:val="normaltextrun"/>
          <w:rFonts w:cstheme="minorHAnsi"/>
          <w:sz w:val="20"/>
          <w:szCs w:val="20"/>
        </w:rPr>
        <w:t xml:space="preserve"> opportunity to accommodate demand for future commercial floorspace</w:t>
      </w:r>
      <w:r w:rsidR="001520D2" w:rsidRPr="006C7B74">
        <w:rPr>
          <w:rStyle w:val="normaltextrun"/>
          <w:rFonts w:cstheme="minorHAnsi"/>
          <w:sz w:val="20"/>
          <w:szCs w:val="20"/>
        </w:rPr>
        <w:t xml:space="preserve"> and deliver more jobs in the region.</w:t>
      </w:r>
      <w:r w:rsidRPr="006C7B74">
        <w:rPr>
          <w:rStyle w:val="normaltextrun"/>
          <w:rFonts w:cstheme="minorHAnsi"/>
          <w:sz w:val="20"/>
          <w:szCs w:val="20"/>
        </w:rPr>
        <w:t xml:space="preserve"> </w:t>
      </w:r>
    </w:p>
    <w:p w14:paraId="52F19CC7" w14:textId="6593BCDD" w:rsidR="00DF69C2" w:rsidRPr="006C7B74" w:rsidRDefault="00DF69C2" w:rsidP="00934C4D">
      <w:pPr>
        <w:pStyle w:val="paragraph"/>
        <w:spacing w:before="0" w:beforeAutospacing="0" w:after="120" w:afterAutospacing="0"/>
        <w:textAlignment w:val="baseline"/>
        <w:rPr>
          <w:rFonts w:cstheme="minorHAnsi"/>
          <w:sz w:val="18"/>
          <w:szCs w:val="18"/>
        </w:rPr>
      </w:pPr>
      <w:r w:rsidRPr="006C7B74">
        <w:rPr>
          <w:rFonts w:cstheme="minorHAnsi"/>
          <w:sz w:val="20"/>
          <w:szCs w:val="20"/>
        </w:rPr>
        <w:t xml:space="preserve">Careful consideration will be required through the </w:t>
      </w:r>
      <w:r w:rsidR="00850D6D" w:rsidRPr="006C7B74">
        <w:rPr>
          <w:rFonts w:cstheme="minorHAnsi"/>
          <w:sz w:val="20"/>
          <w:szCs w:val="20"/>
        </w:rPr>
        <w:t>PSP</w:t>
      </w:r>
      <w:r w:rsidRPr="006C7B74">
        <w:rPr>
          <w:rFonts w:cstheme="minorHAnsi"/>
          <w:sz w:val="20"/>
          <w:szCs w:val="20"/>
        </w:rPr>
        <w:t xml:space="preserve"> processes to ensure adequate provision is made to accommodate </w:t>
      </w:r>
      <w:r w:rsidR="00447282" w:rsidRPr="006C7B74">
        <w:rPr>
          <w:rFonts w:cstheme="minorHAnsi"/>
          <w:sz w:val="20"/>
          <w:szCs w:val="20"/>
        </w:rPr>
        <w:t xml:space="preserve">medium and longer term </w:t>
      </w:r>
      <w:r w:rsidR="001520D2" w:rsidRPr="006C7B74">
        <w:rPr>
          <w:rFonts w:cstheme="minorHAnsi"/>
          <w:sz w:val="20"/>
          <w:szCs w:val="20"/>
        </w:rPr>
        <w:t xml:space="preserve">industrial and </w:t>
      </w:r>
      <w:r w:rsidRPr="006C7B74">
        <w:rPr>
          <w:rFonts w:cstheme="minorHAnsi"/>
          <w:sz w:val="20"/>
          <w:szCs w:val="20"/>
        </w:rPr>
        <w:t xml:space="preserve">commercial development. </w:t>
      </w:r>
    </w:p>
    <w:p w14:paraId="3CA1C0C8" w14:textId="77777777" w:rsidR="0052312F" w:rsidRPr="006C7B74" w:rsidRDefault="0052312F" w:rsidP="0052312F">
      <w:pPr>
        <w:pStyle w:val="paragraph"/>
        <w:spacing w:before="0" w:beforeAutospacing="0" w:after="120" w:afterAutospacing="0"/>
        <w:textAlignment w:val="baseline"/>
        <w:rPr>
          <w:rStyle w:val="normaltextrun"/>
          <w:rFonts w:cstheme="minorHAnsi"/>
          <w:sz w:val="20"/>
          <w:szCs w:val="20"/>
        </w:rPr>
      </w:pPr>
      <w:r w:rsidRPr="006C7B74">
        <w:rPr>
          <w:rStyle w:val="normaltextrun"/>
          <w:rFonts w:cstheme="minorHAnsi"/>
          <w:sz w:val="20"/>
          <w:szCs w:val="20"/>
        </w:rPr>
        <w:t>Planning for the region should:</w:t>
      </w:r>
    </w:p>
    <w:p w14:paraId="182FDF9E" w14:textId="77777777" w:rsidR="0052312F" w:rsidRPr="006C7B74" w:rsidRDefault="0052312F" w:rsidP="0052312F">
      <w:pPr>
        <w:pStyle w:val="BodyText"/>
        <w:numPr>
          <w:ilvl w:val="0"/>
          <w:numId w:val="55"/>
        </w:numPr>
        <w:spacing w:before="0" w:line="240" w:lineRule="auto"/>
        <w:rPr>
          <w:lang w:eastAsia="en-AU"/>
        </w:rPr>
      </w:pPr>
      <w:r w:rsidRPr="006C7B74">
        <w:rPr>
          <w:lang w:eastAsia="en-AU"/>
        </w:rPr>
        <w:t xml:space="preserve">Retain industrial land at Clayton South, Moorabbin, Moorabbin Airport, Braeside, Carrum Downs, Seaford, Cranbourne West and Casey Fields South </w:t>
      </w:r>
      <w:r w:rsidRPr="006C7B74">
        <w:t>predominately for industrial uses, limit encroachment by other uses that would fragment this land and protect them from encroachment of sensitive uses that may compromise development and efficient operation of businesses in these locations.</w:t>
      </w:r>
    </w:p>
    <w:p w14:paraId="7FA26718" w14:textId="77777777" w:rsidR="0052312F" w:rsidRPr="006C7B74" w:rsidRDefault="0052312F" w:rsidP="0052312F">
      <w:pPr>
        <w:pStyle w:val="BodyText"/>
        <w:numPr>
          <w:ilvl w:val="0"/>
          <w:numId w:val="55"/>
        </w:numPr>
        <w:spacing w:before="0" w:line="240" w:lineRule="auto"/>
        <w:rPr>
          <w:lang w:eastAsia="en-AU"/>
        </w:rPr>
      </w:pPr>
      <w:r w:rsidRPr="006C7B74">
        <w:rPr>
          <w:lang w:eastAsia="en-AU"/>
        </w:rPr>
        <w:t xml:space="preserve">Investigate and identify areas within </w:t>
      </w:r>
      <w:proofErr w:type="gramStart"/>
      <w:r w:rsidRPr="006C7B74" w:rsidDel="009C206B">
        <w:rPr>
          <w:lang w:eastAsia="en-AU"/>
        </w:rPr>
        <w:t>regionally-significant</w:t>
      </w:r>
      <w:proofErr w:type="gramEnd"/>
      <w:r w:rsidRPr="006C7B74" w:rsidDel="009C206B">
        <w:rPr>
          <w:lang w:eastAsia="en-AU"/>
        </w:rPr>
        <w:t xml:space="preserve"> industrial precincts</w:t>
      </w:r>
      <w:r w:rsidRPr="006C7B74">
        <w:rPr>
          <w:lang w:eastAsia="en-AU"/>
        </w:rPr>
        <w:t xml:space="preserve"> that could support other employment uses, including offices, creative industries and start-ups, that support or are well connected to adjacent employment uses or transport connections. </w:t>
      </w:r>
    </w:p>
    <w:p w14:paraId="1459F47D" w14:textId="110049F7" w:rsidR="0052312F" w:rsidRPr="006C7B74" w:rsidRDefault="0052312F" w:rsidP="0052312F">
      <w:pPr>
        <w:pStyle w:val="BodyText"/>
        <w:numPr>
          <w:ilvl w:val="0"/>
          <w:numId w:val="55"/>
        </w:numPr>
        <w:spacing w:before="0" w:line="240" w:lineRule="auto"/>
        <w:rPr>
          <w:lang w:eastAsia="en-AU"/>
        </w:rPr>
      </w:pPr>
      <w:r w:rsidRPr="006C7B74">
        <w:rPr>
          <w:rFonts w:ascii="Calibri" w:hAnsi="Calibri" w:cs="Calibri"/>
          <w:color w:val="000000"/>
        </w:rPr>
        <w:t>In consultation with the Port of Hastings Development Authority</w:t>
      </w:r>
      <w:r w:rsidR="006E7FB7" w:rsidRPr="006C7B74">
        <w:rPr>
          <w:rFonts w:ascii="Calibri" w:hAnsi="Calibri" w:cs="Calibri"/>
          <w:color w:val="000000"/>
        </w:rPr>
        <w:t xml:space="preserve"> and Mornington Peninsula Shire Council</w:t>
      </w:r>
      <w:r w:rsidRPr="006C7B74">
        <w:rPr>
          <w:rFonts w:ascii="Calibri" w:hAnsi="Calibri" w:cs="Calibri"/>
          <w:color w:val="000000"/>
        </w:rPr>
        <w:t>, investigate the potential for any Special Use Zone 1 land outside of the Hastings SSIP that could allow for a broader range of industrial uses.</w:t>
      </w:r>
    </w:p>
    <w:p w14:paraId="11D48791" w14:textId="2916E191" w:rsidR="0052312F" w:rsidRPr="006C7B74" w:rsidRDefault="0052312F" w:rsidP="0052312F">
      <w:pPr>
        <w:pStyle w:val="BodyText"/>
        <w:numPr>
          <w:ilvl w:val="0"/>
          <w:numId w:val="55"/>
        </w:numPr>
        <w:spacing w:before="0" w:line="240" w:lineRule="auto"/>
        <w:rPr>
          <w:lang w:eastAsia="en-AU"/>
        </w:rPr>
      </w:pPr>
      <w:r w:rsidRPr="006C7B74">
        <w:rPr>
          <w:lang w:eastAsia="en-AU"/>
        </w:rPr>
        <w:t xml:space="preserve">Support the development of growth area business </w:t>
      </w:r>
      <w:r w:rsidR="004152B0" w:rsidRPr="006C7B74">
        <w:rPr>
          <w:lang w:eastAsia="en-AU"/>
        </w:rPr>
        <w:t xml:space="preserve">with residential </w:t>
      </w:r>
      <w:r w:rsidRPr="006C7B74">
        <w:rPr>
          <w:lang w:eastAsia="en-AU"/>
        </w:rPr>
        <w:t xml:space="preserve">precincts for predominately commercial development providing for </w:t>
      </w:r>
      <w:r w:rsidRPr="006C7B74">
        <w:t>higher-order, knowledge-based jobs and businesses.</w:t>
      </w:r>
      <w:r w:rsidR="0092241E" w:rsidRPr="006C7B74">
        <w:t xml:space="preserve"> These precincts should have a primary role for economic and employment purposes with no less than 50 per cent of the land in each precinct being allocated for these purposes.</w:t>
      </w:r>
    </w:p>
    <w:p w14:paraId="7B17D50C" w14:textId="3AC1F6B2" w:rsidR="00557A97" w:rsidRPr="006C7B74" w:rsidRDefault="00557A97" w:rsidP="00557A97">
      <w:pPr>
        <w:pStyle w:val="BodyText"/>
        <w:numPr>
          <w:ilvl w:val="0"/>
          <w:numId w:val="55"/>
        </w:numPr>
        <w:spacing w:before="0" w:line="240" w:lineRule="auto"/>
        <w:rPr>
          <w:lang w:eastAsia="en-AU"/>
        </w:rPr>
      </w:pPr>
      <w:r w:rsidRPr="006C7B74">
        <w:rPr>
          <w:lang w:eastAsia="en-AU"/>
        </w:rPr>
        <w:t>Consider the future demand for and need for commercial and employment land across the growth areas and ensure that PSPs make adequate and sufficient provision to accommodate longer-term commercial and employment needs.</w:t>
      </w:r>
    </w:p>
    <w:p w14:paraId="0917DA32" w14:textId="37F65E65" w:rsidR="00F96E2C" w:rsidRPr="006C7B74" w:rsidRDefault="00F96E2C" w:rsidP="000D058C">
      <w:pPr>
        <w:textAlignment w:val="center"/>
        <w:rPr>
          <w:rFonts w:ascii="Calibri" w:hAnsi="Calibri" w:cs="Calibri"/>
          <w:color w:val="000000"/>
          <w:szCs w:val="22"/>
        </w:rPr>
      </w:pPr>
      <w:r w:rsidRPr="006C7B74">
        <w:rPr>
          <w:rFonts w:cstheme="minorHAnsi"/>
          <w:b/>
          <w:sz w:val="20"/>
          <w:szCs w:val="20"/>
        </w:rPr>
        <w:br w:type="page"/>
      </w:r>
    </w:p>
    <w:p w14:paraId="43D7CA4C" w14:textId="76D3B79B" w:rsidR="00323017" w:rsidRPr="006C7B74" w:rsidRDefault="009436CD" w:rsidP="00323017">
      <w:pPr>
        <w:pStyle w:val="Heading5"/>
      </w:pPr>
      <w:r w:rsidRPr="006C7B74">
        <w:lastRenderedPageBreak/>
        <w:t>Map 1</w:t>
      </w:r>
      <w:r w:rsidR="00D90DAF" w:rsidRPr="006C7B74">
        <w:t>2</w:t>
      </w:r>
      <w:r w:rsidR="00F96E2C" w:rsidRPr="006C7B74">
        <w:t xml:space="preserve">: Southern Region </w:t>
      </w:r>
      <w:r w:rsidR="0070093D" w:rsidRPr="006C7B74">
        <w:t>-</w:t>
      </w:r>
      <w:r w:rsidRPr="006C7B74">
        <w:t xml:space="preserve"> </w:t>
      </w:r>
      <w:r w:rsidR="001B3B33" w:rsidRPr="006C7B74">
        <w:t>i</w:t>
      </w:r>
      <w:r w:rsidRPr="006C7B74">
        <w:t xml:space="preserve">ndustrial </w:t>
      </w:r>
      <w:r w:rsidR="001B3B33" w:rsidRPr="006C7B74">
        <w:t>l</w:t>
      </w:r>
      <w:r w:rsidRPr="006C7B74">
        <w:t>and</w:t>
      </w:r>
    </w:p>
    <w:p w14:paraId="7DEF846E" w14:textId="3ED7CD14" w:rsidR="003D3C38" w:rsidRPr="006C7B74" w:rsidRDefault="000E5EC2" w:rsidP="000E5EC2">
      <w:pPr>
        <w:pStyle w:val="Quote"/>
      </w:pPr>
      <w:r w:rsidRPr="006C7B74">
        <w:t xml:space="preserve">Source: Department of Environment, Land, Water and Planning </w:t>
      </w:r>
    </w:p>
    <w:p w14:paraId="2B7B23EE" w14:textId="5ED8ECF9" w:rsidR="00323017" w:rsidRPr="006C7B74" w:rsidRDefault="00323017" w:rsidP="00323017">
      <w:pPr>
        <w:pStyle w:val="Heading5"/>
        <w:rPr>
          <w:lang w:eastAsia="en-AU"/>
        </w:rPr>
      </w:pPr>
      <w:r w:rsidRPr="006C7B74">
        <w:t>Map 1</w:t>
      </w:r>
      <w:r w:rsidR="00D90DAF" w:rsidRPr="006C7B74">
        <w:t>3</w:t>
      </w:r>
      <w:r w:rsidRPr="006C7B74">
        <w:t xml:space="preserve">: Southern Region </w:t>
      </w:r>
      <w:r w:rsidR="0070093D" w:rsidRPr="006C7B74">
        <w:t>-</w:t>
      </w:r>
      <w:r w:rsidRPr="006C7B74">
        <w:t xml:space="preserve"> </w:t>
      </w:r>
      <w:r w:rsidR="001B3B33" w:rsidRPr="006C7B74">
        <w:t>c</w:t>
      </w:r>
      <w:r w:rsidRPr="006C7B74">
        <w:t xml:space="preserve">ommercial </w:t>
      </w:r>
      <w:r w:rsidR="001B3B33" w:rsidRPr="006C7B74">
        <w:t>l</w:t>
      </w:r>
      <w:r w:rsidRPr="006C7B74">
        <w:t>and</w:t>
      </w:r>
      <w:r w:rsidRPr="006C7B74" w:rsidDel="004F3E8D">
        <w:t xml:space="preserve"> </w:t>
      </w:r>
    </w:p>
    <w:p w14:paraId="77E59D7D" w14:textId="3337BF07" w:rsidR="000E5EC2" w:rsidRPr="006C7B74" w:rsidRDefault="000E5EC2" w:rsidP="000E5EC2">
      <w:pPr>
        <w:pStyle w:val="Quote"/>
      </w:pPr>
      <w:r w:rsidRPr="006C7B74">
        <w:t xml:space="preserve">Source: Department of Environment, Land, Water and Planning </w:t>
      </w:r>
    </w:p>
    <w:p w14:paraId="7EF17927" w14:textId="529B11DD" w:rsidR="0077266E" w:rsidRPr="006C7B74" w:rsidRDefault="0077266E" w:rsidP="00323017">
      <w:pPr>
        <w:spacing w:after="120"/>
        <w:rPr>
          <w:rFonts w:cstheme="minorHAnsi"/>
          <w:sz w:val="20"/>
          <w:szCs w:val="20"/>
        </w:rPr>
      </w:pPr>
      <w:r w:rsidRPr="006C7B74">
        <w:rPr>
          <w:rFonts w:cstheme="minorHAnsi"/>
          <w:sz w:val="20"/>
          <w:szCs w:val="20"/>
        </w:rPr>
        <w:br w:type="page"/>
      </w:r>
    </w:p>
    <w:p w14:paraId="6C112E8F" w14:textId="77777777" w:rsidR="004011F2" w:rsidRPr="006C7B74" w:rsidRDefault="004011F2" w:rsidP="000525F6">
      <w:pPr>
        <w:pStyle w:val="Heading1"/>
        <w:spacing w:before="0"/>
        <w:ind w:left="357" w:hanging="357"/>
      </w:pPr>
      <w:bookmarkStart w:id="58" w:name="_Toc21694837"/>
      <w:r w:rsidRPr="006C7B74">
        <w:lastRenderedPageBreak/>
        <w:t>Inner South East Region</w:t>
      </w:r>
      <w:bookmarkEnd w:id="58"/>
      <w:r w:rsidRPr="006C7B74">
        <w:t xml:space="preserve"> </w:t>
      </w:r>
    </w:p>
    <w:p w14:paraId="6DE00EE4" w14:textId="17E8C154" w:rsidR="004011F2" w:rsidRPr="006C7B74" w:rsidRDefault="004011F2" w:rsidP="00934C4D">
      <w:pPr>
        <w:pStyle w:val="Heading2-Contenttable"/>
        <w:spacing w:after="120"/>
      </w:pPr>
      <w:bookmarkStart w:id="59" w:name="_Toc21694838"/>
      <w:r w:rsidRPr="006C7B74">
        <w:t xml:space="preserve">Regional </w:t>
      </w:r>
      <w:r w:rsidR="008D53FD" w:rsidRPr="006C7B74">
        <w:t>snapshot</w:t>
      </w:r>
      <w:bookmarkEnd w:id="59"/>
    </w:p>
    <w:p w14:paraId="08031A4E" w14:textId="1AF2F02C" w:rsidR="006F3D72" w:rsidRPr="006C7B74" w:rsidRDefault="006F3D72" w:rsidP="006F3D72">
      <w:pPr>
        <w:spacing w:after="120"/>
        <w:rPr>
          <w:rFonts w:cstheme="minorHAnsi"/>
          <w:sz w:val="20"/>
          <w:szCs w:val="20"/>
        </w:rPr>
      </w:pPr>
      <w:r w:rsidRPr="006C7B74">
        <w:rPr>
          <w:rStyle w:val="normaltextrun"/>
          <w:rFonts w:cstheme="minorHAnsi"/>
          <w:color w:val="000000"/>
          <w:sz w:val="20"/>
          <w:szCs w:val="20"/>
          <w:shd w:val="clear" w:color="auto" w:fill="FFFFFF"/>
        </w:rPr>
        <w:t>The</w:t>
      </w:r>
      <w:r w:rsidRPr="006C7B74">
        <w:rPr>
          <w:rFonts w:cstheme="minorHAnsi"/>
          <w:color w:val="000000"/>
          <w:sz w:val="20"/>
          <w:szCs w:val="20"/>
          <w:shd w:val="clear" w:color="auto" w:fill="FFFFFF"/>
        </w:rPr>
        <w:t xml:space="preserve"> </w:t>
      </w:r>
      <w:r w:rsidRPr="006C7B74">
        <w:rPr>
          <w:rStyle w:val="normaltextrun"/>
          <w:rFonts w:cstheme="minorHAnsi"/>
          <w:color w:val="000000"/>
          <w:sz w:val="20"/>
          <w:szCs w:val="20"/>
          <w:shd w:val="clear" w:color="auto" w:fill="FFFFFF"/>
        </w:rPr>
        <w:t>Inner South</w:t>
      </w:r>
      <w:r w:rsidR="0047552D" w:rsidRPr="006C7B74">
        <w:rPr>
          <w:rStyle w:val="normaltextrun"/>
          <w:rFonts w:cstheme="minorHAnsi"/>
          <w:color w:val="000000"/>
          <w:sz w:val="20"/>
          <w:szCs w:val="20"/>
          <w:shd w:val="clear" w:color="auto" w:fill="FFFFFF"/>
        </w:rPr>
        <w:t xml:space="preserve"> </w:t>
      </w:r>
      <w:r w:rsidRPr="006C7B74">
        <w:rPr>
          <w:rStyle w:val="normaltextrun"/>
          <w:rFonts w:cstheme="minorHAnsi"/>
          <w:color w:val="000000"/>
          <w:sz w:val="20"/>
          <w:szCs w:val="20"/>
          <w:shd w:val="clear" w:color="auto" w:fill="FFFFFF"/>
        </w:rPr>
        <w:t>East</w:t>
      </w:r>
      <w:r w:rsidRPr="006C7B74">
        <w:rPr>
          <w:rFonts w:cstheme="minorHAnsi"/>
          <w:color w:val="000000"/>
          <w:sz w:val="20"/>
          <w:szCs w:val="20"/>
          <w:shd w:val="clear" w:color="auto" w:fill="FFFFFF"/>
        </w:rPr>
        <w:t xml:space="preserve"> </w:t>
      </w:r>
      <w:r w:rsidR="0047552D" w:rsidRPr="006C7B74">
        <w:rPr>
          <w:rStyle w:val="normaltextrun"/>
          <w:rFonts w:cstheme="minorHAnsi"/>
          <w:color w:val="000000"/>
          <w:sz w:val="20"/>
          <w:szCs w:val="20"/>
          <w:shd w:val="clear" w:color="auto" w:fill="FFFFFF"/>
        </w:rPr>
        <w:t>R</w:t>
      </w:r>
      <w:r w:rsidRPr="006C7B74">
        <w:rPr>
          <w:rStyle w:val="normaltextrun"/>
          <w:rFonts w:cstheme="minorHAnsi"/>
          <w:color w:val="000000"/>
          <w:sz w:val="20"/>
          <w:szCs w:val="20"/>
          <w:shd w:val="clear" w:color="auto" w:fill="FFFFFF"/>
        </w:rPr>
        <w:t xml:space="preserve">egion comprises the municipalities of Bayside, Boroondara, Glen </w:t>
      </w:r>
      <w:proofErr w:type="spellStart"/>
      <w:r w:rsidRPr="006C7B74">
        <w:rPr>
          <w:rStyle w:val="normaltextrun"/>
          <w:rFonts w:cstheme="minorHAnsi"/>
          <w:color w:val="000000"/>
          <w:sz w:val="20"/>
          <w:szCs w:val="20"/>
          <w:shd w:val="clear" w:color="auto" w:fill="FFFFFF"/>
        </w:rPr>
        <w:t>Eira</w:t>
      </w:r>
      <w:proofErr w:type="spellEnd"/>
      <w:r w:rsidRPr="006C7B74">
        <w:rPr>
          <w:rStyle w:val="normaltextrun"/>
          <w:rFonts w:cstheme="minorHAnsi"/>
          <w:color w:val="000000"/>
          <w:sz w:val="20"/>
          <w:szCs w:val="20"/>
          <w:shd w:val="clear" w:color="auto" w:fill="FFFFFF"/>
        </w:rPr>
        <w:t xml:space="preserve"> and Stonnington. The region is well served by public transport with an extensive tram network and numerous rail lines</w:t>
      </w:r>
      <w:r w:rsidR="00CF3EBB" w:rsidRPr="006C7B74">
        <w:rPr>
          <w:rStyle w:val="normaltextrun"/>
          <w:rFonts w:cstheme="minorHAnsi"/>
          <w:color w:val="000000"/>
          <w:sz w:val="20"/>
          <w:szCs w:val="20"/>
          <w:shd w:val="clear" w:color="auto" w:fill="FFFFFF"/>
        </w:rPr>
        <w:t>.</w:t>
      </w:r>
      <w:r w:rsidRPr="006C7B74">
        <w:rPr>
          <w:rStyle w:val="normaltextrun"/>
          <w:rFonts w:cstheme="minorHAnsi"/>
          <w:color w:val="000000"/>
          <w:sz w:val="20"/>
          <w:szCs w:val="20"/>
          <w:shd w:val="clear" w:color="auto" w:fill="FFFFFF"/>
        </w:rPr>
        <w:t xml:space="preserve"> </w:t>
      </w:r>
      <w:r w:rsidR="00CF3EBB" w:rsidRPr="006C7B74">
        <w:rPr>
          <w:rStyle w:val="normaltextrun"/>
          <w:rFonts w:cstheme="minorHAnsi"/>
          <w:color w:val="000000"/>
          <w:sz w:val="20"/>
          <w:szCs w:val="20"/>
          <w:shd w:val="clear" w:color="auto" w:fill="FFFFFF"/>
        </w:rPr>
        <w:t>T</w:t>
      </w:r>
      <w:r w:rsidRPr="006C7B74">
        <w:rPr>
          <w:rFonts w:cstheme="minorHAnsi"/>
          <w:sz w:val="20"/>
          <w:szCs w:val="20"/>
        </w:rPr>
        <w:t>he key roads of Nepean Highway, Dandenong Road</w:t>
      </w:r>
      <w:r w:rsidR="0047552D" w:rsidRPr="006C7B74">
        <w:rPr>
          <w:rFonts w:cstheme="minorHAnsi"/>
          <w:sz w:val="20"/>
          <w:szCs w:val="20"/>
        </w:rPr>
        <w:t>-</w:t>
      </w:r>
      <w:r w:rsidRPr="006C7B74">
        <w:rPr>
          <w:rFonts w:cstheme="minorHAnsi"/>
          <w:sz w:val="20"/>
          <w:szCs w:val="20"/>
        </w:rPr>
        <w:t>Princes Highway, Monash Freeway and the Eastern Freeway provide important connections throughout the region and beyond.</w:t>
      </w:r>
    </w:p>
    <w:p w14:paraId="7A14E59E" w14:textId="660E030D" w:rsidR="006F3D72" w:rsidRPr="006C7B74" w:rsidRDefault="006F3D72" w:rsidP="006F3D72">
      <w:pPr>
        <w:spacing w:after="120"/>
        <w:rPr>
          <w:rFonts w:cstheme="minorHAnsi"/>
          <w:sz w:val="20"/>
          <w:szCs w:val="20"/>
        </w:rPr>
      </w:pPr>
      <w:r w:rsidRPr="006C7B74">
        <w:rPr>
          <w:rFonts w:cstheme="minorHAnsi"/>
          <w:sz w:val="20"/>
          <w:szCs w:val="20"/>
        </w:rPr>
        <w:t xml:space="preserve">The region is well established with easy </w:t>
      </w:r>
      <w:r w:rsidRPr="006C7B74">
        <w:rPr>
          <w:rStyle w:val="normaltextrun"/>
          <w:rFonts w:cstheme="minorHAnsi"/>
          <w:color w:val="000000"/>
          <w:sz w:val="20"/>
          <w:szCs w:val="20"/>
          <w:shd w:val="clear" w:color="auto" w:fill="FFFFFF"/>
        </w:rPr>
        <w:t xml:space="preserve">access to the </w:t>
      </w:r>
      <w:r w:rsidR="007F2AEB" w:rsidRPr="006C7B74">
        <w:rPr>
          <w:rStyle w:val="normaltextrun"/>
          <w:rFonts w:cstheme="minorHAnsi"/>
          <w:color w:val="000000"/>
          <w:sz w:val="20"/>
          <w:szCs w:val="20"/>
          <w:shd w:val="clear" w:color="auto" w:fill="FFFFFF"/>
        </w:rPr>
        <w:t>C</w:t>
      </w:r>
      <w:r w:rsidRPr="006C7B74">
        <w:rPr>
          <w:rStyle w:val="normaltextrun"/>
          <w:rFonts w:cstheme="minorHAnsi"/>
          <w:color w:val="000000"/>
          <w:sz w:val="20"/>
          <w:szCs w:val="20"/>
          <w:shd w:val="clear" w:color="auto" w:fill="FFFFFF"/>
        </w:rPr>
        <w:t xml:space="preserve">entral </w:t>
      </w:r>
      <w:r w:rsidR="007F2AEB" w:rsidRPr="006C7B74">
        <w:rPr>
          <w:rStyle w:val="normaltextrun"/>
          <w:rFonts w:cstheme="minorHAnsi"/>
          <w:color w:val="000000"/>
          <w:sz w:val="20"/>
          <w:szCs w:val="20"/>
          <w:shd w:val="clear" w:color="auto" w:fill="FFFFFF"/>
        </w:rPr>
        <w:t>C</w:t>
      </w:r>
      <w:r w:rsidRPr="006C7B74">
        <w:rPr>
          <w:rStyle w:val="normaltextrun"/>
          <w:rFonts w:cstheme="minorHAnsi"/>
          <w:color w:val="000000"/>
          <w:sz w:val="20"/>
          <w:szCs w:val="20"/>
          <w:shd w:val="clear" w:color="auto" w:fill="FFFFFF"/>
        </w:rPr>
        <w:t xml:space="preserve">ity </w:t>
      </w:r>
      <w:r w:rsidRPr="006C7B74">
        <w:rPr>
          <w:rFonts w:cstheme="minorHAnsi"/>
          <w:sz w:val="20"/>
          <w:szCs w:val="20"/>
        </w:rPr>
        <w:t>and extends from Port Phillip Bay in the south to the Yarra River and Eastern Freeway in the north.</w:t>
      </w:r>
    </w:p>
    <w:p w14:paraId="37D7BA82" w14:textId="799432FA" w:rsidR="006F3D72" w:rsidRPr="006C7B74" w:rsidRDefault="006F3D72" w:rsidP="006F3D72">
      <w:pPr>
        <w:spacing w:after="120"/>
        <w:rPr>
          <w:rFonts w:cstheme="minorHAnsi"/>
          <w:sz w:val="20"/>
          <w:szCs w:val="20"/>
        </w:rPr>
      </w:pPr>
      <w:r w:rsidRPr="006C7B74">
        <w:rPr>
          <w:rFonts w:cstheme="minorHAnsi"/>
          <w:sz w:val="20"/>
          <w:szCs w:val="20"/>
        </w:rPr>
        <w:t>In 2016 the region was home to around 539,800 people. By 20</w:t>
      </w:r>
      <w:r w:rsidR="00622330" w:rsidRPr="006C7B74">
        <w:rPr>
          <w:rFonts w:cstheme="minorHAnsi"/>
          <w:sz w:val="20"/>
          <w:szCs w:val="20"/>
        </w:rPr>
        <w:t>3</w:t>
      </w:r>
      <w:r w:rsidRPr="006C7B74">
        <w:rPr>
          <w:rFonts w:cstheme="minorHAnsi"/>
          <w:sz w:val="20"/>
          <w:szCs w:val="20"/>
        </w:rPr>
        <w:t xml:space="preserve">1 it is projected that the region will grow by </w:t>
      </w:r>
      <w:r w:rsidR="004D11C1" w:rsidRPr="006C7B74">
        <w:rPr>
          <w:rFonts w:cstheme="minorHAnsi"/>
          <w:sz w:val="20"/>
          <w:szCs w:val="20"/>
        </w:rPr>
        <w:t>99,500</w:t>
      </w:r>
      <w:r w:rsidRPr="006C7B74">
        <w:rPr>
          <w:rFonts w:cstheme="minorHAnsi"/>
          <w:sz w:val="20"/>
          <w:szCs w:val="20"/>
        </w:rPr>
        <w:t xml:space="preserve"> people to a total population of around </w:t>
      </w:r>
      <w:r w:rsidR="005E5C9A" w:rsidRPr="006C7B74">
        <w:rPr>
          <w:rFonts w:cstheme="minorHAnsi"/>
          <w:sz w:val="20"/>
          <w:szCs w:val="20"/>
        </w:rPr>
        <w:t xml:space="preserve">639,200 </w:t>
      </w:r>
      <w:r w:rsidRPr="006C7B74">
        <w:rPr>
          <w:rFonts w:cstheme="minorHAnsi"/>
          <w:sz w:val="20"/>
          <w:szCs w:val="20"/>
        </w:rPr>
        <w:t xml:space="preserve">people. </w:t>
      </w:r>
    </w:p>
    <w:p w14:paraId="31F8E351" w14:textId="77777777" w:rsidR="006F3D72" w:rsidRPr="006C7B74" w:rsidRDefault="006F3D72" w:rsidP="006F3D72">
      <w:pPr>
        <w:spacing w:after="120"/>
        <w:rPr>
          <w:rStyle w:val="normaltextrun"/>
          <w:rFonts w:cstheme="minorHAnsi"/>
          <w:color w:val="000000"/>
          <w:sz w:val="20"/>
          <w:szCs w:val="20"/>
          <w:shd w:val="clear" w:color="auto" w:fill="FFFFFF"/>
        </w:rPr>
      </w:pPr>
      <w:r w:rsidRPr="006C7B74">
        <w:rPr>
          <w:rStyle w:val="normaltextrun"/>
          <w:rFonts w:cstheme="minorHAnsi"/>
          <w:color w:val="000000"/>
          <w:sz w:val="20"/>
          <w:szCs w:val="20"/>
          <w:shd w:val="clear" w:color="auto" w:fill="FFFFFF"/>
        </w:rPr>
        <w:t>The region has very little traditional industry remaining and is dominated by a largely service-orientated economy. There is a very large retail offer available in the region and a number of major education facilities.</w:t>
      </w:r>
    </w:p>
    <w:p w14:paraId="14CF1A52" w14:textId="5D011857" w:rsidR="001C16F0" w:rsidRPr="006C7B74" w:rsidRDefault="001C16F0" w:rsidP="001C16F0">
      <w:pPr>
        <w:spacing w:after="120"/>
        <w:rPr>
          <w:rFonts w:cstheme="minorHAnsi"/>
          <w:sz w:val="20"/>
          <w:szCs w:val="20"/>
        </w:rPr>
      </w:pPr>
      <w:r w:rsidRPr="006C7B74">
        <w:rPr>
          <w:sz w:val="20"/>
          <w:szCs w:val="20"/>
        </w:rPr>
        <w:t xml:space="preserve">The business service sector is the largest contributor to the economy for the region with a </w:t>
      </w:r>
      <w:r w:rsidRPr="006C7B74">
        <w:rPr>
          <w:rFonts w:cstheme="minorHAnsi"/>
          <w:sz w:val="20"/>
          <w:szCs w:val="20"/>
        </w:rPr>
        <w:t>total value-added estimate at around $13.</w:t>
      </w:r>
      <w:r w:rsidR="00B24DF7" w:rsidRPr="006C7B74">
        <w:rPr>
          <w:rFonts w:cstheme="minorHAnsi"/>
          <w:sz w:val="20"/>
          <w:szCs w:val="20"/>
        </w:rPr>
        <w:t>7</w:t>
      </w:r>
      <w:r w:rsidRPr="006C7B74">
        <w:rPr>
          <w:rFonts w:cstheme="minorHAnsi"/>
          <w:sz w:val="20"/>
          <w:szCs w:val="20"/>
        </w:rPr>
        <w:t xml:space="preserve"> billion. The manufacturing and industrial sector</w:t>
      </w:r>
      <w:r w:rsidR="00B24DF7" w:rsidRPr="006C7B74">
        <w:rPr>
          <w:rFonts w:cstheme="minorHAnsi"/>
          <w:sz w:val="20"/>
          <w:szCs w:val="20"/>
        </w:rPr>
        <w:t xml:space="preserve">’s value-added contribution to the region’s economy is estimated </w:t>
      </w:r>
      <w:r w:rsidRPr="006C7B74">
        <w:rPr>
          <w:rFonts w:cstheme="minorHAnsi"/>
          <w:sz w:val="20"/>
          <w:szCs w:val="20"/>
        </w:rPr>
        <w:t>at around $</w:t>
      </w:r>
      <w:r w:rsidR="00B24DF7" w:rsidRPr="006C7B74">
        <w:rPr>
          <w:rFonts w:cstheme="minorHAnsi"/>
          <w:sz w:val="20"/>
          <w:szCs w:val="20"/>
        </w:rPr>
        <w:t>5.7</w:t>
      </w:r>
      <w:r w:rsidRPr="006C7B74">
        <w:rPr>
          <w:rFonts w:cstheme="minorHAnsi"/>
          <w:sz w:val="20"/>
          <w:szCs w:val="20"/>
        </w:rPr>
        <w:t xml:space="preserve"> billion. Combined, these sectors account for </w:t>
      </w:r>
      <w:r w:rsidR="00B24DF7" w:rsidRPr="006C7B74">
        <w:rPr>
          <w:rFonts w:cstheme="minorHAnsi"/>
          <w:sz w:val="20"/>
          <w:szCs w:val="20"/>
        </w:rPr>
        <w:t>just under</w:t>
      </w:r>
      <w:r w:rsidRPr="006C7B74">
        <w:rPr>
          <w:rFonts w:cstheme="minorHAnsi"/>
          <w:sz w:val="20"/>
          <w:szCs w:val="20"/>
        </w:rPr>
        <w:t xml:space="preserve"> 60 per cent of the total value-add for the region.</w:t>
      </w:r>
    </w:p>
    <w:p w14:paraId="3AD2D660" w14:textId="77777777" w:rsidR="001C16F0" w:rsidRPr="006C7B74" w:rsidRDefault="001C16F0" w:rsidP="00934C4D">
      <w:pPr>
        <w:spacing w:after="120"/>
        <w:rPr>
          <w:rFonts w:cstheme="minorHAnsi"/>
          <w:sz w:val="20"/>
          <w:szCs w:val="20"/>
        </w:rPr>
      </w:pPr>
    </w:p>
    <w:p w14:paraId="0D809B86" w14:textId="001EE981" w:rsidR="006E0A5C" w:rsidRPr="006C7B74" w:rsidRDefault="006E0A5C" w:rsidP="003C516A">
      <w:pPr>
        <w:pStyle w:val="Heading5"/>
      </w:pPr>
      <w:r w:rsidRPr="006C7B74">
        <w:t xml:space="preserve">Fast </w:t>
      </w:r>
      <w:r w:rsidR="008D53FD" w:rsidRPr="006C7B74">
        <w:t>f</w:t>
      </w:r>
      <w:r w:rsidRPr="006C7B74">
        <w:t>acts</w:t>
      </w:r>
    </w:p>
    <w:tbl>
      <w:tblPr>
        <w:tblStyle w:val="TableGrid"/>
        <w:tblW w:w="0" w:type="auto"/>
        <w:tblBorders>
          <w:left w:val="single" w:sz="8" w:space="0" w:color="auto"/>
          <w:right w:val="single" w:sz="8" w:space="0" w:color="auto"/>
          <w:insideH w:val="none" w:sz="0" w:space="0" w:color="auto"/>
          <w:insideV w:val="single" w:sz="8" w:space="0" w:color="auto"/>
        </w:tblBorders>
        <w:tblLook w:val="04A0" w:firstRow="1" w:lastRow="0" w:firstColumn="1" w:lastColumn="0" w:noHBand="0" w:noVBand="1"/>
      </w:tblPr>
      <w:tblGrid>
        <w:gridCol w:w="3000"/>
        <w:gridCol w:w="3000"/>
        <w:gridCol w:w="3000"/>
      </w:tblGrid>
      <w:tr w:rsidR="0085099E" w:rsidRPr="006C7B74" w14:paraId="382BD018" w14:textId="77777777" w:rsidTr="00CF739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00" w:type="dxa"/>
            <w:shd w:val="clear" w:color="auto" w:fill="auto"/>
            <w:vAlign w:val="top"/>
          </w:tcPr>
          <w:p w14:paraId="5744E36F" w14:textId="77777777" w:rsidR="0085099E" w:rsidRPr="006C7B74" w:rsidRDefault="0085099E" w:rsidP="003C516A">
            <w:pPr>
              <w:pStyle w:val="BodyText"/>
            </w:pPr>
            <w:r w:rsidRPr="006C7B74">
              <w:t>PEOPLE</w:t>
            </w:r>
          </w:p>
          <w:p w14:paraId="08D60347" w14:textId="77777777" w:rsidR="0085099E" w:rsidRPr="006C7B74" w:rsidRDefault="0085099E" w:rsidP="003C516A">
            <w:pPr>
              <w:pStyle w:val="BodyText"/>
            </w:pPr>
            <w:r w:rsidRPr="006C7B74">
              <w:t>Population in 2006</w:t>
            </w:r>
          </w:p>
          <w:p w14:paraId="15486821" w14:textId="77777777" w:rsidR="0085099E" w:rsidRPr="006C7B74" w:rsidRDefault="0085099E" w:rsidP="003C516A">
            <w:pPr>
              <w:pStyle w:val="BodyText"/>
              <w:rPr>
                <w:sz w:val="44"/>
                <w:szCs w:val="44"/>
              </w:rPr>
            </w:pPr>
            <w:r w:rsidRPr="006C7B74">
              <w:rPr>
                <w:sz w:val="44"/>
                <w:szCs w:val="44"/>
              </w:rPr>
              <w:t xml:space="preserve">472,942 </w:t>
            </w:r>
          </w:p>
          <w:p w14:paraId="15CF6959" w14:textId="77777777" w:rsidR="0085099E" w:rsidRPr="006C7B74" w:rsidRDefault="0085099E" w:rsidP="003C516A">
            <w:pPr>
              <w:pStyle w:val="BodyText"/>
            </w:pPr>
            <w:r w:rsidRPr="006C7B74">
              <w:t>Population in 2016</w:t>
            </w:r>
          </w:p>
          <w:p w14:paraId="433A14CC" w14:textId="77777777" w:rsidR="0012598A" w:rsidRPr="006C7B74" w:rsidRDefault="00CF3896" w:rsidP="003C516A">
            <w:pPr>
              <w:pStyle w:val="BodyText"/>
              <w:rPr>
                <w:b w:val="0"/>
                <w:sz w:val="44"/>
                <w:szCs w:val="44"/>
              </w:rPr>
            </w:pPr>
            <w:r w:rsidRPr="006C7B74">
              <w:rPr>
                <w:sz w:val="44"/>
                <w:szCs w:val="44"/>
              </w:rPr>
              <w:t>539,774</w:t>
            </w:r>
          </w:p>
          <w:p w14:paraId="0973267F" w14:textId="77777777" w:rsidR="0012598A" w:rsidRPr="006C7B74" w:rsidRDefault="0085099E" w:rsidP="003C516A">
            <w:pPr>
              <w:pStyle w:val="BodyText"/>
              <w:rPr>
                <w:b w:val="0"/>
              </w:rPr>
            </w:pPr>
            <w:r w:rsidRPr="006C7B74">
              <w:t xml:space="preserve">That’s </w:t>
            </w:r>
            <w:r w:rsidRPr="006C7B74">
              <w:rPr>
                <w:sz w:val="44"/>
                <w:szCs w:val="44"/>
              </w:rPr>
              <w:t>14%</w:t>
            </w:r>
            <w:r w:rsidRPr="006C7B74">
              <w:t xml:space="preserve"> more people</w:t>
            </w:r>
          </w:p>
          <w:p w14:paraId="0BD29339" w14:textId="001A3BC2" w:rsidR="00202EFA" w:rsidRPr="006C7B74" w:rsidRDefault="00202EFA" w:rsidP="003C516A">
            <w:pPr>
              <w:pStyle w:val="BodyText"/>
              <w:rPr>
                <w:sz w:val="44"/>
                <w:szCs w:val="44"/>
              </w:rPr>
            </w:pPr>
            <w:r w:rsidRPr="006C7B74">
              <w:t>Bayside =</w:t>
            </w:r>
            <w:r w:rsidRPr="006C7B74">
              <w:rPr>
                <w:sz w:val="28"/>
                <w:szCs w:val="28"/>
              </w:rPr>
              <w:t xml:space="preserve"> +</w:t>
            </w:r>
            <w:r w:rsidRPr="006C7B74">
              <w:t xml:space="preserve"> </w:t>
            </w:r>
            <w:r w:rsidRPr="006C7B74">
              <w:rPr>
                <w:sz w:val="28"/>
              </w:rPr>
              <w:t>12,105</w:t>
            </w:r>
          </w:p>
          <w:p w14:paraId="17632060" w14:textId="0650528F" w:rsidR="0085099E" w:rsidRPr="006C7B74" w:rsidRDefault="0085099E" w:rsidP="003C516A">
            <w:pPr>
              <w:pStyle w:val="BodyText"/>
            </w:pPr>
            <w:r w:rsidRPr="006C7B74">
              <w:t>Boroondara =</w:t>
            </w:r>
            <w:r w:rsidRPr="006C7B74">
              <w:rPr>
                <w:sz w:val="28"/>
                <w:szCs w:val="28"/>
              </w:rPr>
              <w:t xml:space="preserve"> +</w:t>
            </w:r>
            <w:r w:rsidRPr="006C7B74">
              <w:t xml:space="preserve"> </w:t>
            </w:r>
            <w:r w:rsidR="00CF3896" w:rsidRPr="006C7B74">
              <w:rPr>
                <w:sz w:val="28"/>
              </w:rPr>
              <w:t>17,671</w:t>
            </w:r>
          </w:p>
          <w:p w14:paraId="5DCF0C25" w14:textId="77777777" w:rsidR="0085099E" w:rsidRPr="006C7B74" w:rsidRDefault="0085099E" w:rsidP="003C516A">
            <w:pPr>
              <w:pStyle w:val="BodyText"/>
              <w:rPr>
                <w:sz w:val="28"/>
              </w:rPr>
            </w:pPr>
            <w:r w:rsidRPr="006C7B74">
              <w:t xml:space="preserve">Glen </w:t>
            </w:r>
            <w:proofErr w:type="spellStart"/>
            <w:r w:rsidRPr="006C7B74">
              <w:t>Eira</w:t>
            </w:r>
            <w:proofErr w:type="spellEnd"/>
            <w:r w:rsidRPr="006C7B74">
              <w:t xml:space="preserve"> =</w:t>
            </w:r>
            <w:r w:rsidRPr="006C7B74">
              <w:rPr>
                <w:sz w:val="28"/>
                <w:szCs w:val="28"/>
              </w:rPr>
              <w:t xml:space="preserve"> +</w:t>
            </w:r>
            <w:r w:rsidRPr="006C7B74">
              <w:t xml:space="preserve"> </w:t>
            </w:r>
            <w:r w:rsidR="00CF3896" w:rsidRPr="006C7B74">
              <w:rPr>
                <w:sz w:val="28"/>
              </w:rPr>
              <w:t>20,109</w:t>
            </w:r>
          </w:p>
          <w:p w14:paraId="50DDBA8C" w14:textId="7D33E8F9" w:rsidR="0085099E" w:rsidRPr="006C7B74" w:rsidRDefault="0020689E" w:rsidP="003C516A">
            <w:pPr>
              <w:pStyle w:val="BodyText"/>
            </w:pPr>
            <w:r w:rsidRPr="006C7B74">
              <w:t>Stonnington =</w:t>
            </w:r>
            <w:r w:rsidRPr="006C7B74">
              <w:rPr>
                <w:sz w:val="28"/>
                <w:szCs w:val="28"/>
              </w:rPr>
              <w:t xml:space="preserve"> +</w:t>
            </w:r>
            <w:r w:rsidRPr="006C7B74">
              <w:t xml:space="preserve"> </w:t>
            </w:r>
            <w:r w:rsidRPr="006C7B74">
              <w:rPr>
                <w:sz w:val="28"/>
              </w:rPr>
              <w:t>16,947</w:t>
            </w:r>
          </w:p>
        </w:tc>
        <w:tc>
          <w:tcPr>
            <w:tcW w:w="3000" w:type="dxa"/>
            <w:shd w:val="clear" w:color="auto" w:fill="auto"/>
            <w:vAlign w:val="top"/>
          </w:tcPr>
          <w:p w14:paraId="654A651F" w14:textId="77777777" w:rsidR="0085099E" w:rsidRPr="006C7B74" w:rsidRDefault="0085099E" w:rsidP="003C516A">
            <w:pPr>
              <w:pStyle w:val="BodyText"/>
              <w:jc w:val="left"/>
              <w:cnfStyle w:val="100000000000" w:firstRow="1" w:lastRow="0" w:firstColumn="0" w:lastColumn="0" w:oddVBand="0" w:evenVBand="0" w:oddHBand="0" w:evenHBand="0" w:firstRowFirstColumn="0" w:firstRowLastColumn="0" w:lastRowFirstColumn="0" w:lastRowLastColumn="0"/>
            </w:pPr>
            <w:r w:rsidRPr="006C7B74">
              <w:t>JOBS</w:t>
            </w:r>
          </w:p>
          <w:p w14:paraId="7216556A" w14:textId="77777777" w:rsidR="0085099E" w:rsidRPr="006C7B74" w:rsidRDefault="0085099E" w:rsidP="003C516A">
            <w:pPr>
              <w:pStyle w:val="BodyText"/>
              <w:jc w:val="left"/>
              <w:cnfStyle w:val="100000000000" w:firstRow="1" w:lastRow="0" w:firstColumn="0" w:lastColumn="0" w:oddVBand="0" w:evenVBand="0" w:oddHBand="0" w:evenHBand="0" w:firstRowFirstColumn="0" w:firstRowLastColumn="0" w:lastRowFirstColumn="0" w:lastRowLastColumn="0"/>
            </w:pPr>
            <w:r w:rsidRPr="006C7B74">
              <w:t>Jobs in 2006</w:t>
            </w:r>
          </w:p>
          <w:p w14:paraId="5DD7A6B6" w14:textId="77777777" w:rsidR="0085099E" w:rsidRPr="006C7B74" w:rsidRDefault="0085099E" w:rsidP="003C516A">
            <w:pPr>
              <w:pStyle w:val="BodyText"/>
              <w:jc w:val="left"/>
              <w:cnfStyle w:val="100000000000" w:firstRow="1" w:lastRow="0" w:firstColumn="0" w:lastColumn="0" w:oddVBand="0" w:evenVBand="0" w:oddHBand="0" w:evenHBand="0" w:firstRowFirstColumn="0" w:firstRowLastColumn="0" w:lastRowFirstColumn="0" w:lastRowLastColumn="0"/>
              <w:rPr>
                <w:sz w:val="44"/>
                <w:szCs w:val="44"/>
              </w:rPr>
            </w:pPr>
            <w:r w:rsidRPr="006C7B74">
              <w:rPr>
                <w:sz w:val="44"/>
                <w:szCs w:val="44"/>
              </w:rPr>
              <w:t xml:space="preserve">182,500 </w:t>
            </w:r>
          </w:p>
          <w:p w14:paraId="352380D7" w14:textId="77777777" w:rsidR="0085099E" w:rsidRPr="006C7B74" w:rsidRDefault="0085099E" w:rsidP="003C516A">
            <w:pPr>
              <w:pStyle w:val="BodyText"/>
              <w:jc w:val="left"/>
              <w:cnfStyle w:val="100000000000" w:firstRow="1" w:lastRow="0" w:firstColumn="0" w:lastColumn="0" w:oddVBand="0" w:evenVBand="0" w:oddHBand="0" w:evenHBand="0" w:firstRowFirstColumn="0" w:firstRowLastColumn="0" w:lastRowFirstColumn="0" w:lastRowLastColumn="0"/>
            </w:pPr>
            <w:r w:rsidRPr="006C7B74">
              <w:t>Jobs in 2016</w:t>
            </w:r>
          </w:p>
          <w:p w14:paraId="2186F86E" w14:textId="77777777" w:rsidR="0012598A" w:rsidRPr="006C7B74" w:rsidRDefault="0085099E" w:rsidP="003C516A">
            <w:pPr>
              <w:pStyle w:val="BodyText"/>
              <w:jc w:val="left"/>
              <w:cnfStyle w:val="100000000000" w:firstRow="1" w:lastRow="0" w:firstColumn="0" w:lastColumn="0" w:oddVBand="0" w:evenVBand="0" w:oddHBand="0" w:evenHBand="0" w:firstRowFirstColumn="0" w:firstRowLastColumn="0" w:lastRowFirstColumn="0" w:lastRowLastColumn="0"/>
              <w:rPr>
                <w:b w:val="0"/>
                <w:sz w:val="44"/>
                <w:szCs w:val="44"/>
              </w:rPr>
            </w:pPr>
            <w:r w:rsidRPr="006C7B74">
              <w:rPr>
                <w:sz w:val="44"/>
                <w:szCs w:val="44"/>
              </w:rPr>
              <w:t xml:space="preserve">220,500 </w:t>
            </w:r>
          </w:p>
          <w:p w14:paraId="6B091BF5" w14:textId="77777777" w:rsidR="0012598A" w:rsidRPr="006C7B74" w:rsidRDefault="0085099E" w:rsidP="003C516A">
            <w:pPr>
              <w:pStyle w:val="BodyText"/>
              <w:jc w:val="left"/>
              <w:cnfStyle w:val="100000000000" w:firstRow="1" w:lastRow="0" w:firstColumn="0" w:lastColumn="0" w:oddVBand="0" w:evenVBand="0" w:oddHBand="0" w:evenHBand="0" w:firstRowFirstColumn="0" w:firstRowLastColumn="0" w:lastRowFirstColumn="0" w:lastRowLastColumn="0"/>
              <w:rPr>
                <w:b w:val="0"/>
              </w:rPr>
            </w:pPr>
            <w:r w:rsidRPr="006C7B74">
              <w:t xml:space="preserve">That’s </w:t>
            </w:r>
            <w:r w:rsidRPr="006C7B74">
              <w:rPr>
                <w:sz w:val="44"/>
                <w:szCs w:val="44"/>
              </w:rPr>
              <w:t>21%</w:t>
            </w:r>
            <w:r w:rsidRPr="006C7B74">
              <w:t xml:space="preserve"> more jobs</w:t>
            </w:r>
          </w:p>
          <w:p w14:paraId="7AF2A7B3" w14:textId="57826CBB" w:rsidR="0085099E" w:rsidRPr="006C7B74" w:rsidRDefault="0012598A" w:rsidP="003C516A">
            <w:pPr>
              <w:pStyle w:val="BodyText"/>
              <w:jc w:val="left"/>
              <w:cnfStyle w:val="100000000000" w:firstRow="1" w:lastRow="0" w:firstColumn="0" w:lastColumn="0" w:oddVBand="0" w:evenVBand="0" w:oddHBand="0" w:evenHBand="0" w:firstRowFirstColumn="0" w:firstRowLastColumn="0" w:lastRowFirstColumn="0" w:lastRowLastColumn="0"/>
              <w:rPr>
                <w:sz w:val="44"/>
                <w:szCs w:val="44"/>
              </w:rPr>
            </w:pPr>
            <w:r w:rsidRPr="006C7B74">
              <w:t>B</w:t>
            </w:r>
            <w:r w:rsidR="0085099E" w:rsidRPr="006C7B74">
              <w:t>ayside =</w:t>
            </w:r>
            <w:r w:rsidR="0085099E" w:rsidRPr="006C7B74">
              <w:rPr>
                <w:sz w:val="28"/>
                <w:szCs w:val="28"/>
              </w:rPr>
              <w:t xml:space="preserve"> +</w:t>
            </w:r>
            <w:r w:rsidR="0085099E" w:rsidRPr="006C7B74">
              <w:t xml:space="preserve"> </w:t>
            </w:r>
            <w:r w:rsidR="0085099E" w:rsidRPr="006C7B74">
              <w:rPr>
                <w:sz w:val="28"/>
              </w:rPr>
              <w:t>5,950</w:t>
            </w:r>
          </w:p>
          <w:p w14:paraId="4A18893E" w14:textId="77777777" w:rsidR="0085099E" w:rsidRPr="006C7B74" w:rsidRDefault="0085099E" w:rsidP="003C516A">
            <w:pPr>
              <w:pStyle w:val="BodyText"/>
              <w:jc w:val="left"/>
              <w:cnfStyle w:val="100000000000" w:firstRow="1" w:lastRow="0" w:firstColumn="0" w:lastColumn="0" w:oddVBand="0" w:evenVBand="0" w:oddHBand="0" w:evenHBand="0" w:firstRowFirstColumn="0" w:firstRowLastColumn="0" w:lastRowFirstColumn="0" w:lastRowLastColumn="0"/>
            </w:pPr>
            <w:r w:rsidRPr="006C7B74">
              <w:t>Boroondara =</w:t>
            </w:r>
            <w:r w:rsidRPr="006C7B74">
              <w:rPr>
                <w:sz w:val="28"/>
                <w:szCs w:val="28"/>
              </w:rPr>
              <w:t xml:space="preserve"> +</w:t>
            </w:r>
            <w:r w:rsidRPr="006C7B74">
              <w:t xml:space="preserve"> </w:t>
            </w:r>
            <w:r w:rsidRPr="006C7B74">
              <w:rPr>
                <w:sz w:val="28"/>
              </w:rPr>
              <w:t>12,450</w:t>
            </w:r>
          </w:p>
          <w:p w14:paraId="2A55FC3F" w14:textId="77777777" w:rsidR="0085099E" w:rsidRPr="006C7B74" w:rsidRDefault="0085099E" w:rsidP="003C516A">
            <w:pPr>
              <w:pStyle w:val="BodyText"/>
              <w:jc w:val="left"/>
              <w:cnfStyle w:val="100000000000" w:firstRow="1" w:lastRow="0" w:firstColumn="0" w:lastColumn="0" w:oddVBand="0" w:evenVBand="0" w:oddHBand="0" w:evenHBand="0" w:firstRowFirstColumn="0" w:firstRowLastColumn="0" w:lastRowFirstColumn="0" w:lastRowLastColumn="0"/>
            </w:pPr>
            <w:r w:rsidRPr="006C7B74">
              <w:t xml:space="preserve">Glen </w:t>
            </w:r>
            <w:proofErr w:type="spellStart"/>
            <w:r w:rsidRPr="006C7B74">
              <w:t>Eira</w:t>
            </w:r>
            <w:proofErr w:type="spellEnd"/>
            <w:r w:rsidRPr="006C7B74">
              <w:t xml:space="preserve"> =</w:t>
            </w:r>
            <w:r w:rsidRPr="006C7B74">
              <w:rPr>
                <w:sz w:val="28"/>
                <w:szCs w:val="28"/>
              </w:rPr>
              <w:t xml:space="preserve"> +</w:t>
            </w:r>
            <w:r w:rsidRPr="006C7B74">
              <w:t xml:space="preserve"> </w:t>
            </w:r>
            <w:r w:rsidRPr="006C7B74">
              <w:rPr>
                <w:sz w:val="28"/>
              </w:rPr>
              <w:t>8,650</w:t>
            </w:r>
          </w:p>
          <w:p w14:paraId="3FBAC5DE" w14:textId="77777777" w:rsidR="0085099E" w:rsidRPr="006C7B74" w:rsidRDefault="0085099E" w:rsidP="003C516A">
            <w:pPr>
              <w:pStyle w:val="BodyText"/>
              <w:jc w:val="left"/>
              <w:cnfStyle w:val="100000000000" w:firstRow="1" w:lastRow="0" w:firstColumn="0" w:lastColumn="0" w:oddVBand="0" w:evenVBand="0" w:oddHBand="0" w:evenHBand="0" w:firstRowFirstColumn="0" w:firstRowLastColumn="0" w:lastRowFirstColumn="0" w:lastRowLastColumn="0"/>
            </w:pPr>
            <w:r w:rsidRPr="006C7B74">
              <w:t>Stonnington =</w:t>
            </w:r>
            <w:r w:rsidRPr="006C7B74">
              <w:rPr>
                <w:sz w:val="28"/>
                <w:szCs w:val="28"/>
              </w:rPr>
              <w:t xml:space="preserve"> +</w:t>
            </w:r>
            <w:r w:rsidRPr="006C7B74">
              <w:t xml:space="preserve"> </w:t>
            </w:r>
            <w:r w:rsidRPr="006C7B74">
              <w:rPr>
                <w:sz w:val="28"/>
              </w:rPr>
              <w:t xml:space="preserve">10,950 </w:t>
            </w:r>
          </w:p>
        </w:tc>
        <w:tc>
          <w:tcPr>
            <w:tcW w:w="3000" w:type="dxa"/>
            <w:shd w:val="clear" w:color="auto" w:fill="auto"/>
            <w:vAlign w:val="top"/>
          </w:tcPr>
          <w:p w14:paraId="7B45AC56" w14:textId="77777777" w:rsidR="0085099E" w:rsidRPr="006C7B74" w:rsidRDefault="0085099E" w:rsidP="003C516A">
            <w:pPr>
              <w:pStyle w:val="BodyText"/>
              <w:jc w:val="left"/>
              <w:cnfStyle w:val="100000000000" w:firstRow="1" w:lastRow="0" w:firstColumn="0" w:lastColumn="0" w:oddVBand="0" w:evenVBand="0" w:oddHBand="0" w:evenHBand="0" w:firstRowFirstColumn="0" w:firstRowLastColumn="0" w:lastRowFirstColumn="0" w:lastRowLastColumn="0"/>
            </w:pPr>
            <w:r w:rsidRPr="006C7B74">
              <w:t>ECONOMY</w:t>
            </w:r>
          </w:p>
          <w:p w14:paraId="3AF16584" w14:textId="77777777" w:rsidR="0085099E" w:rsidRPr="006C7B74" w:rsidRDefault="0085099E" w:rsidP="003C516A">
            <w:pPr>
              <w:pStyle w:val="BodyText"/>
              <w:jc w:val="left"/>
              <w:cnfStyle w:val="100000000000" w:firstRow="1" w:lastRow="0" w:firstColumn="0" w:lastColumn="0" w:oddVBand="0" w:evenVBand="0" w:oddHBand="0" w:evenHBand="0" w:firstRowFirstColumn="0" w:firstRowLastColumn="0" w:lastRowFirstColumn="0" w:lastRowLastColumn="0"/>
            </w:pPr>
            <w:r w:rsidRPr="006C7B74">
              <w:t>GRP for the region</w:t>
            </w:r>
          </w:p>
          <w:p w14:paraId="2B2E2796" w14:textId="77777777" w:rsidR="0012598A" w:rsidRPr="006C7B74" w:rsidRDefault="0085099E" w:rsidP="003C516A">
            <w:pPr>
              <w:pStyle w:val="BodyText"/>
              <w:jc w:val="left"/>
              <w:cnfStyle w:val="100000000000" w:firstRow="1" w:lastRow="0" w:firstColumn="0" w:lastColumn="0" w:oddVBand="0" w:evenVBand="0" w:oddHBand="0" w:evenHBand="0" w:firstRowFirstColumn="0" w:firstRowLastColumn="0" w:lastRowFirstColumn="0" w:lastRowLastColumn="0"/>
              <w:rPr>
                <w:b w:val="0"/>
                <w:sz w:val="44"/>
                <w:szCs w:val="44"/>
              </w:rPr>
            </w:pPr>
            <w:r w:rsidRPr="006C7B74">
              <w:rPr>
                <w:sz w:val="44"/>
                <w:szCs w:val="44"/>
              </w:rPr>
              <w:t>$35 billion</w:t>
            </w:r>
          </w:p>
          <w:p w14:paraId="1D908941" w14:textId="1D6E4A89" w:rsidR="0085099E" w:rsidRPr="006C7B74" w:rsidRDefault="0085099E" w:rsidP="003C516A">
            <w:pPr>
              <w:pStyle w:val="BodyText"/>
              <w:jc w:val="left"/>
              <w:cnfStyle w:val="100000000000" w:firstRow="1" w:lastRow="0" w:firstColumn="0" w:lastColumn="0" w:oddVBand="0" w:evenVBand="0" w:oddHBand="0" w:evenHBand="0" w:firstRowFirstColumn="0" w:firstRowLastColumn="0" w:lastRowFirstColumn="0" w:lastRowLastColumn="0"/>
              <w:rPr>
                <w:sz w:val="44"/>
                <w:szCs w:val="44"/>
              </w:rPr>
            </w:pPr>
            <w:r w:rsidRPr="006C7B74">
              <w:t>Share of metropolitan Melbourne’s total GRP</w:t>
            </w:r>
          </w:p>
          <w:p w14:paraId="0AFD41D1" w14:textId="77777777" w:rsidR="0012598A" w:rsidRPr="006C7B74" w:rsidRDefault="0085099E" w:rsidP="003C516A">
            <w:pPr>
              <w:pStyle w:val="BodyText"/>
              <w:jc w:val="left"/>
              <w:cnfStyle w:val="100000000000" w:firstRow="1" w:lastRow="0" w:firstColumn="0" w:lastColumn="0" w:oddVBand="0" w:evenVBand="0" w:oddHBand="0" w:evenHBand="0" w:firstRowFirstColumn="0" w:firstRowLastColumn="0" w:lastRowFirstColumn="0" w:lastRowLastColumn="0"/>
              <w:rPr>
                <w:b w:val="0"/>
                <w:sz w:val="44"/>
                <w:szCs w:val="44"/>
              </w:rPr>
            </w:pPr>
            <w:r w:rsidRPr="006C7B74">
              <w:rPr>
                <w:sz w:val="44"/>
                <w:szCs w:val="44"/>
              </w:rPr>
              <w:t>10%</w:t>
            </w:r>
          </w:p>
          <w:p w14:paraId="6ABCC6E3" w14:textId="47971B40" w:rsidR="0085099E" w:rsidRPr="006C7B74" w:rsidRDefault="0085099E" w:rsidP="003C516A">
            <w:pPr>
              <w:pStyle w:val="BodyText"/>
              <w:jc w:val="left"/>
              <w:cnfStyle w:val="100000000000" w:firstRow="1" w:lastRow="0" w:firstColumn="0" w:lastColumn="0" w:oddVBand="0" w:evenVBand="0" w:oddHBand="0" w:evenHBand="0" w:firstRowFirstColumn="0" w:firstRowLastColumn="0" w:lastRowFirstColumn="0" w:lastRowLastColumn="0"/>
              <w:rPr>
                <w:sz w:val="44"/>
                <w:szCs w:val="44"/>
              </w:rPr>
            </w:pPr>
            <w:r w:rsidRPr="006C7B74">
              <w:t>Bayside =</w:t>
            </w:r>
            <w:r w:rsidRPr="006C7B74">
              <w:rPr>
                <w:sz w:val="28"/>
                <w:szCs w:val="28"/>
              </w:rPr>
              <w:t xml:space="preserve"> $</w:t>
            </w:r>
            <w:r w:rsidRPr="006C7B74">
              <w:rPr>
                <w:sz w:val="28"/>
              </w:rPr>
              <w:t>5.6</w:t>
            </w:r>
          </w:p>
          <w:p w14:paraId="6726E687" w14:textId="77777777" w:rsidR="0085099E" w:rsidRPr="006C7B74" w:rsidRDefault="0085099E" w:rsidP="003C516A">
            <w:pPr>
              <w:pStyle w:val="BodyText"/>
              <w:jc w:val="left"/>
              <w:cnfStyle w:val="100000000000" w:firstRow="1" w:lastRow="0" w:firstColumn="0" w:lastColumn="0" w:oddVBand="0" w:evenVBand="0" w:oddHBand="0" w:evenHBand="0" w:firstRowFirstColumn="0" w:firstRowLastColumn="0" w:lastRowFirstColumn="0" w:lastRowLastColumn="0"/>
            </w:pPr>
            <w:r w:rsidRPr="006C7B74">
              <w:t>Boroondara =</w:t>
            </w:r>
            <w:r w:rsidRPr="006C7B74">
              <w:rPr>
                <w:sz w:val="28"/>
                <w:szCs w:val="28"/>
              </w:rPr>
              <w:t xml:space="preserve"> $</w:t>
            </w:r>
            <w:r w:rsidRPr="006C7B74">
              <w:rPr>
                <w:sz w:val="28"/>
              </w:rPr>
              <w:t>12.8</w:t>
            </w:r>
          </w:p>
          <w:p w14:paraId="5A66B0BE" w14:textId="77777777" w:rsidR="0085099E" w:rsidRPr="006C7B74" w:rsidRDefault="0085099E" w:rsidP="003C516A">
            <w:pPr>
              <w:pStyle w:val="BodyText"/>
              <w:jc w:val="left"/>
              <w:cnfStyle w:val="100000000000" w:firstRow="1" w:lastRow="0" w:firstColumn="0" w:lastColumn="0" w:oddVBand="0" w:evenVBand="0" w:oddHBand="0" w:evenHBand="0" w:firstRowFirstColumn="0" w:firstRowLastColumn="0" w:lastRowFirstColumn="0" w:lastRowLastColumn="0"/>
            </w:pPr>
            <w:r w:rsidRPr="006C7B74">
              <w:t xml:space="preserve">Glen </w:t>
            </w:r>
            <w:proofErr w:type="spellStart"/>
            <w:r w:rsidRPr="006C7B74">
              <w:t>Eira</w:t>
            </w:r>
            <w:proofErr w:type="spellEnd"/>
            <w:r w:rsidRPr="006C7B74">
              <w:t xml:space="preserve"> =</w:t>
            </w:r>
            <w:r w:rsidRPr="006C7B74">
              <w:rPr>
                <w:sz w:val="28"/>
                <w:szCs w:val="28"/>
              </w:rPr>
              <w:t xml:space="preserve"> $</w:t>
            </w:r>
            <w:r w:rsidRPr="006C7B74">
              <w:rPr>
                <w:sz w:val="28"/>
              </w:rPr>
              <w:t>6.7</w:t>
            </w:r>
          </w:p>
          <w:p w14:paraId="309751D9" w14:textId="77777777" w:rsidR="0085099E" w:rsidRPr="006C7B74" w:rsidRDefault="0085099E" w:rsidP="003C516A">
            <w:pPr>
              <w:pStyle w:val="BodyText"/>
              <w:jc w:val="left"/>
              <w:cnfStyle w:val="100000000000" w:firstRow="1" w:lastRow="0" w:firstColumn="0" w:lastColumn="0" w:oddVBand="0" w:evenVBand="0" w:oddHBand="0" w:evenHBand="0" w:firstRowFirstColumn="0" w:firstRowLastColumn="0" w:lastRowFirstColumn="0" w:lastRowLastColumn="0"/>
            </w:pPr>
            <w:r w:rsidRPr="006C7B74">
              <w:t>Stonnington =</w:t>
            </w:r>
            <w:r w:rsidRPr="006C7B74">
              <w:rPr>
                <w:sz w:val="28"/>
                <w:szCs w:val="28"/>
              </w:rPr>
              <w:t xml:space="preserve"> $</w:t>
            </w:r>
            <w:r w:rsidRPr="006C7B74">
              <w:rPr>
                <w:sz w:val="28"/>
              </w:rPr>
              <w:t xml:space="preserve">9.5 </w:t>
            </w:r>
          </w:p>
        </w:tc>
      </w:tr>
    </w:tbl>
    <w:p w14:paraId="6BD3FA3E" w14:textId="2C897C22" w:rsidR="006E0A5C" w:rsidRPr="006C7B74" w:rsidRDefault="00CF7392" w:rsidP="00CF7392">
      <w:pPr>
        <w:pStyle w:val="Quote"/>
        <w:rPr>
          <w:rFonts w:eastAsiaTheme="majorEastAsia" w:cstheme="majorBidi"/>
          <w:b/>
          <w:sz w:val="20"/>
        </w:rPr>
      </w:pPr>
      <w:r w:rsidRPr="006C7B74">
        <w:t>Source:</w:t>
      </w:r>
      <w:r w:rsidR="007C154C" w:rsidRPr="006C7B74">
        <w:t xml:space="preserve"> </w:t>
      </w:r>
      <w:r w:rsidRPr="006C7B74">
        <w:t>Department of Environment, Land, Water and Planning, unpublished data (2019)</w:t>
      </w:r>
      <w:r w:rsidR="006E0A5C" w:rsidRPr="006C7B74">
        <w:br w:type="page"/>
      </w:r>
    </w:p>
    <w:p w14:paraId="772F98DB" w14:textId="60989B76" w:rsidR="004011F2" w:rsidRPr="006C7B74" w:rsidRDefault="004011F2" w:rsidP="00502F17">
      <w:pPr>
        <w:pStyle w:val="Heading5"/>
      </w:pPr>
      <w:r w:rsidRPr="006C7B74">
        <w:lastRenderedPageBreak/>
        <w:t xml:space="preserve">Figure </w:t>
      </w:r>
      <w:r w:rsidR="00BD7E7A" w:rsidRPr="006C7B74">
        <w:t>3</w:t>
      </w:r>
      <w:r w:rsidR="00272A6B" w:rsidRPr="006C7B74">
        <w:t>1</w:t>
      </w:r>
      <w:r w:rsidRPr="006C7B74">
        <w:t>: Projected population growth, Inner South East Region, 2016</w:t>
      </w:r>
      <w:r w:rsidR="00CA211D" w:rsidRPr="006C7B74">
        <w:t xml:space="preserve"> </w:t>
      </w:r>
      <w:r w:rsidR="00305798" w:rsidRPr="006C7B74">
        <w:t>to</w:t>
      </w:r>
      <w:r w:rsidR="00CA211D" w:rsidRPr="006C7B74">
        <w:t xml:space="preserve"> 2031</w:t>
      </w:r>
    </w:p>
    <w:p w14:paraId="20E40D80" w14:textId="0245E3FB" w:rsidR="009436D9" w:rsidRPr="006C7B74" w:rsidRDefault="001574A9" w:rsidP="009436D9">
      <w:r w:rsidRPr="006C7B74">
        <w:rPr>
          <w:noProof/>
        </w:rPr>
        <w:drawing>
          <wp:inline distT="0" distB="0" distL="0" distR="0" wp14:anchorId="4E47C929" wp14:editId="13B12BC2">
            <wp:extent cx="4897755" cy="2020708"/>
            <wp:effectExtent l="0" t="0" r="0" b="0"/>
            <wp:docPr id="40" name="Chart 40" descr="Bar graph - Projected population growth, Inner South East Region, 2016 to 2031">
              <a:extLst xmlns:a="http://schemas.openxmlformats.org/drawingml/2006/main">
                <a:ext uri="{FF2B5EF4-FFF2-40B4-BE49-F238E27FC236}">
                  <a16:creationId xmlns:a16="http://schemas.microsoft.com/office/drawing/2014/main" id="{8C7AB6EC-C1B9-4A14-95BD-4FB731A714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646EB1FC" w14:textId="25F2B4AB" w:rsidR="004011F2" w:rsidRPr="006C7B74" w:rsidRDefault="00CA4390" w:rsidP="00934C4D">
      <w:pPr>
        <w:spacing w:after="120"/>
        <w:rPr>
          <w:rFonts w:cstheme="minorHAnsi"/>
          <w:sz w:val="20"/>
          <w:szCs w:val="20"/>
        </w:rPr>
      </w:pPr>
      <w:r w:rsidRPr="006C7B74">
        <w:rPr>
          <w:i/>
          <w:iCs/>
          <w:color w:val="404040" w:themeColor="text1" w:themeTint="BF"/>
          <w:sz w:val="18"/>
        </w:rPr>
        <w:t>Source: Department of Environment, Land, Water and Planning, Victoria in Future 2019 July 2019.</w:t>
      </w:r>
    </w:p>
    <w:p w14:paraId="05AF0703" w14:textId="1F23CC07" w:rsidR="004011F2" w:rsidRPr="006C7B74" w:rsidRDefault="005E560A" w:rsidP="00934C4D">
      <w:pPr>
        <w:spacing w:after="120"/>
        <w:rPr>
          <w:rFonts w:cstheme="minorHAnsi"/>
          <w:sz w:val="20"/>
          <w:szCs w:val="20"/>
        </w:rPr>
      </w:pPr>
      <w:r w:rsidRPr="006C7B74">
        <w:rPr>
          <w:rFonts w:cstheme="minorHAnsi"/>
          <w:sz w:val="20"/>
          <w:szCs w:val="20"/>
        </w:rPr>
        <w:t>In 2016 t</w:t>
      </w:r>
      <w:r w:rsidR="004011F2" w:rsidRPr="006C7B74">
        <w:rPr>
          <w:rFonts w:cstheme="minorHAnsi"/>
          <w:sz w:val="20"/>
          <w:szCs w:val="20"/>
        </w:rPr>
        <w:t xml:space="preserve">he region </w:t>
      </w:r>
      <w:r w:rsidRPr="006C7B74">
        <w:rPr>
          <w:rFonts w:cstheme="minorHAnsi"/>
          <w:sz w:val="20"/>
          <w:szCs w:val="20"/>
        </w:rPr>
        <w:t xml:space="preserve">supported </w:t>
      </w:r>
      <w:r w:rsidR="00746684" w:rsidRPr="006C7B74">
        <w:rPr>
          <w:rFonts w:cstheme="minorHAnsi"/>
          <w:sz w:val="20"/>
          <w:szCs w:val="20"/>
        </w:rPr>
        <w:t>220,500</w:t>
      </w:r>
      <w:r w:rsidR="004011F2" w:rsidRPr="006C7B74">
        <w:rPr>
          <w:rFonts w:cstheme="minorHAnsi"/>
          <w:sz w:val="20"/>
          <w:szCs w:val="20"/>
        </w:rPr>
        <w:t xml:space="preserve"> jobs, accounting for around </w:t>
      </w:r>
      <w:r w:rsidR="00E41A9E" w:rsidRPr="006C7B74">
        <w:rPr>
          <w:rFonts w:cstheme="minorHAnsi"/>
          <w:sz w:val="20"/>
          <w:szCs w:val="20"/>
        </w:rPr>
        <w:t>10</w:t>
      </w:r>
      <w:r w:rsidR="004011F2" w:rsidRPr="006C7B74">
        <w:rPr>
          <w:rFonts w:cstheme="minorHAnsi"/>
          <w:sz w:val="20"/>
          <w:szCs w:val="20"/>
        </w:rPr>
        <w:t xml:space="preserve"> per cent of all employment across the metropolitan area. </w:t>
      </w:r>
    </w:p>
    <w:p w14:paraId="4B24ADD6" w14:textId="1E6EF2B3" w:rsidR="004011F2" w:rsidRPr="006C7B74" w:rsidRDefault="00FF59DF" w:rsidP="00934C4D">
      <w:pPr>
        <w:spacing w:after="120"/>
        <w:rPr>
          <w:rFonts w:cstheme="minorHAnsi"/>
          <w:sz w:val="20"/>
          <w:szCs w:val="20"/>
        </w:rPr>
      </w:pPr>
      <w:r w:rsidRPr="006C7B74">
        <w:rPr>
          <w:rFonts w:cstheme="minorHAnsi"/>
          <w:sz w:val="20"/>
          <w:szCs w:val="20"/>
        </w:rPr>
        <w:t xml:space="preserve">By 2031 it is </w:t>
      </w:r>
      <w:r>
        <w:rPr>
          <w:rFonts w:cstheme="minorHAnsi"/>
          <w:sz w:val="20"/>
          <w:szCs w:val="20"/>
        </w:rPr>
        <w:t xml:space="preserve">projected </w:t>
      </w:r>
      <w:r w:rsidRPr="006C7B74">
        <w:rPr>
          <w:rFonts w:cstheme="minorHAnsi"/>
          <w:sz w:val="20"/>
          <w:szCs w:val="20"/>
        </w:rPr>
        <w:t xml:space="preserve">that approximately </w:t>
      </w:r>
      <w:r w:rsidR="006A47FE">
        <w:rPr>
          <w:rFonts w:cstheme="minorHAnsi"/>
          <w:sz w:val="20"/>
          <w:szCs w:val="20"/>
        </w:rPr>
        <w:t>73,000</w:t>
      </w:r>
      <w:r w:rsidRPr="006C7B74">
        <w:rPr>
          <w:rFonts w:cstheme="minorHAnsi"/>
          <w:sz w:val="20"/>
          <w:szCs w:val="20"/>
        </w:rPr>
        <w:t xml:space="preserve"> additional jobs will be </w:t>
      </w:r>
      <w:r>
        <w:rPr>
          <w:rFonts w:cstheme="minorHAnsi"/>
          <w:sz w:val="20"/>
          <w:szCs w:val="20"/>
        </w:rPr>
        <w:t>located</w:t>
      </w:r>
      <w:r w:rsidRPr="006C7B74">
        <w:rPr>
          <w:rFonts w:cstheme="minorHAnsi"/>
          <w:sz w:val="20"/>
          <w:szCs w:val="20"/>
        </w:rPr>
        <w:t xml:space="preserve"> across the region.</w:t>
      </w:r>
      <w:r w:rsidR="004011F2" w:rsidRPr="006C7B74">
        <w:rPr>
          <w:rFonts w:cstheme="minorHAnsi"/>
          <w:sz w:val="20"/>
          <w:szCs w:val="20"/>
        </w:rPr>
        <w:t xml:space="preserve"> </w:t>
      </w:r>
      <w:r w:rsidR="00D7519B" w:rsidRPr="006C7B74">
        <w:rPr>
          <w:rFonts w:cstheme="minorHAnsi"/>
          <w:sz w:val="20"/>
          <w:szCs w:val="20"/>
        </w:rPr>
        <w:t>Over</w:t>
      </w:r>
      <w:r w:rsidR="005E560A" w:rsidRPr="006C7B74">
        <w:rPr>
          <w:rFonts w:cstheme="minorHAnsi"/>
          <w:sz w:val="20"/>
          <w:szCs w:val="20"/>
        </w:rPr>
        <w:t xml:space="preserve"> two-thirds of the new jobs in the region are expected to be needed in t</w:t>
      </w:r>
      <w:r w:rsidR="004011F2" w:rsidRPr="006C7B74">
        <w:rPr>
          <w:rFonts w:cstheme="minorHAnsi"/>
          <w:sz w:val="20"/>
          <w:szCs w:val="20"/>
        </w:rPr>
        <w:t xml:space="preserve">he municipalities </w:t>
      </w:r>
      <w:r w:rsidR="005E560A" w:rsidRPr="006C7B74">
        <w:rPr>
          <w:rFonts w:cstheme="minorHAnsi"/>
          <w:sz w:val="20"/>
          <w:szCs w:val="20"/>
        </w:rPr>
        <w:t>of</w:t>
      </w:r>
      <w:r w:rsidR="004011F2" w:rsidRPr="006C7B74">
        <w:rPr>
          <w:rFonts w:cstheme="minorHAnsi"/>
          <w:sz w:val="20"/>
          <w:szCs w:val="20"/>
        </w:rPr>
        <w:t xml:space="preserve"> Boroondara</w:t>
      </w:r>
      <w:r w:rsidR="005E560A" w:rsidRPr="006C7B74">
        <w:rPr>
          <w:rFonts w:cstheme="minorHAnsi"/>
          <w:sz w:val="20"/>
          <w:szCs w:val="20"/>
        </w:rPr>
        <w:t xml:space="preserve"> and Stonnington</w:t>
      </w:r>
      <w:r w:rsidR="004011F2" w:rsidRPr="006C7B74">
        <w:rPr>
          <w:rFonts w:cstheme="minorHAnsi"/>
          <w:sz w:val="20"/>
          <w:szCs w:val="20"/>
        </w:rPr>
        <w:t>.</w:t>
      </w:r>
    </w:p>
    <w:p w14:paraId="5441D408" w14:textId="6F638E64" w:rsidR="004011F2" w:rsidRPr="006C7B74" w:rsidRDefault="004011F2" w:rsidP="00934C4D">
      <w:pPr>
        <w:spacing w:after="120"/>
        <w:rPr>
          <w:rFonts w:cstheme="minorHAnsi"/>
          <w:sz w:val="20"/>
          <w:szCs w:val="20"/>
        </w:rPr>
      </w:pPr>
      <w:r w:rsidRPr="006C7B74">
        <w:rPr>
          <w:rFonts w:cstheme="minorHAnsi"/>
          <w:sz w:val="20"/>
          <w:szCs w:val="20"/>
        </w:rPr>
        <w:t xml:space="preserve">The industries that </w:t>
      </w:r>
      <w:r w:rsidR="005E560A" w:rsidRPr="006C7B74">
        <w:rPr>
          <w:rFonts w:cstheme="minorHAnsi"/>
          <w:sz w:val="20"/>
          <w:szCs w:val="20"/>
        </w:rPr>
        <w:t xml:space="preserve">are expected to </w:t>
      </w:r>
      <w:r w:rsidRPr="006C7B74">
        <w:rPr>
          <w:rFonts w:cstheme="minorHAnsi"/>
          <w:sz w:val="20"/>
          <w:szCs w:val="20"/>
        </w:rPr>
        <w:t>experience the strongest growth are</w:t>
      </w:r>
      <w:r w:rsidR="005E560A" w:rsidRPr="006C7B74">
        <w:rPr>
          <w:rFonts w:cstheme="minorHAnsi"/>
          <w:sz w:val="20"/>
          <w:szCs w:val="20"/>
        </w:rPr>
        <w:t>:</w:t>
      </w:r>
      <w:r w:rsidRPr="006C7B74">
        <w:rPr>
          <w:rFonts w:cstheme="minorHAnsi"/>
          <w:sz w:val="20"/>
          <w:szCs w:val="20"/>
        </w:rPr>
        <w:t xml:space="preserve"> </w:t>
      </w:r>
      <w:r w:rsidR="004C066C" w:rsidRPr="006C7B74">
        <w:rPr>
          <w:rFonts w:cstheme="minorHAnsi"/>
          <w:sz w:val="20"/>
          <w:szCs w:val="20"/>
        </w:rPr>
        <w:t>health care and social assistance; professional, scientific and technical services; education and training; retail trade; accommodation and food services.</w:t>
      </w:r>
    </w:p>
    <w:p w14:paraId="7C7012D7" w14:textId="77777777" w:rsidR="004011F2" w:rsidRPr="006C7B74" w:rsidRDefault="004011F2" w:rsidP="00934C4D">
      <w:pPr>
        <w:spacing w:after="120"/>
        <w:rPr>
          <w:rFonts w:cstheme="minorHAnsi"/>
          <w:sz w:val="20"/>
          <w:szCs w:val="20"/>
        </w:rPr>
      </w:pPr>
    </w:p>
    <w:p w14:paraId="14F4B7BD" w14:textId="7C04509C" w:rsidR="004011F2" w:rsidRPr="006C7B74" w:rsidRDefault="004011F2" w:rsidP="00C802F6">
      <w:pPr>
        <w:pStyle w:val="Heading5"/>
      </w:pPr>
      <w:r w:rsidRPr="006C7B74">
        <w:t xml:space="preserve">Figure </w:t>
      </w:r>
      <w:r w:rsidR="00977058" w:rsidRPr="006C7B74">
        <w:t>3</w:t>
      </w:r>
      <w:r w:rsidR="00272A6B" w:rsidRPr="006C7B74">
        <w:t>2</w:t>
      </w:r>
      <w:r w:rsidRPr="006C7B74">
        <w:t>: Projected employment growth, Inner South East Region, 2016 to 2031</w:t>
      </w:r>
    </w:p>
    <w:p w14:paraId="4E739DE7" w14:textId="4C95664F" w:rsidR="004011F2" w:rsidRPr="006C7B74" w:rsidRDefault="00A00E5C" w:rsidP="00934C4D">
      <w:pPr>
        <w:spacing w:after="120"/>
        <w:rPr>
          <w:rFonts w:cstheme="minorHAnsi"/>
          <w:sz w:val="20"/>
          <w:szCs w:val="20"/>
        </w:rPr>
      </w:pPr>
      <w:r w:rsidRPr="006C7B74">
        <w:rPr>
          <w:rFonts w:cstheme="minorHAnsi"/>
          <w:noProof/>
          <w:sz w:val="20"/>
          <w:szCs w:val="20"/>
        </w:rPr>
        <w:drawing>
          <wp:inline distT="0" distB="0" distL="0" distR="0" wp14:anchorId="1822186C" wp14:editId="49C1931C">
            <wp:extent cx="5727072" cy="3470159"/>
            <wp:effectExtent l="0" t="0" r="0" b="0"/>
            <wp:docPr id="13" name="Picture 13" descr="Graphic showing:&#10;Stonnington +26K jobs, 2.4%pa growth&#10;Bayside +10K jobs, 2.0%pa growth&#10;Boroondara +23K jobs, 1.8%pa growth&#10;Glen Eira +14K jobs, 2.2%pa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ojected employment growth map_2020 update-06.png"/>
                    <pic:cNvPicPr/>
                  </pic:nvPicPr>
                  <pic:blipFill rotWithShape="1">
                    <a:blip r:embed="rId58"/>
                    <a:srcRect t="5302" b="9020"/>
                    <a:stretch/>
                  </pic:blipFill>
                  <pic:spPr bwMode="auto">
                    <a:xfrm>
                      <a:off x="0" y="0"/>
                      <a:ext cx="5727700" cy="3470539"/>
                    </a:xfrm>
                    <a:prstGeom prst="rect">
                      <a:avLst/>
                    </a:prstGeom>
                    <a:ln>
                      <a:noFill/>
                    </a:ln>
                    <a:extLst>
                      <a:ext uri="{53640926-AAD7-44D8-BBD7-CCE9431645EC}">
                        <a14:shadowObscured xmlns:a14="http://schemas.microsoft.com/office/drawing/2010/main"/>
                      </a:ext>
                    </a:extLst>
                  </pic:spPr>
                </pic:pic>
              </a:graphicData>
            </a:graphic>
          </wp:inline>
        </w:drawing>
      </w:r>
    </w:p>
    <w:p w14:paraId="330EA6D8" w14:textId="77B25B1D" w:rsidR="00DB3C3D" w:rsidRPr="006C7B74" w:rsidRDefault="004011F2" w:rsidP="00C802F6">
      <w:pPr>
        <w:pStyle w:val="Quote"/>
      </w:pPr>
      <w:r w:rsidRPr="006C7B74">
        <w:t>Source: Department of Jobs, Precincts and Regions, internal analysis (201</w:t>
      </w:r>
      <w:r w:rsidR="00A00E5C" w:rsidRPr="006C7B74">
        <w:t>9</w:t>
      </w:r>
      <w:r w:rsidRPr="006C7B74">
        <w:t>).</w:t>
      </w:r>
    </w:p>
    <w:p w14:paraId="1EE98776" w14:textId="77777777" w:rsidR="00944BE6" w:rsidRPr="006C7B74" w:rsidRDefault="00944BE6" w:rsidP="00944BE6">
      <w:pPr>
        <w:pStyle w:val="Quote"/>
      </w:pPr>
      <w:r>
        <w:t xml:space="preserve">NOTE: Job </w:t>
      </w:r>
      <w:r w:rsidRPr="00C77EF1">
        <w:t xml:space="preserve">figures </w:t>
      </w:r>
      <w:r>
        <w:t xml:space="preserve">have been </w:t>
      </w:r>
      <w:r w:rsidRPr="00C77EF1">
        <w:t>rounded to the nearest thou</w:t>
      </w:r>
      <w:r>
        <w:t>s</w:t>
      </w:r>
      <w:r w:rsidRPr="00C77EF1">
        <w:t>and.</w:t>
      </w:r>
    </w:p>
    <w:p w14:paraId="3DBC1E8D" w14:textId="77777777" w:rsidR="008B6108" w:rsidRPr="006C7B74" w:rsidRDefault="008B6108" w:rsidP="008B6108"/>
    <w:p w14:paraId="76E07364" w14:textId="77777777" w:rsidR="003C516A" w:rsidRDefault="003C516A">
      <w:pPr>
        <w:rPr>
          <w:rFonts w:asciiTheme="majorHAnsi" w:eastAsiaTheme="majorEastAsia" w:hAnsiTheme="majorHAnsi" w:cstheme="majorBidi"/>
          <w:b/>
          <w:color w:val="642667"/>
          <w:sz w:val="28"/>
        </w:rPr>
      </w:pPr>
      <w:bookmarkStart w:id="60" w:name="_Toc21694839"/>
      <w:r>
        <w:br w:type="page"/>
      </w:r>
    </w:p>
    <w:p w14:paraId="42E7D01E" w14:textId="22356E98" w:rsidR="002076DA" w:rsidRPr="006C7B74" w:rsidRDefault="002076DA" w:rsidP="002076DA">
      <w:pPr>
        <w:pStyle w:val="Heading2-Contenttable"/>
        <w:spacing w:after="120"/>
      </w:pPr>
      <w:r w:rsidRPr="006C7B74">
        <w:lastRenderedPageBreak/>
        <w:t>Key industrial and commercial areas</w:t>
      </w:r>
      <w:bookmarkEnd w:id="60"/>
    </w:p>
    <w:p w14:paraId="18DC3AA4" w14:textId="105E70A9" w:rsidR="006F3D72" w:rsidRPr="006C7B74" w:rsidRDefault="006F3D72" w:rsidP="006F3D72">
      <w:pPr>
        <w:spacing w:after="120"/>
        <w:rPr>
          <w:rFonts w:cstheme="minorHAnsi"/>
          <w:sz w:val="20"/>
          <w:szCs w:val="20"/>
        </w:rPr>
      </w:pPr>
      <w:r w:rsidRPr="006C7B74">
        <w:rPr>
          <w:rFonts w:cstheme="minorHAnsi"/>
          <w:sz w:val="20"/>
          <w:szCs w:val="20"/>
        </w:rPr>
        <w:t xml:space="preserve">The </w:t>
      </w:r>
      <w:r w:rsidRPr="006C7B74">
        <w:rPr>
          <w:rFonts w:cstheme="minorHAnsi"/>
          <w:b/>
          <w:sz w:val="20"/>
          <w:szCs w:val="20"/>
        </w:rPr>
        <w:t xml:space="preserve">Bayside Business </w:t>
      </w:r>
      <w:r w:rsidR="00634BAA" w:rsidRPr="006C7B74">
        <w:rPr>
          <w:rFonts w:cstheme="minorHAnsi"/>
          <w:b/>
          <w:sz w:val="20"/>
          <w:szCs w:val="20"/>
        </w:rPr>
        <w:t>District</w:t>
      </w:r>
      <w:r w:rsidRPr="006C7B74">
        <w:rPr>
          <w:rFonts w:cstheme="minorHAnsi"/>
          <w:sz w:val="20"/>
          <w:szCs w:val="20"/>
        </w:rPr>
        <w:t xml:space="preserve"> in Cheltenham surrounds the Cheltenham Memorial Park Cemetery and is the largest area of industrial land within the region. Having been identified by Bayside Council as an area to transition from its traditional manufacturing base</w:t>
      </w:r>
      <w:r w:rsidR="00BD7E7A" w:rsidRPr="006C7B74">
        <w:rPr>
          <w:rFonts w:cstheme="minorHAnsi"/>
          <w:sz w:val="20"/>
          <w:szCs w:val="20"/>
        </w:rPr>
        <w:t xml:space="preserve"> to</w:t>
      </w:r>
      <w:r w:rsidRPr="006C7B74">
        <w:rPr>
          <w:rFonts w:cstheme="minorHAnsi"/>
          <w:sz w:val="20"/>
          <w:szCs w:val="20"/>
        </w:rPr>
        <w:t xml:space="preserve"> a more business services focus</w:t>
      </w:r>
      <w:r w:rsidR="003B44F3" w:rsidRPr="006C7B74">
        <w:rPr>
          <w:rFonts w:cstheme="minorHAnsi"/>
          <w:sz w:val="20"/>
          <w:szCs w:val="20"/>
        </w:rPr>
        <w:t>,</w:t>
      </w:r>
      <w:r w:rsidRPr="006C7B74">
        <w:rPr>
          <w:rFonts w:cstheme="minorHAnsi"/>
          <w:sz w:val="20"/>
          <w:szCs w:val="20"/>
        </w:rPr>
        <w:t xml:space="preserve"> it provides for a range of manufacturing and industrial uses as well as a growing commercial role. Other industrial land within the region is located either along major roads or in smaller isolated pockets. </w:t>
      </w:r>
    </w:p>
    <w:p w14:paraId="53C25468" w14:textId="6770243D" w:rsidR="006F3D72" w:rsidRPr="006C7B74" w:rsidRDefault="006F3D72" w:rsidP="006F3D72">
      <w:pPr>
        <w:spacing w:after="120"/>
        <w:rPr>
          <w:rFonts w:cstheme="minorHAnsi"/>
          <w:sz w:val="20"/>
          <w:szCs w:val="20"/>
        </w:rPr>
      </w:pPr>
      <w:r w:rsidRPr="006C7B74">
        <w:rPr>
          <w:rFonts w:cstheme="minorHAnsi"/>
          <w:sz w:val="20"/>
          <w:szCs w:val="20"/>
        </w:rPr>
        <w:t xml:space="preserve">In </w:t>
      </w:r>
      <w:r w:rsidRPr="006C7B74">
        <w:rPr>
          <w:rFonts w:cstheme="minorHAnsi"/>
          <w:b/>
          <w:bCs/>
          <w:sz w:val="20"/>
          <w:szCs w:val="20"/>
        </w:rPr>
        <w:t>East Bentleigh</w:t>
      </w:r>
      <w:r w:rsidRPr="006C7B74">
        <w:rPr>
          <w:rFonts w:cstheme="minorHAnsi"/>
          <w:sz w:val="20"/>
          <w:szCs w:val="20"/>
        </w:rPr>
        <w:t xml:space="preserve"> a large area of industrial land has been identified and is being planned for as a new mixed</w:t>
      </w:r>
      <w:r w:rsidR="00994D93" w:rsidRPr="006C7B74">
        <w:rPr>
          <w:rFonts w:cstheme="minorHAnsi"/>
          <w:sz w:val="20"/>
          <w:szCs w:val="20"/>
        </w:rPr>
        <w:t>-</w:t>
      </w:r>
      <w:r w:rsidRPr="006C7B74">
        <w:rPr>
          <w:rFonts w:cstheme="minorHAnsi"/>
          <w:sz w:val="20"/>
          <w:szCs w:val="20"/>
        </w:rPr>
        <w:t>use precinct</w:t>
      </w:r>
      <w:r w:rsidR="00E91F9A" w:rsidRPr="006C7B74">
        <w:rPr>
          <w:rFonts w:cstheme="minorHAnsi"/>
          <w:sz w:val="20"/>
          <w:szCs w:val="20"/>
        </w:rPr>
        <w:t>,</w:t>
      </w:r>
      <w:r w:rsidRPr="006C7B74">
        <w:rPr>
          <w:rFonts w:cstheme="minorHAnsi"/>
          <w:sz w:val="20"/>
          <w:szCs w:val="20"/>
        </w:rPr>
        <w:t xml:space="preserve"> with a focus on innovative employment and education opportunities. It is currently proposed to include</w:t>
      </w:r>
      <w:r w:rsidRPr="006C7B74">
        <w:t xml:space="preserve"> </w:t>
      </w:r>
      <w:r w:rsidRPr="006C7B74">
        <w:rPr>
          <w:rFonts w:cstheme="minorHAnsi"/>
          <w:sz w:val="20"/>
          <w:szCs w:val="20"/>
        </w:rPr>
        <w:t>new commercial and office development along East Boundary Road</w:t>
      </w:r>
      <w:r w:rsidR="00725237" w:rsidRPr="006C7B74">
        <w:rPr>
          <w:rFonts w:cstheme="minorHAnsi"/>
          <w:sz w:val="20"/>
          <w:szCs w:val="20"/>
        </w:rPr>
        <w:t>,</w:t>
      </w:r>
      <w:r w:rsidRPr="006C7B74">
        <w:rPr>
          <w:rFonts w:cstheme="minorHAnsi"/>
          <w:sz w:val="20"/>
          <w:szCs w:val="20"/>
        </w:rPr>
        <w:t xml:space="preserve"> a new retail precinct and, over time, transition the existing industrial and service businesses along North Road to commercial and other employment uses.</w:t>
      </w:r>
    </w:p>
    <w:p w14:paraId="2378BBDC" w14:textId="29BD7701" w:rsidR="006F3D72" w:rsidRPr="006C7B74" w:rsidRDefault="006F3D72" w:rsidP="006F3D72">
      <w:pPr>
        <w:pStyle w:val="paragraph"/>
        <w:spacing w:before="0" w:beforeAutospacing="0" w:after="120" w:afterAutospacing="0"/>
        <w:textAlignment w:val="baseline"/>
        <w:rPr>
          <w:rFonts w:cstheme="minorHAnsi"/>
          <w:sz w:val="18"/>
          <w:szCs w:val="18"/>
        </w:rPr>
      </w:pPr>
      <w:r w:rsidRPr="006C7B74">
        <w:rPr>
          <w:rStyle w:val="normaltextrun"/>
          <w:rFonts w:cstheme="minorHAnsi"/>
          <w:sz w:val="20"/>
          <w:szCs w:val="20"/>
        </w:rPr>
        <w:t>The activity centres network in the region is quite dense and extensive</w:t>
      </w:r>
      <w:r w:rsidR="00161DA0" w:rsidRPr="006C7B74">
        <w:rPr>
          <w:rStyle w:val="normaltextrun"/>
          <w:rFonts w:cstheme="minorHAnsi"/>
          <w:sz w:val="20"/>
          <w:szCs w:val="20"/>
        </w:rPr>
        <w:t>,</w:t>
      </w:r>
      <w:r w:rsidRPr="006C7B74">
        <w:rPr>
          <w:rStyle w:val="normaltextrun"/>
          <w:rFonts w:cstheme="minorHAnsi"/>
          <w:sz w:val="20"/>
          <w:szCs w:val="20"/>
        </w:rPr>
        <w:t xml:space="preserve"> anchored by 16 </w:t>
      </w:r>
      <w:r w:rsidR="00EA47E2" w:rsidRPr="006C7B74">
        <w:rPr>
          <w:rStyle w:val="normaltextrun"/>
          <w:rFonts w:cstheme="minorHAnsi"/>
          <w:sz w:val="20"/>
          <w:szCs w:val="20"/>
        </w:rPr>
        <w:t>m</w:t>
      </w:r>
      <w:r w:rsidRPr="006C7B74">
        <w:rPr>
          <w:rStyle w:val="normaltextrun"/>
          <w:rFonts w:cstheme="minorHAnsi"/>
          <w:sz w:val="20"/>
          <w:szCs w:val="20"/>
        </w:rPr>
        <w:t xml:space="preserve">ajor </w:t>
      </w:r>
      <w:r w:rsidR="00EA47E2" w:rsidRPr="006C7B74">
        <w:rPr>
          <w:rStyle w:val="normaltextrun"/>
          <w:rFonts w:cstheme="minorHAnsi"/>
          <w:sz w:val="20"/>
          <w:szCs w:val="20"/>
        </w:rPr>
        <w:t>a</w:t>
      </w:r>
      <w:r w:rsidRPr="006C7B74">
        <w:rPr>
          <w:rStyle w:val="normaltextrun"/>
          <w:rFonts w:cstheme="minorHAnsi"/>
          <w:sz w:val="20"/>
          <w:szCs w:val="20"/>
        </w:rPr>
        <w:t xml:space="preserve">ctivity </w:t>
      </w:r>
      <w:r w:rsidR="00EA47E2" w:rsidRPr="006C7B74">
        <w:rPr>
          <w:rStyle w:val="normaltextrun"/>
          <w:rFonts w:cstheme="minorHAnsi"/>
          <w:sz w:val="20"/>
          <w:szCs w:val="20"/>
        </w:rPr>
        <w:t>c</w:t>
      </w:r>
      <w:r w:rsidRPr="006C7B74">
        <w:rPr>
          <w:rStyle w:val="normaltextrun"/>
          <w:rFonts w:cstheme="minorHAnsi"/>
          <w:sz w:val="20"/>
          <w:szCs w:val="20"/>
        </w:rPr>
        <w:t>entres. While most are retail based, a number are supported by other commercial uses as well as education and health services</w:t>
      </w:r>
      <w:r w:rsidR="00725237" w:rsidRPr="006C7B74">
        <w:rPr>
          <w:rStyle w:val="normaltextrun"/>
          <w:rFonts w:cstheme="minorHAnsi"/>
          <w:sz w:val="20"/>
          <w:szCs w:val="20"/>
        </w:rPr>
        <w:t>.</w:t>
      </w:r>
    </w:p>
    <w:p w14:paraId="653498AD" w14:textId="01EEA3CF" w:rsidR="006F3D72" w:rsidRPr="006C7B74" w:rsidRDefault="006F3D72" w:rsidP="006F3D72">
      <w:pPr>
        <w:pStyle w:val="paragraph"/>
        <w:spacing w:before="0" w:beforeAutospacing="0" w:after="120" w:afterAutospacing="0"/>
        <w:textAlignment w:val="baseline"/>
        <w:rPr>
          <w:rStyle w:val="normaltextrun"/>
          <w:rFonts w:cstheme="minorHAnsi"/>
          <w:sz w:val="20"/>
          <w:szCs w:val="20"/>
        </w:rPr>
      </w:pPr>
      <w:r w:rsidRPr="006C7B74">
        <w:rPr>
          <w:rStyle w:val="normaltextrun"/>
          <w:rFonts w:cstheme="minorHAnsi"/>
          <w:b/>
          <w:bCs/>
          <w:sz w:val="20"/>
          <w:szCs w:val="20"/>
        </w:rPr>
        <w:t>Chadstone Major Activity Centre</w:t>
      </w:r>
      <w:r w:rsidRPr="006C7B74">
        <w:rPr>
          <w:rStyle w:val="normaltextrun"/>
          <w:rFonts w:cstheme="minorHAnsi"/>
          <w:sz w:val="20"/>
          <w:szCs w:val="20"/>
        </w:rPr>
        <w:t xml:space="preserve"> is metropolitan Melbourne’s largest free-standing shopping centre. It has a significant retail and entertainment offer and is increasingly expanding its uses to include office uses and a hotel development. </w:t>
      </w:r>
    </w:p>
    <w:p w14:paraId="2DD20428" w14:textId="477DAC7A" w:rsidR="006F3D72" w:rsidRPr="006C7B74" w:rsidRDefault="006F3D72" w:rsidP="006F3D72">
      <w:pPr>
        <w:pStyle w:val="paragraph"/>
        <w:spacing w:before="0" w:beforeAutospacing="0" w:after="120" w:afterAutospacing="0"/>
        <w:textAlignment w:val="baseline"/>
        <w:rPr>
          <w:rStyle w:val="normaltextrun"/>
          <w:sz w:val="20"/>
          <w:szCs w:val="20"/>
        </w:rPr>
      </w:pPr>
      <w:r w:rsidRPr="006C7B74">
        <w:rPr>
          <w:rStyle w:val="normaltextrun"/>
          <w:rFonts w:cstheme="minorHAnsi"/>
          <w:sz w:val="20"/>
          <w:szCs w:val="20"/>
        </w:rPr>
        <w:t xml:space="preserve">The </w:t>
      </w:r>
      <w:r w:rsidRPr="006C7B74">
        <w:rPr>
          <w:rStyle w:val="normaltextrun"/>
          <w:rFonts w:cstheme="minorHAnsi"/>
          <w:b/>
          <w:bCs/>
          <w:sz w:val="20"/>
          <w:szCs w:val="20"/>
        </w:rPr>
        <w:t>Prahran-South Yarra Major Activity Centre</w:t>
      </w:r>
      <w:r w:rsidRPr="006C7B74">
        <w:rPr>
          <w:rStyle w:val="normaltextrun"/>
          <w:rFonts w:cstheme="minorHAnsi"/>
          <w:sz w:val="20"/>
          <w:szCs w:val="20"/>
        </w:rPr>
        <w:t xml:space="preserve"> centred on Chapel Street also offers </w:t>
      </w:r>
      <w:r w:rsidRPr="006C7B74">
        <w:rPr>
          <w:rStyle w:val="normaltextrun"/>
          <w:sz w:val="20"/>
          <w:szCs w:val="20"/>
        </w:rPr>
        <w:t>a range of retail activity, office accommodation</w:t>
      </w:r>
      <w:r w:rsidR="00161DA0" w:rsidRPr="006C7B74">
        <w:rPr>
          <w:rStyle w:val="normaltextrun"/>
          <w:sz w:val="20"/>
          <w:szCs w:val="20"/>
        </w:rPr>
        <w:t xml:space="preserve"> and</w:t>
      </w:r>
      <w:r w:rsidRPr="006C7B74">
        <w:rPr>
          <w:rStyle w:val="normaltextrun"/>
          <w:sz w:val="20"/>
          <w:szCs w:val="20"/>
        </w:rPr>
        <w:t xml:space="preserve"> entertainment facilities such as cinemas and nightclubs. </w:t>
      </w:r>
    </w:p>
    <w:p w14:paraId="6CF64E2B" w14:textId="3B45A9A6" w:rsidR="006F3D72" w:rsidRPr="006C7B74" w:rsidRDefault="006F3D72" w:rsidP="006F3D72">
      <w:pPr>
        <w:pStyle w:val="paragraph"/>
        <w:spacing w:before="0" w:beforeAutospacing="0" w:after="120" w:afterAutospacing="0"/>
        <w:textAlignment w:val="baseline"/>
        <w:rPr>
          <w:rStyle w:val="normaltextrun"/>
          <w:rFonts w:cstheme="minorHAnsi"/>
          <w:sz w:val="20"/>
          <w:szCs w:val="20"/>
        </w:rPr>
      </w:pPr>
      <w:r w:rsidRPr="006C7B74">
        <w:rPr>
          <w:rStyle w:val="normaltextrun"/>
          <w:sz w:val="20"/>
          <w:szCs w:val="20"/>
        </w:rPr>
        <w:t xml:space="preserve">The major activity centres of </w:t>
      </w:r>
      <w:r w:rsidRPr="006C7B74">
        <w:rPr>
          <w:rStyle w:val="normaltextrun"/>
          <w:b/>
          <w:bCs/>
          <w:sz w:val="20"/>
          <w:szCs w:val="20"/>
        </w:rPr>
        <w:t>Camberwell Junction</w:t>
      </w:r>
      <w:r w:rsidRPr="006C7B74">
        <w:rPr>
          <w:rStyle w:val="normaltextrun"/>
          <w:sz w:val="20"/>
          <w:szCs w:val="20"/>
        </w:rPr>
        <w:t xml:space="preserve"> and </w:t>
      </w:r>
      <w:r w:rsidRPr="006C7B74">
        <w:rPr>
          <w:rStyle w:val="normaltextrun"/>
          <w:b/>
          <w:bCs/>
          <w:sz w:val="20"/>
          <w:szCs w:val="20"/>
        </w:rPr>
        <w:t>Hawthorn-Glenferrie Road</w:t>
      </w:r>
      <w:r w:rsidRPr="006C7B74">
        <w:rPr>
          <w:rStyle w:val="normaltextrun"/>
          <w:sz w:val="20"/>
          <w:szCs w:val="20"/>
        </w:rPr>
        <w:t xml:space="preserve"> offer a range of retail and commercial uses while the adjacent areas along Burwood and Camberwell Roads are significant corridors for office and commercial development.</w:t>
      </w:r>
    </w:p>
    <w:p w14:paraId="47871F56" w14:textId="03367046" w:rsidR="006F3D72" w:rsidRPr="006C7B74" w:rsidRDefault="006F3D72" w:rsidP="006F3D72">
      <w:pPr>
        <w:pStyle w:val="paragraph"/>
        <w:spacing w:before="0" w:beforeAutospacing="0" w:after="120" w:afterAutospacing="0"/>
        <w:textAlignment w:val="baseline"/>
        <w:rPr>
          <w:rStyle w:val="normaltextrun"/>
          <w:rFonts w:cstheme="minorHAnsi"/>
          <w:sz w:val="20"/>
          <w:szCs w:val="20"/>
        </w:rPr>
      </w:pPr>
      <w:r w:rsidRPr="006C7B74">
        <w:rPr>
          <w:rStyle w:val="normaltextrun"/>
          <w:rFonts w:cstheme="minorHAnsi"/>
          <w:sz w:val="20"/>
          <w:szCs w:val="20"/>
        </w:rPr>
        <w:t>Other strip-based major activity centres such as Bentleigh, Brighton-Bay Street, Brighton-Church Street, Carnegie, Caulfield, Elsternwick, Glenhuntly, Hampton, Kew Junction, Malvern</w:t>
      </w:r>
      <w:r w:rsidR="001D3726" w:rsidRPr="006C7B74">
        <w:rPr>
          <w:rStyle w:val="normaltextrun"/>
          <w:rFonts w:cstheme="minorHAnsi"/>
          <w:sz w:val="20"/>
          <w:szCs w:val="20"/>
        </w:rPr>
        <w:t>-</w:t>
      </w:r>
      <w:r w:rsidRPr="006C7B74">
        <w:rPr>
          <w:rStyle w:val="normaltextrun"/>
          <w:rFonts w:cstheme="minorHAnsi"/>
          <w:sz w:val="20"/>
          <w:szCs w:val="20"/>
        </w:rPr>
        <w:t xml:space="preserve">Armadale, Sandringham and Toorak Village offer a range of retail, office, food and drink and community uses. These centres are supported by a range of smaller </w:t>
      </w:r>
      <w:r w:rsidR="003B169E" w:rsidRPr="006C7B74">
        <w:rPr>
          <w:rStyle w:val="normaltextrun"/>
          <w:rFonts w:cstheme="minorHAnsi"/>
          <w:sz w:val="20"/>
          <w:szCs w:val="20"/>
        </w:rPr>
        <w:t>n</w:t>
      </w:r>
      <w:r w:rsidRPr="006C7B74">
        <w:rPr>
          <w:rStyle w:val="normaltextrun"/>
          <w:rFonts w:cstheme="minorHAnsi"/>
          <w:sz w:val="20"/>
          <w:szCs w:val="20"/>
        </w:rPr>
        <w:t xml:space="preserve">eighbourhood </w:t>
      </w:r>
      <w:r w:rsidR="003B169E" w:rsidRPr="006C7B74">
        <w:rPr>
          <w:rStyle w:val="normaltextrun"/>
          <w:rFonts w:cstheme="minorHAnsi"/>
          <w:sz w:val="20"/>
          <w:szCs w:val="20"/>
        </w:rPr>
        <w:t>a</w:t>
      </w:r>
      <w:r w:rsidRPr="006C7B74">
        <w:rPr>
          <w:rStyle w:val="normaltextrun"/>
          <w:rFonts w:cstheme="minorHAnsi"/>
          <w:sz w:val="20"/>
          <w:szCs w:val="20"/>
        </w:rPr>
        <w:t xml:space="preserve">ctivity </w:t>
      </w:r>
      <w:r w:rsidR="003B169E" w:rsidRPr="006C7B74">
        <w:rPr>
          <w:rStyle w:val="normaltextrun"/>
          <w:rFonts w:cstheme="minorHAnsi"/>
          <w:sz w:val="20"/>
          <w:szCs w:val="20"/>
        </w:rPr>
        <w:t>c</w:t>
      </w:r>
      <w:r w:rsidRPr="006C7B74">
        <w:rPr>
          <w:rStyle w:val="normaltextrun"/>
          <w:rFonts w:cstheme="minorHAnsi"/>
          <w:sz w:val="20"/>
          <w:szCs w:val="20"/>
        </w:rPr>
        <w:t>entres serving local communities and smaller catchments.</w:t>
      </w:r>
    </w:p>
    <w:p w14:paraId="18213611" w14:textId="77777777" w:rsidR="006F3D72" w:rsidRPr="006C7B74" w:rsidRDefault="006F3D72" w:rsidP="006F3D72">
      <w:pPr>
        <w:pStyle w:val="paragraph"/>
        <w:spacing w:before="0" w:beforeAutospacing="0" w:after="120" w:afterAutospacing="0"/>
        <w:textAlignment w:val="baseline"/>
        <w:rPr>
          <w:rStyle w:val="normaltextrun"/>
        </w:rPr>
      </w:pPr>
    </w:p>
    <w:p w14:paraId="5775E259" w14:textId="77777777" w:rsidR="004011F2" w:rsidRPr="006C7B74" w:rsidRDefault="004011F2" w:rsidP="00934C4D">
      <w:pPr>
        <w:pStyle w:val="Heading2-Contenttable"/>
        <w:spacing w:after="120"/>
      </w:pPr>
      <w:bookmarkStart w:id="61" w:name="_Toc21694840"/>
      <w:r w:rsidRPr="006C7B74">
        <w:t>Supply and demand for industrial and commercial land across the region</w:t>
      </w:r>
      <w:bookmarkEnd w:id="61"/>
    </w:p>
    <w:p w14:paraId="27F42D99" w14:textId="4161EF3A" w:rsidR="004011F2" w:rsidRPr="006C7B74" w:rsidRDefault="004011F2" w:rsidP="00934C4D">
      <w:pPr>
        <w:pStyle w:val="Heading3"/>
        <w:spacing w:before="0" w:after="120"/>
      </w:pPr>
      <w:r w:rsidRPr="006C7B74">
        <w:t>Industrial land</w:t>
      </w:r>
    </w:p>
    <w:p w14:paraId="5D86110F" w14:textId="5A7DD55D" w:rsidR="004011F2" w:rsidRPr="006C7B74" w:rsidRDefault="004011F2" w:rsidP="00934C4D">
      <w:pPr>
        <w:spacing w:after="120"/>
        <w:rPr>
          <w:rFonts w:cstheme="minorHAnsi"/>
          <w:sz w:val="20"/>
          <w:szCs w:val="20"/>
        </w:rPr>
      </w:pPr>
      <w:r w:rsidRPr="006C7B74">
        <w:rPr>
          <w:rFonts w:cstheme="minorHAnsi"/>
          <w:sz w:val="20"/>
          <w:szCs w:val="20"/>
        </w:rPr>
        <w:t xml:space="preserve">The Inner South East Region contains metropolitan Melbourne’s smallest holdings of industrial land. The region has a total of </w:t>
      </w:r>
      <w:r w:rsidR="00725237" w:rsidRPr="006C7B74">
        <w:rPr>
          <w:rFonts w:cstheme="minorHAnsi"/>
          <w:sz w:val="20"/>
          <w:szCs w:val="20"/>
        </w:rPr>
        <w:t xml:space="preserve">only </w:t>
      </w:r>
      <w:r w:rsidRPr="006C7B74">
        <w:rPr>
          <w:rFonts w:cstheme="minorHAnsi"/>
          <w:sz w:val="20"/>
          <w:szCs w:val="20"/>
        </w:rPr>
        <w:t xml:space="preserve">143 hectares </w:t>
      </w:r>
      <w:r w:rsidR="00C16A55" w:rsidRPr="006C7B74">
        <w:rPr>
          <w:rFonts w:cstheme="minorHAnsi"/>
          <w:sz w:val="20"/>
          <w:szCs w:val="20"/>
        </w:rPr>
        <w:t xml:space="preserve">of land </w:t>
      </w:r>
      <w:r w:rsidRPr="006C7B74">
        <w:rPr>
          <w:rFonts w:cstheme="minorHAnsi"/>
          <w:sz w:val="20"/>
          <w:szCs w:val="20"/>
        </w:rPr>
        <w:t>set aside for industrial uses. Of this land, 14</w:t>
      </w:r>
      <w:r w:rsidR="00B3416C" w:rsidRPr="006C7B74">
        <w:rPr>
          <w:rFonts w:cstheme="minorHAnsi"/>
          <w:sz w:val="20"/>
          <w:szCs w:val="20"/>
        </w:rPr>
        <w:t>1</w:t>
      </w:r>
      <w:r w:rsidRPr="006C7B74">
        <w:rPr>
          <w:rFonts w:cstheme="minorHAnsi"/>
          <w:sz w:val="20"/>
          <w:szCs w:val="20"/>
        </w:rPr>
        <w:t xml:space="preserve"> hectares </w:t>
      </w:r>
      <w:r w:rsidR="00685956" w:rsidRPr="006C7B74">
        <w:rPr>
          <w:rFonts w:cstheme="minorHAnsi"/>
          <w:sz w:val="20"/>
          <w:szCs w:val="20"/>
        </w:rPr>
        <w:t>are</w:t>
      </w:r>
      <w:r w:rsidRPr="006C7B74">
        <w:rPr>
          <w:rFonts w:cstheme="minorHAnsi"/>
          <w:sz w:val="20"/>
          <w:szCs w:val="20"/>
        </w:rPr>
        <w:t xml:space="preserve"> occupied and </w:t>
      </w:r>
      <w:r w:rsidR="00C16A55" w:rsidRPr="006C7B74">
        <w:rPr>
          <w:rFonts w:cstheme="minorHAnsi"/>
          <w:sz w:val="20"/>
          <w:szCs w:val="20"/>
        </w:rPr>
        <w:t xml:space="preserve">just over </w:t>
      </w:r>
      <w:r w:rsidRPr="006C7B74">
        <w:rPr>
          <w:rFonts w:cstheme="minorHAnsi"/>
          <w:sz w:val="20"/>
          <w:szCs w:val="20"/>
        </w:rPr>
        <w:t xml:space="preserve">2 hectares </w:t>
      </w:r>
      <w:r w:rsidR="00685956" w:rsidRPr="006C7B74">
        <w:rPr>
          <w:rFonts w:cstheme="minorHAnsi"/>
          <w:sz w:val="20"/>
          <w:szCs w:val="20"/>
        </w:rPr>
        <w:t>are</w:t>
      </w:r>
      <w:r w:rsidRPr="006C7B74">
        <w:rPr>
          <w:rFonts w:cstheme="minorHAnsi"/>
          <w:sz w:val="20"/>
          <w:szCs w:val="20"/>
        </w:rPr>
        <w:t xml:space="preserve"> currently </w:t>
      </w:r>
      <w:r w:rsidR="00C16A55" w:rsidRPr="006C7B74">
        <w:rPr>
          <w:rFonts w:cstheme="minorHAnsi"/>
          <w:sz w:val="20"/>
          <w:szCs w:val="20"/>
        </w:rPr>
        <w:t xml:space="preserve">vacant and available </w:t>
      </w:r>
      <w:r w:rsidRPr="006C7B74">
        <w:rPr>
          <w:rFonts w:cstheme="minorHAnsi"/>
          <w:sz w:val="20"/>
          <w:szCs w:val="20"/>
        </w:rPr>
        <w:t xml:space="preserve">for industrial purposes. No land has been identified for future industrial </w:t>
      </w:r>
      <w:r w:rsidR="00C16A55" w:rsidRPr="006C7B74">
        <w:rPr>
          <w:rFonts w:cstheme="minorHAnsi"/>
          <w:sz w:val="20"/>
          <w:szCs w:val="20"/>
        </w:rPr>
        <w:t>purposes</w:t>
      </w:r>
      <w:r w:rsidRPr="006C7B74">
        <w:rPr>
          <w:rFonts w:cstheme="minorHAnsi"/>
          <w:sz w:val="20"/>
          <w:szCs w:val="20"/>
        </w:rPr>
        <w:t>.</w:t>
      </w:r>
    </w:p>
    <w:p w14:paraId="7B495B6A" w14:textId="77777777" w:rsidR="004011F2" w:rsidRPr="006C7B74" w:rsidRDefault="004011F2" w:rsidP="00934C4D">
      <w:pPr>
        <w:spacing w:after="120"/>
        <w:rPr>
          <w:rFonts w:cstheme="minorHAnsi"/>
          <w:sz w:val="20"/>
          <w:szCs w:val="20"/>
        </w:rPr>
      </w:pPr>
    </w:p>
    <w:p w14:paraId="4844F216" w14:textId="2D74E4B4" w:rsidR="004011F2" w:rsidRPr="006C7B74" w:rsidRDefault="004011F2" w:rsidP="00C802F6">
      <w:pPr>
        <w:pStyle w:val="Heading5"/>
      </w:pPr>
      <w:r w:rsidRPr="006C7B74">
        <w:t xml:space="preserve">Table </w:t>
      </w:r>
      <w:r w:rsidR="00A667DD" w:rsidRPr="006C7B74">
        <w:t>32</w:t>
      </w:r>
      <w:r w:rsidRPr="006C7B74">
        <w:t>: Industrial land supply</w:t>
      </w:r>
      <w:r w:rsidR="003C2995" w:rsidRPr="006C7B74">
        <w:t xml:space="preserve">, </w:t>
      </w:r>
      <w:r w:rsidR="00031647" w:rsidRPr="006C7B74">
        <w:t>Inner South East Region</w:t>
      </w:r>
    </w:p>
    <w:tbl>
      <w:tblPr>
        <w:tblW w:w="5000" w:type="pct"/>
        <w:tblCellMar>
          <w:left w:w="0" w:type="dxa"/>
          <w:right w:w="0" w:type="dxa"/>
        </w:tblCellMar>
        <w:tblLook w:val="04A0" w:firstRow="1" w:lastRow="0" w:firstColumn="1" w:lastColumn="0" w:noHBand="0" w:noVBand="1"/>
      </w:tblPr>
      <w:tblGrid>
        <w:gridCol w:w="1991"/>
        <w:gridCol w:w="1727"/>
        <w:gridCol w:w="1532"/>
        <w:gridCol w:w="1544"/>
        <w:gridCol w:w="2226"/>
      </w:tblGrid>
      <w:tr w:rsidR="00E00E05" w:rsidRPr="006C7B74" w14:paraId="7D97C229" w14:textId="77777777" w:rsidTr="0011277D">
        <w:trPr>
          <w:trHeight w:val="567"/>
        </w:trPr>
        <w:tc>
          <w:tcPr>
            <w:tcW w:w="1103" w:type="pct"/>
            <w:tcBorders>
              <w:top w:val="nil"/>
              <w:left w:val="nil"/>
              <w:bottom w:val="single" w:sz="8" w:space="0" w:color="4D446C"/>
              <w:right w:val="nil"/>
            </w:tcBorders>
            <w:shd w:val="clear" w:color="000000" w:fill="4D446C"/>
            <w:noWrap/>
            <w:tcMar>
              <w:top w:w="15" w:type="dxa"/>
              <w:left w:w="15" w:type="dxa"/>
              <w:bottom w:w="0" w:type="dxa"/>
              <w:right w:w="15" w:type="dxa"/>
            </w:tcMar>
            <w:vAlign w:val="center"/>
            <w:hideMark/>
          </w:tcPr>
          <w:p w14:paraId="2E292F94" w14:textId="3DC2DCF7" w:rsidR="00E00E05" w:rsidRPr="006C7B74" w:rsidRDefault="00E00E05" w:rsidP="003C516A">
            <w:pPr>
              <w:pStyle w:val="TableHeaderRow"/>
            </w:pPr>
            <w:r w:rsidRPr="006C7B74">
              <w:t>Council</w:t>
            </w:r>
          </w:p>
        </w:tc>
        <w:tc>
          <w:tcPr>
            <w:tcW w:w="957" w:type="pct"/>
            <w:tcBorders>
              <w:top w:val="nil"/>
              <w:left w:val="nil"/>
              <w:bottom w:val="single" w:sz="8" w:space="0" w:color="4D446C"/>
              <w:right w:val="nil"/>
            </w:tcBorders>
            <w:shd w:val="clear" w:color="000000" w:fill="4D446C"/>
            <w:tcMar>
              <w:top w:w="15" w:type="dxa"/>
              <w:left w:w="15" w:type="dxa"/>
              <w:bottom w:w="0" w:type="dxa"/>
              <w:right w:w="15" w:type="dxa"/>
            </w:tcMar>
            <w:vAlign w:val="center"/>
            <w:hideMark/>
          </w:tcPr>
          <w:p w14:paraId="7D131EDF" w14:textId="14A7F130" w:rsidR="00E00E05" w:rsidRPr="006C7B74" w:rsidRDefault="00E00E05" w:rsidP="003C516A">
            <w:pPr>
              <w:pStyle w:val="TableHeaderRow"/>
              <w:jc w:val="center"/>
            </w:pPr>
            <w:r w:rsidRPr="006C7B74">
              <w:t xml:space="preserve">Zoned </w:t>
            </w:r>
            <w:r w:rsidR="00C622AE" w:rsidRPr="006C7B74">
              <w:t>o</w:t>
            </w:r>
            <w:r w:rsidRPr="006C7B74">
              <w:t>ccupied (ha)</w:t>
            </w:r>
          </w:p>
        </w:tc>
        <w:tc>
          <w:tcPr>
            <w:tcW w:w="849" w:type="pct"/>
            <w:tcBorders>
              <w:top w:val="nil"/>
              <w:left w:val="nil"/>
              <w:bottom w:val="single" w:sz="8" w:space="0" w:color="4D446C"/>
              <w:right w:val="nil"/>
            </w:tcBorders>
            <w:shd w:val="clear" w:color="000000" w:fill="4D446C"/>
            <w:tcMar>
              <w:top w:w="15" w:type="dxa"/>
              <w:left w:w="15" w:type="dxa"/>
              <w:bottom w:w="0" w:type="dxa"/>
              <w:right w:w="15" w:type="dxa"/>
            </w:tcMar>
            <w:vAlign w:val="center"/>
            <w:hideMark/>
          </w:tcPr>
          <w:p w14:paraId="6194569B" w14:textId="7DF5C9C2" w:rsidR="00E00E05" w:rsidRPr="006C7B74" w:rsidRDefault="00E00E05" w:rsidP="003C516A">
            <w:pPr>
              <w:pStyle w:val="TableHeaderRow"/>
              <w:jc w:val="center"/>
            </w:pPr>
            <w:r w:rsidRPr="006C7B74">
              <w:t xml:space="preserve">Zoned </w:t>
            </w:r>
            <w:r w:rsidR="00C622AE" w:rsidRPr="006C7B74">
              <w:t>v</w:t>
            </w:r>
            <w:r w:rsidRPr="006C7B74">
              <w:t>acant (ha)</w:t>
            </w:r>
          </w:p>
        </w:tc>
        <w:tc>
          <w:tcPr>
            <w:tcW w:w="856" w:type="pct"/>
            <w:tcBorders>
              <w:top w:val="nil"/>
              <w:left w:val="nil"/>
              <w:bottom w:val="single" w:sz="8" w:space="0" w:color="4D446C"/>
              <w:right w:val="nil"/>
            </w:tcBorders>
            <w:shd w:val="clear" w:color="000000" w:fill="4D446C"/>
            <w:tcMar>
              <w:top w:w="15" w:type="dxa"/>
              <w:left w:w="15" w:type="dxa"/>
              <w:bottom w:w="0" w:type="dxa"/>
              <w:right w:w="15" w:type="dxa"/>
            </w:tcMar>
            <w:vAlign w:val="center"/>
            <w:hideMark/>
          </w:tcPr>
          <w:p w14:paraId="12CB736B" w14:textId="47A4C67C" w:rsidR="00E00E05" w:rsidRPr="006C7B74" w:rsidRDefault="00E00E05" w:rsidP="003C516A">
            <w:pPr>
              <w:pStyle w:val="TableHeaderRow"/>
              <w:jc w:val="center"/>
            </w:pPr>
            <w:r w:rsidRPr="006C7B74">
              <w:t xml:space="preserve">Future </w:t>
            </w:r>
            <w:r w:rsidR="00C622AE" w:rsidRPr="006C7B74">
              <w:t>s</w:t>
            </w:r>
            <w:r w:rsidRPr="006C7B74">
              <w:t>upply (ha)</w:t>
            </w:r>
          </w:p>
        </w:tc>
        <w:tc>
          <w:tcPr>
            <w:tcW w:w="1234" w:type="pct"/>
            <w:tcBorders>
              <w:top w:val="nil"/>
              <w:left w:val="nil"/>
              <w:bottom w:val="single" w:sz="8" w:space="0" w:color="4D446C"/>
              <w:right w:val="nil"/>
            </w:tcBorders>
            <w:shd w:val="clear" w:color="000000" w:fill="4D446C"/>
            <w:tcMar>
              <w:top w:w="15" w:type="dxa"/>
              <w:left w:w="15" w:type="dxa"/>
              <w:bottom w:w="0" w:type="dxa"/>
              <w:right w:w="15" w:type="dxa"/>
            </w:tcMar>
            <w:vAlign w:val="center"/>
            <w:hideMark/>
          </w:tcPr>
          <w:p w14:paraId="2217940F" w14:textId="6ACDE6EA" w:rsidR="00E00E05" w:rsidRPr="006C7B74" w:rsidRDefault="00E00E05" w:rsidP="003C516A">
            <w:pPr>
              <w:pStyle w:val="TableHeaderRow"/>
              <w:jc w:val="center"/>
            </w:pPr>
            <w:r w:rsidRPr="006C7B74">
              <w:t xml:space="preserve">Total </w:t>
            </w:r>
            <w:r w:rsidR="00C622AE" w:rsidRPr="006C7B74">
              <w:t>a</w:t>
            </w:r>
            <w:r w:rsidRPr="006C7B74">
              <w:t xml:space="preserve">vailable </w:t>
            </w:r>
            <w:r w:rsidR="00C622AE" w:rsidRPr="006C7B74">
              <w:t>s</w:t>
            </w:r>
            <w:r w:rsidRPr="006C7B74">
              <w:t>upply (ha)</w:t>
            </w:r>
          </w:p>
        </w:tc>
      </w:tr>
      <w:tr w:rsidR="00E00E05" w:rsidRPr="006C7B74" w14:paraId="378E0C8F" w14:textId="77777777" w:rsidTr="00E00E05">
        <w:trPr>
          <w:trHeight w:val="315"/>
        </w:trPr>
        <w:tc>
          <w:tcPr>
            <w:tcW w:w="1103"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4200A05F" w14:textId="77777777" w:rsidR="00E00E05" w:rsidRPr="006C7B74" w:rsidRDefault="00E00E05">
            <w:pPr>
              <w:rPr>
                <w:rFonts w:ascii="Calibri" w:hAnsi="Calibri" w:cs="Calibri"/>
                <w:color w:val="000000"/>
                <w:sz w:val="18"/>
                <w:szCs w:val="18"/>
              </w:rPr>
            </w:pPr>
            <w:r w:rsidRPr="006C7B74">
              <w:rPr>
                <w:rFonts w:ascii="Calibri" w:hAnsi="Calibri" w:cs="Calibri"/>
                <w:color w:val="000000"/>
                <w:sz w:val="18"/>
                <w:szCs w:val="18"/>
              </w:rPr>
              <w:t>Bayside</w:t>
            </w:r>
          </w:p>
        </w:tc>
        <w:tc>
          <w:tcPr>
            <w:tcW w:w="95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2D15318F" w14:textId="77777777" w:rsidR="00E00E05" w:rsidRPr="006C7B74" w:rsidRDefault="00E00E05">
            <w:pPr>
              <w:jc w:val="center"/>
              <w:rPr>
                <w:rFonts w:ascii="Calibri" w:hAnsi="Calibri" w:cs="Calibri"/>
                <w:color w:val="363534"/>
                <w:sz w:val="18"/>
                <w:szCs w:val="18"/>
              </w:rPr>
            </w:pPr>
            <w:r w:rsidRPr="006C7B74">
              <w:rPr>
                <w:rFonts w:ascii="Calibri" w:hAnsi="Calibri" w:cs="Calibri"/>
                <w:color w:val="363534"/>
                <w:sz w:val="18"/>
                <w:szCs w:val="18"/>
              </w:rPr>
              <w:t>73.7</w:t>
            </w:r>
          </w:p>
        </w:tc>
        <w:tc>
          <w:tcPr>
            <w:tcW w:w="849"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211AF4A5" w14:textId="77777777" w:rsidR="00E00E05" w:rsidRPr="006C7B74" w:rsidRDefault="00E00E05">
            <w:pPr>
              <w:jc w:val="center"/>
              <w:rPr>
                <w:rFonts w:ascii="Calibri" w:hAnsi="Calibri" w:cs="Calibri"/>
                <w:color w:val="363534"/>
                <w:sz w:val="18"/>
                <w:szCs w:val="18"/>
              </w:rPr>
            </w:pPr>
            <w:r w:rsidRPr="006C7B74">
              <w:rPr>
                <w:rFonts w:ascii="Calibri" w:hAnsi="Calibri" w:cs="Calibri"/>
                <w:color w:val="363534"/>
                <w:sz w:val="18"/>
                <w:szCs w:val="18"/>
              </w:rPr>
              <w:t>1.9</w:t>
            </w:r>
          </w:p>
        </w:tc>
        <w:tc>
          <w:tcPr>
            <w:tcW w:w="856"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2228328A" w14:textId="77777777" w:rsidR="00E00E05" w:rsidRPr="006C7B74" w:rsidRDefault="00E00E05">
            <w:pPr>
              <w:jc w:val="center"/>
              <w:rPr>
                <w:rFonts w:ascii="Calibri" w:hAnsi="Calibri" w:cs="Calibri"/>
                <w:color w:val="363534"/>
                <w:sz w:val="18"/>
                <w:szCs w:val="18"/>
              </w:rPr>
            </w:pPr>
            <w:r w:rsidRPr="006C7B74">
              <w:rPr>
                <w:rFonts w:ascii="Calibri" w:hAnsi="Calibri" w:cs="Calibri"/>
                <w:color w:val="363534"/>
                <w:sz w:val="18"/>
                <w:szCs w:val="18"/>
              </w:rPr>
              <w:t>0.0</w:t>
            </w:r>
          </w:p>
        </w:tc>
        <w:tc>
          <w:tcPr>
            <w:tcW w:w="1234"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7B278E61" w14:textId="77777777" w:rsidR="00E00E05" w:rsidRPr="006C7B74" w:rsidRDefault="00E00E05">
            <w:pPr>
              <w:jc w:val="center"/>
              <w:rPr>
                <w:rFonts w:ascii="Calibri" w:hAnsi="Calibri" w:cs="Calibri"/>
                <w:color w:val="363534"/>
                <w:sz w:val="18"/>
                <w:szCs w:val="18"/>
              </w:rPr>
            </w:pPr>
            <w:r w:rsidRPr="006C7B74">
              <w:rPr>
                <w:rFonts w:ascii="Calibri" w:hAnsi="Calibri" w:cs="Calibri"/>
                <w:color w:val="363534"/>
                <w:sz w:val="18"/>
                <w:szCs w:val="18"/>
              </w:rPr>
              <w:t>1.9</w:t>
            </w:r>
          </w:p>
        </w:tc>
      </w:tr>
      <w:tr w:rsidR="00E00E05" w:rsidRPr="006C7B74" w14:paraId="02347029" w14:textId="77777777" w:rsidTr="00E00E05">
        <w:trPr>
          <w:trHeight w:val="315"/>
        </w:trPr>
        <w:tc>
          <w:tcPr>
            <w:tcW w:w="1103"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5F84A463" w14:textId="77777777" w:rsidR="00E00E05" w:rsidRPr="006C7B74" w:rsidRDefault="00E00E05">
            <w:pPr>
              <w:rPr>
                <w:rFonts w:ascii="Calibri" w:hAnsi="Calibri" w:cs="Calibri"/>
                <w:color w:val="000000"/>
                <w:sz w:val="18"/>
                <w:szCs w:val="18"/>
              </w:rPr>
            </w:pPr>
            <w:r w:rsidRPr="006C7B74">
              <w:rPr>
                <w:rFonts w:ascii="Calibri" w:hAnsi="Calibri" w:cs="Calibri"/>
                <w:color w:val="000000"/>
                <w:sz w:val="18"/>
                <w:szCs w:val="18"/>
              </w:rPr>
              <w:t>Boroondara</w:t>
            </w:r>
          </w:p>
        </w:tc>
        <w:tc>
          <w:tcPr>
            <w:tcW w:w="95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7EA34D04" w14:textId="77777777" w:rsidR="00E00E05" w:rsidRPr="006C7B74" w:rsidRDefault="00E00E05">
            <w:pPr>
              <w:jc w:val="center"/>
              <w:rPr>
                <w:rFonts w:ascii="Calibri" w:hAnsi="Calibri" w:cs="Calibri"/>
                <w:color w:val="363534"/>
                <w:sz w:val="18"/>
                <w:szCs w:val="18"/>
              </w:rPr>
            </w:pPr>
            <w:r w:rsidRPr="006C7B74">
              <w:rPr>
                <w:rFonts w:ascii="Calibri" w:hAnsi="Calibri" w:cs="Calibri"/>
                <w:color w:val="363534"/>
                <w:sz w:val="18"/>
                <w:szCs w:val="18"/>
              </w:rPr>
              <w:t>20.1</w:t>
            </w:r>
          </w:p>
        </w:tc>
        <w:tc>
          <w:tcPr>
            <w:tcW w:w="849"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59CE9799" w14:textId="77777777" w:rsidR="00E00E05" w:rsidRPr="006C7B74" w:rsidRDefault="00E00E05">
            <w:pPr>
              <w:jc w:val="center"/>
              <w:rPr>
                <w:rFonts w:ascii="Calibri" w:hAnsi="Calibri" w:cs="Calibri"/>
                <w:color w:val="363534"/>
                <w:sz w:val="18"/>
                <w:szCs w:val="18"/>
              </w:rPr>
            </w:pPr>
            <w:r w:rsidRPr="006C7B74">
              <w:rPr>
                <w:rFonts w:ascii="Calibri" w:hAnsi="Calibri" w:cs="Calibri"/>
                <w:color w:val="363534"/>
                <w:sz w:val="18"/>
                <w:szCs w:val="18"/>
              </w:rPr>
              <w:t>0.4</w:t>
            </w:r>
          </w:p>
        </w:tc>
        <w:tc>
          <w:tcPr>
            <w:tcW w:w="856"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659AC03E" w14:textId="77777777" w:rsidR="00E00E05" w:rsidRPr="006C7B74" w:rsidRDefault="00E00E05">
            <w:pPr>
              <w:jc w:val="center"/>
              <w:rPr>
                <w:rFonts w:ascii="Calibri" w:hAnsi="Calibri" w:cs="Calibri"/>
                <w:color w:val="363534"/>
                <w:sz w:val="18"/>
                <w:szCs w:val="18"/>
              </w:rPr>
            </w:pPr>
            <w:r w:rsidRPr="006C7B74">
              <w:rPr>
                <w:rFonts w:ascii="Calibri" w:hAnsi="Calibri" w:cs="Calibri"/>
                <w:color w:val="363534"/>
                <w:sz w:val="18"/>
                <w:szCs w:val="18"/>
              </w:rPr>
              <w:t>0.0</w:t>
            </w:r>
          </w:p>
        </w:tc>
        <w:tc>
          <w:tcPr>
            <w:tcW w:w="1234"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7CCDE76E" w14:textId="77777777" w:rsidR="00E00E05" w:rsidRPr="006C7B74" w:rsidRDefault="00E00E05">
            <w:pPr>
              <w:jc w:val="center"/>
              <w:rPr>
                <w:rFonts w:ascii="Calibri" w:hAnsi="Calibri" w:cs="Calibri"/>
                <w:color w:val="363534"/>
                <w:sz w:val="18"/>
                <w:szCs w:val="18"/>
              </w:rPr>
            </w:pPr>
            <w:r w:rsidRPr="006C7B74">
              <w:rPr>
                <w:rFonts w:ascii="Calibri" w:hAnsi="Calibri" w:cs="Calibri"/>
                <w:color w:val="363534"/>
                <w:sz w:val="18"/>
                <w:szCs w:val="18"/>
              </w:rPr>
              <w:t>0.4</w:t>
            </w:r>
          </w:p>
        </w:tc>
      </w:tr>
      <w:tr w:rsidR="00E00E05" w:rsidRPr="006C7B74" w14:paraId="7639BF09" w14:textId="77777777" w:rsidTr="00E00E05">
        <w:trPr>
          <w:trHeight w:val="315"/>
        </w:trPr>
        <w:tc>
          <w:tcPr>
            <w:tcW w:w="1103"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30BF787D" w14:textId="77777777" w:rsidR="00E00E05" w:rsidRPr="006C7B74" w:rsidRDefault="00E00E05">
            <w:pPr>
              <w:rPr>
                <w:rFonts w:ascii="Calibri" w:hAnsi="Calibri" w:cs="Calibri"/>
                <w:color w:val="000000"/>
                <w:sz w:val="18"/>
                <w:szCs w:val="18"/>
              </w:rPr>
            </w:pPr>
            <w:r w:rsidRPr="006C7B74">
              <w:rPr>
                <w:rFonts w:ascii="Calibri" w:hAnsi="Calibri" w:cs="Calibri"/>
                <w:color w:val="000000"/>
                <w:sz w:val="18"/>
                <w:szCs w:val="18"/>
              </w:rPr>
              <w:t xml:space="preserve">Glen </w:t>
            </w:r>
            <w:proofErr w:type="spellStart"/>
            <w:r w:rsidRPr="006C7B74">
              <w:rPr>
                <w:rFonts w:ascii="Calibri" w:hAnsi="Calibri" w:cs="Calibri"/>
                <w:color w:val="000000"/>
                <w:sz w:val="18"/>
                <w:szCs w:val="18"/>
              </w:rPr>
              <w:t>Eira</w:t>
            </w:r>
            <w:proofErr w:type="spellEnd"/>
          </w:p>
        </w:tc>
        <w:tc>
          <w:tcPr>
            <w:tcW w:w="95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3C7E119B" w14:textId="77777777" w:rsidR="00E00E05" w:rsidRPr="006C7B74" w:rsidRDefault="00E00E05">
            <w:pPr>
              <w:jc w:val="center"/>
              <w:rPr>
                <w:rFonts w:ascii="Calibri" w:hAnsi="Calibri" w:cs="Calibri"/>
                <w:color w:val="363534"/>
                <w:sz w:val="18"/>
                <w:szCs w:val="18"/>
              </w:rPr>
            </w:pPr>
            <w:r w:rsidRPr="006C7B74">
              <w:rPr>
                <w:rFonts w:ascii="Calibri" w:hAnsi="Calibri" w:cs="Calibri"/>
                <w:color w:val="363534"/>
                <w:sz w:val="18"/>
                <w:szCs w:val="18"/>
              </w:rPr>
              <w:t>43.2</w:t>
            </w:r>
          </w:p>
        </w:tc>
        <w:tc>
          <w:tcPr>
            <w:tcW w:w="849"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4B7628A5" w14:textId="77F3C224" w:rsidR="00E00E05" w:rsidRPr="006C7B74" w:rsidRDefault="00E00E05">
            <w:pPr>
              <w:jc w:val="center"/>
              <w:rPr>
                <w:rFonts w:ascii="Calibri" w:hAnsi="Calibri" w:cs="Calibri"/>
                <w:color w:val="363534"/>
                <w:sz w:val="18"/>
                <w:szCs w:val="18"/>
              </w:rPr>
            </w:pPr>
            <w:r w:rsidRPr="006C7B74">
              <w:rPr>
                <w:rFonts w:ascii="Calibri" w:hAnsi="Calibri" w:cs="Calibri"/>
                <w:color w:val="363534"/>
                <w:sz w:val="18"/>
                <w:szCs w:val="18"/>
              </w:rPr>
              <w:t>0</w:t>
            </w:r>
            <w:r w:rsidR="00F23524" w:rsidRPr="006C7B74">
              <w:rPr>
                <w:rFonts w:ascii="Calibri" w:hAnsi="Calibri" w:cs="Calibri"/>
                <w:color w:val="363534"/>
                <w:sz w:val="18"/>
                <w:szCs w:val="18"/>
              </w:rPr>
              <w:t>.</w:t>
            </w:r>
            <w:r w:rsidRPr="006C7B74">
              <w:rPr>
                <w:rFonts w:ascii="Calibri" w:hAnsi="Calibri" w:cs="Calibri"/>
                <w:color w:val="363534"/>
                <w:sz w:val="18"/>
                <w:szCs w:val="18"/>
              </w:rPr>
              <w:t>0</w:t>
            </w:r>
          </w:p>
        </w:tc>
        <w:tc>
          <w:tcPr>
            <w:tcW w:w="856"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0F022AC5" w14:textId="77777777" w:rsidR="00E00E05" w:rsidRPr="006C7B74" w:rsidRDefault="00E00E05">
            <w:pPr>
              <w:jc w:val="center"/>
              <w:rPr>
                <w:rFonts w:ascii="Calibri" w:hAnsi="Calibri" w:cs="Calibri"/>
                <w:color w:val="363534"/>
                <w:sz w:val="18"/>
                <w:szCs w:val="18"/>
              </w:rPr>
            </w:pPr>
            <w:r w:rsidRPr="006C7B74">
              <w:rPr>
                <w:rFonts w:ascii="Calibri" w:hAnsi="Calibri" w:cs="Calibri"/>
                <w:color w:val="363534"/>
                <w:sz w:val="18"/>
                <w:szCs w:val="18"/>
              </w:rPr>
              <w:t>0.0</w:t>
            </w:r>
          </w:p>
        </w:tc>
        <w:tc>
          <w:tcPr>
            <w:tcW w:w="1234"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612F7F76" w14:textId="77777777" w:rsidR="00E00E05" w:rsidRPr="006C7B74" w:rsidRDefault="00E00E05">
            <w:pPr>
              <w:jc w:val="center"/>
              <w:rPr>
                <w:rFonts w:ascii="Calibri" w:hAnsi="Calibri" w:cs="Calibri"/>
                <w:color w:val="363534"/>
                <w:sz w:val="18"/>
                <w:szCs w:val="18"/>
              </w:rPr>
            </w:pPr>
            <w:r w:rsidRPr="006C7B74">
              <w:rPr>
                <w:rFonts w:ascii="Calibri" w:hAnsi="Calibri" w:cs="Calibri"/>
                <w:color w:val="363534"/>
                <w:sz w:val="18"/>
                <w:szCs w:val="18"/>
              </w:rPr>
              <w:t>0.0</w:t>
            </w:r>
          </w:p>
        </w:tc>
      </w:tr>
      <w:tr w:rsidR="00E00E05" w:rsidRPr="006C7B74" w14:paraId="0EEA84C6" w14:textId="77777777" w:rsidTr="00E00E05">
        <w:trPr>
          <w:trHeight w:val="315"/>
        </w:trPr>
        <w:tc>
          <w:tcPr>
            <w:tcW w:w="1103"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2062AF10" w14:textId="77777777" w:rsidR="00E00E05" w:rsidRPr="006C7B74" w:rsidRDefault="00E00E05">
            <w:pPr>
              <w:rPr>
                <w:rFonts w:ascii="Calibri" w:hAnsi="Calibri" w:cs="Calibri"/>
                <w:color w:val="000000"/>
                <w:sz w:val="18"/>
                <w:szCs w:val="18"/>
              </w:rPr>
            </w:pPr>
            <w:r w:rsidRPr="006C7B74">
              <w:rPr>
                <w:rFonts w:ascii="Calibri" w:hAnsi="Calibri" w:cs="Calibri"/>
                <w:color w:val="000000"/>
                <w:sz w:val="18"/>
                <w:szCs w:val="18"/>
              </w:rPr>
              <w:t>Stonnington</w:t>
            </w:r>
          </w:p>
        </w:tc>
        <w:tc>
          <w:tcPr>
            <w:tcW w:w="95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04E2B6C8" w14:textId="77777777" w:rsidR="00E00E05" w:rsidRPr="006C7B74" w:rsidRDefault="00E00E05">
            <w:pPr>
              <w:jc w:val="center"/>
              <w:rPr>
                <w:rFonts w:ascii="Calibri" w:hAnsi="Calibri" w:cs="Calibri"/>
                <w:color w:val="363534"/>
                <w:sz w:val="18"/>
                <w:szCs w:val="18"/>
              </w:rPr>
            </w:pPr>
            <w:r w:rsidRPr="006C7B74">
              <w:rPr>
                <w:rFonts w:ascii="Calibri" w:hAnsi="Calibri" w:cs="Calibri"/>
                <w:color w:val="363534"/>
                <w:sz w:val="18"/>
                <w:szCs w:val="18"/>
              </w:rPr>
              <w:t>3.7</w:t>
            </w:r>
          </w:p>
        </w:tc>
        <w:tc>
          <w:tcPr>
            <w:tcW w:w="849"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088AD274" w14:textId="0CF76F34" w:rsidR="00E00E05" w:rsidRPr="006C7B74" w:rsidRDefault="00E00E05">
            <w:pPr>
              <w:jc w:val="center"/>
              <w:rPr>
                <w:rFonts w:ascii="Calibri" w:hAnsi="Calibri" w:cs="Calibri"/>
                <w:color w:val="363534"/>
                <w:sz w:val="18"/>
                <w:szCs w:val="18"/>
              </w:rPr>
            </w:pPr>
            <w:r w:rsidRPr="006C7B74">
              <w:rPr>
                <w:rFonts w:ascii="Calibri" w:hAnsi="Calibri" w:cs="Calibri"/>
                <w:color w:val="363534"/>
                <w:sz w:val="18"/>
                <w:szCs w:val="18"/>
              </w:rPr>
              <w:t>0</w:t>
            </w:r>
            <w:r w:rsidR="00F23524" w:rsidRPr="006C7B74">
              <w:rPr>
                <w:rFonts w:ascii="Calibri" w:hAnsi="Calibri" w:cs="Calibri"/>
                <w:color w:val="363534"/>
                <w:sz w:val="18"/>
                <w:szCs w:val="18"/>
              </w:rPr>
              <w:t>.</w:t>
            </w:r>
            <w:r w:rsidRPr="006C7B74">
              <w:rPr>
                <w:rFonts w:ascii="Calibri" w:hAnsi="Calibri" w:cs="Calibri"/>
                <w:color w:val="363534"/>
                <w:sz w:val="18"/>
                <w:szCs w:val="18"/>
              </w:rPr>
              <w:t>0</w:t>
            </w:r>
          </w:p>
        </w:tc>
        <w:tc>
          <w:tcPr>
            <w:tcW w:w="856"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50B85DAB" w14:textId="77777777" w:rsidR="00E00E05" w:rsidRPr="006C7B74" w:rsidRDefault="00E00E05">
            <w:pPr>
              <w:jc w:val="center"/>
              <w:rPr>
                <w:rFonts w:ascii="Calibri" w:hAnsi="Calibri" w:cs="Calibri"/>
                <w:color w:val="363534"/>
                <w:sz w:val="18"/>
                <w:szCs w:val="18"/>
              </w:rPr>
            </w:pPr>
            <w:r w:rsidRPr="006C7B74">
              <w:rPr>
                <w:rFonts w:ascii="Calibri" w:hAnsi="Calibri" w:cs="Calibri"/>
                <w:color w:val="363534"/>
                <w:sz w:val="18"/>
                <w:szCs w:val="18"/>
              </w:rPr>
              <w:t>0.0</w:t>
            </w:r>
          </w:p>
        </w:tc>
        <w:tc>
          <w:tcPr>
            <w:tcW w:w="1234"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4BEE456F" w14:textId="77777777" w:rsidR="00E00E05" w:rsidRPr="006C7B74" w:rsidRDefault="00E00E05">
            <w:pPr>
              <w:jc w:val="center"/>
              <w:rPr>
                <w:rFonts w:ascii="Calibri" w:hAnsi="Calibri" w:cs="Calibri"/>
                <w:color w:val="363534"/>
                <w:sz w:val="18"/>
                <w:szCs w:val="18"/>
              </w:rPr>
            </w:pPr>
            <w:r w:rsidRPr="006C7B74">
              <w:rPr>
                <w:rFonts w:ascii="Calibri" w:hAnsi="Calibri" w:cs="Calibri"/>
                <w:color w:val="363534"/>
                <w:sz w:val="18"/>
                <w:szCs w:val="18"/>
              </w:rPr>
              <w:t>0.0</w:t>
            </w:r>
          </w:p>
        </w:tc>
      </w:tr>
      <w:tr w:rsidR="00E00E05" w:rsidRPr="006C7B74" w14:paraId="292AE033" w14:textId="77777777" w:rsidTr="00E00E05">
        <w:trPr>
          <w:trHeight w:val="315"/>
        </w:trPr>
        <w:tc>
          <w:tcPr>
            <w:tcW w:w="1103"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55F4646A" w14:textId="77777777" w:rsidR="00E00E05" w:rsidRPr="006C7B74" w:rsidRDefault="00E00E05">
            <w:pPr>
              <w:rPr>
                <w:rFonts w:ascii="Calibri" w:hAnsi="Calibri" w:cs="Calibri"/>
                <w:b/>
                <w:bCs/>
                <w:color w:val="000000"/>
                <w:sz w:val="18"/>
                <w:szCs w:val="18"/>
              </w:rPr>
            </w:pPr>
            <w:r w:rsidRPr="006C7B74">
              <w:rPr>
                <w:rFonts w:ascii="Calibri" w:hAnsi="Calibri" w:cs="Calibri"/>
                <w:b/>
                <w:bCs/>
                <w:color w:val="000000"/>
                <w:sz w:val="18"/>
                <w:szCs w:val="18"/>
              </w:rPr>
              <w:t>Inner South East Region</w:t>
            </w:r>
          </w:p>
        </w:tc>
        <w:tc>
          <w:tcPr>
            <w:tcW w:w="957"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1BBD1119" w14:textId="77777777" w:rsidR="00E00E05" w:rsidRPr="006C7B74" w:rsidRDefault="00E00E05">
            <w:pPr>
              <w:jc w:val="center"/>
              <w:rPr>
                <w:rFonts w:ascii="Calibri" w:hAnsi="Calibri" w:cs="Calibri"/>
                <w:b/>
                <w:bCs/>
                <w:color w:val="363534"/>
                <w:sz w:val="18"/>
                <w:szCs w:val="18"/>
              </w:rPr>
            </w:pPr>
            <w:r w:rsidRPr="006C7B74">
              <w:rPr>
                <w:rFonts w:ascii="Calibri" w:hAnsi="Calibri" w:cs="Calibri"/>
                <w:b/>
                <w:bCs/>
                <w:color w:val="363534"/>
                <w:sz w:val="18"/>
                <w:szCs w:val="18"/>
              </w:rPr>
              <w:t>140.7</w:t>
            </w:r>
          </w:p>
        </w:tc>
        <w:tc>
          <w:tcPr>
            <w:tcW w:w="849"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3F45B6B6" w14:textId="77777777" w:rsidR="00E00E05" w:rsidRPr="006C7B74" w:rsidRDefault="00E00E05">
            <w:pPr>
              <w:jc w:val="center"/>
              <w:rPr>
                <w:rFonts w:ascii="Calibri" w:hAnsi="Calibri" w:cs="Calibri"/>
                <w:b/>
                <w:bCs/>
                <w:color w:val="363534"/>
                <w:sz w:val="18"/>
                <w:szCs w:val="18"/>
              </w:rPr>
            </w:pPr>
            <w:r w:rsidRPr="006C7B74">
              <w:rPr>
                <w:rFonts w:ascii="Calibri" w:hAnsi="Calibri" w:cs="Calibri"/>
                <w:b/>
                <w:bCs/>
                <w:color w:val="363534"/>
                <w:sz w:val="18"/>
                <w:szCs w:val="18"/>
              </w:rPr>
              <w:t>2.3</w:t>
            </w:r>
          </w:p>
        </w:tc>
        <w:tc>
          <w:tcPr>
            <w:tcW w:w="856"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707F3AA8" w14:textId="77777777" w:rsidR="00E00E05" w:rsidRPr="006C7B74" w:rsidRDefault="00E00E05">
            <w:pPr>
              <w:jc w:val="center"/>
              <w:rPr>
                <w:rFonts w:ascii="Calibri" w:hAnsi="Calibri" w:cs="Calibri"/>
                <w:b/>
                <w:bCs/>
                <w:color w:val="363534"/>
                <w:sz w:val="18"/>
                <w:szCs w:val="18"/>
              </w:rPr>
            </w:pPr>
            <w:r w:rsidRPr="006C7B74">
              <w:rPr>
                <w:rFonts w:ascii="Calibri" w:hAnsi="Calibri" w:cs="Calibri"/>
                <w:b/>
                <w:bCs/>
                <w:color w:val="363534"/>
                <w:sz w:val="18"/>
                <w:szCs w:val="18"/>
              </w:rPr>
              <w:t>0.0</w:t>
            </w:r>
          </w:p>
        </w:tc>
        <w:tc>
          <w:tcPr>
            <w:tcW w:w="1234"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5BFA375D" w14:textId="77777777" w:rsidR="00E00E05" w:rsidRPr="006C7B74" w:rsidRDefault="00E00E05">
            <w:pPr>
              <w:jc w:val="center"/>
              <w:rPr>
                <w:rFonts w:ascii="Calibri" w:hAnsi="Calibri" w:cs="Calibri"/>
                <w:b/>
                <w:bCs/>
                <w:color w:val="363534"/>
                <w:sz w:val="18"/>
                <w:szCs w:val="18"/>
              </w:rPr>
            </w:pPr>
            <w:r w:rsidRPr="006C7B74">
              <w:rPr>
                <w:rFonts w:ascii="Calibri" w:hAnsi="Calibri" w:cs="Calibri"/>
                <w:b/>
                <w:bCs/>
                <w:color w:val="363534"/>
                <w:sz w:val="18"/>
                <w:szCs w:val="18"/>
              </w:rPr>
              <w:t>2.3</w:t>
            </w:r>
          </w:p>
        </w:tc>
      </w:tr>
    </w:tbl>
    <w:p w14:paraId="612D225C" w14:textId="6876FEEA" w:rsidR="004011F2" w:rsidRPr="006C7B74" w:rsidRDefault="00E00E05" w:rsidP="00CF7392">
      <w:pPr>
        <w:pStyle w:val="Quote"/>
      </w:pPr>
      <w:r w:rsidRPr="006C7B74">
        <w:t xml:space="preserve"> </w:t>
      </w:r>
      <w:r w:rsidR="00CF7392" w:rsidRPr="006C7B74">
        <w:t>Source: Department of Environment, Land, Water and Planning, Urban Development Program – Melbourne Metropolitan Industrial 2018</w:t>
      </w:r>
    </w:p>
    <w:p w14:paraId="1B8C15B1" w14:textId="4CEB4249" w:rsidR="004011F2" w:rsidRPr="006C7B74" w:rsidRDefault="004011F2" w:rsidP="00934C4D">
      <w:pPr>
        <w:spacing w:after="120"/>
        <w:rPr>
          <w:rFonts w:cstheme="minorHAnsi"/>
          <w:sz w:val="20"/>
          <w:szCs w:val="20"/>
        </w:rPr>
      </w:pPr>
    </w:p>
    <w:p w14:paraId="2F641ED3" w14:textId="01EBD7FA" w:rsidR="0042776B" w:rsidRPr="006C7B74" w:rsidRDefault="0019172A" w:rsidP="00C16A55">
      <w:pPr>
        <w:spacing w:after="120"/>
        <w:rPr>
          <w:rFonts w:cstheme="minorHAnsi"/>
          <w:sz w:val="20"/>
          <w:szCs w:val="20"/>
        </w:rPr>
      </w:pPr>
      <w:r w:rsidRPr="006C7B74">
        <w:rPr>
          <w:rFonts w:cstheme="minorHAnsi"/>
          <w:sz w:val="20"/>
          <w:szCs w:val="20"/>
        </w:rPr>
        <w:lastRenderedPageBreak/>
        <w:t>The only</w:t>
      </w:r>
      <w:r w:rsidR="00C16A55" w:rsidRPr="006C7B74">
        <w:rPr>
          <w:rFonts w:cstheme="minorHAnsi"/>
          <w:sz w:val="20"/>
          <w:szCs w:val="20"/>
        </w:rPr>
        <w:t xml:space="preserve"> supply of </w:t>
      </w:r>
      <w:r w:rsidRPr="006C7B74">
        <w:rPr>
          <w:rFonts w:cstheme="minorHAnsi"/>
          <w:sz w:val="20"/>
          <w:szCs w:val="20"/>
        </w:rPr>
        <w:t>vacant</w:t>
      </w:r>
      <w:r w:rsidR="00C16A55" w:rsidRPr="006C7B74">
        <w:rPr>
          <w:rFonts w:cstheme="minorHAnsi"/>
          <w:sz w:val="20"/>
          <w:szCs w:val="20"/>
        </w:rPr>
        <w:t xml:space="preserve"> zoned industrial land remaining in the region </w:t>
      </w:r>
      <w:r w:rsidRPr="006C7B74">
        <w:rPr>
          <w:rFonts w:cstheme="minorHAnsi"/>
          <w:sz w:val="20"/>
          <w:szCs w:val="20"/>
        </w:rPr>
        <w:t>is</w:t>
      </w:r>
      <w:r w:rsidR="00C16A55" w:rsidRPr="006C7B74">
        <w:rPr>
          <w:rFonts w:cstheme="minorHAnsi"/>
          <w:sz w:val="20"/>
          <w:szCs w:val="20"/>
        </w:rPr>
        <w:t xml:space="preserve"> in Bayside (1.9 hectares) and Boroondara (0.4 hectares</w:t>
      </w:r>
      <w:r w:rsidR="0065752E" w:rsidRPr="006C7B74">
        <w:rPr>
          <w:rFonts w:cstheme="minorHAnsi"/>
          <w:sz w:val="20"/>
          <w:szCs w:val="20"/>
        </w:rPr>
        <w:t>)</w:t>
      </w:r>
      <w:r w:rsidR="00C16A55" w:rsidRPr="006C7B74">
        <w:rPr>
          <w:rFonts w:cstheme="minorHAnsi"/>
          <w:sz w:val="20"/>
          <w:szCs w:val="20"/>
        </w:rPr>
        <w:t>.</w:t>
      </w:r>
      <w:r w:rsidR="00C45A75" w:rsidRPr="006C7B74">
        <w:rPr>
          <w:rFonts w:cstheme="minorHAnsi"/>
          <w:sz w:val="20"/>
          <w:szCs w:val="20"/>
        </w:rPr>
        <w:t xml:space="preserve"> </w:t>
      </w:r>
      <w:r w:rsidR="00C16A55" w:rsidRPr="006C7B74">
        <w:rPr>
          <w:rFonts w:cstheme="minorHAnsi"/>
          <w:sz w:val="20"/>
          <w:szCs w:val="20"/>
        </w:rPr>
        <w:t xml:space="preserve">Stonnington has the </w:t>
      </w:r>
      <w:r w:rsidR="00C45A75" w:rsidRPr="006C7B74">
        <w:rPr>
          <w:rFonts w:cstheme="minorHAnsi"/>
          <w:sz w:val="20"/>
          <w:szCs w:val="20"/>
        </w:rPr>
        <w:t>smallest</w:t>
      </w:r>
      <w:r w:rsidR="00C16A55" w:rsidRPr="006C7B74">
        <w:rPr>
          <w:rFonts w:cstheme="minorHAnsi"/>
          <w:sz w:val="20"/>
          <w:szCs w:val="20"/>
        </w:rPr>
        <w:t xml:space="preserve"> supply of zoned industrial land in the region, none of which is vacant. </w:t>
      </w:r>
      <w:r w:rsidR="0065752E" w:rsidRPr="006C7B74">
        <w:rPr>
          <w:rFonts w:cstheme="minorHAnsi"/>
          <w:sz w:val="20"/>
          <w:szCs w:val="20"/>
        </w:rPr>
        <w:t xml:space="preserve">Almost 85 per cent of all the land identified for industrial purposes in the region </w:t>
      </w:r>
      <w:r w:rsidR="00B86219" w:rsidRPr="006C7B74">
        <w:rPr>
          <w:rFonts w:cstheme="minorHAnsi"/>
          <w:sz w:val="20"/>
          <w:szCs w:val="20"/>
        </w:rPr>
        <w:t xml:space="preserve">is zoned </w:t>
      </w:r>
      <w:r w:rsidR="0065752E" w:rsidRPr="006C7B74">
        <w:rPr>
          <w:rFonts w:cstheme="minorHAnsi"/>
          <w:sz w:val="20"/>
          <w:szCs w:val="20"/>
        </w:rPr>
        <w:t xml:space="preserve">Commercial 2 </w:t>
      </w:r>
      <w:r w:rsidR="00B86219" w:rsidRPr="006C7B74">
        <w:rPr>
          <w:rFonts w:cstheme="minorHAnsi"/>
          <w:sz w:val="20"/>
          <w:szCs w:val="20"/>
        </w:rPr>
        <w:t>Zone</w:t>
      </w:r>
      <w:r w:rsidR="0065752E" w:rsidRPr="006C7B74">
        <w:rPr>
          <w:rFonts w:cstheme="minorHAnsi"/>
          <w:sz w:val="20"/>
          <w:szCs w:val="20"/>
        </w:rPr>
        <w:t>.</w:t>
      </w:r>
      <w:r w:rsidR="0042776B" w:rsidRPr="006C7B74">
        <w:rPr>
          <w:rFonts w:cstheme="minorHAnsi"/>
          <w:sz w:val="20"/>
          <w:szCs w:val="20"/>
        </w:rPr>
        <w:t xml:space="preserve"> </w:t>
      </w:r>
      <w:r w:rsidR="008D1295" w:rsidRPr="006C7B74">
        <w:rPr>
          <w:rFonts w:cstheme="minorHAnsi"/>
          <w:sz w:val="20"/>
          <w:szCs w:val="20"/>
        </w:rPr>
        <w:t>Given the amount of vacant industrial land, a</w:t>
      </w:r>
      <w:r w:rsidR="0042776B" w:rsidRPr="006C7B74">
        <w:rPr>
          <w:rFonts w:cstheme="minorHAnsi"/>
          <w:sz w:val="20"/>
          <w:szCs w:val="20"/>
        </w:rPr>
        <w:t xml:space="preserve">ny new industrial development </w:t>
      </w:r>
      <w:r w:rsidR="00626E34" w:rsidRPr="006C7B74">
        <w:rPr>
          <w:rFonts w:cstheme="minorHAnsi"/>
          <w:sz w:val="20"/>
          <w:szCs w:val="20"/>
        </w:rPr>
        <w:t xml:space="preserve">in the region would require either the reuse of an existing building or demolition and redevelopment </w:t>
      </w:r>
      <w:r w:rsidR="00D9389D" w:rsidRPr="006C7B74">
        <w:rPr>
          <w:rFonts w:cstheme="minorHAnsi"/>
          <w:sz w:val="20"/>
          <w:szCs w:val="20"/>
        </w:rPr>
        <w:t xml:space="preserve">of </w:t>
      </w:r>
      <w:r w:rsidR="00626E34" w:rsidRPr="006C7B74">
        <w:rPr>
          <w:rFonts w:cstheme="minorHAnsi"/>
          <w:sz w:val="20"/>
          <w:szCs w:val="20"/>
        </w:rPr>
        <w:t>an existing industrial site.</w:t>
      </w:r>
    </w:p>
    <w:p w14:paraId="02C0C958" w14:textId="1CFBC68F" w:rsidR="00C16A55" w:rsidRPr="006C7B74" w:rsidRDefault="00C16A55" w:rsidP="00C16A55">
      <w:pPr>
        <w:spacing w:after="120"/>
        <w:rPr>
          <w:rFonts w:cstheme="minorHAnsi"/>
          <w:sz w:val="20"/>
          <w:szCs w:val="20"/>
        </w:rPr>
      </w:pPr>
      <w:r w:rsidRPr="006C7B74">
        <w:rPr>
          <w:rFonts w:cstheme="minorHAnsi"/>
          <w:sz w:val="20"/>
          <w:szCs w:val="20"/>
        </w:rPr>
        <w:t xml:space="preserve">Over the period 2015-16 to 2017-18 </w:t>
      </w:r>
      <w:r w:rsidR="00C45A75" w:rsidRPr="006C7B74">
        <w:rPr>
          <w:rFonts w:cstheme="minorHAnsi"/>
          <w:sz w:val="20"/>
          <w:szCs w:val="20"/>
        </w:rPr>
        <w:t xml:space="preserve">consumption of industrial zoned land </w:t>
      </w:r>
      <w:r w:rsidRPr="006C7B74">
        <w:rPr>
          <w:rFonts w:cstheme="minorHAnsi"/>
          <w:sz w:val="20"/>
          <w:szCs w:val="20"/>
        </w:rPr>
        <w:t>in the region</w:t>
      </w:r>
      <w:r w:rsidR="00685956" w:rsidRPr="006C7B74">
        <w:rPr>
          <w:rFonts w:cstheme="minorHAnsi"/>
          <w:sz w:val="20"/>
          <w:szCs w:val="20"/>
        </w:rPr>
        <w:t xml:space="preserve"> has been </w:t>
      </w:r>
      <w:r w:rsidR="0012487A" w:rsidRPr="006C7B74">
        <w:rPr>
          <w:rFonts w:cstheme="minorHAnsi"/>
          <w:sz w:val="20"/>
          <w:szCs w:val="20"/>
        </w:rPr>
        <w:t xml:space="preserve">small </w:t>
      </w:r>
      <w:r w:rsidR="00685956" w:rsidRPr="006C7B74">
        <w:rPr>
          <w:rFonts w:cstheme="minorHAnsi"/>
          <w:sz w:val="20"/>
          <w:szCs w:val="20"/>
        </w:rPr>
        <w:t>with just over half a hectare consumed in 2017-18</w:t>
      </w:r>
      <w:r w:rsidRPr="006C7B74">
        <w:rPr>
          <w:rFonts w:cstheme="minorHAnsi"/>
          <w:sz w:val="20"/>
          <w:szCs w:val="20"/>
        </w:rPr>
        <w:t xml:space="preserve">. </w:t>
      </w:r>
      <w:r w:rsidR="00E47284" w:rsidRPr="006C7B74">
        <w:rPr>
          <w:rFonts w:cstheme="minorHAnsi"/>
          <w:sz w:val="20"/>
          <w:szCs w:val="20"/>
        </w:rPr>
        <w:t>Consumption figures provided here and in the UDP are for net activity. A negative figure indicates that building demolition activity was greater than the level of building construction activity (consumption). In locations such as the</w:t>
      </w:r>
      <w:r w:rsidR="0050493A" w:rsidRPr="006C7B74">
        <w:rPr>
          <w:rFonts w:cstheme="minorHAnsi"/>
          <w:sz w:val="20"/>
          <w:szCs w:val="20"/>
        </w:rPr>
        <w:t xml:space="preserve"> Inner South East</w:t>
      </w:r>
      <w:r w:rsidR="00E47284" w:rsidRPr="006C7B74">
        <w:rPr>
          <w:rFonts w:cstheme="minorHAnsi"/>
          <w:sz w:val="20"/>
          <w:szCs w:val="20"/>
        </w:rPr>
        <w:t xml:space="preserve"> Region, most of the land is occupied by an existing building and use. In many instances, in order to develop land for new industrial use, the existing building needs to be demolished. Therefore, a negative consumption figure will be recorded until the site is redeveloped for further industrial development activity. </w:t>
      </w:r>
    </w:p>
    <w:p w14:paraId="0260B5D7" w14:textId="77777777" w:rsidR="004011F2" w:rsidRPr="006C7B74" w:rsidRDefault="004011F2" w:rsidP="00934C4D">
      <w:pPr>
        <w:spacing w:after="120"/>
        <w:rPr>
          <w:rFonts w:cstheme="minorHAnsi"/>
          <w:sz w:val="20"/>
          <w:szCs w:val="20"/>
        </w:rPr>
      </w:pPr>
    </w:p>
    <w:p w14:paraId="532CA802" w14:textId="01FD2BC1" w:rsidR="004011F2" w:rsidRPr="006C7B74" w:rsidRDefault="004011F2" w:rsidP="00C802F6">
      <w:pPr>
        <w:pStyle w:val="Heading5"/>
      </w:pPr>
      <w:r w:rsidRPr="006C7B74">
        <w:t xml:space="preserve">Table </w:t>
      </w:r>
      <w:r w:rsidR="00A667DD" w:rsidRPr="006C7B74">
        <w:t>33</w:t>
      </w:r>
      <w:r w:rsidRPr="006C7B74">
        <w:t xml:space="preserve">: Industrial </w:t>
      </w:r>
      <w:r w:rsidR="007C1D4E" w:rsidRPr="006C7B74">
        <w:t>l</w:t>
      </w:r>
      <w:r w:rsidRPr="006C7B74">
        <w:t xml:space="preserve">and </w:t>
      </w:r>
      <w:r w:rsidR="007C1D4E" w:rsidRPr="006C7B74">
        <w:t>c</w:t>
      </w:r>
      <w:r w:rsidRPr="006C7B74">
        <w:t>onsumption</w:t>
      </w:r>
      <w:r w:rsidR="003E32DF" w:rsidRPr="006C7B74">
        <w:t>,</w:t>
      </w:r>
      <w:r w:rsidR="00031647" w:rsidRPr="006C7B74">
        <w:t xml:space="preserve"> Inner South East Region, 20</w:t>
      </w:r>
      <w:r w:rsidR="0040366D" w:rsidRPr="006C7B74">
        <w:t>15-</w:t>
      </w:r>
      <w:r w:rsidR="00031647" w:rsidRPr="006C7B74">
        <w:t>1</w:t>
      </w:r>
      <w:r w:rsidR="00E00E05" w:rsidRPr="006C7B74">
        <w:t>6 to 20</w:t>
      </w:r>
      <w:r w:rsidR="0040366D" w:rsidRPr="006C7B74">
        <w:t>17-</w:t>
      </w:r>
      <w:r w:rsidR="00E00E05" w:rsidRPr="006C7B74">
        <w:t>18</w:t>
      </w:r>
    </w:p>
    <w:tbl>
      <w:tblPr>
        <w:tblW w:w="5000" w:type="pct"/>
        <w:tblCellMar>
          <w:left w:w="0" w:type="dxa"/>
          <w:right w:w="0" w:type="dxa"/>
        </w:tblCellMar>
        <w:tblLook w:val="04A0" w:firstRow="1" w:lastRow="0" w:firstColumn="1" w:lastColumn="0" w:noHBand="0" w:noVBand="1"/>
      </w:tblPr>
      <w:tblGrid>
        <w:gridCol w:w="3396"/>
        <w:gridCol w:w="1875"/>
        <w:gridCol w:w="1875"/>
        <w:gridCol w:w="1874"/>
      </w:tblGrid>
      <w:tr w:rsidR="0011277D" w:rsidRPr="006C7B74" w14:paraId="09A4FE3C" w14:textId="77777777" w:rsidTr="0011277D">
        <w:trPr>
          <w:trHeight w:val="283"/>
        </w:trPr>
        <w:tc>
          <w:tcPr>
            <w:tcW w:w="1882" w:type="pct"/>
            <w:tcBorders>
              <w:top w:val="nil"/>
              <w:left w:val="nil"/>
              <w:bottom w:val="single" w:sz="8" w:space="0" w:color="4D446C"/>
              <w:right w:val="nil"/>
            </w:tcBorders>
            <w:shd w:val="clear" w:color="000000" w:fill="4D446C"/>
            <w:noWrap/>
            <w:tcMar>
              <w:top w:w="15" w:type="dxa"/>
              <w:left w:w="15" w:type="dxa"/>
              <w:bottom w:w="0" w:type="dxa"/>
              <w:right w:w="15" w:type="dxa"/>
            </w:tcMar>
            <w:vAlign w:val="center"/>
            <w:hideMark/>
          </w:tcPr>
          <w:p w14:paraId="10399D6D" w14:textId="591840EA" w:rsidR="0011277D" w:rsidRPr="006C7B74" w:rsidRDefault="0011277D" w:rsidP="003C516A">
            <w:pPr>
              <w:pStyle w:val="TableHeaderRow"/>
            </w:pPr>
            <w:r w:rsidRPr="006C7B74">
              <w:t>Council</w:t>
            </w:r>
          </w:p>
        </w:tc>
        <w:tc>
          <w:tcPr>
            <w:tcW w:w="1039" w:type="pct"/>
            <w:tcBorders>
              <w:top w:val="nil"/>
              <w:left w:val="nil"/>
              <w:bottom w:val="single" w:sz="8" w:space="0" w:color="4D446C"/>
              <w:right w:val="nil"/>
            </w:tcBorders>
            <w:shd w:val="clear" w:color="000000" w:fill="4D446C"/>
            <w:tcMar>
              <w:top w:w="15" w:type="dxa"/>
              <w:left w:w="15" w:type="dxa"/>
              <w:bottom w:w="0" w:type="dxa"/>
              <w:right w:w="15" w:type="dxa"/>
            </w:tcMar>
            <w:vAlign w:val="center"/>
            <w:hideMark/>
          </w:tcPr>
          <w:p w14:paraId="0D5923E9" w14:textId="51D5A348" w:rsidR="0011277D" w:rsidRPr="006C7B74" w:rsidRDefault="0011277D" w:rsidP="003C516A">
            <w:pPr>
              <w:pStyle w:val="TableHeaderRow"/>
              <w:jc w:val="center"/>
            </w:pPr>
            <w:r w:rsidRPr="006C7B74">
              <w:t>2015</w:t>
            </w:r>
            <w:r w:rsidR="00490F9E" w:rsidRPr="006C7B74">
              <w:t>-</w:t>
            </w:r>
            <w:r w:rsidRPr="006C7B74">
              <w:t>16</w:t>
            </w:r>
            <w:r w:rsidR="00AB19D9" w:rsidRPr="006C7B74">
              <w:t xml:space="preserve"> (ha)</w:t>
            </w:r>
          </w:p>
        </w:tc>
        <w:tc>
          <w:tcPr>
            <w:tcW w:w="1039" w:type="pct"/>
            <w:tcBorders>
              <w:top w:val="nil"/>
              <w:left w:val="nil"/>
              <w:bottom w:val="single" w:sz="8" w:space="0" w:color="4D446C"/>
              <w:right w:val="nil"/>
            </w:tcBorders>
            <w:shd w:val="clear" w:color="000000" w:fill="4D446C"/>
            <w:tcMar>
              <w:top w:w="15" w:type="dxa"/>
              <w:left w:w="15" w:type="dxa"/>
              <w:bottom w:w="0" w:type="dxa"/>
              <w:right w:w="15" w:type="dxa"/>
            </w:tcMar>
            <w:vAlign w:val="center"/>
            <w:hideMark/>
          </w:tcPr>
          <w:p w14:paraId="2FC355CC" w14:textId="31455BD1" w:rsidR="0011277D" w:rsidRPr="006C7B74" w:rsidRDefault="0011277D" w:rsidP="003C516A">
            <w:pPr>
              <w:pStyle w:val="TableHeaderRow"/>
              <w:jc w:val="center"/>
            </w:pPr>
            <w:r w:rsidRPr="006C7B74">
              <w:t>2016</w:t>
            </w:r>
            <w:r w:rsidR="00490F9E" w:rsidRPr="006C7B74">
              <w:t>-</w:t>
            </w:r>
            <w:r w:rsidRPr="006C7B74">
              <w:t>17</w:t>
            </w:r>
            <w:r w:rsidR="00AB19D9" w:rsidRPr="006C7B74">
              <w:t xml:space="preserve"> (ha)</w:t>
            </w:r>
          </w:p>
        </w:tc>
        <w:tc>
          <w:tcPr>
            <w:tcW w:w="1039" w:type="pct"/>
            <w:tcBorders>
              <w:top w:val="nil"/>
              <w:left w:val="nil"/>
              <w:bottom w:val="single" w:sz="8" w:space="0" w:color="4D446C"/>
              <w:right w:val="nil"/>
            </w:tcBorders>
            <w:shd w:val="clear" w:color="000000" w:fill="4D446C"/>
            <w:tcMar>
              <w:top w:w="15" w:type="dxa"/>
              <w:left w:w="15" w:type="dxa"/>
              <w:bottom w:w="0" w:type="dxa"/>
              <w:right w:w="15" w:type="dxa"/>
            </w:tcMar>
            <w:vAlign w:val="center"/>
            <w:hideMark/>
          </w:tcPr>
          <w:p w14:paraId="73BF36C4" w14:textId="50412E20" w:rsidR="0011277D" w:rsidRPr="006C7B74" w:rsidRDefault="0011277D" w:rsidP="003C516A">
            <w:pPr>
              <w:pStyle w:val="TableHeaderRow"/>
              <w:jc w:val="center"/>
            </w:pPr>
            <w:r w:rsidRPr="006C7B74">
              <w:t>2017</w:t>
            </w:r>
            <w:r w:rsidR="00490F9E" w:rsidRPr="006C7B74">
              <w:t>-</w:t>
            </w:r>
            <w:r w:rsidRPr="006C7B74">
              <w:t>18</w:t>
            </w:r>
            <w:r w:rsidR="00AB19D9" w:rsidRPr="006C7B74">
              <w:t xml:space="preserve"> (ha)</w:t>
            </w:r>
          </w:p>
        </w:tc>
      </w:tr>
      <w:tr w:rsidR="0011277D" w:rsidRPr="006C7B74" w14:paraId="43897CFF" w14:textId="77777777" w:rsidTr="0011277D">
        <w:trPr>
          <w:trHeight w:val="283"/>
        </w:trPr>
        <w:tc>
          <w:tcPr>
            <w:tcW w:w="1882"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19B9EF2F" w14:textId="77777777" w:rsidR="0011277D" w:rsidRPr="006C7B74" w:rsidRDefault="0011277D">
            <w:pPr>
              <w:rPr>
                <w:rFonts w:ascii="Calibri" w:hAnsi="Calibri" w:cs="Calibri"/>
                <w:color w:val="000000"/>
                <w:sz w:val="18"/>
                <w:szCs w:val="18"/>
              </w:rPr>
            </w:pPr>
            <w:r w:rsidRPr="006C7B74">
              <w:rPr>
                <w:rFonts w:ascii="Calibri" w:hAnsi="Calibri" w:cs="Calibri"/>
                <w:color w:val="000000"/>
                <w:sz w:val="18"/>
                <w:szCs w:val="18"/>
              </w:rPr>
              <w:t>Bayside</w:t>
            </w:r>
          </w:p>
        </w:tc>
        <w:tc>
          <w:tcPr>
            <w:tcW w:w="1039"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0D199812" w14:textId="77777777" w:rsidR="0011277D" w:rsidRPr="006C7B74" w:rsidRDefault="0011277D">
            <w:pPr>
              <w:jc w:val="center"/>
              <w:rPr>
                <w:rFonts w:ascii="Calibri" w:hAnsi="Calibri" w:cs="Calibri"/>
                <w:color w:val="363534"/>
                <w:sz w:val="18"/>
                <w:szCs w:val="18"/>
              </w:rPr>
            </w:pPr>
            <w:r w:rsidRPr="006C7B74">
              <w:rPr>
                <w:rFonts w:ascii="Calibri" w:hAnsi="Calibri" w:cs="Calibri"/>
                <w:color w:val="363534"/>
                <w:sz w:val="18"/>
                <w:szCs w:val="18"/>
              </w:rPr>
              <w:t>-0.2</w:t>
            </w:r>
          </w:p>
        </w:tc>
        <w:tc>
          <w:tcPr>
            <w:tcW w:w="1039"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29EBB4A5" w14:textId="77777777" w:rsidR="0011277D" w:rsidRPr="006C7B74" w:rsidRDefault="0011277D">
            <w:pPr>
              <w:jc w:val="center"/>
              <w:rPr>
                <w:rFonts w:ascii="Calibri" w:hAnsi="Calibri" w:cs="Calibri"/>
                <w:color w:val="363534"/>
                <w:sz w:val="18"/>
                <w:szCs w:val="18"/>
              </w:rPr>
            </w:pPr>
            <w:r w:rsidRPr="006C7B74">
              <w:rPr>
                <w:rFonts w:ascii="Calibri" w:hAnsi="Calibri" w:cs="Calibri"/>
                <w:color w:val="363534"/>
                <w:sz w:val="18"/>
                <w:szCs w:val="18"/>
              </w:rPr>
              <w:t>0.0</w:t>
            </w:r>
          </w:p>
        </w:tc>
        <w:tc>
          <w:tcPr>
            <w:tcW w:w="1039"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527DEA11" w14:textId="77777777" w:rsidR="0011277D" w:rsidRPr="006C7B74" w:rsidRDefault="0011277D">
            <w:pPr>
              <w:jc w:val="center"/>
              <w:rPr>
                <w:rFonts w:ascii="Calibri" w:hAnsi="Calibri" w:cs="Calibri"/>
                <w:color w:val="363534"/>
                <w:sz w:val="18"/>
                <w:szCs w:val="18"/>
              </w:rPr>
            </w:pPr>
            <w:r w:rsidRPr="006C7B74">
              <w:rPr>
                <w:rFonts w:ascii="Calibri" w:hAnsi="Calibri" w:cs="Calibri"/>
                <w:color w:val="363534"/>
                <w:sz w:val="18"/>
                <w:szCs w:val="18"/>
              </w:rPr>
              <w:t>0.2</w:t>
            </w:r>
          </w:p>
        </w:tc>
      </w:tr>
      <w:tr w:rsidR="0011277D" w:rsidRPr="006C7B74" w14:paraId="32855E83" w14:textId="77777777" w:rsidTr="0011277D">
        <w:trPr>
          <w:trHeight w:val="283"/>
        </w:trPr>
        <w:tc>
          <w:tcPr>
            <w:tcW w:w="1882"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0C8D0EEB" w14:textId="77777777" w:rsidR="0011277D" w:rsidRPr="006C7B74" w:rsidRDefault="0011277D">
            <w:pPr>
              <w:rPr>
                <w:rFonts w:ascii="Calibri" w:hAnsi="Calibri" w:cs="Calibri"/>
                <w:color w:val="000000"/>
                <w:sz w:val="18"/>
                <w:szCs w:val="18"/>
              </w:rPr>
            </w:pPr>
            <w:r w:rsidRPr="006C7B74">
              <w:rPr>
                <w:rFonts w:ascii="Calibri" w:hAnsi="Calibri" w:cs="Calibri"/>
                <w:color w:val="000000"/>
                <w:sz w:val="18"/>
                <w:szCs w:val="18"/>
              </w:rPr>
              <w:t>Boroondara</w:t>
            </w:r>
          </w:p>
        </w:tc>
        <w:tc>
          <w:tcPr>
            <w:tcW w:w="1039"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1A81FD67" w14:textId="77777777" w:rsidR="0011277D" w:rsidRPr="006C7B74" w:rsidRDefault="0011277D">
            <w:pPr>
              <w:jc w:val="center"/>
              <w:rPr>
                <w:rFonts w:ascii="Calibri" w:hAnsi="Calibri" w:cs="Calibri"/>
                <w:color w:val="363534"/>
                <w:sz w:val="18"/>
                <w:szCs w:val="18"/>
              </w:rPr>
            </w:pPr>
            <w:r w:rsidRPr="006C7B74">
              <w:rPr>
                <w:rFonts w:ascii="Calibri" w:hAnsi="Calibri" w:cs="Calibri"/>
                <w:color w:val="363534"/>
                <w:sz w:val="18"/>
                <w:szCs w:val="18"/>
              </w:rPr>
              <w:t>-0.1</w:t>
            </w:r>
          </w:p>
        </w:tc>
        <w:tc>
          <w:tcPr>
            <w:tcW w:w="1039"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07E31C75" w14:textId="77777777" w:rsidR="0011277D" w:rsidRPr="006C7B74" w:rsidRDefault="0011277D">
            <w:pPr>
              <w:jc w:val="center"/>
              <w:rPr>
                <w:rFonts w:ascii="Calibri" w:hAnsi="Calibri" w:cs="Calibri"/>
                <w:color w:val="363534"/>
                <w:sz w:val="18"/>
                <w:szCs w:val="18"/>
              </w:rPr>
            </w:pPr>
            <w:r w:rsidRPr="006C7B74">
              <w:rPr>
                <w:rFonts w:ascii="Calibri" w:hAnsi="Calibri" w:cs="Calibri"/>
                <w:color w:val="363534"/>
                <w:sz w:val="18"/>
                <w:szCs w:val="18"/>
              </w:rPr>
              <w:t>-0.4</w:t>
            </w:r>
          </w:p>
        </w:tc>
        <w:tc>
          <w:tcPr>
            <w:tcW w:w="1039"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2EC76549" w14:textId="77777777" w:rsidR="0011277D" w:rsidRPr="006C7B74" w:rsidRDefault="0011277D">
            <w:pPr>
              <w:jc w:val="center"/>
              <w:rPr>
                <w:rFonts w:ascii="Calibri" w:hAnsi="Calibri" w:cs="Calibri"/>
                <w:color w:val="363534"/>
                <w:sz w:val="18"/>
                <w:szCs w:val="18"/>
              </w:rPr>
            </w:pPr>
            <w:r w:rsidRPr="006C7B74">
              <w:rPr>
                <w:rFonts w:ascii="Calibri" w:hAnsi="Calibri" w:cs="Calibri"/>
                <w:color w:val="363534"/>
                <w:sz w:val="18"/>
                <w:szCs w:val="18"/>
              </w:rPr>
              <w:t>0.3</w:t>
            </w:r>
          </w:p>
        </w:tc>
      </w:tr>
      <w:tr w:rsidR="0011277D" w:rsidRPr="006C7B74" w14:paraId="7C441A32" w14:textId="77777777" w:rsidTr="0011277D">
        <w:trPr>
          <w:trHeight w:val="283"/>
        </w:trPr>
        <w:tc>
          <w:tcPr>
            <w:tcW w:w="1882"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41879BE2" w14:textId="77777777" w:rsidR="0011277D" w:rsidRPr="006C7B74" w:rsidRDefault="0011277D">
            <w:pPr>
              <w:rPr>
                <w:rFonts w:ascii="Calibri" w:hAnsi="Calibri" w:cs="Calibri"/>
                <w:color w:val="000000"/>
                <w:sz w:val="18"/>
                <w:szCs w:val="18"/>
              </w:rPr>
            </w:pPr>
            <w:r w:rsidRPr="006C7B74">
              <w:rPr>
                <w:rFonts w:ascii="Calibri" w:hAnsi="Calibri" w:cs="Calibri"/>
                <w:color w:val="000000"/>
                <w:sz w:val="18"/>
                <w:szCs w:val="18"/>
              </w:rPr>
              <w:t xml:space="preserve">Glen </w:t>
            </w:r>
            <w:proofErr w:type="spellStart"/>
            <w:r w:rsidRPr="006C7B74">
              <w:rPr>
                <w:rFonts w:ascii="Calibri" w:hAnsi="Calibri" w:cs="Calibri"/>
                <w:color w:val="000000"/>
                <w:sz w:val="18"/>
                <w:szCs w:val="18"/>
              </w:rPr>
              <w:t>Eira</w:t>
            </w:r>
            <w:proofErr w:type="spellEnd"/>
          </w:p>
        </w:tc>
        <w:tc>
          <w:tcPr>
            <w:tcW w:w="1039"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0A741435" w14:textId="77777777" w:rsidR="0011277D" w:rsidRPr="006C7B74" w:rsidRDefault="0011277D">
            <w:pPr>
              <w:jc w:val="center"/>
              <w:rPr>
                <w:rFonts w:ascii="Calibri" w:hAnsi="Calibri" w:cs="Calibri"/>
                <w:color w:val="363534"/>
                <w:sz w:val="18"/>
                <w:szCs w:val="18"/>
              </w:rPr>
            </w:pPr>
            <w:r w:rsidRPr="006C7B74">
              <w:rPr>
                <w:rFonts w:ascii="Calibri" w:hAnsi="Calibri" w:cs="Calibri"/>
                <w:color w:val="363534"/>
                <w:sz w:val="18"/>
                <w:szCs w:val="18"/>
              </w:rPr>
              <w:t>-0.6</w:t>
            </w:r>
          </w:p>
        </w:tc>
        <w:tc>
          <w:tcPr>
            <w:tcW w:w="1039"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2237E656" w14:textId="77777777" w:rsidR="0011277D" w:rsidRPr="006C7B74" w:rsidRDefault="0011277D">
            <w:pPr>
              <w:jc w:val="center"/>
              <w:rPr>
                <w:rFonts w:ascii="Calibri" w:hAnsi="Calibri" w:cs="Calibri"/>
                <w:color w:val="363534"/>
                <w:sz w:val="18"/>
                <w:szCs w:val="18"/>
              </w:rPr>
            </w:pPr>
            <w:r w:rsidRPr="006C7B74">
              <w:rPr>
                <w:rFonts w:ascii="Calibri" w:hAnsi="Calibri" w:cs="Calibri"/>
                <w:color w:val="363534"/>
                <w:sz w:val="18"/>
                <w:szCs w:val="18"/>
              </w:rPr>
              <w:t>0.8</w:t>
            </w:r>
          </w:p>
        </w:tc>
        <w:tc>
          <w:tcPr>
            <w:tcW w:w="1039"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558C23BE" w14:textId="77777777" w:rsidR="0011277D" w:rsidRPr="006C7B74" w:rsidRDefault="0011277D">
            <w:pPr>
              <w:jc w:val="center"/>
              <w:rPr>
                <w:rFonts w:ascii="Calibri" w:hAnsi="Calibri" w:cs="Calibri"/>
                <w:color w:val="363534"/>
                <w:sz w:val="18"/>
                <w:szCs w:val="18"/>
              </w:rPr>
            </w:pPr>
            <w:r w:rsidRPr="006C7B74">
              <w:rPr>
                <w:rFonts w:ascii="Calibri" w:hAnsi="Calibri" w:cs="Calibri"/>
                <w:color w:val="363534"/>
                <w:sz w:val="18"/>
                <w:szCs w:val="18"/>
              </w:rPr>
              <w:t>0.1</w:t>
            </w:r>
          </w:p>
        </w:tc>
      </w:tr>
      <w:tr w:rsidR="0011277D" w:rsidRPr="006C7B74" w14:paraId="57E25C35" w14:textId="77777777" w:rsidTr="0011277D">
        <w:trPr>
          <w:trHeight w:val="283"/>
        </w:trPr>
        <w:tc>
          <w:tcPr>
            <w:tcW w:w="1882"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5BADD8C3" w14:textId="77777777" w:rsidR="0011277D" w:rsidRPr="006C7B74" w:rsidRDefault="0011277D">
            <w:pPr>
              <w:rPr>
                <w:rFonts w:ascii="Calibri" w:hAnsi="Calibri" w:cs="Calibri"/>
                <w:color w:val="000000"/>
                <w:sz w:val="18"/>
                <w:szCs w:val="18"/>
              </w:rPr>
            </w:pPr>
            <w:r w:rsidRPr="006C7B74">
              <w:rPr>
                <w:rFonts w:ascii="Calibri" w:hAnsi="Calibri" w:cs="Calibri"/>
                <w:color w:val="000000"/>
                <w:sz w:val="18"/>
                <w:szCs w:val="18"/>
              </w:rPr>
              <w:t>Stonnington</w:t>
            </w:r>
          </w:p>
        </w:tc>
        <w:tc>
          <w:tcPr>
            <w:tcW w:w="1039"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3761A08F" w14:textId="77777777" w:rsidR="0011277D" w:rsidRPr="006C7B74" w:rsidRDefault="0011277D">
            <w:pPr>
              <w:jc w:val="center"/>
              <w:rPr>
                <w:rFonts w:ascii="Calibri" w:hAnsi="Calibri" w:cs="Calibri"/>
                <w:color w:val="363534"/>
                <w:sz w:val="18"/>
                <w:szCs w:val="18"/>
              </w:rPr>
            </w:pPr>
            <w:r w:rsidRPr="006C7B74">
              <w:rPr>
                <w:rFonts w:ascii="Calibri" w:hAnsi="Calibri" w:cs="Calibri"/>
                <w:color w:val="363534"/>
                <w:sz w:val="18"/>
                <w:szCs w:val="18"/>
              </w:rPr>
              <w:t>0.0</w:t>
            </w:r>
          </w:p>
        </w:tc>
        <w:tc>
          <w:tcPr>
            <w:tcW w:w="1039"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3759611F" w14:textId="77777777" w:rsidR="0011277D" w:rsidRPr="006C7B74" w:rsidRDefault="0011277D">
            <w:pPr>
              <w:jc w:val="center"/>
              <w:rPr>
                <w:rFonts w:ascii="Calibri" w:hAnsi="Calibri" w:cs="Calibri"/>
                <w:color w:val="363534"/>
                <w:sz w:val="18"/>
                <w:szCs w:val="18"/>
              </w:rPr>
            </w:pPr>
            <w:r w:rsidRPr="006C7B74">
              <w:rPr>
                <w:rFonts w:ascii="Calibri" w:hAnsi="Calibri" w:cs="Calibri"/>
                <w:color w:val="363534"/>
                <w:sz w:val="18"/>
                <w:szCs w:val="18"/>
              </w:rPr>
              <w:t>0.0</w:t>
            </w:r>
          </w:p>
        </w:tc>
        <w:tc>
          <w:tcPr>
            <w:tcW w:w="1039"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7AEFAD90" w14:textId="77777777" w:rsidR="0011277D" w:rsidRPr="006C7B74" w:rsidRDefault="0011277D">
            <w:pPr>
              <w:jc w:val="center"/>
              <w:rPr>
                <w:rFonts w:ascii="Calibri" w:hAnsi="Calibri" w:cs="Calibri"/>
                <w:color w:val="363534"/>
                <w:sz w:val="18"/>
                <w:szCs w:val="18"/>
              </w:rPr>
            </w:pPr>
            <w:r w:rsidRPr="006C7B74">
              <w:rPr>
                <w:rFonts w:ascii="Calibri" w:hAnsi="Calibri" w:cs="Calibri"/>
                <w:color w:val="363534"/>
                <w:sz w:val="18"/>
                <w:szCs w:val="18"/>
              </w:rPr>
              <w:t>0.0</w:t>
            </w:r>
          </w:p>
        </w:tc>
      </w:tr>
      <w:tr w:rsidR="0011277D" w:rsidRPr="006C7B74" w14:paraId="21D9E8D2" w14:textId="77777777" w:rsidTr="0011277D">
        <w:trPr>
          <w:trHeight w:val="283"/>
        </w:trPr>
        <w:tc>
          <w:tcPr>
            <w:tcW w:w="1882"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21F83080" w14:textId="77777777" w:rsidR="0011277D" w:rsidRPr="006C7B74" w:rsidRDefault="0011277D">
            <w:pPr>
              <w:rPr>
                <w:rFonts w:ascii="Calibri" w:hAnsi="Calibri" w:cs="Calibri"/>
                <w:b/>
                <w:bCs/>
                <w:color w:val="000000"/>
                <w:sz w:val="18"/>
                <w:szCs w:val="18"/>
              </w:rPr>
            </w:pPr>
            <w:r w:rsidRPr="006C7B74">
              <w:rPr>
                <w:rFonts w:ascii="Calibri" w:hAnsi="Calibri" w:cs="Calibri"/>
                <w:b/>
                <w:bCs/>
                <w:color w:val="000000"/>
                <w:sz w:val="18"/>
                <w:szCs w:val="18"/>
              </w:rPr>
              <w:t>Inner South East Region</w:t>
            </w:r>
          </w:p>
        </w:tc>
        <w:tc>
          <w:tcPr>
            <w:tcW w:w="1039"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496970C5" w14:textId="77777777" w:rsidR="0011277D" w:rsidRPr="006C7B74" w:rsidRDefault="0011277D">
            <w:pPr>
              <w:jc w:val="center"/>
              <w:rPr>
                <w:rFonts w:ascii="Calibri" w:hAnsi="Calibri" w:cs="Calibri"/>
                <w:b/>
                <w:bCs/>
                <w:color w:val="363534"/>
                <w:sz w:val="18"/>
                <w:szCs w:val="18"/>
              </w:rPr>
            </w:pPr>
            <w:r w:rsidRPr="006C7B74">
              <w:rPr>
                <w:rFonts w:ascii="Calibri" w:hAnsi="Calibri" w:cs="Calibri"/>
                <w:b/>
                <w:bCs/>
                <w:color w:val="363534"/>
                <w:sz w:val="18"/>
                <w:szCs w:val="18"/>
              </w:rPr>
              <w:t>-0.9</w:t>
            </w:r>
          </w:p>
        </w:tc>
        <w:tc>
          <w:tcPr>
            <w:tcW w:w="1039"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6D182056" w14:textId="77777777" w:rsidR="0011277D" w:rsidRPr="006C7B74" w:rsidRDefault="0011277D">
            <w:pPr>
              <w:jc w:val="center"/>
              <w:rPr>
                <w:rFonts w:ascii="Calibri" w:hAnsi="Calibri" w:cs="Calibri"/>
                <w:b/>
                <w:bCs/>
                <w:color w:val="363534"/>
                <w:sz w:val="18"/>
                <w:szCs w:val="18"/>
              </w:rPr>
            </w:pPr>
            <w:r w:rsidRPr="006C7B74">
              <w:rPr>
                <w:rFonts w:ascii="Calibri" w:hAnsi="Calibri" w:cs="Calibri"/>
                <w:b/>
                <w:bCs/>
                <w:color w:val="363534"/>
                <w:sz w:val="18"/>
                <w:szCs w:val="18"/>
              </w:rPr>
              <w:t>0.4</w:t>
            </w:r>
          </w:p>
        </w:tc>
        <w:tc>
          <w:tcPr>
            <w:tcW w:w="1039" w:type="pct"/>
            <w:tcBorders>
              <w:top w:val="nil"/>
              <w:left w:val="nil"/>
              <w:bottom w:val="single" w:sz="8" w:space="0" w:color="4D446C"/>
              <w:right w:val="nil"/>
            </w:tcBorders>
            <w:shd w:val="clear" w:color="auto" w:fill="auto"/>
            <w:noWrap/>
            <w:tcMar>
              <w:top w:w="15" w:type="dxa"/>
              <w:left w:w="15" w:type="dxa"/>
              <w:bottom w:w="0" w:type="dxa"/>
              <w:right w:w="15" w:type="dxa"/>
            </w:tcMar>
            <w:vAlign w:val="center"/>
            <w:hideMark/>
          </w:tcPr>
          <w:p w14:paraId="519D7D3A" w14:textId="77777777" w:rsidR="0011277D" w:rsidRPr="006C7B74" w:rsidRDefault="0011277D">
            <w:pPr>
              <w:jc w:val="center"/>
              <w:rPr>
                <w:rFonts w:ascii="Calibri" w:hAnsi="Calibri" w:cs="Calibri"/>
                <w:b/>
                <w:bCs/>
                <w:color w:val="363534"/>
                <w:sz w:val="18"/>
                <w:szCs w:val="18"/>
              </w:rPr>
            </w:pPr>
            <w:r w:rsidRPr="006C7B74">
              <w:rPr>
                <w:rFonts w:ascii="Calibri" w:hAnsi="Calibri" w:cs="Calibri"/>
                <w:b/>
                <w:bCs/>
                <w:color w:val="363534"/>
                <w:sz w:val="18"/>
                <w:szCs w:val="18"/>
              </w:rPr>
              <w:t>0.6</w:t>
            </w:r>
          </w:p>
        </w:tc>
      </w:tr>
    </w:tbl>
    <w:p w14:paraId="152A9831" w14:textId="11CA0F8C" w:rsidR="004011F2" w:rsidRPr="006C7B74" w:rsidRDefault="00CF7392" w:rsidP="00CF7392">
      <w:pPr>
        <w:pStyle w:val="Quote"/>
      </w:pPr>
      <w:r w:rsidRPr="006C7B74">
        <w:t>Source: Department of Environment, Land, Water and Planning, Urban Development Program – Melbourne Metropolitan Industrial 2018</w:t>
      </w:r>
    </w:p>
    <w:p w14:paraId="1AA3DA12" w14:textId="77777777" w:rsidR="00CF7392" w:rsidRPr="006C7B74" w:rsidRDefault="00CF7392" w:rsidP="00CF7392"/>
    <w:p w14:paraId="076622A2" w14:textId="7C26B02D" w:rsidR="0065752E" w:rsidRPr="006C7B74" w:rsidRDefault="0065752E" w:rsidP="0065752E">
      <w:pPr>
        <w:spacing w:after="120"/>
        <w:rPr>
          <w:rFonts w:cstheme="minorHAnsi"/>
          <w:sz w:val="20"/>
          <w:szCs w:val="20"/>
        </w:rPr>
      </w:pPr>
      <w:r w:rsidRPr="006C7B74">
        <w:rPr>
          <w:rFonts w:cstheme="minorHAnsi"/>
          <w:sz w:val="20"/>
          <w:szCs w:val="20"/>
        </w:rPr>
        <w:t>Between 2000-01 and 2017-18 a total of 29 hectares of industrial land was rezoned across the region for non-industrial uses. The largest loss of industrial land over this period was within Glen</w:t>
      </w:r>
      <w:r w:rsidR="00133617" w:rsidRPr="006C7B74">
        <w:rPr>
          <w:rFonts w:cstheme="minorHAnsi"/>
          <w:sz w:val="20"/>
          <w:szCs w:val="20"/>
        </w:rPr>
        <w:t xml:space="preserve"> </w:t>
      </w:r>
      <w:proofErr w:type="spellStart"/>
      <w:r w:rsidRPr="006C7B74">
        <w:rPr>
          <w:rFonts w:cstheme="minorHAnsi"/>
          <w:sz w:val="20"/>
          <w:szCs w:val="20"/>
        </w:rPr>
        <w:t>Eira</w:t>
      </w:r>
      <w:proofErr w:type="spellEnd"/>
      <w:r w:rsidRPr="006C7B74">
        <w:rPr>
          <w:rFonts w:cstheme="minorHAnsi"/>
          <w:sz w:val="20"/>
          <w:szCs w:val="20"/>
        </w:rPr>
        <w:t xml:space="preserve"> where 14 sites were rezoned</w:t>
      </w:r>
      <w:r w:rsidR="00904C15" w:rsidRPr="006C7B74">
        <w:rPr>
          <w:rFonts w:cstheme="minorHAnsi"/>
          <w:sz w:val="20"/>
          <w:szCs w:val="20"/>
        </w:rPr>
        <w:t>,</w:t>
      </w:r>
      <w:r w:rsidRPr="006C7B74">
        <w:rPr>
          <w:rFonts w:cstheme="minorHAnsi"/>
          <w:sz w:val="20"/>
          <w:szCs w:val="20"/>
        </w:rPr>
        <w:t xml:space="preserve"> resulting in an overall loss of 14 hectares of industrial land. Bayside also lost 14 hectares of industrial land over the period through </w:t>
      </w:r>
      <w:proofErr w:type="spellStart"/>
      <w:r w:rsidRPr="006C7B74">
        <w:rPr>
          <w:rFonts w:cstheme="minorHAnsi"/>
          <w:sz w:val="20"/>
          <w:szCs w:val="20"/>
        </w:rPr>
        <w:t>rezonings</w:t>
      </w:r>
      <w:proofErr w:type="spellEnd"/>
      <w:r w:rsidRPr="006C7B74">
        <w:rPr>
          <w:rFonts w:cstheme="minorHAnsi"/>
          <w:sz w:val="20"/>
          <w:szCs w:val="20"/>
        </w:rPr>
        <w:t xml:space="preserve"> at 7 sites.</w:t>
      </w:r>
    </w:p>
    <w:p w14:paraId="744B603D" w14:textId="14A628FA" w:rsidR="0065752E" w:rsidRPr="006C7B74" w:rsidRDefault="0065752E" w:rsidP="0065752E">
      <w:pPr>
        <w:spacing w:after="120"/>
        <w:rPr>
          <w:rFonts w:cstheme="minorHAnsi"/>
          <w:sz w:val="20"/>
          <w:szCs w:val="20"/>
        </w:rPr>
      </w:pPr>
      <w:r w:rsidRPr="006C7B74">
        <w:rPr>
          <w:rFonts w:cstheme="minorHAnsi"/>
          <w:sz w:val="20"/>
          <w:szCs w:val="20"/>
        </w:rPr>
        <w:t xml:space="preserve">Of the </w:t>
      </w:r>
      <w:proofErr w:type="spellStart"/>
      <w:r w:rsidRPr="006C7B74">
        <w:rPr>
          <w:rFonts w:cstheme="minorHAnsi"/>
          <w:sz w:val="20"/>
          <w:szCs w:val="20"/>
        </w:rPr>
        <w:t>rezonings</w:t>
      </w:r>
      <w:proofErr w:type="spellEnd"/>
      <w:r w:rsidRPr="006C7B74">
        <w:rPr>
          <w:rFonts w:cstheme="minorHAnsi"/>
          <w:sz w:val="20"/>
          <w:szCs w:val="20"/>
        </w:rPr>
        <w:t xml:space="preserve"> that occurred over this period, </w:t>
      </w:r>
      <w:r w:rsidR="00D0632D" w:rsidRPr="006C7B74">
        <w:rPr>
          <w:rFonts w:cstheme="minorHAnsi"/>
          <w:sz w:val="20"/>
          <w:szCs w:val="20"/>
        </w:rPr>
        <w:t>almost</w:t>
      </w:r>
      <w:r w:rsidRPr="006C7B74">
        <w:rPr>
          <w:rFonts w:cstheme="minorHAnsi"/>
          <w:sz w:val="20"/>
          <w:szCs w:val="20"/>
        </w:rPr>
        <w:t xml:space="preserve"> 80 per cent involved sites of less than 2 hectares in size</w:t>
      </w:r>
      <w:r w:rsidR="00D0632D" w:rsidRPr="006C7B74">
        <w:rPr>
          <w:rFonts w:cstheme="minorHAnsi"/>
          <w:sz w:val="20"/>
          <w:szCs w:val="20"/>
        </w:rPr>
        <w:t xml:space="preserve">. In Glen </w:t>
      </w:r>
      <w:proofErr w:type="spellStart"/>
      <w:r w:rsidR="00D0632D" w:rsidRPr="006C7B74">
        <w:rPr>
          <w:rFonts w:cstheme="minorHAnsi"/>
          <w:sz w:val="20"/>
          <w:szCs w:val="20"/>
        </w:rPr>
        <w:t>Eira</w:t>
      </w:r>
      <w:proofErr w:type="spellEnd"/>
      <w:r w:rsidRPr="006C7B74">
        <w:rPr>
          <w:rFonts w:cstheme="minorHAnsi"/>
          <w:sz w:val="20"/>
          <w:szCs w:val="20"/>
        </w:rPr>
        <w:t xml:space="preserve"> </w:t>
      </w:r>
      <w:r w:rsidR="00D0632D" w:rsidRPr="006C7B74">
        <w:rPr>
          <w:rFonts w:cstheme="minorHAnsi"/>
          <w:sz w:val="20"/>
          <w:szCs w:val="20"/>
        </w:rPr>
        <w:t>5</w:t>
      </w:r>
      <w:r w:rsidRPr="006C7B74">
        <w:rPr>
          <w:rFonts w:cstheme="minorHAnsi"/>
          <w:sz w:val="20"/>
          <w:szCs w:val="20"/>
        </w:rPr>
        <w:t xml:space="preserve">5 per cent </w:t>
      </w:r>
      <w:r w:rsidR="00D0632D" w:rsidRPr="006C7B74">
        <w:rPr>
          <w:rFonts w:cstheme="minorHAnsi"/>
          <w:sz w:val="20"/>
          <w:szCs w:val="20"/>
        </w:rPr>
        <w:t xml:space="preserve">of land </w:t>
      </w:r>
      <w:r w:rsidRPr="006C7B74">
        <w:rPr>
          <w:rFonts w:cstheme="minorHAnsi"/>
          <w:sz w:val="20"/>
          <w:szCs w:val="20"/>
        </w:rPr>
        <w:t>rezon</w:t>
      </w:r>
      <w:r w:rsidR="00D0632D" w:rsidRPr="006C7B74">
        <w:rPr>
          <w:rFonts w:cstheme="minorHAnsi"/>
          <w:sz w:val="20"/>
          <w:szCs w:val="20"/>
        </w:rPr>
        <w:t>ed</w:t>
      </w:r>
      <w:r w:rsidRPr="006C7B74">
        <w:rPr>
          <w:rFonts w:cstheme="minorHAnsi"/>
          <w:sz w:val="20"/>
          <w:szCs w:val="20"/>
        </w:rPr>
        <w:t xml:space="preserve"> allow</w:t>
      </w:r>
      <w:r w:rsidR="00D0632D" w:rsidRPr="006C7B74">
        <w:rPr>
          <w:rFonts w:cstheme="minorHAnsi"/>
          <w:sz w:val="20"/>
          <w:szCs w:val="20"/>
        </w:rPr>
        <w:t>ed</w:t>
      </w:r>
      <w:r w:rsidRPr="006C7B74">
        <w:rPr>
          <w:rFonts w:cstheme="minorHAnsi"/>
          <w:sz w:val="20"/>
          <w:szCs w:val="20"/>
        </w:rPr>
        <w:t xml:space="preserve"> for </w:t>
      </w:r>
      <w:r w:rsidR="00C3099F" w:rsidRPr="006C7B74">
        <w:rPr>
          <w:rFonts w:cstheme="minorHAnsi"/>
          <w:sz w:val="20"/>
          <w:szCs w:val="20"/>
        </w:rPr>
        <w:t>mixed</w:t>
      </w:r>
      <w:r w:rsidR="00994D93" w:rsidRPr="006C7B74">
        <w:rPr>
          <w:rFonts w:cstheme="minorHAnsi"/>
          <w:sz w:val="20"/>
          <w:szCs w:val="20"/>
        </w:rPr>
        <w:t>-</w:t>
      </w:r>
      <w:r w:rsidR="00C3099F" w:rsidRPr="006C7B74">
        <w:rPr>
          <w:rFonts w:cstheme="minorHAnsi"/>
          <w:sz w:val="20"/>
          <w:szCs w:val="20"/>
        </w:rPr>
        <w:t xml:space="preserve">use or </w:t>
      </w:r>
      <w:r w:rsidRPr="006C7B74">
        <w:rPr>
          <w:rFonts w:cstheme="minorHAnsi"/>
          <w:sz w:val="20"/>
          <w:szCs w:val="20"/>
        </w:rPr>
        <w:t>residential development</w:t>
      </w:r>
      <w:r w:rsidR="00D0632D" w:rsidRPr="006C7B74">
        <w:rPr>
          <w:rFonts w:cstheme="minorHAnsi"/>
          <w:sz w:val="20"/>
          <w:szCs w:val="20"/>
        </w:rPr>
        <w:t xml:space="preserve"> and in Bayside more than 90 per cent of land </w:t>
      </w:r>
      <w:r w:rsidR="00BD73BB" w:rsidRPr="006C7B74">
        <w:rPr>
          <w:rFonts w:cstheme="minorHAnsi"/>
          <w:sz w:val="20"/>
          <w:szCs w:val="20"/>
        </w:rPr>
        <w:t>was</w:t>
      </w:r>
      <w:r w:rsidR="00D0632D" w:rsidRPr="006C7B74">
        <w:rPr>
          <w:rFonts w:cstheme="minorHAnsi"/>
          <w:sz w:val="20"/>
          <w:szCs w:val="20"/>
        </w:rPr>
        <w:t xml:space="preserve"> rezoned for mixed</w:t>
      </w:r>
      <w:r w:rsidR="00994D93" w:rsidRPr="006C7B74">
        <w:rPr>
          <w:rFonts w:cstheme="minorHAnsi"/>
          <w:sz w:val="20"/>
          <w:szCs w:val="20"/>
        </w:rPr>
        <w:t>-</w:t>
      </w:r>
      <w:r w:rsidR="00D0632D" w:rsidRPr="006C7B74">
        <w:rPr>
          <w:rFonts w:cstheme="minorHAnsi"/>
          <w:sz w:val="20"/>
          <w:szCs w:val="20"/>
        </w:rPr>
        <w:t>use or residential development</w:t>
      </w:r>
      <w:r w:rsidRPr="006C7B74">
        <w:rPr>
          <w:rFonts w:cstheme="minorHAnsi"/>
          <w:sz w:val="20"/>
          <w:szCs w:val="20"/>
        </w:rPr>
        <w:t>.</w:t>
      </w:r>
    </w:p>
    <w:p w14:paraId="0AB7F7A1" w14:textId="5F4FDB01" w:rsidR="0065752E" w:rsidRPr="006C7B74" w:rsidRDefault="0065752E" w:rsidP="0065752E">
      <w:pPr>
        <w:spacing w:after="120"/>
        <w:rPr>
          <w:rFonts w:cstheme="minorHAnsi"/>
          <w:sz w:val="20"/>
          <w:szCs w:val="20"/>
        </w:rPr>
      </w:pPr>
    </w:p>
    <w:p w14:paraId="203172C2" w14:textId="42AC72A4" w:rsidR="006A5D02" w:rsidRPr="006C7B74" w:rsidRDefault="006A5D02">
      <w:pPr>
        <w:rPr>
          <w:rFonts w:cstheme="minorHAnsi"/>
          <w:b/>
          <w:sz w:val="20"/>
          <w:szCs w:val="20"/>
        </w:rPr>
      </w:pPr>
    </w:p>
    <w:p w14:paraId="3EC62648" w14:textId="77777777" w:rsidR="00CB76E5" w:rsidRPr="006C7B74" w:rsidRDefault="00CB76E5">
      <w:pPr>
        <w:rPr>
          <w:rFonts w:cstheme="minorHAnsi"/>
          <w:b/>
          <w:sz w:val="20"/>
          <w:szCs w:val="20"/>
        </w:rPr>
      </w:pPr>
      <w:r w:rsidRPr="006C7B74">
        <w:rPr>
          <w:rFonts w:cstheme="minorHAnsi"/>
          <w:b/>
          <w:sz w:val="20"/>
          <w:szCs w:val="20"/>
        </w:rPr>
        <w:br w:type="page"/>
      </w:r>
    </w:p>
    <w:p w14:paraId="5FF7F9B9" w14:textId="3E036E57" w:rsidR="00850F06" w:rsidRPr="006C7B74" w:rsidRDefault="00850F06" w:rsidP="003C516A">
      <w:pPr>
        <w:pStyle w:val="Heading5"/>
      </w:pPr>
      <w:r w:rsidRPr="006C7B74">
        <w:lastRenderedPageBreak/>
        <w:t xml:space="preserve">Figure </w:t>
      </w:r>
      <w:r w:rsidR="00A667DD" w:rsidRPr="006C7B74">
        <w:t>3</w:t>
      </w:r>
      <w:r w:rsidR="00272A6B" w:rsidRPr="006C7B74">
        <w:t>3</w:t>
      </w:r>
      <w:r w:rsidRPr="006C7B74">
        <w:t xml:space="preserve">: Change of zoned industrial land, </w:t>
      </w:r>
      <w:r w:rsidR="00683A2D" w:rsidRPr="006C7B74">
        <w:t>Inner South East Region</w:t>
      </w:r>
      <w:r w:rsidRPr="006C7B74">
        <w:t>, 2000-01 to 2017-18</w:t>
      </w:r>
    </w:p>
    <w:p w14:paraId="473406B2" w14:textId="47F3A9D3" w:rsidR="00850F06" w:rsidRPr="006C7B74" w:rsidRDefault="003D3C38" w:rsidP="007420C4">
      <w:pPr>
        <w:pStyle w:val="Heading5"/>
      </w:pPr>
      <w:r w:rsidRPr="006C7B74">
        <w:rPr>
          <w:noProof/>
        </w:rPr>
        <w:drawing>
          <wp:inline distT="0" distB="0" distL="0" distR="0" wp14:anchorId="69C6CE47" wp14:editId="5AB4647D">
            <wp:extent cx="5727700" cy="4001770"/>
            <wp:effectExtent l="0" t="0" r="6350" b="0"/>
            <wp:docPr id="1984355087" name="Picture 1984355087" descr="Map showing change of zoned industrial land, Inner South East Region, 2000-01 to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27700" cy="4001770"/>
                    </a:xfrm>
                    <a:prstGeom prst="rect">
                      <a:avLst/>
                    </a:prstGeom>
                  </pic:spPr>
                </pic:pic>
              </a:graphicData>
            </a:graphic>
          </wp:inline>
        </w:drawing>
      </w:r>
    </w:p>
    <w:p w14:paraId="23A04844" w14:textId="16D19C3E" w:rsidR="00850F06" w:rsidRPr="006C7B74" w:rsidRDefault="00CF7392" w:rsidP="00CF7392">
      <w:pPr>
        <w:pStyle w:val="Quote"/>
      </w:pPr>
      <w:r w:rsidRPr="006C7B74">
        <w:t>Source: Department of Environment, Land, Water and Planning, Urban Development Program – Melbourne Metropolitan Industrial 2018</w:t>
      </w:r>
    </w:p>
    <w:p w14:paraId="0263A68E" w14:textId="77777777" w:rsidR="00CF7392" w:rsidRPr="006C7B74" w:rsidRDefault="00CF7392" w:rsidP="00850F06">
      <w:pPr>
        <w:spacing w:after="120"/>
        <w:rPr>
          <w:rFonts w:cstheme="minorHAnsi"/>
          <w:sz w:val="20"/>
          <w:szCs w:val="20"/>
        </w:rPr>
      </w:pPr>
    </w:p>
    <w:p w14:paraId="343AF971" w14:textId="76656403" w:rsidR="004011F2" w:rsidRPr="006C7B74" w:rsidRDefault="004011F2" w:rsidP="00934C4D">
      <w:pPr>
        <w:pStyle w:val="Heading3"/>
        <w:spacing w:before="0" w:after="120"/>
      </w:pPr>
      <w:r w:rsidRPr="006C7B74">
        <w:t>Commercial land</w:t>
      </w:r>
    </w:p>
    <w:p w14:paraId="55802144" w14:textId="73DA308F" w:rsidR="004011F2" w:rsidRPr="006C7B74" w:rsidRDefault="004011F2" w:rsidP="00934C4D">
      <w:pPr>
        <w:spacing w:after="120"/>
        <w:rPr>
          <w:rFonts w:cstheme="minorHAnsi"/>
          <w:sz w:val="20"/>
          <w:szCs w:val="20"/>
        </w:rPr>
      </w:pPr>
      <w:r w:rsidRPr="006C7B74">
        <w:rPr>
          <w:rFonts w:cstheme="minorHAnsi"/>
          <w:sz w:val="20"/>
          <w:szCs w:val="20"/>
        </w:rPr>
        <w:t>Currently across the region there is a total of 5</w:t>
      </w:r>
      <w:r w:rsidR="00CE40B9" w:rsidRPr="006C7B74">
        <w:rPr>
          <w:rFonts w:cstheme="minorHAnsi"/>
          <w:sz w:val="20"/>
          <w:szCs w:val="20"/>
        </w:rPr>
        <w:t>15</w:t>
      </w:r>
      <w:r w:rsidRPr="006C7B74">
        <w:rPr>
          <w:rFonts w:cstheme="minorHAnsi"/>
          <w:sz w:val="20"/>
          <w:szCs w:val="20"/>
        </w:rPr>
        <w:t xml:space="preserve"> hectares of land that has been identified as being zoned for commercial purposes. It is estimated that there </w:t>
      </w:r>
      <w:r w:rsidR="00A40B31" w:rsidRPr="006C7B74">
        <w:rPr>
          <w:rFonts w:cstheme="minorHAnsi"/>
          <w:sz w:val="20"/>
          <w:szCs w:val="20"/>
        </w:rPr>
        <w:t>is almost</w:t>
      </w:r>
      <w:r w:rsidRPr="006C7B74">
        <w:rPr>
          <w:rFonts w:cstheme="minorHAnsi"/>
          <w:sz w:val="20"/>
          <w:szCs w:val="20"/>
        </w:rPr>
        <w:t xml:space="preserve"> </w:t>
      </w:r>
      <w:r w:rsidR="00CE40B9" w:rsidRPr="006C7B74">
        <w:rPr>
          <w:rFonts w:cstheme="minorHAnsi"/>
          <w:sz w:val="20"/>
          <w:szCs w:val="20"/>
        </w:rPr>
        <w:t>3</w:t>
      </w:r>
      <w:r w:rsidRPr="006C7B74">
        <w:rPr>
          <w:rFonts w:cstheme="minorHAnsi"/>
          <w:sz w:val="20"/>
          <w:szCs w:val="20"/>
        </w:rPr>
        <w:t xml:space="preserve"> million square metres of floorspace used for or available for commercial purposes on this land. </w:t>
      </w:r>
      <w:r w:rsidR="00A40B31" w:rsidRPr="006C7B74">
        <w:rPr>
          <w:rFonts w:cstheme="minorHAnsi"/>
          <w:sz w:val="20"/>
          <w:szCs w:val="20"/>
        </w:rPr>
        <w:t>Over 70 per cent of all the existing floorspace supply is located within the municipalities of Boroondara and Stonnington.</w:t>
      </w:r>
    </w:p>
    <w:p w14:paraId="1A689B4F" w14:textId="113115EF" w:rsidR="00A40B31" w:rsidRPr="006C7B74" w:rsidRDefault="004011F2" w:rsidP="00934C4D">
      <w:pPr>
        <w:spacing w:after="120"/>
        <w:rPr>
          <w:rFonts w:cstheme="minorHAnsi"/>
          <w:sz w:val="20"/>
          <w:szCs w:val="20"/>
        </w:rPr>
      </w:pPr>
      <w:r w:rsidRPr="006C7B74">
        <w:rPr>
          <w:rFonts w:cstheme="minorHAnsi"/>
          <w:sz w:val="20"/>
          <w:szCs w:val="20"/>
        </w:rPr>
        <w:t xml:space="preserve">Across the region a total of </w:t>
      </w:r>
      <w:r w:rsidR="00513946" w:rsidRPr="006C7B74">
        <w:rPr>
          <w:rFonts w:cstheme="minorHAnsi"/>
          <w:sz w:val="20"/>
          <w:szCs w:val="20"/>
        </w:rPr>
        <w:t>15</w:t>
      </w:r>
      <w:r w:rsidR="009378F8" w:rsidRPr="006C7B74">
        <w:rPr>
          <w:rFonts w:cstheme="minorHAnsi"/>
          <w:sz w:val="20"/>
          <w:szCs w:val="20"/>
        </w:rPr>
        <w:t>2</w:t>
      </w:r>
      <w:r w:rsidR="00513946" w:rsidRPr="006C7B74">
        <w:rPr>
          <w:rFonts w:cstheme="minorHAnsi"/>
          <w:sz w:val="20"/>
          <w:szCs w:val="20"/>
        </w:rPr>
        <w:t xml:space="preserve"> </w:t>
      </w:r>
      <w:r w:rsidRPr="006C7B74">
        <w:rPr>
          <w:rFonts w:cstheme="minorHAnsi"/>
          <w:sz w:val="20"/>
          <w:szCs w:val="20"/>
        </w:rPr>
        <w:t xml:space="preserve">commercial areas or centres have been identified. Of these, </w:t>
      </w:r>
      <w:r w:rsidR="009378F8" w:rsidRPr="006C7B74">
        <w:rPr>
          <w:rFonts w:cstheme="minorHAnsi"/>
          <w:sz w:val="20"/>
          <w:szCs w:val="20"/>
        </w:rPr>
        <w:t xml:space="preserve">101 </w:t>
      </w:r>
      <w:r w:rsidRPr="006C7B74">
        <w:rPr>
          <w:rFonts w:cstheme="minorHAnsi"/>
          <w:sz w:val="20"/>
          <w:szCs w:val="20"/>
        </w:rPr>
        <w:t xml:space="preserve">have </w:t>
      </w:r>
      <w:r w:rsidR="00A40B31" w:rsidRPr="006C7B74">
        <w:rPr>
          <w:rFonts w:cstheme="minorHAnsi"/>
          <w:sz w:val="20"/>
          <w:szCs w:val="20"/>
        </w:rPr>
        <w:t>less</w:t>
      </w:r>
      <w:r w:rsidRPr="006C7B74">
        <w:rPr>
          <w:rFonts w:cstheme="minorHAnsi"/>
          <w:sz w:val="20"/>
          <w:szCs w:val="20"/>
        </w:rPr>
        <w:t xml:space="preserve"> than 10,000 square metres of floorspace. </w:t>
      </w:r>
      <w:r w:rsidR="00A40B31" w:rsidRPr="006C7B74">
        <w:rPr>
          <w:rFonts w:cstheme="minorHAnsi"/>
          <w:sz w:val="20"/>
          <w:szCs w:val="20"/>
        </w:rPr>
        <w:t xml:space="preserve">While </w:t>
      </w:r>
      <w:r w:rsidR="00A35591" w:rsidRPr="006C7B74">
        <w:rPr>
          <w:rFonts w:cstheme="minorHAnsi"/>
          <w:sz w:val="20"/>
          <w:szCs w:val="20"/>
        </w:rPr>
        <w:t xml:space="preserve">accounting for around </w:t>
      </w:r>
      <w:r w:rsidR="00F117E4">
        <w:rPr>
          <w:rFonts w:cstheme="minorHAnsi"/>
          <w:sz w:val="20"/>
          <w:szCs w:val="20"/>
        </w:rPr>
        <w:t>t</w:t>
      </w:r>
      <w:r w:rsidR="00A34CF5">
        <w:rPr>
          <w:rFonts w:cstheme="minorHAnsi"/>
          <w:sz w:val="20"/>
          <w:szCs w:val="20"/>
        </w:rPr>
        <w:t>wo</w:t>
      </w:r>
      <w:r w:rsidR="00A35591" w:rsidRPr="006C7B74">
        <w:rPr>
          <w:rFonts w:cstheme="minorHAnsi"/>
          <w:sz w:val="20"/>
          <w:szCs w:val="20"/>
        </w:rPr>
        <w:t>-third</w:t>
      </w:r>
      <w:r w:rsidR="00601895">
        <w:rPr>
          <w:rFonts w:cstheme="minorHAnsi"/>
          <w:sz w:val="20"/>
          <w:szCs w:val="20"/>
        </w:rPr>
        <w:t>s</w:t>
      </w:r>
      <w:r w:rsidR="00A35591" w:rsidRPr="006C7B74">
        <w:rPr>
          <w:rFonts w:cstheme="minorHAnsi"/>
          <w:sz w:val="20"/>
          <w:szCs w:val="20"/>
        </w:rPr>
        <w:t xml:space="preserve"> of all centres across the region</w:t>
      </w:r>
      <w:r w:rsidR="00A40B31" w:rsidRPr="006C7B74">
        <w:rPr>
          <w:rFonts w:cstheme="minorHAnsi"/>
          <w:sz w:val="20"/>
          <w:szCs w:val="20"/>
        </w:rPr>
        <w:t xml:space="preserve">, these smaller centres only </w:t>
      </w:r>
      <w:r w:rsidR="00A35591" w:rsidRPr="006C7B74">
        <w:rPr>
          <w:rFonts w:cstheme="minorHAnsi"/>
          <w:sz w:val="20"/>
          <w:szCs w:val="20"/>
        </w:rPr>
        <w:t>make up</w:t>
      </w:r>
      <w:r w:rsidR="00A40B31" w:rsidRPr="006C7B74">
        <w:rPr>
          <w:rFonts w:cstheme="minorHAnsi"/>
          <w:sz w:val="20"/>
          <w:szCs w:val="20"/>
        </w:rPr>
        <w:t xml:space="preserve"> around 12 per cent of the region’s total floorspace.</w:t>
      </w:r>
    </w:p>
    <w:p w14:paraId="083AD003" w14:textId="0FF959A0" w:rsidR="00A35591" w:rsidRPr="006C7B74" w:rsidRDefault="004011F2" w:rsidP="00934C4D">
      <w:pPr>
        <w:spacing w:after="120"/>
        <w:rPr>
          <w:rFonts w:cstheme="minorHAnsi"/>
          <w:sz w:val="20"/>
          <w:szCs w:val="20"/>
        </w:rPr>
      </w:pPr>
      <w:r w:rsidRPr="006C7B74">
        <w:rPr>
          <w:rFonts w:cstheme="minorHAnsi"/>
          <w:sz w:val="20"/>
          <w:szCs w:val="20"/>
        </w:rPr>
        <w:t>F</w:t>
      </w:r>
      <w:r w:rsidR="00DA22F4" w:rsidRPr="006C7B74">
        <w:rPr>
          <w:rFonts w:cstheme="minorHAnsi"/>
          <w:sz w:val="20"/>
          <w:szCs w:val="20"/>
        </w:rPr>
        <w:t>ive</w:t>
      </w:r>
      <w:r w:rsidRPr="006C7B74">
        <w:rPr>
          <w:rFonts w:cstheme="minorHAnsi"/>
          <w:sz w:val="20"/>
          <w:szCs w:val="20"/>
        </w:rPr>
        <w:t xml:space="preserve"> centres have more than 100,000 square metres of floorspace</w:t>
      </w:r>
      <w:r w:rsidR="00A35591" w:rsidRPr="006C7B74">
        <w:rPr>
          <w:rFonts w:cstheme="minorHAnsi"/>
          <w:sz w:val="20"/>
          <w:szCs w:val="20"/>
        </w:rPr>
        <w:t>. These include strip-based centres like Camberwell, Hawthorn, Malvern-Armadale and Chapel Street as well as Chadstone</w:t>
      </w:r>
      <w:r w:rsidR="003E155D" w:rsidRPr="006C7B74">
        <w:rPr>
          <w:rFonts w:cstheme="minorHAnsi"/>
          <w:sz w:val="20"/>
          <w:szCs w:val="20"/>
        </w:rPr>
        <w:t>,</w:t>
      </w:r>
      <w:r w:rsidR="00A35591" w:rsidRPr="006C7B74">
        <w:rPr>
          <w:rFonts w:cstheme="minorHAnsi"/>
          <w:sz w:val="20"/>
          <w:szCs w:val="20"/>
        </w:rPr>
        <w:t xml:space="preserve"> which is the largest free-standing shopping centre in metropolitan Melbourne.</w:t>
      </w:r>
      <w:r w:rsidRPr="006C7B74">
        <w:rPr>
          <w:rFonts w:cstheme="minorHAnsi"/>
          <w:sz w:val="20"/>
          <w:szCs w:val="20"/>
        </w:rPr>
        <w:t xml:space="preserve"> </w:t>
      </w:r>
      <w:r w:rsidR="00A35591" w:rsidRPr="006C7B74">
        <w:rPr>
          <w:rFonts w:cstheme="minorHAnsi"/>
          <w:sz w:val="20"/>
          <w:szCs w:val="20"/>
        </w:rPr>
        <w:t>C</w:t>
      </w:r>
      <w:r w:rsidRPr="006C7B74">
        <w:rPr>
          <w:rFonts w:cstheme="minorHAnsi"/>
          <w:sz w:val="20"/>
          <w:szCs w:val="20"/>
        </w:rPr>
        <w:t xml:space="preserve">ombined these centres account for </w:t>
      </w:r>
      <w:r w:rsidR="006C567D" w:rsidRPr="006C7B74">
        <w:rPr>
          <w:rFonts w:cstheme="minorHAnsi"/>
          <w:sz w:val="20"/>
          <w:szCs w:val="20"/>
        </w:rPr>
        <w:t>40</w:t>
      </w:r>
      <w:r w:rsidRPr="006C7B74">
        <w:rPr>
          <w:rFonts w:cstheme="minorHAnsi"/>
          <w:sz w:val="20"/>
          <w:szCs w:val="20"/>
        </w:rPr>
        <w:t xml:space="preserve"> per cent of the region’s existing commercial floorspace. </w:t>
      </w:r>
    </w:p>
    <w:p w14:paraId="394076A8" w14:textId="52E143C4" w:rsidR="004011F2" w:rsidRPr="006C7B74" w:rsidRDefault="004011F2" w:rsidP="00934C4D">
      <w:pPr>
        <w:spacing w:after="120"/>
        <w:rPr>
          <w:rFonts w:cstheme="minorHAnsi"/>
          <w:sz w:val="20"/>
          <w:szCs w:val="20"/>
        </w:rPr>
      </w:pPr>
      <w:r w:rsidRPr="006C7B74">
        <w:rPr>
          <w:rFonts w:cstheme="minorHAnsi"/>
          <w:sz w:val="20"/>
          <w:szCs w:val="20"/>
        </w:rPr>
        <w:t>Boroondara has the largest number of centres (</w:t>
      </w:r>
      <w:r w:rsidR="006C567D" w:rsidRPr="006C7B74">
        <w:rPr>
          <w:rFonts w:cstheme="minorHAnsi"/>
          <w:sz w:val="20"/>
          <w:szCs w:val="20"/>
        </w:rPr>
        <w:t>51</w:t>
      </w:r>
      <w:r w:rsidRPr="006C7B74">
        <w:rPr>
          <w:rFonts w:cstheme="minorHAnsi"/>
          <w:sz w:val="20"/>
          <w:szCs w:val="20"/>
        </w:rPr>
        <w:t xml:space="preserve">). Although Stonnington has the fewest </w:t>
      </w:r>
      <w:r w:rsidR="00A35591" w:rsidRPr="006C7B74">
        <w:rPr>
          <w:rFonts w:cstheme="minorHAnsi"/>
          <w:sz w:val="20"/>
          <w:szCs w:val="20"/>
        </w:rPr>
        <w:t xml:space="preserve">number of </w:t>
      </w:r>
      <w:r w:rsidR="002A2577" w:rsidRPr="006C7B74">
        <w:rPr>
          <w:rFonts w:cstheme="minorHAnsi"/>
          <w:sz w:val="20"/>
          <w:szCs w:val="20"/>
        </w:rPr>
        <w:t>centres (</w:t>
      </w:r>
      <w:r w:rsidR="00907676" w:rsidRPr="006C7B74">
        <w:rPr>
          <w:rFonts w:cstheme="minorHAnsi"/>
          <w:sz w:val="20"/>
          <w:szCs w:val="20"/>
        </w:rPr>
        <w:t>25</w:t>
      </w:r>
      <w:r w:rsidRPr="006C7B74">
        <w:rPr>
          <w:rFonts w:cstheme="minorHAnsi"/>
          <w:sz w:val="20"/>
          <w:szCs w:val="20"/>
        </w:rPr>
        <w:t>)</w:t>
      </w:r>
      <w:r w:rsidR="008565E7" w:rsidRPr="006C7B74">
        <w:rPr>
          <w:rFonts w:cstheme="minorHAnsi"/>
          <w:sz w:val="20"/>
          <w:szCs w:val="20"/>
        </w:rPr>
        <w:t>,</w:t>
      </w:r>
      <w:r w:rsidRPr="006C7B74">
        <w:rPr>
          <w:rFonts w:cstheme="minorHAnsi"/>
          <w:sz w:val="20"/>
          <w:szCs w:val="20"/>
        </w:rPr>
        <w:t xml:space="preserve"> it has the largest commercial floorspace supply </w:t>
      </w:r>
      <w:r w:rsidR="00A35591" w:rsidRPr="006C7B74">
        <w:rPr>
          <w:rFonts w:cstheme="minorHAnsi"/>
          <w:sz w:val="20"/>
          <w:szCs w:val="20"/>
        </w:rPr>
        <w:t xml:space="preserve">and accounts for </w:t>
      </w:r>
      <w:r w:rsidR="0008422A" w:rsidRPr="006C7B74">
        <w:rPr>
          <w:rFonts w:cstheme="minorHAnsi"/>
          <w:sz w:val="20"/>
          <w:szCs w:val="20"/>
        </w:rPr>
        <w:t>38</w:t>
      </w:r>
      <w:r w:rsidR="007B6E49" w:rsidRPr="006C7B74">
        <w:rPr>
          <w:rFonts w:cstheme="minorHAnsi"/>
          <w:sz w:val="20"/>
          <w:szCs w:val="20"/>
        </w:rPr>
        <w:t xml:space="preserve"> per cent</w:t>
      </w:r>
      <w:r w:rsidR="0008422A" w:rsidRPr="006C7B74">
        <w:rPr>
          <w:rFonts w:cstheme="minorHAnsi"/>
          <w:sz w:val="20"/>
          <w:szCs w:val="20"/>
        </w:rPr>
        <w:t xml:space="preserve"> of the region</w:t>
      </w:r>
      <w:r w:rsidR="00A35591" w:rsidRPr="006C7B74">
        <w:rPr>
          <w:rFonts w:cstheme="minorHAnsi"/>
          <w:sz w:val="20"/>
          <w:szCs w:val="20"/>
        </w:rPr>
        <w:t>’s overall supply</w:t>
      </w:r>
      <w:r w:rsidRPr="006C7B74">
        <w:rPr>
          <w:rFonts w:cstheme="minorHAnsi"/>
          <w:sz w:val="20"/>
          <w:szCs w:val="20"/>
        </w:rPr>
        <w:t xml:space="preserve">. </w:t>
      </w:r>
    </w:p>
    <w:p w14:paraId="66820C16" w14:textId="77777777" w:rsidR="00A40B31" w:rsidRPr="006C7B74" w:rsidRDefault="00A40B31" w:rsidP="00934C4D">
      <w:pPr>
        <w:spacing w:after="120"/>
        <w:rPr>
          <w:rFonts w:cstheme="minorHAnsi"/>
          <w:sz w:val="20"/>
          <w:szCs w:val="20"/>
        </w:rPr>
      </w:pPr>
    </w:p>
    <w:p w14:paraId="6469009D" w14:textId="77777777" w:rsidR="00CB76E5" w:rsidRPr="006C7B74" w:rsidRDefault="00CB76E5">
      <w:pPr>
        <w:rPr>
          <w:rFonts w:eastAsiaTheme="majorEastAsia" w:cstheme="majorBidi"/>
          <w:b/>
          <w:sz w:val="20"/>
        </w:rPr>
      </w:pPr>
      <w:r w:rsidRPr="006C7B74">
        <w:br w:type="page"/>
      </w:r>
    </w:p>
    <w:p w14:paraId="410B2E1A" w14:textId="07A131AD" w:rsidR="004011F2" w:rsidRPr="006C7B74" w:rsidRDefault="004011F2" w:rsidP="002371F1">
      <w:pPr>
        <w:pStyle w:val="Heading5"/>
      </w:pPr>
      <w:r w:rsidRPr="006C7B74">
        <w:lastRenderedPageBreak/>
        <w:t xml:space="preserve">Table </w:t>
      </w:r>
      <w:r w:rsidR="00A667DD" w:rsidRPr="006C7B74">
        <w:t>34</w:t>
      </w:r>
      <w:r w:rsidRPr="006C7B74">
        <w:t>: Existing commercial floorspace by centre size,</w:t>
      </w:r>
      <w:r w:rsidR="00463EE0" w:rsidRPr="006C7B74">
        <w:t xml:space="preserve"> Inner South East Region</w:t>
      </w:r>
    </w:p>
    <w:tbl>
      <w:tblPr>
        <w:tblW w:w="5144" w:type="pct"/>
        <w:tblLook w:val="04A0" w:firstRow="1" w:lastRow="0" w:firstColumn="1" w:lastColumn="0" w:noHBand="0" w:noVBand="1"/>
      </w:tblPr>
      <w:tblGrid>
        <w:gridCol w:w="1014"/>
        <w:gridCol w:w="703"/>
        <w:gridCol w:w="851"/>
        <w:gridCol w:w="640"/>
        <w:gridCol w:w="842"/>
        <w:gridCol w:w="730"/>
        <w:gridCol w:w="911"/>
        <w:gridCol w:w="698"/>
        <w:gridCol w:w="943"/>
        <w:gridCol w:w="812"/>
        <w:gridCol w:w="1139"/>
      </w:tblGrid>
      <w:tr w:rsidR="00401E56" w:rsidRPr="006C7B74" w14:paraId="30BF5820" w14:textId="77777777" w:rsidTr="002371F1">
        <w:trPr>
          <w:trHeight w:val="255"/>
        </w:trPr>
        <w:tc>
          <w:tcPr>
            <w:tcW w:w="557" w:type="pct"/>
            <w:tcBorders>
              <w:top w:val="nil"/>
              <w:left w:val="nil"/>
              <w:bottom w:val="nil"/>
              <w:right w:val="nil"/>
            </w:tcBorders>
            <w:shd w:val="clear" w:color="000000" w:fill="4D446C"/>
            <w:noWrap/>
            <w:vAlign w:val="center"/>
            <w:hideMark/>
          </w:tcPr>
          <w:p w14:paraId="330FCE87" w14:textId="77777777" w:rsidR="00401E56" w:rsidRPr="006C7B74" w:rsidRDefault="00401E56" w:rsidP="00401E56">
            <w:pPr>
              <w:rPr>
                <w:rFonts w:ascii="Calibri" w:hAnsi="Calibri" w:cs="Calibri"/>
                <w:b/>
                <w:bCs/>
                <w:color w:val="FFFFFF"/>
                <w:sz w:val="16"/>
                <w:szCs w:val="16"/>
                <w:lang w:eastAsia="en-AU"/>
              </w:rPr>
            </w:pPr>
            <w:r w:rsidRPr="006C7B74">
              <w:rPr>
                <w:rFonts w:ascii="Calibri" w:hAnsi="Calibri" w:cs="Calibri"/>
                <w:b/>
                <w:bCs/>
                <w:color w:val="FFFFFF"/>
                <w:sz w:val="16"/>
                <w:szCs w:val="16"/>
                <w:lang w:eastAsia="en-AU"/>
              </w:rPr>
              <w:t>Council</w:t>
            </w:r>
          </w:p>
        </w:tc>
        <w:tc>
          <w:tcPr>
            <w:tcW w:w="822" w:type="pct"/>
            <w:gridSpan w:val="2"/>
            <w:tcBorders>
              <w:top w:val="single" w:sz="4" w:space="0" w:color="auto"/>
              <w:left w:val="nil"/>
              <w:bottom w:val="nil"/>
              <w:right w:val="nil"/>
            </w:tcBorders>
            <w:shd w:val="clear" w:color="000000" w:fill="4D446C"/>
            <w:noWrap/>
            <w:vAlign w:val="center"/>
            <w:hideMark/>
          </w:tcPr>
          <w:p w14:paraId="0072E8CA" w14:textId="457EB19F" w:rsidR="00401E56" w:rsidRPr="006C7B74" w:rsidRDefault="00401E56" w:rsidP="00401E56">
            <w:pPr>
              <w:jc w:val="center"/>
              <w:rPr>
                <w:rFonts w:ascii="Calibri" w:hAnsi="Calibri" w:cs="Calibri"/>
                <w:b/>
                <w:bCs/>
                <w:color w:val="FFFFFF"/>
                <w:sz w:val="16"/>
                <w:szCs w:val="16"/>
                <w:lang w:eastAsia="en-AU"/>
              </w:rPr>
            </w:pPr>
            <w:r w:rsidRPr="006C7B74">
              <w:rPr>
                <w:rFonts w:ascii="Calibri" w:hAnsi="Calibri" w:cs="Calibri"/>
                <w:b/>
                <w:bCs/>
                <w:color w:val="FFFFFF"/>
                <w:sz w:val="16"/>
                <w:szCs w:val="16"/>
                <w:lang w:eastAsia="en-AU"/>
              </w:rPr>
              <w:t>Less than 2</w:t>
            </w:r>
            <w:r w:rsidR="00BD73BB" w:rsidRPr="006C7B74">
              <w:rPr>
                <w:rFonts w:ascii="Calibri" w:hAnsi="Calibri" w:cs="Calibri"/>
                <w:b/>
                <w:bCs/>
                <w:color w:val="FFFFFF"/>
                <w:sz w:val="16"/>
                <w:szCs w:val="16"/>
                <w:lang w:eastAsia="en-AU"/>
              </w:rPr>
              <w:t>,</w:t>
            </w:r>
            <w:r w:rsidRPr="006C7B74">
              <w:rPr>
                <w:rFonts w:ascii="Calibri" w:hAnsi="Calibri" w:cs="Calibri"/>
                <w:b/>
                <w:bCs/>
                <w:color w:val="FFFFFF"/>
                <w:sz w:val="16"/>
                <w:szCs w:val="16"/>
                <w:lang w:eastAsia="en-AU"/>
              </w:rPr>
              <w:t>000 (m</w:t>
            </w:r>
            <w:r w:rsidRPr="006C7B74">
              <w:rPr>
                <w:rFonts w:ascii="Calibri" w:hAnsi="Calibri" w:cs="Calibri"/>
                <w:b/>
                <w:bCs/>
                <w:color w:val="FFFFFF"/>
                <w:sz w:val="16"/>
                <w:szCs w:val="16"/>
                <w:vertAlign w:val="superscript"/>
                <w:lang w:eastAsia="en-AU"/>
              </w:rPr>
              <w:t>2</w:t>
            </w:r>
            <w:r w:rsidRPr="006C7B74">
              <w:rPr>
                <w:rFonts w:ascii="Calibri" w:hAnsi="Calibri" w:cs="Calibri"/>
                <w:b/>
                <w:bCs/>
                <w:color w:val="FFFFFF"/>
                <w:sz w:val="16"/>
                <w:szCs w:val="16"/>
                <w:lang w:eastAsia="en-AU"/>
              </w:rPr>
              <w:t>)</w:t>
            </w:r>
          </w:p>
        </w:tc>
        <w:tc>
          <w:tcPr>
            <w:tcW w:w="801" w:type="pct"/>
            <w:gridSpan w:val="2"/>
            <w:tcBorders>
              <w:top w:val="single" w:sz="4" w:space="0" w:color="auto"/>
              <w:left w:val="nil"/>
              <w:bottom w:val="nil"/>
              <w:right w:val="nil"/>
            </w:tcBorders>
            <w:shd w:val="clear" w:color="000000" w:fill="4D446C"/>
            <w:noWrap/>
            <w:vAlign w:val="center"/>
            <w:hideMark/>
          </w:tcPr>
          <w:p w14:paraId="53593565" w14:textId="77777777" w:rsidR="00401E56" w:rsidRPr="006C7B74" w:rsidRDefault="00401E56" w:rsidP="00401E56">
            <w:pPr>
              <w:jc w:val="center"/>
              <w:rPr>
                <w:rFonts w:ascii="Calibri" w:hAnsi="Calibri" w:cs="Calibri"/>
                <w:b/>
                <w:bCs/>
                <w:color w:val="FFFFFF"/>
                <w:sz w:val="16"/>
                <w:szCs w:val="16"/>
                <w:lang w:eastAsia="en-AU"/>
              </w:rPr>
            </w:pPr>
            <w:r w:rsidRPr="006C7B74">
              <w:rPr>
                <w:rFonts w:ascii="Calibri" w:hAnsi="Calibri" w:cs="Calibri"/>
                <w:b/>
                <w:bCs/>
                <w:color w:val="FFFFFF"/>
                <w:sz w:val="16"/>
                <w:szCs w:val="16"/>
                <w:lang w:eastAsia="en-AU"/>
              </w:rPr>
              <w:t>2,000 to 9,999 (m</w:t>
            </w:r>
            <w:r w:rsidRPr="006C7B74">
              <w:rPr>
                <w:rFonts w:ascii="Calibri" w:hAnsi="Calibri" w:cs="Calibri"/>
                <w:b/>
                <w:bCs/>
                <w:color w:val="FFFFFF"/>
                <w:sz w:val="16"/>
                <w:szCs w:val="16"/>
                <w:vertAlign w:val="superscript"/>
                <w:lang w:eastAsia="en-AU"/>
              </w:rPr>
              <w:t>2</w:t>
            </w:r>
            <w:r w:rsidRPr="006C7B74">
              <w:rPr>
                <w:rFonts w:ascii="Calibri" w:hAnsi="Calibri" w:cs="Calibri"/>
                <w:b/>
                <w:bCs/>
                <w:color w:val="FFFFFF"/>
                <w:sz w:val="16"/>
                <w:szCs w:val="16"/>
                <w:lang w:eastAsia="en-AU"/>
              </w:rPr>
              <w:t>)</w:t>
            </w:r>
          </w:p>
        </w:tc>
        <w:tc>
          <w:tcPr>
            <w:tcW w:w="884" w:type="pct"/>
            <w:gridSpan w:val="2"/>
            <w:tcBorders>
              <w:top w:val="single" w:sz="4" w:space="0" w:color="auto"/>
              <w:left w:val="nil"/>
              <w:bottom w:val="nil"/>
              <w:right w:val="nil"/>
            </w:tcBorders>
            <w:shd w:val="clear" w:color="000000" w:fill="4D446C"/>
            <w:noWrap/>
            <w:vAlign w:val="center"/>
            <w:hideMark/>
          </w:tcPr>
          <w:p w14:paraId="20623D62" w14:textId="77777777" w:rsidR="00401E56" w:rsidRPr="006C7B74" w:rsidRDefault="00401E56" w:rsidP="00401E56">
            <w:pPr>
              <w:jc w:val="center"/>
              <w:rPr>
                <w:rFonts w:ascii="Calibri" w:hAnsi="Calibri" w:cs="Calibri"/>
                <w:b/>
                <w:bCs/>
                <w:color w:val="FFFFFF"/>
                <w:sz w:val="16"/>
                <w:szCs w:val="16"/>
                <w:lang w:eastAsia="en-AU"/>
              </w:rPr>
            </w:pPr>
            <w:r w:rsidRPr="006C7B74">
              <w:rPr>
                <w:rFonts w:ascii="Calibri" w:hAnsi="Calibri" w:cs="Calibri"/>
                <w:b/>
                <w:bCs/>
                <w:color w:val="FFFFFF"/>
                <w:sz w:val="16"/>
                <w:szCs w:val="16"/>
                <w:lang w:eastAsia="en-AU"/>
              </w:rPr>
              <w:t>10,000 to 49,999 (m</w:t>
            </w:r>
            <w:r w:rsidRPr="006C7B74">
              <w:rPr>
                <w:rFonts w:ascii="Calibri" w:hAnsi="Calibri" w:cs="Calibri"/>
                <w:b/>
                <w:bCs/>
                <w:color w:val="FFFFFF"/>
                <w:sz w:val="16"/>
                <w:szCs w:val="16"/>
                <w:vertAlign w:val="superscript"/>
                <w:lang w:eastAsia="en-AU"/>
              </w:rPr>
              <w:t>2</w:t>
            </w:r>
            <w:r w:rsidRPr="006C7B74">
              <w:rPr>
                <w:rFonts w:ascii="Calibri" w:hAnsi="Calibri" w:cs="Calibri"/>
                <w:b/>
                <w:bCs/>
                <w:color w:val="FFFFFF"/>
                <w:sz w:val="16"/>
                <w:szCs w:val="16"/>
                <w:lang w:eastAsia="en-AU"/>
              </w:rPr>
              <w:t>)</w:t>
            </w:r>
          </w:p>
        </w:tc>
        <w:tc>
          <w:tcPr>
            <w:tcW w:w="884" w:type="pct"/>
            <w:gridSpan w:val="2"/>
            <w:tcBorders>
              <w:top w:val="single" w:sz="4" w:space="0" w:color="auto"/>
              <w:left w:val="nil"/>
              <w:bottom w:val="nil"/>
              <w:right w:val="nil"/>
            </w:tcBorders>
            <w:shd w:val="clear" w:color="000000" w:fill="4D446C"/>
            <w:noWrap/>
            <w:vAlign w:val="center"/>
            <w:hideMark/>
          </w:tcPr>
          <w:p w14:paraId="73D9A7CC" w14:textId="77777777" w:rsidR="00401E56" w:rsidRPr="006C7B74" w:rsidRDefault="00401E56" w:rsidP="00401E56">
            <w:pPr>
              <w:jc w:val="center"/>
              <w:rPr>
                <w:rFonts w:ascii="Calibri" w:hAnsi="Calibri" w:cs="Calibri"/>
                <w:b/>
                <w:bCs/>
                <w:color w:val="FFFFFF"/>
                <w:sz w:val="16"/>
                <w:szCs w:val="16"/>
                <w:lang w:eastAsia="en-AU"/>
              </w:rPr>
            </w:pPr>
            <w:r w:rsidRPr="006C7B74">
              <w:rPr>
                <w:rFonts w:ascii="Calibri" w:hAnsi="Calibri" w:cs="Calibri"/>
                <w:b/>
                <w:bCs/>
                <w:color w:val="FFFFFF"/>
                <w:sz w:val="16"/>
                <w:szCs w:val="16"/>
                <w:lang w:eastAsia="en-AU"/>
              </w:rPr>
              <w:t>50,000 to 99,999 (m</w:t>
            </w:r>
            <w:r w:rsidRPr="006C7B74">
              <w:rPr>
                <w:rFonts w:ascii="Calibri" w:hAnsi="Calibri" w:cs="Calibri"/>
                <w:b/>
                <w:bCs/>
                <w:color w:val="FFFFFF"/>
                <w:sz w:val="16"/>
                <w:szCs w:val="16"/>
                <w:vertAlign w:val="superscript"/>
                <w:lang w:eastAsia="en-AU"/>
              </w:rPr>
              <w:t>2</w:t>
            </w:r>
            <w:r w:rsidRPr="006C7B74">
              <w:rPr>
                <w:rFonts w:ascii="Calibri" w:hAnsi="Calibri" w:cs="Calibri"/>
                <w:b/>
                <w:bCs/>
                <w:color w:val="FFFFFF"/>
                <w:sz w:val="16"/>
                <w:szCs w:val="16"/>
                <w:lang w:eastAsia="en-AU"/>
              </w:rPr>
              <w:t>)</w:t>
            </w:r>
          </w:p>
        </w:tc>
        <w:tc>
          <w:tcPr>
            <w:tcW w:w="1051" w:type="pct"/>
            <w:gridSpan w:val="2"/>
            <w:tcBorders>
              <w:top w:val="single" w:sz="4" w:space="0" w:color="auto"/>
              <w:left w:val="nil"/>
              <w:bottom w:val="nil"/>
              <w:right w:val="nil"/>
            </w:tcBorders>
            <w:shd w:val="clear" w:color="000000" w:fill="4D446C"/>
            <w:noWrap/>
            <w:vAlign w:val="center"/>
            <w:hideMark/>
          </w:tcPr>
          <w:p w14:paraId="00073D17" w14:textId="77777777" w:rsidR="00401E56" w:rsidRPr="006C7B74" w:rsidRDefault="00401E56" w:rsidP="00401E56">
            <w:pPr>
              <w:jc w:val="center"/>
              <w:rPr>
                <w:rFonts w:ascii="Calibri" w:hAnsi="Calibri" w:cs="Calibri"/>
                <w:b/>
                <w:bCs/>
                <w:color w:val="FFFFFF"/>
                <w:sz w:val="16"/>
                <w:szCs w:val="16"/>
                <w:lang w:eastAsia="en-AU"/>
              </w:rPr>
            </w:pPr>
            <w:r w:rsidRPr="006C7B74">
              <w:rPr>
                <w:rFonts w:ascii="Calibri" w:hAnsi="Calibri" w:cs="Calibri"/>
                <w:b/>
                <w:bCs/>
                <w:color w:val="FFFFFF"/>
                <w:sz w:val="16"/>
                <w:szCs w:val="16"/>
                <w:lang w:eastAsia="en-AU"/>
              </w:rPr>
              <w:t>Greater than 100,000 (m</w:t>
            </w:r>
            <w:r w:rsidRPr="006C7B74">
              <w:rPr>
                <w:rFonts w:ascii="Calibri" w:hAnsi="Calibri" w:cs="Calibri"/>
                <w:b/>
                <w:bCs/>
                <w:color w:val="FFFFFF"/>
                <w:sz w:val="16"/>
                <w:szCs w:val="16"/>
                <w:vertAlign w:val="superscript"/>
                <w:lang w:eastAsia="en-AU"/>
              </w:rPr>
              <w:t>2</w:t>
            </w:r>
            <w:r w:rsidRPr="006C7B74">
              <w:rPr>
                <w:rFonts w:ascii="Calibri" w:hAnsi="Calibri" w:cs="Calibri"/>
                <w:b/>
                <w:bCs/>
                <w:color w:val="FFFFFF"/>
                <w:sz w:val="16"/>
                <w:szCs w:val="16"/>
                <w:lang w:eastAsia="en-AU"/>
              </w:rPr>
              <w:t>)</w:t>
            </w:r>
          </w:p>
        </w:tc>
      </w:tr>
      <w:tr w:rsidR="00401E56" w:rsidRPr="006C7B74" w14:paraId="334A58F8" w14:textId="77777777" w:rsidTr="002371F1">
        <w:trPr>
          <w:trHeight w:val="301"/>
        </w:trPr>
        <w:tc>
          <w:tcPr>
            <w:tcW w:w="557" w:type="pct"/>
            <w:tcBorders>
              <w:top w:val="nil"/>
              <w:left w:val="nil"/>
              <w:bottom w:val="single" w:sz="8" w:space="0" w:color="44546A"/>
              <w:right w:val="nil"/>
            </w:tcBorders>
            <w:shd w:val="clear" w:color="auto" w:fill="auto"/>
            <w:vAlign w:val="center"/>
            <w:hideMark/>
          </w:tcPr>
          <w:p w14:paraId="37A48304" w14:textId="77777777" w:rsidR="00401E56" w:rsidRPr="006C7B74" w:rsidRDefault="00401E56" w:rsidP="00401E56">
            <w:pPr>
              <w:rPr>
                <w:rFonts w:ascii="Calibri" w:hAnsi="Calibri" w:cs="Calibri"/>
                <w:b/>
                <w:bCs/>
                <w:color w:val="000000"/>
                <w:sz w:val="14"/>
                <w:szCs w:val="16"/>
                <w:lang w:eastAsia="en-AU"/>
              </w:rPr>
            </w:pPr>
            <w:r w:rsidRPr="006C7B74">
              <w:rPr>
                <w:rFonts w:ascii="Calibri" w:hAnsi="Calibri" w:cs="Calibri"/>
                <w:b/>
                <w:bCs/>
                <w:color w:val="000000"/>
                <w:sz w:val="14"/>
                <w:szCs w:val="16"/>
                <w:lang w:eastAsia="en-AU"/>
              </w:rPr>
              <w:t> </w:t>
            </w:r>
          </w:p>
        </w:tc>
        <w:tc>
          <w:tcPr>
            <w:tcW w:w="372" w:type="pct"/>
            <w:tcBorders>
              <w:top w:val="nil"/>
              <w:left w:val="nil"/>
              <w:bottom w:val="single" w:sz="8" w:space="0" w:color="44546A"/>
              <w:right w:val="nil"/>
            </w:tcBorders>
            <w:shd w:val="clear" w:color="auto" w:fill="auto"/>
            <w:vAlign w:val="center"/>
            <w:hideMark/>
          </w:tcPr>
          <w:p w14:paraId="3D430B31" w14:textId="77777777" w:rsidR="00401E56" w:rsidRPr="006C7B74" w:rsidRDefault="00401E56" w:rsidP="00401E56">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No. of centres</w:t>
            </w:r>
          </w:p>
        </w:tc>
        <w:tc>
          <w:tcPr>
            <w:tcW w:w="450" w:type="pct"/>
            <w:tcBorders>
              <w:top w:val="nil"/>
              <w:left w:val="nil"/>
              <w:bottom w:val="single" w:sz="8" w:space="0" w:color="44546A"/>
              <w:right w:val="nil"/>
            </w:tcBorders>
            <w:shd w:val="clear" w:color="auto" w:fill="auto"/>
            <w:vAlign w:val="center"/>
            <w:hideMark/>
          </w:tcPr>
          <w:p w14:paraId="50112F5E" w14:textId="77777777" w:rsidR="00401E56" w:rsidRPr="006C7B74" w:rsidRDefault="00401E56" w:rsidP="00401E56">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Floorspace (m</w:t>
            </w:r>
            <w:r w:rsidRPr="006C7B74">
              <w:rPr>
                <w:rFonts w:ascii="Calibri" w:hAnsi="Calibri" w:cs="Calibri"/>
                <w:color w:val="000000"/>
                <w:sz w:val="14"/>
                <w:szCs w:val="16"/>
                <w:vertAlign w:val="superscript"/>
                <w:lang w:eastAsia="en-AU"/>
              </w:rPr>
              <w:t>2</w:t>
            </w:r>
            <w:r w:rsidRPr="006C7B74">
              <w:rPr>
                <w:rFonts w:ascii="Calibri" w:hAnsi="Calibri" w:cs="Calibri"/>
                <w:color w:val="000000"/>
                <w:sz w:val="14"/>
                <w:szCs w:val="16"/>
                <w:lang w:eastAsia="en-AU"/>
              </w:rPr>
              <w:t>)</w:t>
            </w:r>
          </w:p>
        </w:tc>
        <w:tc>
          <w:tcPr>
            <w:tcW w:w="345" w:type="pct"/>
            <w:tcBorders>
              <w:top w:val="nil"/>
              <w:left w:val="nil"/>
              <w:bottom w:val="single" w:sz="8" w:space="0" w:color="44546A"/>
              <w:right w:val="nil"/>
            </w:tcBorders>
            <w:shd w:val="clear" w:color="auto" w:fill="auto"/>
            <w:vAlign w:val="center"/>
            <w:hideMark/>
          </w:tcPr>
          <w:p w14:paraId="3E52F773" w14:textId="77777777" w:rsidR="00401E56" w:rsidRPr="006C7B74" w:rsidRDefault="00401E56" w:rsidP="00401E56">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No. of centres</w:t>
            </w:r>
          </w:p>
        </w:tc>
        <w:tc>
          <w:tcPr>
            <w:tcW w:w="456" w:type="pct"/>
            <w:tcBorders>
              <w:top w:val="nil"/>
              <w:left w:val="nil"/>
              <w:bottom w:val="single" w:sz="8" w:space="0" w:color="44546A"/>
              <w:right w:val="nil"/>
            </w:tcBorders>
            <w:shd w:val="clear" w:color="auto" w:fill="auto"/>
            <w:vAlign w:val="center"/>
            <w:hideMark/>
          </w:tcPr>
          <w:p w14:paraId="0FEBC980" w14:textId="77777777" w:rsidR="00401E56" w:rsidRPr="006C7B74" w:rsidRDefault="00401E56" w:rsidP="00401E56">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Floorspace (m</w:t>
            </w:r>
            <w:r w:rsidRPr="006C7B74">
              <w:rPr>
                <w:rFonts w:ascii="Calibri" w:hAnsi="Calibri" w:cs="Calibri"/>
                <w:color w:val="000000"/>
                <w:sz w:val="14"/>
                <w:szCs w:val="16"/>
                <w:vertAlign w:val="superscript"/>
                <w:lang w:eastAsia="en-AU"/>
              </w:rPr>
              <w:t>2</w:t>
            </w:r>
            <w:r w:rsidRPr="006C7B74">
              <w:rPr>
                <w:rFonts w:ascii="Calibri" w:hAnsi="Calibri" w:cs="Calibri"/>
                <w:color w:val="000000"/>
                <w:sz w:val="14"/>
                <w:szCs w:val="16"/>
                <w:lang w:eastAsia="en-AU"/>
              </w:rPr>
              <w:t>)</w:t>
            </w:r>
          </w:p>
        </w:tc>
        <w:tc>
          <w:tcPr>
            <w:tcW w:w="393" w:type="pct"/>
            <w:tcBorders>
              <w:top w:val="nil"/>
              <w:left w:val="nil"/>
              <w:bottom w:val="single" w:sz="8" w:space="0" w:color="44546A"/>
              <w:right w:val="nil"/>
            </w:tcBorders>
            <w:shd w:val="clear" w:color="auto" w:fill="auto"/>
            <w:vAlign w:val="center"/>
            <w:hideMark/>
          </w:tcPr>
          <w:p w14:paraId="639DFB5B" w14:textId="77777777" w:rsidR="00401E56" w:rsidRPr="006C7B74" w:rsidRDefault="00401E56" w:rsidP="00401E56">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No. of centres</w:t>
            </w:r>
          </w:p>
        </w:tc>
        <w:tc>
          <w:tcPr>
            <w:tcW w:w="491" w:type="pct"/>
            <w:tcBorders>
              <w:top w:val="nil"/>
              <w:left w:val="nil"/>
              <w:bottom w:val="single" w:sz="8" w:space="0" w:color="44546A"/>
              <w:right w:val="nil"/>
            </w:tcBorders>
            <w:shd w:val="clear" w:color="auto" w:fill="auto"/>
            <w:vAlign w:val="center"/>
            <w:hideMark/>
          </w:tcPr>
          <w:p w14:paraId="3EC0B351" w14:textId="77777777" w:rsidR="00401E56" w:rsidRPr="006C7B74" w:rsidRDefault="00401E56" w:rsidP="00401E56">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Floorspace (m</w:t>
            </w:r>
            <w:r w:rsidRPr="006C7B74">
              <w:rPr>
                <w:rFonts w:ascii="Calibri" w:hAnsi="Calibri" w:cs="Calibri"/>
                <w:color w:val="000000"/>
                <w:sz w:val="14"/>
                <w:szCs w:val="16"/>
                <w:vertAlign w:val="superscript"/>
                <w:lang w:eastAsia="en-AU"/>
              </w:rPr>
              <w:t>2</w:t>
            </w:r>
            <w:r w:rsidRPr="006C7B74">
              <w:rPr>
                <w:rFonts w:ascii="Calibri" w:hAnsi="Calibri" w:cs="Calibri"/>
                <w:color w:val="000000"/>
                <w:sz w:val="14"/>
                <w:szCs w:val="16"/>
                <w:lang w:eastAsia="en-AU"/>
              </w:rPr>
              <w:t>)</w:t>
            </w:r>
          </w:p>
        </w:tc>
        <w:tc>
          <w:tcPr>
            <w:tcW w:w="376" w:type="pct"/>
            <w:tcBorders>
              <w:top w:val="nil"/>
              <w:left w:val="nil"/>
              <w:bottom w:val="single" w:sz="8" w:space="0" w:color="44546A"/>
              <w:right w:val="nil"/>
            </w:tcBorders>
            <w:shd w:val="clear" w:color="auto" w:fill="auto"/>
            <w:vAlign w:val="center"/>
            <w:hideMark/>
          </w:tcPr>
          <w:p w14:paraId="01ABFB6D" w14:textId="77777777" w:rsidR="00401E56" w:rsidRPr="006C7B74" w:rsidRDefault="00401E56" w:rsidP="00401E56">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No. of centres</w:t>
            </w:r>
          </w:p>
        </w:tc>
        <w:tc>
          <w:tcPr>
            <w:tcW w:w="508" w:type="pct"/>
            <w:tcBorders>
              <w:top w:val="nil"/>
              <w:left w:val="nil"/>
              <w:bottom w:val="single" w:sz="8" w:space="0" w:color="44546A"/>
              <w:right w:val="nil"/>
            </w:tcBorders>
            <w:shd w:val="clear" w:color="auto" w:fill="auto"/>
            <w:vAlign w:val="center"/>
            <w:hideMark/>
          </w:tcPr>
          <w:p w14:paraId="3DD945A3" w14:textId="77777777" w:rsidR="00401E56" w:rsidRPr="006C7B74" w:rsidRDefault="00401E56" w:rsidP="00401E56">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Floorspace (m</w:t>
            </w:r>
            <w:r w:rsidRPr="006C7B74">
              <w:rPr>
                <w:rFonts w:ascii="Calibri" w:hAnsi="Calibri" w:cs="Calibri"/>
                <w:color w:val="000000"/>
                <w:sz w:val="14"/>
                <w:szCs w:val="16"/>
                <w:vertAlign w:val="superscript"/>
                <w:lang w:eastAsia="en-AU"/>
              </w:rPr>
              <w:t>2</w:t>
            </w:r>
            <w:r w:rsidRPr="006C7B74">
              <w:rPr>
                <w:rFonts w:ascii="Calibri" w:hAnsi="Calibri" w:cs="Calibri"/>
                <w:color w:val="000000"/>
                <w:sz w:val="14"/>
                <w:szCs w:val="16"/>
                <w:lang w:eastAsia="en-AU"/>
              </w:rPr>
              <w:t>)</w:t>
            </w:r>
          </w:p>
        </w:tc>
        <w:tc>
          <w:tcPr>
            <w:tcW w:w="437" w:type="pct"/>
            <w:tcBorders>
              <w:top w:val="nil"/>
              <w:left w:val="nil"/>
              <w:bottom w:val="single" w:sz="8" w:space="0" w:color="44546A"/>
              <w:right w:val="nil"/>
            </w:tcBorders>
            <w:shd w:val="clear" w:color="auto" w:fill="auto"/>
            <w:vAlign w:val="center"/>
            <w:hideMark/>
          </w:tcPr>
          <w:p w14:paraId="53514B2B" w14:textId="77777777" w:rsidR="00401E56" w:rsidRPr="006C7B74" w:rsidRDefault="00401E56" w:rsidP="00401E56">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No. of centres</w:t>
            </w:r>
          </w:p>
        </w:tc>
        <w:tc>
          <w:tcPr>
            <w:tcW w:w="614" w:type="pct"/>
            <w:tcBorders>
              <w:top w:val="nil"/>
              <w:left w:val="nil"/>
              <w:bottom w:val="single" w:sz="8" w:space="0" w:color="44546A"/>
              <w:right w:val="nil"/>
            </w:tcBorders>
            <w:shd w:val="clear" w:color="auto" w:fill="auto"/>
            <w:vAlign w:val="center"/>
            <w:hideMark/>
          </w:tcPr>
          <w:p w14:paraId="70BD9001" w14:textId="77777777" w:rsidR="00401E56" w:rsidRPr="006C7B74" w:rsidRDefault="00401E56" w:rsidP="00401E56">
            <w:pPr>
              <w:jc w:val="center"/>
              <w:rPr>
                <w:rFonts w:ascii="Calibri" w:hAnsi="Calibri" w:cs="Calibri"/>
                <w:color w:val="000000"/>
                <w:sz w:val="14"/>
                <w:szCs w:val="16"/>
                <w:lang w:eastAsia="en-AU"/>
              </w:rPr>
            </w:pPr>
            <w:r w:rsidRPr="006C7B74">
              <w:rPr>
                <w:rFonts w:ascii="Calibri" w:hAnsi="Calibri" w:cs="Calibri"/>
                <w:color w:val="000000"/>
                <w:sz w:val="14"/>
                <w:szCs w:val="16"/>
                <w:lang w:eastAsia="en-AU"/>
              </w:rPr>
              <w:t>Floorspace (m</w:t>
            </w:r>
            <w:r w:rsidRPr="006C7B74">
              <w:rPr>
                <w:rFonts w:ascii="Calibri" w:hAnsi="Calibri" w:cs="Calibri"/>
                <w:color w:val="000000"/>
                <w:sz w:val="14"/>
                <w:szCs w:val="16"/>
                <w:vertAlign w:val="superscript"/>
                <w:lang w:eastAsia="en-AU"/>
              </w:rPr>
              <w:t>2</w:t>
            </w:r>
            <w:r w:rsidRPr="006C7B74">
              <w:rPr>
                <w:rFonts w:ascii="Calibri" w:hAnsi="Calibri" w:cs="Calibri"/>
                <w:color w:val="000000"/>
                <w:sz w:val="14"/>
                <w:szCs w:val="16"/>
                <w:lang w:eastAsia="en-AU"/>
              </w:rPr>
              <w:t>)</w:t>
            </w:r>
          </w:p>
        </w:tc>
      </w:tr>
      <w:tr w:rsidR="00401E56" w:rsidRPr="006C7B74" w14:paraId="15D70444" w14:textId="77777777" w:rsidTr="002371F1">
        <w:trPr>
          <w:trHeight w:val="240"/>
        </w:trPr>
        <w:tc>
          <w:tcPr>
            <w:tcW w:w="557" w:type="pct"/>
            <w:tcBorders>
              <w:top w:val="nil"/>
              <w:left w:val="nil"/>
              <w:bottom w:val="single" w:sz="8" w:space="0" w:color="44546A"/>
              <w:right w:val="nil"/>
            </w:tcBorders>
            <w:shd w:val="clear" w:color="auto" w:fill="auto"/>
            <w:vAlign w:val="center"/>
            <w:hideMark/>
          </w:tcPr>
          <w:p w14:paraId="4643FD6E" w14:textId="77777777" w:rsidR="00401E56" w:rsidRPr="006C7B74" w:rsidRDefault="00401E56" w:rsidP="00401E56">
            <w:pPr>
              <w:rPr>
                <w:rFonts w:ascii="Calibri" w:hAnsi="Calibri" w:cs="Calibri"/>
                <w:color w:val="000000"/>
                <w:sz w:val="16"/>
                <w:szCs w:val="16"/>
                <w:lang w:eastAsia="en-AU"/>
              </w:rPr>
            </w:pPr>
            <w:r w:rsidRPr="006C7B74">
              <w:rPr>
                <w:rFonts w:ascii="Calibri" w:hAnsi="Calibri" w:cs="Calibri"/>
                <w:color w:val="000000"/>
                <w:sz w:val="16"/>
                <w:szCs w:val="16"/>
                <w:lang w:eastAsia="en-AU"/>
              </w:rPr>
              <w:t>Bayside</w:t>
            </w:r>
          </w:p>
        </w:tc>
        <w:tc>
          <w:tcPr>
            <w:tcW w:w="372" w:type="pct"/>
            <w:tcBorders>
              <w:top w:val="nil"/>
              <w:left w:val="nil"/>
              <w:bottom w:val="single" w:sz="8" w:space="0" w:color="44546A"/>
              <w:right w:val="nil"/>
            </w:tcBorders>
            <w:shd w:val="clear" w:color="auto" w:fill="auto"/>
            <w:vAlign w:val="center"/>
            <w:hideMark/>
          </w:tcPr>
          <w:p w14:paraId="395E4EE9"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6</w:t>
            </w:r>
          </w:p>
        </w:tc>
        <w:tc>
          <w:tcPr>
            <w:tcW w:w="450" w:type="pct"/>
            <w:tcBorders>
              <w:top w:val="nil"/>
              <w:left w:val="nil"/>
              <w:bottom w:val="single" w:sz="8" w:space="0" w:color="44546A"/>
              <w:right w:val="nil"/>
            </w:tcBorders>
            <w:shd w:val="clear" w:color="auto" w:fill="auto"/>
            <w:vAlign w:val="center"/>
            <w:hideMark/>
          </w:tcPr>
          <w:p w14:paraId="72061456"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5,950</w:t>
            </w:r>
          </w:p>
        </w:tc>
        <w:tc>
          <w:tcPr>
            <w:tcW w:w="345" w:type="pct"/>
            <w:tcBorders>
              <w:top w:val="nil"/>
              <w:left w:val="nil"/>
              <w:bottom w:val="single" w:sz="8" w:space="0" w:color="44546A"/>
              <w:right w:val="nil"/>
            </w:tcBorders>
            <w:shd w:val="clear" w:color="auto" w:fill="auto"/>
            <w:vAlign w:val="center"/>
            <w:hideMark/>
          </w:tcPr>
          <w:p w14:paraId="6E472352"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15</w:t>
            </w:r>
          </w:p>
        </w:tc>
        <w:tc>
          <w:tcPr>
            <w:tcW w:w="456" w:type="pct"/>
            <w:tcBorders>
              <w:top w:val="nil"/>
              <w:left w:val="nil"/>
              <w:bottom w:val="single" w:sz="8" w:space="0" w:color="44546A"/>
              <w:right w:val="nil"/>
            </w:tcBorders>
            <w:shd w:val="clear" w:color="auto" w:fill="auto"/>
            <w:vAlign w:val="center"/>
            <w:hideMark/>
          </w:tcPr>
          <w:p w14:paraId="3A22F933"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65,850</w:t>
            </w:r>
          </w:p>
        </w:tc>
        <w:tc>
          <w:tcPr>
            <w:tcW w:w="393" w:type="pct"/>
            <w:tcBorders>
              <w:top w:val="nil"/>
              <w:left w:val="nil"/>
              <w:bottom w:val="single" w:sz="8" w:space="0" w:color="44546A"/>
              <w:right w:val="nil"/>
            </w:tcBorders>
            <w:shd w:val="clear" w:color="auto" w:fill="auto"/>
            <w:vAlign w:val="center"/>
            <w:hideMark/>
          </w:tcPr>
          <w:p w14:paraId="6ABEEF78"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8</w:t>
            </w:r>
          </w:p>
        </w:tc>
        <w:tc>
          <w:tcPr>
            <w:tcW w:w="491" w:type="pct"/>
            <w:tcBorders>
              <w:top w:val="nil"/>
              <w:left w:val="nil"/>
              <w:bottom w:val="single" w:sz="8" w:space="0" w:color="44546A"/>
              <w:right w:val="nil"/>
            </w:tcBorders>
            <w:shd w:val="clear" w:color="auto" w:fill="auto"/>
            <w:vAlign w:val="center"/>
            <w:hideMark/>
          </w:tcPr>
          <w:p w14:paraId="39F5B58C"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190,100</w:t>
            </w:r>
          </w:p>
        </w:tc>
        <w:tc>
          <w:tcPr>
            <w:tcW w:w="376" w:type="pct"/>
            <w:tcBorders>
              <w:top w:val="nil"/>
              <w:left w:val="nil"/>
              <w:bottom w:val="single" w:sz="8" w:space="0" w:color="44546A"/>
              <w:right w:val="nil"/>
            </w:tcBorders>
            <w:shd w:val="clear" w:color="auto" w:fill="auto"/>
            <w:vAlign w:val="center"/>
            <w:hideMark/>
          </w:tcPr>
          <w:p w14:paraId="2242855E"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w:t>
            </w:r>
          </w:p>
        </w:tc>
        <w:tc>
          <w:tcPr>
            <w:tcW w:w="508" w:type="pct"/>
            <w:tcBorders>
              <w:top w:val="nil"/>
              <w:left w:val="nil"/>
              <w:bottom w:val="single" w:sz="8" w:space="0" w:color="44546A"/>
              <w:right w:val="nil"/>
            </w:tcBorders>
            <w:shd w:val="clear" w:color="auto" w:fill="auto"/>
            <w:vAlign w:val="center"/>
            <w:hideMark/>
          </w:tcPr>
          <w:p w14:paraId="6D0321E4"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60,200</w:t>
            </w:r>
          </w:p>
        </w:tc>
        <w:tc>
          <w:tcPr>
            <w:tcW w:w="437" w:type="pct"/>
            <w:tcBorders>
              <w:top w:val="nil"/>
              <w:left w:val="nil"/>
              <w:bottom w:val="single" w:sz="8" w:space="0" w:color="44546A"/>
              <w:right w:val="nil"/>
            </w:tcBorders>
            <w:shd w:val="clear" w:color="auto" w:fill="auto"/>
            <w:vAlign w:val="center"/>
            <w:hideMark/>
          </w:tcPr>
          <w:p w14:paraId="2C381141"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0</w:t>
            </w:r>
          </w:p>
        </w:tc>
        <w:tc>
          <w:tcPr>
            <w:tcW w:w="614" w:type="pct"/>
            <w:tcBorders>
              <w:top w:val="nil"/>
              <w:left w:val="nil"/>
              <w:bottom w:val="single" w:sz="8" w:space="0" w:color="44546A"/>
              <w:right w:val="nil"/>
            </w:tcBorders>
            <w:shd w:val="clear" w:color="auto" w:fill="auto"/>
            <w:vAlign w:val="center"/>
            <w:hideMark/>
          </w:tcPr>
          <w:p w14:paraId="7DFAB3F7"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0</w:t>
            </w:r>
          </w:p>
        </w:tc>
      </w:tr>
      <w:tr w:rsidR="00401E56" w:rsidRPr="006C7B74" w14:paraId="1B31EE6A" w14:textId="77777777" w:rsidTr="002371F1">
        <w:trPr>
          <w:trHeight w:val="240"/>
        </w:trPr>
        <w:tc>
          <w:tcPr>
            <w:tcW w:w="557" w:type="pct"/>
            <w:tcBorders>
              <w:top w:val="nil"/>
              <w:left w:val="nil"/>
              <w:bottom w:val="single" w:sz="8" w:space="0" w:color="44546A"/>
              <w:right w:val="nil"/>
            </w:tcBorders>
            <w:shd w:val="clear" w:color="auto" w:fill="auto"/>
            <w:vAlign w:val="center"/>
            <w:hideMark/>
          </w:tcPr>
          <w:p w14:paraId="74CB7027" w14:textId="77777777" w:rsidR="00401E56" w:rsidRPr="006C7B74" w:rsidRDefault="00401E56" w:rsidP="00401E56">
            <w:pPr>
              <w:rPr>
                <w:rFonts w:ascii="Calibri" w:hAnsi="Calibri" w:cs="Calibri"/>
                <w:color w:val="000000"/>
                <w:sz w:val="16"/>
                <w:szCs w:val="16"/>
                <w:lang w:eastAsia="en-AU"/>
              </w:rPr>
            </w:pPr>
            <w:r w:rsidRPr="006C7B74">
              <w:rPr>
                <w:rFonts w:ascii="Calibri" w:hAnsi="Calibri" w:cs="Calibri"/>
                <w:color w:val="000000"/>
                <w:sz w:val="16"/>
                <w:szCs w:val="16"/>
                <w:lang w:eastAsia="en-AU"/>
              </w:rPr>
              <w:t>Boroondara</w:t>
            </w:r>
          </w:p>
        </w:tc>
        <w:tc>
          <w:tcPr>
            <w:tcW w:w="372" w:type="pct"/>
            <w:tcBorders>
              <w:top w:val="nil"/>
              <w:left w:val="nil"/>
              <w:bottom w:val="single" w:sz="8" w:space="0" w:color="44546A"/>
              <w:right w:val="nil"/>
            </w:tcBorders>
            <w:shd w:val="clear" w:color="auto" w:fill="auto"/>
            <w:vAlign w:val="center"/>
            <w:hideMark/>
          </w:tcPr>
          <w:p w14:paraId="3B9A8500"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10</w:t>
            </w:r>
          </w:p>
        </w:tc>
        <w:tc>
          <w:tcPr>
            <w:tcW w:w="450" w:type="pct"/>
            <w:tcBorders>
              <w:top w:val="nil"/>
              <w:left w:val="nil"/>
              <w:bottom w:val="single" w:sz="8" w:space="0" w:color="44546A"/>
              <w:right w:val="nil"/>
            </w:tcBorders>
            <w:shd w:val="clear" w:color="auto" w:fill="auto"/>
            <w:vAlign w:val="center"/>
            <w:hideMark/>
          </w:tcPr>
          <w:p w14:paraId="31ED1C27"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9,100</w:t>
            </w:r>
          </w:p>
        </w:tc>
        <w:tc>
          <w:tcPr>
            <w:tcW w:w="345" w:type="pct"/>
            <w:tcBorders>
              <w:top w:val="nil"/>
              <w:left w:val="nil"/>
              <w:bottom w:val="single" w:sz="8" w:space="0" w:color="44546A"/>
              <w:right w:val="nil"/>
            </w:tcBorders>
            <w:shd w:val="clear" w:color="auto" w:fill="auto"/>
            <w:vAlign w:val="center"/>
            <w:hideMark/>
          </w:tcPr>
          <w:p w14:paraId="705DE51F"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22</w:t>
            </w:r>
          </w:p>
        </w:tc>
        <w:tc>
          <w:tcPr>
            <w:tcW w:w="456" w:type="pct"/>
            <w:tcBorders>
              <w:top w:val="nil"/>
              <w:left w:val="nil"/>
              <w:bottom w:val="single" w:sz="8" w:space="0" w:color="44546A"/>
              <w:right w:val="nil"/>
            </w:tcBorders>
            <w:shd w:val="clear" w:color="auto" w:fill="auto"/>
            <w:vAlign w:val="center"/>
            <w:hideMark/>
          </w:tcPr>
          <w:p w14:paraId="5D2BD81C"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122,200</w:t>
            </w:r>
          </w:p>
        </w:tc>
        <w:tc>
          <w:tcPr>
            <w:tcW w:w="393" w:type="pct"/>
            <w:tcBorders>
              <w:top w:val="nil"/>
              <w:left w:val="nil"/>
              <w:bottom w:val="single" w:sz="8" w:space="0" w:color="44546A"/>
              <w:right w:val="nil"/>
            </w:tcBorders>
            <w:shd w:val="clear" w:color="auto" w:fill="auto"/>
            <w:vAlign w:val="center"/>
            <w:hideMark/>
          </w:tcPr>
          <w:p w14:paraId="760EA221"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13</w:t>
            </w:r>
          </w:p>
        </w:tc>
        <w:tc>
          <w:tcPr>
            <w:tcW w:w="491" w:type="pct"/>
            <w:tcBorders>
              <w:top w:val="nil"/>
              <w:left w:val="nil"/>
              <w:bottom w:val="single" w:sz="8" w:space="0" w:color="44546A"/>
              <w:right w:val="nil"/>
            </w:tcBorders>
            <w:shd w:val="clear" w:color="auto" w:fill="auto"/>
            <w:vAlign w:val="center"/>
            <w:hideMark/>
          </w:tcPr>
          <w:p w14:paraId="2A6EC4C6"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272,350</w:t>
            </w:r>
          </w:p>
        </w:tc>
        <w:tc>
          <w:tcPr>
            <w:tcW w:w="376" w:type="pct"/>
            <w:tcBorders>
              <w:top w:val="nil"/>
              <w:left w:val="nil"/>
              <w:bottom w:val="single" w:sz="8" w:space="0" w:color="44546A"/>
              <w:right w:val="nil"/>
            </w:tcBorders>
            <w:shd w:val="clear" w:color="auto" w:fill="auto"/>
            <w:vAlign w:val="center"/>
            <w:hideMark/>
          </w:tcPr>
          <w:p w14:paraId="767FB246"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4</w:t>
            </w:r>
          </w:p>
        </w:tc>
        <w:tc>
          <w:tcPr>
            <w:tcW w:w="508" w:type="pct"/>
            <w:tcBorders>
              <w:top w:val="nil"/>
              <w:left w:val="nil"/>
              <w:bottom w:val="single" w:sz="8" w:space="0" w:color="44546A"/>
              <w:right w:val="nil"/>
            </w:tcBorders>
            <w:shd w:val="clear" w:color="auto" w:fill="auto"/>
            <w:vAlign w:val="center"/>
            <w:hideMark/>
          </w:tcPr>
          <w:p w14:paraId="1BE7192C"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285,700</w:t>
            </w:r>
          </w:p>
        </w:tc>
        <w:tc>
          <w:tcPr>
            <w:tcW w:w="437" w:type="pct"/>
            <w:tcBorders>
              <w:top w:val="nil"/>
              <w:left w:val="nil"/>
              <w:bottom w:val="single" w:sz="8" w:space="0" w:color="44546A"/>
              <w:right w:val="nil"/>
            </w:tcBorders>
            <w:shd w:val="clear" w:color="auto" w:fill="auto"/>
            <w:vAlign w:val="center"/>
            <w:hideMark/>
          </w:tcPr>
          <w:p w14:paraId="0BBD7CA3"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w:t>
            </w:r>
          </w:p>
        </w:tc>
        <w:tc>
          <w:tcPr>
            <w:tcW w:w="614" w:type="pct"/>
            <w:tcBorders>
              <w:top w:val="nil"/>
              <w:left w:val="nil"/>
              <w:bottom w:val="single" w:sz="8" w:space="0" w:color="44546A"/>
              <w:right w:val="nil"/>
            </w:tcBorders>
            <w:shd w:val="clear" w:color="auto" w:fill="auto"/>
            <w:vAlign w:val="center"/>
            <w:hideMark/>
          </w:tcPr>
          <w:p w14:paraId="7F632FE9"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303,750</w:t>
            </w:r>
          </w:p>
        </w:tc>
      </w:tr>
      <w:tr w:rsidR="00401E56" w:rsidRPr="006C7B74" w14:paraId="089816A3" w14:textId="77777777" w:rsidTr="002371F1">
        <w:trPr>
          <w:trHeight w:val="240"/>
        </w:trPr>
        <w:tc>
          <w:tcPr>
            <w:tcW w:w="557" w:type="pct"/>
            <w:tcBorders>
              <w:top w:val="nil"/>
              <w:left w:val="nil"/>
              <w:bottom w:val="single" w:sz="8" w:space="0" w:color="44546A"/>
              <w:right w:val="nil"/>
            </w:tcBorders>
            <w:shd w:val="clear" w:color="auto" w:fill="auto"/>
            <w:vAlign w:val="center"/>
            <w:hideMark/>
          </w:tcPr>
          <w:p w14:paraId="65941A38" w14:textId="77777777" w:rsidR="00401E56" w:rsidRPr="006C7B74" w:rsidRDefault="00401E56" w:rsidP="00401E56">
            <w:pPr>
              <w:rPr>
                <w:rFonts w:ascii="Calibri" w:hAnsi="Calibri" w:cs="Calibri"/>
                <w:color w:val="000000"/>
                <w:sz w:val="16"/>
                <w:szCs w:val="16"/>
                <w:lang w:eastAsia="en-AU"/>
              </w:rPr>
            </w:pPr>
            <w:r w:rsidRPr="006C7B74">
              <w:rPr>
                <w:rFonts w:ascii="Calibri" w:hAnsi="Calibri" w:cs="Calibri"/>
                <w:color w:val="000000"/>
                <w:sz w:val="16"/>
                <w:szCs w:val="16"/>
                <w:lang w:eastAsia="en-AU"/>
              </w:rPr>
              <w:t xml:space="preserve">Glen </w:t>
            </w:r>
            <w:proofErr w:type="spellStart"/>
            <w:r w:rsidRPr="006C7B74">
              <w:rPr>
                <w:rFonts w:ascii="Calibri" w:hAnsi="Calibri" w:cs="Calibri"/>
                <w:color w:val="000000"/>
                <w:sz w:val="16"/>
                <w:szCs w:val="16"/>
                <w:lang w:eastAsia="en-AU"/>
              </w:rPr>
              <w:t>Eira</w:t>
            </w:r>
            <w:proofErr w:type="spellEnd"/>
          </w:p>
        </w:tc>
        <w:tc>
          <w:tcPr>
            <w:tcW w:w="372" w:type="pct"/>
            <w:tcBorders>
              <w:top w:val="nil"/>
              <w:left w:val="nil"/>
              <w:bottom w:val="single" w:sz="8" w:space="0" w:color="44546A"/>
              <w:right w:val="nil"/>
            </w:tcBorders>
            <w:shd w:val="clear" w:color="auto" w:fill="auto"/>
            <w:vAlign w:val="center"/>
            <w:hideMark/>
          </w:tcPr>
          <w:p w14:paraId="7DBEBBA5" w14:textId="4149512F"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w:t>
            </w:r>
            <w:r w:rsidR="00005CD2" w:rsidRPr="006C7B74">
              <w:rPr>
                <w:rFonts w:ascii="Calibri" w:hAnsi="Calibri" w:cs="Calibri"/>
                <w:color w:val="000000"/>
                <w:sz w:val="16"/>
                <w:szCs w:val="16"/>
                <w:lang w:eastAsia="en-AU"/>
              </w:rPr>
              <w:t>4</w:t>
            </w:r>
          </w:p>
        </w:tc>
        <w:tc>
          <w:tcPr>
            <w:tcW w:w="450" w:type="pct"/>
            <w:tcBorders>
              <w:top w:val="nil"/>
              <w:left w:val="nil"/>
              <w:bottom w:val="single" w:sz="8" w:space="0" w:color="44546A"/>
              <w:right w:val="nil"/>
            </w:tcBorders>
            <w:shd w:val="clear" w:color="auto" w:fill="auto"/>
            <w:vAlign w:val="center"/>
            <w:hideMark/>
          </w:tcPr>
          <w:p w14:paraId="193198F6" w14:textId="34BC3FB5" w:rsidR="00401E56" w:rsidRPr="006C7B74" w:rsidRDefault="00005CD2"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17,950</w:t>
            </w:r>
          </w:p>
        </w:tc>
        <w:tc>
          <w:tcPr>
            <w:tcW w:w="345" w:type="pct"/>
            <w:tcBorders>
              <w:top w:val="nil"/>
              <w:left w:val="nil"/>
              <w:bottom w:val="single" w:sz="8" w:space="0" w:color="44546A"/>
              <w:right w:val="nil"/>
            </w:tcBorders>
            <w:shd w:val="clear" w:color="auto" w:fill="auto"/>
            <w:vAlign w:val="center"/>
            <w:hideMark/>
          </w:tcPr>
          <w:p w14:paraId="1EC5DE20"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20</w:t>
            </w:r>
          </w:p>
        </w:tc>
        <w:tc>
          <w:tcPr>
            <w:tcW w:w="456" w:type="pct"/>
            <w:tcBorders>
              <w:top w:val="nil"/>
              <w:left w:val="nil"/>
              <w:bottom w:val="single" w:sz="8" w:space="0" w:color="44546A"/>
              <w:right w:val="nil"/>
            </w:tcBorders>
            <w:shd w:val="clear" w:color="auto" w:fill="auto"/>
            <w:vAlign w:val="center"/>
            <w:hideMark/>
          </w:tcPr>
          <w:p w14:paraId="27E7336A"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74,500</w:t>
            </w:r>
          </w:p>
        </w:tc>
        <w:tc>
          <w:tcPr>
            <w:tcW w:w="393" w:type="pct"/>
            <w:tcBorders>
              <w:top w:val="nil"/>
              <w:left w:val="nil"/>
              <w:bottom w:val="single" w:sz="8" w:space="0" w:color="44546A"/>
              <w:right w:val="nil"/>
            </w:tcBorders>
            <w:shd w:val="clear" w:color="auto" w:fill="auto"/>
            <w:vAlign w:val="center"/>
            <w:hideMark/>
          </w:tcPr>
          <w:p w14:paraId="6BAC2F6A"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9</w:t>
            </w:r>
          </w:p>
        </w:tc>
        <w:tc>
          <w:tcPr>
            <w:tcW w:w="491" w:type="pct"/>
            <w:tcBorders>
              <w:top w:val="nil"/>
              <w:left w:val="nil"/>
              <w:bottom w:val="single" w:sz="8" w:space="0" w:color="44546A"/>
              <w:right w:val="nil"/>
            </w:tcBorders>
            <w:shd w:val="clear" w:color="auto" w:fill="auto"/>
            <w:vAlign w:val="center"/>
            <w:hideMark/>
          </w:tcPr>
          <w:p w14:paraId="47A3E168" w14:textId="34E4CF1B"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249,</w:t>
            </w:r>
            <w:r w:rsidR="00005CD2" w:rsidRPr="006C7B74">
              <w:rPr>
                <w:rFonts w:ascii="Calibri" w:hAnsi="Calibri" w:cs="Calibri"/>
                <w:color w:val="000000"/>
                <w:sz w:val="16"/>
                <w:szCs w:val="16"/>
                <w:lang w:eastAsia="en-AU"/>
              </w:rPr>
              <w:t>30</w:t>
            </w:r>
            <w:r w:rsidRPr="006C7B74">
              <w:rPr>
                <w:rFonts w:ascii="Calibri" w:hAnsi="Calibri" w:cs="Calibri"/>
                <w:color w:val="000000"/>
                <w:sz w:val="16"/>
                <w:szCs w:val="16"/>
                <w:lang w:eastAsia="en-AU"/>
              </w:rPr>
              <w:t>0</w:t>
            </w:r>
          </w:p>
        </w:tc>
        <w:tc>
          <w:tcPr>
            <w:tcW w:w="376" w:type="pct"/>
            <w:tcBorders>
              <w:top w:val="nil"/>
              <w:left w:val="nil"/>
              <w:bottom w:val="single" w:sz="8" w:space="0" w:color="44546A"/>
              <w:right w:val="nil"/>
            </w:tcBorders>
            <w:shd w:val="clear" w:color="auto" w:fill="auto"/>
            <w:vAlign w:val="center"/>
            <w:hideMark/>
          </w:tcPr>
          <w:p w14:paraId="750B1BD5"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3</w:t>
            </w:r>
          </w:p>
        </w:tc>
        <w:tc>
          <w:tcPr>
            <w:tcW w:w="508" w:type="pct"/>
            <w:tcBorders>
              <w:top w:val="nil"/>
              <w:left w:val="nil"/>
              <w:bottom w:val="single" w:sz="8" w:space="0" w:color="44546A"/>
              <w:right w:val="nil"/>
            </w:tcBorders>
            <w:shd w:val="clear" w:color="auto" w:fill="auto"/>
            <w:vAlign w:val="center"/>
            <w:hideMark/>
          </w:tcPr>
          <w:p w14:paraId="4637BE67" w14:textId="584783E6"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18</w:t>
            </w:r>
            <w:r w:rsidR="00005CD2" w:rsidRPr="006C7B74">
              <w:rPr>
                <w:rFonts w:ascii="Calibri" w:hAnsi="Calibri" w:cs="Calibri"/>
                <w:color w:val="000000"/>
                <w:sz w:val="16"/>
                <w:szCs w:val="16"/>
                <w:lang w:eastAsia="en-AU"/>
              </w:rPr>
              <w:t>7</w:t>
            </w:r>
            <w:r w:rsidRPr="006C7B74">
              <w:rPr>
                <w:rFonts w:ascii="Calibri" w:hAnsi="Calibri" w:cs="Calibri"/>
                <w:color w:val="000000"/>
                <w:sz w:val="16"/>
                <w:szCs w:val="16"/>
                <w:lang w:eastAsia="en-AU"/>
              </w:rPr>
              <w:t>,</w:t>
            </w:r>
            <w:r w:rsidR="00005CD2" w:rsidRPr="006C7B74">
              <w:rPr>
                <w:rFonts w:ascii="Calibri" w:hAnsi="Calibri" w:cs="Calibri"/>
                <w:color w:val="000000"/>
                <w:sz w:val="16"/>
                <w:szCs w:val="16"/>
                <w:lang w:eastAsia="en-AU"/>
              </w:rPr>
              <w:t>7</w:t>
            </w:r>
            <w:r w:rsidRPr="006C7B74">
              <w:rPr>
                <w:rFonts w:ascii="Calibri" w:hAnsi="Calibri" w:cs="Calibri"/>
                <w:color w:val="000000"/>
                <w:sz w:val="16"/>
                <w:szCs w:val="16"/>
                <w:lang w:eastAsia="en-AU"/>
              </w:rPr>
              <w:t>00</w:t>
            </w:r>
          </w:p>
        </w:tc>
        <w:tc>
          <w:tcPr>
            <w:tcW w:w="437" w:type="pct"/>
            <w:tcBorders>
              <w:top w:val="nil"/>
              <w:left w:val="nil"/>
              <w:bottom w:val="single" w:sz="8" w:space="0" w:color="44546A"/>
              <w:right w:val="nil"/>
            </w:tcBorders>
            <w:shd w:val="clear" w:color="auto" w:fill="auto"/>
            <w:vAlign w:val="center"/>
            <w:hideMark/>
          </w:tcPr>
          <w:p w14:paraId="6390515A"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0</w:t>
            </w:r>
          </w:p>
        </w:tc>
        <w:tc>
          <w:tcPr>
            <w:tcW w:w="614" w:type="pct"/>
            <w:tcBorders>
              <w:top w:val="nil"/>
              <w:left w:val="nil"/>
              <w:bottom w:val="single" w:sz="8" w:space="0" w:color="44546A"/>
              <w:right w:val="nil"/>
            </w:tcBorders>
            <w:shd w:val="clear" w:color="auto" w:fill="auto"/>
            <w:vAlign w:val="center"/>
            <w:hideMark/>
          </w:tcPr>
          <w:p w14:paraId="328DE507"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0</w:t>
            </w:r>
          </w:p>
        </w:tc>
      </w:tr>
      <w:tr w:rsidR="00401E56" w:rsidRPr="006C7B74" w14:paraId="197EE0AE" w14:textId="77777777" w:rsidTr="002371F1">
        <w:trPr>
          <w:trHeight w:val="240"/>
        </w:trPr>
        <w:tc>
          <w:tcPr>
            <w:tcW w:w="557" w:type="pct"/>
            <w:tcBorders>
              <w:top w:val="nil"/>
              <w:left w:val="nil"/>
              <w:bottom w:val="single" w:sz="8" w:space="0" w:color="44546A"/>
              <w:right w:val="nil"/>
            </w:tcBorders>
            <w:shd w:val="clear" w:color="auto" w:fill="auto"/>
            <w:vAlign w:val="center"/>
            <w:hideMark/>
          </w:tcPr>
          <w:p w14:paraId="4DA91D91" w14:textId="77777777" w:rsidR="00401E56" w:rsidRPr="006C7B74" w:rsidRDefault="00401E56" w:rsidP="00401E56">
            <w:pPr>
              <w:rPr>
                <w:rFonts w:ascii="Calibri" w:hAnsi="Calibri" w:cs="Calibri"/>
                <w:color w:val="000000"/>
                <w:sz w:val="16"/>
                <w:szCs w:val="16"/>
                <w:lang w:eastAsia="en-AU"/>
              </w:rPr>
            </w:pPr>
            <w:r w:rsidRPr="006C7B74">
              <w:rPr>
                <w:rFonts w:ascii="Calibri" w:hAnsi="Calibri" w:cs="Calibri"/>
                <w:color w:val="000000"/>
                <w:sz w:val="16"/>
                <w:szCs w:val="16"/>
                <w:lang w:eastAsia="en-AU"/>
              </w:rPr>
              <w:t>Stonnington</w:t>
            </w:r>
          </w:p>
        </w:tc>
        <w:tc>
          <w:tcPr>
            <w:tcW w:w="372" w:type="pct"/>
            <w:tcBorders>
              <w:top w:val="nil"/>
              <w:left w:val="nil"/>
              <w:bottom w:val="single" w:sz="8" w:space="0" w:color="44546A"/>
              <w:right w:val="nil"/>
            </w:tcBorders>
            <w:shd w:val="clear" w:color="auto" w:fill="auto"/>
            <w:vAlign w:val="center"/>
            <w:hideMark/>
          </w:tcPr>
          <w:p w14:paraId="6BE01FE9"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3</w:t>
            </w:r>
          </w:p>
        </w:tc>
        <w:tc>
          <w:tcPr>
            <w:tcW w:w="450" w:type="pct"/>
            <w:tcBorders>
              <w:top w:val="nil"/>
              <w:left w:val="nil"/>
              <w:bottom w:val="single" w:sz="8" w:space="0" w:color="44546A"/>
              <w:right w:val="nil"/>
            </w:tcBorders>
            <w:shd w:val="clear" w:color="auto" w:fill="auto"/>
            <w:vAlign w:val="center"/>
            <w:hideMark/>
          </w:tcPr>
          <w:p w14:paraId="10351E7D"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2,000</w:t>
            </w:r>
          </w:p>
        </w:tc>
        <w:tc>
          <w:tcPr>
            <w:tcW w:w="345" w:type="pct"/>
            <w:tcBorders>
              <w:top w:val="nil"/>
              <w:left w:val="nil"/>
              <w:bottom w:val="single" w:sz="8" w:space="0" w:color="44546A"/>
              <w:right w:val="nil"/>
            </w:tcBorders>
            <w:shd w:val="clear" w:color="auto" w:fill="auto"/>
            <w:vAlign w:val="center"/>
            <w:hideMark/>
          </w:tcPr>
          <w:p w14:paraId="60DF6A2A"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11</w:t>
            </w:r>
          </w:p>
        </w:tc>
        <w:tc>
          <w:tcPr>
            <w:tcW w:w="456" w:type="pct"/>
            <w:tcBorders>
              <w:top w:val="nil"/>
              <w:left w:val="nil"/>
              <w:bottom w:val="single" w:sz="8" w:space="0" w:color="44546A"/>
              <w:right w:val="nil"/>
            </w:tcBorders>
            <w:shd w:val="clear" w:color="auto" w:fill="auto"/>
            <w:vAlign w:val="center"/>
            <w:hideMark/>
          </w:tcPr>
          <w:p w14:paraId="75F8B568"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56,250</w:t>
            </w:r>
          </w:p>
        </w:tc>
        <w:tc>
          <w:tcPr>
            <w:tcW w:w="393" w:type="pct"/>
            <w:tcBorders>
              <w:top w:val="nil"/>
              <w:left w:val="nil"/>
              <w:bottom w:val="single" w:sz="8" w:space="0" w:color="44546A"/>
              <w:right w:val="nil"/>
            </w:tcBorders>
            <w:shd w:val="clear" w:color="auto" w:fill="auto"/>
            <w:vAlign w:val="center"/>
            <w:hideMark/>
          </w:tcPr>
          <w:p w14:paraId="6154430D"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8</w:t>
            </w:r>
          </w:p>
        </w:tc>
        <w:tc>
          <w:tcPr>
            <w:tcW w:w="491" w:type="pct"/>
            <w:tcBorders>
              <w:top w:val="nil"/>
              <w:left w:val="nil"/>
              <w:bottom w:val="single" w:sz="8" w:space="0" w:color="44546A"/>
              <w:right w:val="nil"/>
            </w:tcBorders>
            <w:shd w:val="clear" w:color="auto" w:fill="auto"/>
            <w:vAlign w:val="center"/>
            <w:hideMark/>
          </w:tcPr>
          <w:p w14:paraId="789D35B1"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183,250</w:t>
            </w:r>
          </w:p>
        </w:tc>
        <w:tc>
          <w:tcPr>
            <w:tcW w:w="376" w:type="pct"/>
            <w:tcBorders>
              <w:top w:val="nil"/>
              <w:left w:val="nil"/>
              <w:bottom w:val="single" w:sz="8" w:space="0" w:color="44546A"/>
              <w:right w:val="nil"/>
            </w:tcBorders>
            <w:shd w:val="clear" w:color="auto" w:fill="auto"/>
            <w:vAlign w:val="center"/>
            <w:hideMark/>
          </w:tcPr>
          <w:p w14:paraId="4221BDB0"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0</w:t>
            </w:r>
          </w:p>
        </w:tc>
        <w:tc>
          <w:tcPr>
            <w:tcW w:w="508" w:type="pct"/>
            <w:tcBorders>
              <w:top w:val="nil"/>
              <w:left w:val="nil"/>
              <w:bottom w:val="single" w:sz="8" w:space="0" w:color="44546A"/>
              <w:right w:val="nil"/>
            </w:tcBorders>
            <w:shd w:val="clear" w:color="auto" w:fill="auto"/>
            <w:vAlign w:val="center"/>
            <w:hideMark/>
          </w:tcPr>
          <w:p w14:paraId="2376E27B"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0</w:t>
            </w:r>
          </w:p>
        </w:tc>
        <w:tc>
          <w:tcPr>
            <w:tcW w:w="437" w:type="pct"/>
            <w:tcBorders>
              <w:top w:val="nil"/>
              <w:left w:val="nil"/>
              <w:bottom w:val="single" w:sz="8" w:space="0" w:color="44546A"/>
              <w:right w:val="nil"/>
            </w:tcBorders>
            <w:shd w:val="clear" w:color="auto" w:fill="auto"/>
            <w:vAlign w:val="center"/>
            <w:hideMark/>
          </w:tcPr>
          <w:p w14:paraId="22DB3E7C" w14:textId="77777777"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3</w:t>
            </w:r>
          </w:p>
        </w:tc>
        <w:tc>
          <w:tcPr>
            <w:tcW w:w="614" w:type="pct"/>
            <w:tcBorders>
              <w:top w:val="nil"/>
              <w:left w:val="nil"/>
              <w:bottom w:val="single" w:sz="8" w:space="0" w:color="44546A"/>
              <w:right w:val="nil"/>
            </w:tcBorders>
            <w:shd w:val="clear" w:color="auto" w:fill="auto"/>
            <w:vAlign w:val="center"/>
            <w:hideMark/>
          </w:tcPr>
          <w:p w14:paraId="4FF8DE8E" w14:textId="59D6205F" w:rsidR="00401E56" w:rsidRPr="006C7B74" w:rsidRDefault="00401E56" w:rsidP="00401E56">
            <w:pPr>
              <w:jc w:val="center"/>
              <w:rPr>
                <w:rFonts w:ascii="Calibri" w:hAnsi="Calibri" w:cs="Calibri"/>
                <w:color w:val="000000"/>
                <w:sz w:val="16"/>
                <w:szCs w:val="16"/>
                <w:lang w:eastAsia="en-AU"/>
              </w:rPr>
            </w:pPr>
            <w:r w:rsidRPr="006C7B74">
              <w:rPr>
                <w:rFonts w:ascii="Calibri" w:hAnsi="Calibri" w:cs="Calibri"/>
                <w:color w:val="000000"/>
                <w:sz w:val="16"/>
                <w:szCs w:val="16"/>
                <w:lang w:eastAsia="en-AU"/>
              </w:rPr>
              <w:t>90</w:t>
            </w:r>
            <w:r w:rsidR="00EF0FFC" w:rsidRPr="006C7B74">
              <w:rPr>
                <w:rFonts w:ascii="Calibri" w:hAnsi="Calibri" w:cs="Calibri"/>
                <w:color w:val="000000"/>
                <w:sz w:val="16"/>
                <w:szCs w:val="16"/>
                <w:lang w:eastAsia="en-AU"/>
              </w:rPr>
              <w:t>5</w:t>
            </w:r>
            <w:r w:rsidRPr="006C7B74">
              <w:rPr>
                <w:rFonts w:ascii="Calibri" w:hAnsi="Calibri" w:cs="Calibri"/>
                <w:color w:val="000000"/>
                <w:sz w:val="16"/>
                <w:szCs w:val="16"/>
                <w:lang w:eastAsia="en-AU"/>
              </w:rPr>
              <w:t>,</w:t>
            </w:r>
            <w:r w:rsidR="00EF0FFC" w:rsidRPr="006C7B74">
              <w:rPr>
                <w:rFonts w:ascii="Calibri" w:hAnsi="Calibri" w:cs="Calibri"/>
                <w:color w:val="000000"/>
                <w:sz w:val="16"/>
                <w:szCs w:val="16"/>
                <w:lang w:eastAsia="en-AU"/>
              </w:rPr>
              <w:t>05</w:t>
            </w:r>
            <w:r w:rsidRPr="006C7B74">
              <w:rPr>
                <w:rFonts w:ascii="Calibri" w:hAnsi="Calibri" w:cs="Calibri"/>
                <w:color w:val="000000"/>
                <w:sz w:val="16"/>
                <w:szCs w:val="16"/>
                <w:lang w:eastAsia="en-AU"/>
              </w:rPr>
              <w:t>0</w:t>
            </w:r>
          </w:p>
        </w:tc>
      </w:tr>
      <w:tr w:rsidR="00401E56" w:rsidRPr="006C7B74" w14:paraId="718A7AC9" w14:textId="77777777" w:rsidTr="002371F1">
        <w:trPr>
          <w:trHeight w:val="240"/>
        </w:trPr>
        <w:tc>
          <w:tcPr>
            <w:tcW w:w="557" w:type="pct"/>
            <w:tcBorders>
              <w:top w:val="nil"/>
              <w:left w:val="nil"/>
              <w:bottom w:val="single" w:sz="8" w:space="0" w:color="44546A"/>
              <w:right w:val="nil"/>
            </w:tcBorders>
            <w:shd w:val="clear" w:color="auto" w:fill="auto"/>
            <w:vAlign w:val="center"/>
            <w:hideMark/>
          </w:tcPr>
          <w:p w14:paraId="337E26B0" w14:textId="77777777" w:rsidR="00401E56" w:rsidRPr="006C7B74" w:rsidRDefault="00401E56" w:rsidP="00401E56">
            <w:pPr>
              <w:rPr>
                <w:rFonts w:ascii="Calibri" w:hAnsi="Calibri" w:cs="Calibri"/>
                <w:b/>
                <w:bCs/>
                <w:color w:val="000000"/>
                <w:sz w:val="16"/>
                <w:szCs w:val="16"/>
                <w:lang w:eastAsia="en-AU"/>
              </w:rPr>
            </w:pPr>
            <w:r w:rsidRPr="006C7B74">
              <w:rPr>
                <w:rFonts w:ascii="Calibri" w:hAnsi="Calibri" w:cs="Calibri"/>
                <w:b/>
                <w:bCs/>
                <w:color w:val="000000"/>
                <w:sz w:val="16"/>
                <w:szCs w:val="16"/>
                <w:lang w:eastAsia="en-AU"/>
              </w:rPr>
              <w:t>Total</w:t>
            </w:r>
          </w:p>
        </w:tc>
        <w:tc>
          <w:tcPr>
            <w:tcW w:w="372" w:type="pct"/>
            <w:tcBorders>
              <w:top w:val="nil"/>
              <w:left w:val="nil"/>
              <w:bottom w:val="single" w:sz="8" w:space="0" w:color="44546A"/>
              <w:right w:val="nil"/>
            </w:tcBorders>
            <w:shd w:val="clear" w:color="auto" w:fill="auto"/>
            <w:vAlign w:val="center"/>
            <w:hideMark/>
          </w:tcPr>
          <w:p w14:paraId="099EFF9D" w14:textId="06A4C291" w:rsidR="00401E56" w:rsidRPr="006C7B74" w:rsidRDefault="00401E56" w:rsidP="00401E56">
            <w:pPr>
              <w:jc w:val="center"/>
              <w:rPr>
                <w:rFonts w:ascii="Calibri" w:hAnsi="Calibri" w:cs="Calibri"/>
                <w:b/>
                <w:color w:val="000000"/>
                <w:sz w:val="16"/>
                <w:szCs w:val="16"/>
                <w:lang w:eastAsia="en-AU"/>
              </w:rPr>
            </w:pPr>
            <w:r w:rsidRPr="006C7B74">
              <w:rPr>
                <w:rFonts w:ascii="Calibri" w:hAnsi="Calibri" w:cs="Calibri"/>
                <w:b/>
                <w:bCs/>
                <w:color w:val="000000"/>
                <w:sz w:val="16"/>
                <w:szCs w:val="16"/>
                <w:lang w:eastAsia="en-AU"/>
              </w:rPr>
              <w:t>3</w:t>
            </w:r>
            <w:r w:rsidR="00005CD2" w:rsidRPr="006C7B74">
              <w:rPr>
                <w:rFonts w:ascii="Calibri" w:hAnsi="Calibri" w:cs="Calibri"/>
                <w:b/>
                <w:bCs/>
                <w:color w:val="000000"/>
                <w:sz w:val="16"/>
                <w:szCs w:val="16"/>
                <w:lang w:eastAsia="en-AU"/>
              </w:rPr>
              <w:t>3</w:t>
            </w:r>
          </w:p>
        </w:tc>
        <w:tc>
          <w:tcPr>
            <w:tcW w:w="450" w:type="pct"/>
            <w:tcBorders>
              <w:top w:val="nil"/>
              <w:left w:val="nil"/>
              <w:bottom w:val="single" w:sz="8" w:space="0" w:color="44546A"/>
              <w:right w:val="nil"/>
            </w:tcBorders>
            <w:shd w:val="clear" w:color="auto" w:fill="auto"/>
            <w:vAlign w:val="center"/>
            <w:hideMark/>
          </w:tcPr>
          <w:p w14:paraId="33C0DD10" w14:textId="2DC397B8" w:rsidR="00401E56" w:rsidRPr="006C7B74" w:rsidRDefault="00401E56" w:rsidP="00401E56">
            <w:pPr>
              <w:jc w:val="center"/>
              <w:rPr>
                <w:rFonts w:ascii="Calibri" w:hAnsi="Calibri" w:cs="Calibri"/>
                <w:b/>
                <w:color w:val="000000"/>
                <w:sz w:val="16"/>
                <w:szCs w:val="16"/>
                <w:lang w:eastAsia="en-AU"/>
              </w:rPr>
            </w:pPr>
            <w:r w:rsidRPr="006C7B74">
              <w:rPr>
                <w:rFonts w:ascii="Calibri" w:hAnsi="Calibri" w:cs="Calibri"/>
                <w:b/>
                <w:bCs/>
                <w:color w:val="000000"/>
                <w:sz w:val="16"/>
                <w:szCs w:val="16"/>
                <w:lang w:eastAsia="en-AU"/>
              </w:rPr>
              <w:t>3</w:t>
            </w:r>
            <w:r w:rsidR="00005CD2" w:rsidRPr="006C7B74">
              <w:rPr>
                <w:rFonts w:ascii="Calibri" w:hAnsi="Calibri" w:cs="Calibri"/>
                <w:b/>
                <w:bCs/>
                <w:color w:val="000000"/>
                <w:sz w:val="16"/>
                <w:szCs w:val="16"/>
                <w:lang w:eastAsia="en-AU"/>
              </w:rPr>
              <w:t>5</w:t>
            </w:r>
            <w:r w:rsidRPr="006C7B74">
              <w:rPr>
                <w:rFonts w:ascii="Calibri" w:hAnsi="Calibri" w:cs="Calibri"/>
                <w:b/>
                <w:bCs/>
                <w:color w:val="000000"/>
                <w:sz w:val="16"/>
                <w:szCs w:val="16"/>
                <w:lang w:eastAsia="en-AU"/>
              </w:rPr>
              <w:t>,</w:t>
            </w:r>
            <w:r w:rsidR="00005CD2" w:rsidRPr="006C7B74">
              <w:rPr>
                <w:rFonts w:ascii="Calibri" w:hAnsi="Calibri" w:cs="Calibri"/>
                <w:b/>
                <w:bCs/>
                <w:color w:val="000000"/>
                <w:sz w:val="16"/>
                <w:szCs w:val="16"/>
                <w:lang w:eastAsia="en-AU"/>
              </w:rPr>
              <w:t>0</w:t>
            </w:r>
            <w:r w:rsidRPr="006C7B74">
              <w:rPr>
                <w:rFonts w:ascii="Calibri" w:hAnsi="Calibri" w:cs="Calibri"/>
                <w:b/>
                <w:color w:val="000000"/>
                <w:sz w:val="16"/>
                <w:szCs w:val="16"/>
                <w:lang w:eastAsia="en-AU"/>
              </w:rPr>
              <w:t>00</w:t>
            </w:r>
          </w:p>
        </w:tc>
        <w:tc>
          <w:tcPr>
            <w:tcW w:w="345" w:type="pct"/>
            <w:tcBorders>
              <w:top w:val="nil"/>
              <w:left w:val="nil"/>
              <w:bottom w:val="single" w:sz="8" w:space="0" w:color="44546A"/>
              <w:right w:val="nil"/>
            </w:tcBorders>
            <w:shd w:val="clear" w:color="auto" w:fill="auto"/>
            <w:vAlign w:val="center"/>
            <w:hideMark/>
          </w:tcPr>
          <w:p w14:paraId="08ED7D0B" w14:textId="77777777" w:rsidR="00401E56" w:rsidRPr="006C7B74" w:rsidRDefault="00401E56" w:rsidP="00401E56">
            <w:pPr>
              <w:jc w:val="center"/>
              <w:rPr>
                <w:rFonts w:ascii="Calibri" w:hAnsi="Calibri" w:cs="Calibri"/>
                <w:b/>
                <w:color w:val="000000"/>
                <w:sz w:val="16"/>
                <w:szCs w:val="16"/>
                <w:lang w:eastAsia="en-AU"/>
              </w:rPr>
            </w:pPr>
            <w:r w:rsidRPr="006C7B74">
              <w:rPr>
                <w:rFonts w:ascii="Calibri" w:hAnsi="Calibri" w:cs="Calibri"/>
                <w:b/>
                <w:color w:val="000000"/>
                <w:sz w:val="16"/>
                <w:szCs w:val="16"/>
                <w:lang w:eastAsia="en-AU"/>
              </w:rPr>
              <w:t>68</w:t>
            </w:r>
          </w:p>
        </w:tc>
        <w:tc>
          <w:tcPr>
            <w:tcW w:w="456" w:type="pct"/>
            <w:tcBorders>
              <w:top w:val="nil"/>
              <w:left w:val="nil"/>
              <w:bottom w:val="single" w:sz="8" w:space="0" w:color="44546A"/>
              <w:right w:val="nil"/>
            </w:tcBorders>
            <w:shd w:val="clear" w:color="auto" w:fill="auto"/>
            <w:vAlign w:val="center"/>
            <w:hideMark/>
          </w:tcPr>
          <w:p w14:paraId="19E2B463" w14:textId="77777777" w:rsidR="00401E56" w:rsidRPr="006C7B74" w:rsidRDefault="00401E56" w:rsidP="00401E56">
            <w:pPr>
              <w:jc w:val="center"/>
              <w:rPr>
                <w:rFonts w:ascii="Calibri" w:hAnsi="Calibri" w:cs="Calibri"/>
                <w:b/>
                <w:color w:val="000000"/>
                <w:sz w:val="16"/>
                <w:szCs w:val="16"/>
                <w:lang w:eastAsia="en-AU"/>
              </w:rPr>
            </w:pPr>
            <w:r w:rsidRPr="006C7B74">
              <w:rPr>
                <w:rFonts w:ascii="Calibri" w:hAnsi="Calibri" w:cs="Calibri"/>
                <w:b/>
                <w:color w:val="000000"/>
                <w:sz w:val="16"/>
                <w:szCs w:val="16"/>
                <w:lang w:eastAsia="en-AU"/>
              </w:rPr>
              <w:t>318,800</w:t>
            </w:r>
          </w:p>
        </w:tc>
        <w:tc>
          <w:tcPr>
            <w:tcW w:w="393" w:type="pct"/>
            <w:tcBorders>
              <w:top w:val="nil"/>
              <w:left w:val="nil"/>
              <w:bottom w:val="single" w:sz="8" w:space="0" w:color="44546A"/>
              <w:right w:val="nil"/>
            </w:tcBorders>
            <w:shd w:val="clear" w:color="auto" w:fill="auto"/>
            <w:vAlign w:val="center"/>
            <w:hideMark/>
          </w:tcPr>
          <w:p w14:paraId="292F05F2" w14:textId="77777777" w:rsidR="00401E56" w:rsidRPr="006C7B74" w:rsidRDefault="00401E56" w:rsidP="00401E56">
            <w:pPr>
              <w:jc w:val="center"/>
              <w:rPr>
                <w:rFonts w:ascii="Calibri" w:hAnsi="Calibri" w:cs="Calibri"/>
                <w:b/>
                <w:color w:val="000000"/>
                <w:sz w:val="16"/>
                <w:szCs w:val="16"/>
                <w:lang w:eastAsia="en-AU"/>
              </w:rPr>
            </w:pPr>
            <w:r w:rsidRPr="006C7B74">
              <w:rPr>
                <w:rFonts w:ascii="Calibri" w:hAnsi="Calibri" w:cs="Calibri"/>
                <w:b/>
                <w:color w:val="000000"/>
                <w:sz w:val="16"/>
                <w:szCs w:val="16"/>
                <w:lang w:eastAsia="en-AU"/>
              </w:rPr>
              <w:t>38</w:t>
            </w:r>
          </w:p>
        </w:tc>
        <w:tc>
          <w:tcPr>
            <w:tcW w:w="491" w:type="pct"/>
            <w:tcBorders>
              <w:top w:val="nil"/>
              <w:left w:val="nil"/>
              <w:bottom w:val="single" w:sz="8" w:space="0" w:color="44546A"/>
              <w:right w:val="nil"/>
            </w:tcBorders>
            <w:shd w:val="clear" w:color="auto" w:fill="auto"/>
            <w:vAlign w:val="center"/>
            <w:hideMark/>
          </w:tcPr>
          <w:p w14:paraId="0C03CF70" w14:textId="43A02C69" w:rsidR="00401E56" w:rsidRPr="006C7B74" w:rsidRDefault="00401E56" w:rsidP="00401E56">
            <w:pPr>
              <w:jc w:val="center"/>
              <w:rPr>
                <w:rFonts w:ascii="Calibri" w:hAnsi="Calibri" w:cs="Calibri"/>
                <w:b/>
                <w:color w:val="000000"/>
                <w:sz w:val="16"/>
                <w:szCs w:val="16"/>
                <w:lang w:eastAsia="en-AU"/>
              </w:rPr>
            </w:pPr>
            <w:r w:rsidRPr="006C7B74">
              <w:rPr>
                <w:rFonts w:ascii="Calibri" w:hAnsi="Calibri" w:cs="Calibri"/>
                <w:b/>
                <w:color w:val="000000"/>
                <w:sz w:val="16"/>
                <w:szCs w:val="16"/>
                <w:lang w:eastAsia="en-AU"/>
              </w:rPr>
              <w:t>895,</w:t>
            </w:r>
            <w:r w:rsidR="00005CD2" w:rsidRPr="006C7B74">
              <w:rPr>
                <w:rFonts w:ascii="Calibri" w:hAnsi="Calibri" w:cs="Calibri"/>
                <w:b/>
                <w:bCs/>
                <w:color w:val="000000"/>
                <w:sz w:val="16"/>
                <w:szCs w:val="16"/>
                <w:lang w:eastAsia="en-AU"/>
              </w:rPr>
              <w:t>000</w:t>
            </w:r>
          </w:p>
        </w:tc>
        <w:tc>
          <w:tcPr>
            <w:tcW w:w="376" w:type="pct"/>
            <w:tcBorders>
              <w:top w:val="nil"/>
              <w:left w:val="nil"/>
              <w:bottom w:val="single" w:sz="8" w:space="0" w:color="44546A"/>
              <w:right w:val="nil"/>
            </w:tcBorders>
            <w:shd w:val="clear" w:color="auto" w:fill="auto"/>
            <w:vAlign w:val="center"/>
            <w:hideMark/>
          </w:tcPr>
          <w:p w14:paraId="0939A9D9" w14:textId="77777777" w:rsidR="00401E56" w:rsidRPr="006C7B74" w:rsidRDefault="00401E56" w:rsidP="00401E56">
            <w:pPr>
              <w:jc w:val="center"/>
              <w:rPr>
                <w:rFonts w:ascii="Calibri" w:hAnsi="Calibri" w:cs="Calibri"/>
                <w:b/>
                <w:color w:val="000000"/>
                <w:sz w:val="16"/>
                <w:szCs w:val="16"/>
                <w:lang w:eastAsia="en-AU"/>
              </w:rPr>
            </w:pPr>
            <w:r w:rsidRPr="006C7B74">
              <w:rPr>
                <w:rFonts w:ascii="Calibri" w:hAnsi="Calibri" w:cs="Calibri"/>
                <w:b/>
                <w:color w:val="000000"/>
                <w:sz w:val="16"/>
                <w:szCs w:val="16"/>
                <w:lang w:eastAsia="en-AU"/>
              </w:rPr>
              <w:t>8</w:t>
            </w:r>
          </w:p>
        </w:tc>
        <w:tc>
          <w:tcPr>
            <w:tcW w:w="508" w:type="pct"/>
            <w:tcBorders>
              <w:top w:val="nil"/>
              <w:left w:val="nil"/>
              <w:bottom w:val="single" w:sz="8" w:space="0" w:color="44546A"/>
              <w:right w:val="nil"/>
            </w:tcBorders>
            <w:shd w:val="clear" w:color="auto" w:fill="auto"/>
            <w:vAlign w:val="center"/>
            <w:hideMark/>
          </w:tcPr>
          <w:p w14:paraId="0435991E" w14:textId="5E0B7813" w:rsidR="00401E56" w:rsidRPr="006C7B74" w:rsidRDefault="00401E56" w:rsidP="00401E56">
            <w:pPr>
              <w:jc w:val="center"/>
              <w:rPr>
                <w:rFonts w:ascii="Calibri" w:hAnsi="Calibri" w:cs="Calibri"/>
                <w:b/>
                <w:color w:val="000000"/>
                <w:sz w:val="16"/>
                <w:szCs w:val="16"/>
                <w:lang w:eastAsia="en-AU"/>
              </w:rPr>
            </w:pPr>
            <w:r w:rsidRPr="006C7B74">
              <w:rPr>
                <w:rFonts w:ascii="Calibri" w:hAnsi="Calibri" w:cs="Calibri"/>
                <w:b/>
                <w:bCs/>
                <w:color w:val="000000"/>
                <w:sz w:val="16"/>
                <w:szCs w:val="16"/>
                <w:lang w:eastAsia="en-AU"/>
              </w:rPr>
              <w:t>53</w:t>
            </w:r>
            <w:r w:rsidR="00005CD2" w:rsidRPr="006C7B74">
              <w:rPr>
                <w:rFonts w:ascii="Calibri" w:hAnsi="Calibri" w:cs="Calibri"/>
                <w:b/>
                <w:bCs/>
                <w:color w:val="000000"/>
                <w:sz w:val="16"/>
                <w:szCs w:val="16"/>
                <w:lang w:eastAsia="en-AU"/>
              </w:rPr>
              <w:t>3</w:t>
            </w:r>
            <w:r w:rsidRPr="006C7B74">
              <w:rPr>
                <w:rFonts w:ascii="Calibri" w:hAnsi="Calibri" w:cs="Calibri"/>
                <w:b/>
                <w:bCs/>
                <w:color w:val="000000"/>
                <w:sz w:val="16"/>
                <w:szCs w:val="16"/>
                <w:lang w:eastAsia="en-AU"/>
              </w:rPr>
              <w:t>,</w:t>
            </w:r>
            <w:r w:rsidR="00005CD2" w:rsidRPr="006C7B74">
              <w:rPr>
                <w:rFonts w:ascii="Calibri" w:hAnsi="Calibri" w:cs="Calibri"/>
                <w:b/>
                <w:bCs/>
                <w:color w:val="000000"/>
                <w:sz w:val="16"/>
                <w:szCs w:val="16"/>
                <w:lang w:eastAsia="en-AU"/>
              </w:rPr>
              <w:t>6</w:t>
            </w:r>
            <w:r w:rsidRPr="006C7B74">
              <w:rPr>
                <w:rFonts w:ascii="Calibri" w:hAnsi="Calibri" w:cs="Calibri"/>
                <w:b/>
                <w:color w:val="000000"/>
                <w:sz w:val="16"/>
                <w:szCs w:val="16"/>
                <w:lang w:eastAsia="en-AU"/>
              </w:rPr>
              <w:t>00</w:t>
            </w:r>
          </w:p>
        </w:tc>
        <w:tc>
          <w:tcPr>
            <w:tcW w:w="437" w:type="pct"/>
            <w:tcBorders>
              <w:top w:val="nil"/>
              <w:left w:val="nil"/>
              <w:bottom w:val="single" w:sz="8" w:space="0" w:color="44546A"/>
              <w:right w:val="nil"/>
            </w:tcBorders>
            <w:shd w:val="clear" w:color="auto" w:fill="auto"/>
            <w:vAlign w:val="center"/>
            <w:hideMark/>
          </w:tcPr>
          <w:p w14:paraId="173FB89E" w14:textId="77777777" w:rsidR="00401E56" w:rsidRPr="006C7B74" w:rsidRDefault="00401E56" w:rsidP="00401E56">
            <w:pPr>
              <w:jc w:val="center"/>
              <w:rPr>
                <w:rFonts w:ascii="Calibri" w:hAnsi="Calibri" w:cs="Calibri"/>
                <w:b/>
                <w:color w:val="000000"/>
                <w:sz w:val="16"/>
                <w:szCs w:val="16"/>
                <w:lang w:eastAsia="en-AU"/>
              </w:rPr>
            </w:pPr>
            <w:r w:rsidRPr="006C7B74">
              <w:rPr>
                <w:rFonts w:ascii="Calibri" w:hAnsi="Calibri" w:cs="Calibri"/>
                <w:b/>
                <w:color w:val="000000"/>
                <w:sz w:val="16"/>
                <w:szCs w:val="16"/>
                <w:lang w:eastAsia="en-AU"/>
              </w:rPr>
              <w:t>5</w:t>
            </w:r>
          </w:p>
        </w:tc>
        <w:tc>
          <w:tcPr>
            <w:tcW w:w="614" w:type="pct"/>
            <w:tcBorders>
              <w:top w:val="nil"/>
              <w:left w:val="nil"/>
              <w:bottom w:val="single" w:sz="8" w:space="0" w:color="44546A"/>
              <w:right w:val="nil"/>
            </w:tcBorders>
            <w:shd w:val="clear" w:color="auto" w:fill="auto"/>
            <w:vAlign w:val="center"/>
            <w:hideMark/>
          </w:tcPr>
          <w:p w14:paraId="029A3907" w14:textId="1BB6E321" w:rsidR="00401E56" w:rsidRPr="006C7B74" w:rsidRDefault="00401E56" w:rsidP="00401E56">
            <w:pPr>
              <w:jc w:val="center"/>
              <w:rPr>
                <w:rFonts w:ascii="Calibri" w:hAnsi="Calibri" w:cs="Calibri"/>
                <w:b/>
                <w:color w:val="000000"/>
                <w:sz w:val="16"/>
                <w:szCs w:val="16"/>
                <w:lang w:eastAsia="en-AU"/>
              </w:rPr>
            </w:pPr>
            <w:r w:rsidRPr="006C7B74">
              <w:rPr>
                <w:rFonts w:ascii="Calibri" w:hAnsi="Calibri" w:cs="Calibri"/>
                <w:b/>
                <w:color w:val="000000"/>
                <w:sz w:val="16"/>
                <w:szCs w:val="16"/>
                <w:lang w:eastAsia="en-AU"/>
              </w:rPr>
              <w:t>1,</w:t>
            </w:r>
            <w:r w:rsidRPr="006C7B74">
              <w:rPr>
                <w:rFonts w:ascii="Calibri" w:hAnsi="Calibri" w:cs="Calibri"/>
                <w:b/>
                <w:bCs/>
                <w:color w:val="000000"/>
                <w:sz w:val="16"/>
                <w:szCs w:val="16"/>
                <w:lang w:eastAsia="en-AU"/>
              </w:rPr>
              <w:t>20</w:t>
            </w:r>
            <w:r w:rsidR="00EF0FFC" w:rsidRPr="006C7B74">
              <w:rPr>
                <w:rFonts w:ascii="Calibri" w:hAnsi="Calibri" w:cs="Calibri"/>
                <w:b/>
                <w:bCs/>
                <w:color w:val="000000"/>
                <w:sz w:val="16"/>
                <w:szCs w:val="16"/>
                <w:lang w:eastAsia="en-AU"/>
              </w:rPr>
              <w:t>8</w:t>
            </w:r>
            <w:r w:rsidRPr="006C7B74">
              <w:rPr>
                <w:rFonts w:ascii="Calibri" w:hAnsi="Calibri" w:cs="Calibri"/>
                <w:b/>
                <w:bCs/>
                <w:color w:val="000000"/>
                <w:sz w:val="16"/>
                <w:szCs w:val="16"/>
                <w:lang w:eastAsia="en-AU"/>
              </w:rPr>
              <w:t>,</w:t>
            </w:r>
            <w:r w:rsidR="00EF0FFC" w:rsidRPr="006C7B74">
              <w:rPr>
                <w:rFonts w:ascii="Calibri" w:hAnsi="Calibri" w:cs="Calibri"/>
                <w:b/>
                <w:bCs/>
                <w:color w:val="000000"/>
                <w:sz w:val="16"/>
                <w:szCs w:val="16"/>
                <w:lang w:eastAsia="en-AU"/>
              </w:rPr>
              <w:t>800</w:t>
            </w:r>
          </w:p>
        </w:tc>
      </w:tr>
    </w:tbl>
    <w:p w14:paraId="10E9842A" w14:textId="4DFB5D10" w:rsidR="00CF7392" w:rsidRPr="006C7B74" w:rsidRDefault="002371F1" w:rsidP="002371F1">
      <w:pPr>
        <w:pStyle w:val="Quote"/>
      </w:pPr>
      <w:r w:rsidRPr="006C7B74">
        <w:t>Source: Department of Environment, Land, Water and Planning, unpublished data (</w:t>
      </w:r>
      <w:r w:rsidR="00BF4443" w:rsidRPr="006C7B74">
        <w:t>20</w:t>
      </w:r>
      <w:r w:rsidR="00BF4443">
        <w:t>20</w:t>
      </w:r>
      <w:r w:rsidRPr="006C7B74">
        <w:t>)</w:t>
      </w:r>
    </w:p>
    <w:p w14:paraId="13B9C6DF" w14:textId="55497785" w:rsidR="004011F2" w:rsidRPr="006C7B74" w:rsidRDefault="004011F2" w:rsidP="00934C4D">
      <w:pPr>
        <w:spacing w:after="120"/>
        <w:rPr>
          <w:rFonts w:cstheme="minorHAnsi"/>
          <w:sz w:val="20"/>
          <w:szCs w:val="20"/>
        </w:rPr>
      </w:pPr>
      <w:r w:rsidRPr="006C7B74">
        <w:rPr>
          <w:rFonts w:cstheme="minorHAnsi"/>
          <w:sz w:val="20"/>
          <w:szCs w:val="20"/>
        </w:rPr>
        <w:t xml:space="preserve">Based on projected growth, by 2031 it is anticipated that </w:t>
      </w:r>
      <w:r w:rsidR="00190F47" w:rsidRPr="006C7B74">
        <w:rPr>
          <w:rFonts w:cstheme="minorHAnsi"/>
          <w:sz w:val="20"/>
          <w:szCs w:val="20"/>
        </w:rPr>
        <w:t xml:space="preserve">around </w:t>
      </w:r>
      <w:r w:rsidR="0046410A" w:rsidRPr="006C7B74">
        <w:rPr>
          <w:rFonts w:cstheme="minorHAnsi"/>
          <w:sz w:val="20"/>
          <w:szCs w:val="20"/>
        </w:rPr>
        <w:t xml:space="preserve">784,000 </w:t>
      </w:r>
      <w:r w:rsidRPr="006C7B74">
        <w:rPr>
          <w:rFonts w:cstheme="minorHAnsi"/>
          <w:sz w:val="20"/>
          <w:szCs w:val="20"/>
        </w:rPr>
        <w:t xml:space="preserve">square metres of </w:t>
      </w:r>
      <w:r w:rsidR="00133617" w:rsidRPr="006C7B74">
        <w:rPr>
          <w:rFonts w:cstheme="minorHAnsi"/>
          <w:sz w:val="20"/>
          <w:szCs w:val="20"/>
        </w:rPr>
        <w:t>addition</w:t>
      </w:r>
      <w:r w:rsidR="00514CAC" w:rsidRPr="006C7B74">
        <w:rPr>
          <w:rFonts w:cstheme="minorHAnsi"/>
          <w:sz w:val="20"/>
          <w:szCs w:val="20"/>
        </w:rPr>
        <w:t>al</w:t>
      </w:r>
      <w:r w:rsidR="00133617" w:rsidRPr="006C7B74">
        <w:rPr>
          <w:rFonts w:cstheme="minorHAnsi"/>
          <w:sz w:val="20"/>
          <w:szCs w:val="20"/>
        </w:rPr>
        <w:t xml:space="preserve"> </w:t>
      </w:r>
      <w:r w:rsidRPr="006C7B74">
        <w:rPr>
          <w:rFonts w:cstheme="minorHAnsi"/>
          <w:sz w:val="20"/>
          <w:szCs w:val="20"/>
        </w:rPr>
        <w:t xml:space="preserve">commercial floorspace will be required across the Inner South East Region. Approximately </w:t>
      </w:r>
      <w:r w:rsidR="00A15AE1" w:rsidRPr="006C7B74">
        <w:rPr>
          <w:rFonts w:cstheme="minorHAnsi"/>
          <w:sz w:val="20"/>
          <w:szCs w:val="20"/>
        </w:rPr>
        <w:t>571</w:t>
      </w:r>
      <w:r w:rsidR="00215136" w:rsidRPr="006C7B74">
        <w:rPr>
          <w:rFonts w:cstheme="minorHAnsi"/>
          <w:sz w:val="20"/>
          <w:szCs w:val="20"/>
        </w:rPr>
        <w:t>,</w:t>
      </w:r>
      <w:r w:rsidR="00A15AE1" w:rsidRPr="006C7B74">
        <w:rPr>
          <w:rFonts w:cstheme="minorHAnsi"/>
          <w:sz w:val="20"/>
          <w:szCs w:val="20"/>
        </w:rPr>
        <w:t>000</w:t>
      </w:r>
      <w:r w:rsidRPr="006C7B74">
        <w:rPr>
          <w:rFonts w:cstheme="minorHAnsi"/>
          <w:sz w:val="20"/>
          <w:szCs w:val="20"/>
        </w:rPr>
        <w:t xml:space="preserve"> square metres will be required for office uses and </w:t>
      </w:r>
      <w:r w:rsidR="00A15AE1" w:rsidRPr="006C7B74">
        <w:rPr>
          <w:rFonts w:cstheme="minorHAnsi"/>
          <w:sz w:val="20"/>
          <w:szCs w:val="20"/>
        </w:rPr>
        <w:t>212,000</w:t>
      </w:r>
      <w:r w:rsidRPr="006C7B74">
        <w:rPr>
          <w:rFonts w:cstheme="minorHAnsi"/>
          <w:sz w:val="20"/>
          <w:szCs w:val="20"/>
        </w:rPr>
        <w:t xml:space="preserve"> square metres will be required for retail. A</w:t>
      </w:r>
      <w:r w:rsidR="00133617" w:rsidRPr="006C7B74">
        <w:rPr>
          <w:rFonts w:cstheme="minorHAnsi"/>
          <w:sz w:val="20"/>
          <w:szCs w:val="20"/>
        </w:rPr>
        <w:t>round</w:t>
      </w:r>
      <w:r w:rsidRPr="006C7B74">
        <w:rPr>
          <w:rFonts w:cstheme="minorHAnsi"/>
          <w:sz w:val="20"/>
          <w:szCs w:val="20"/>
        </w:rPr>
        <w:t xml:space="preserve"> 7</w:t>
      </w:r>
      <w:r w:rsidR="00986454" w:rsidRPr="006C7B74">
        <w:rPr>
          <w:rFonts w:cstheme="minorHAnsi"/>
          <w:sz w:val="20"/>
          <w:szCs w:val="20"/>
        </w:rPr>
        <w:t>0</w:t>
      </w:r>
      <w:r w:rsidRPr="006C7B74">
        <w:rPr>
          <w:rFonts w:cstheme="minorHAnsi"/>
          <w:sz w:val="20"/>
          <w:szCs w:val="20"/>
        </w:rPr>
        <w:t xml:space="preserve"> per cent of this additional floorspace </w:t>
      </w:r>
      <w:r w:rsidR="00D42A4E">
        <w:rPr>
          <w:rFonts w:cstheme="minorHAnsi"/>
          <w:sz w:val="20"/>
          <w:szCs w:val="20"/>
        </w:rPr>
        <w:t>is anticipate</w:t>
      </w:r>
      <w:r w:rsidR="000E0177">
        <w:rPr>
          <w:rFonts w:cstheme="minorHAnsi"/>
          <w:sz w:val="20"/>
          <w:szCs w:val="20"/>
        </w:rPr>
        <w:t>d</w:t>
      </w:r>
      <w:r w:rsidR="00D42A4E">
        <w:rPr>
          <w:rFonts w:cstheme="minorHAnsi"/>
          <w:sz w:val="20"/>
          <w:szCs w:val="20"/>
        </w:rPr>
        <w:t xml:space="preserve"> to </w:t>
      </w:r>
      <w:r w:rsidR="000E4A57">
        <w:rPr>
          <w:rFonts w:cstheme="minorHAnsi"/>
          <w:sz w:val="20"/>
          <w:szCs w:val="20"/>
        </w:rPr>
        <w:t xml:space="preserve">be located </w:t>
      </w:r>
      <w:r w:rsidRPr="006C7B74">
        <w:rPr>
          <w:rFonts w:cstheme="minorHAnsi"/>
          <w:sz w:val="20"/>
          <w:szCs w:val="20"/>
        </w:rPr>
        <w:t xml:space="preserve">in </w:t>
      </w:r>
      <w:r w:rsidR="00133617" w:rsidRPr="006C7B74">
        <w:rPr>
          <w:rFonts w:cstheme="minorHAnsi"/>
          <w:sz w:val="20"/>
          <w:szCs w:val="20"/>
        </w:rPr>
        <w:t xml:space="preserve">Boroondara and </w:t>
      </w:r>
      <w:r w:rsidRPr="006C7B74">
        <w:rPr>
          <w:rFonts w:cstheme="minorHAnsi"/>
          <w:sz w:val="20"/>
          <w:szCs w:val="20"/>
        </w:rPr>
        <w:t xml:space="preserve">Stonnington. </w:t>
      </w:r>
    </w:p>
    <w:p w14:paraId="3850AC1B" w14:textId="26F18C73" w:rsidR="004011F2" w:rsidRPr="006C7B74" w:rsidRDefault="00133617" w:rsidP="00934C4D">
      <w:pPr>
        <w:spacing w:after="120"/>
        <w:rPr>
          <w:rFonts w:cstheme="minorHAnsi"/>
          <w:sz w:val="20"/>
          <w:szCs w:val="20"/>
        </w:rPr>
      </w:pPr>
      <w:r w:rsidRPr="006C7B74">
        <w:rPr>
          <w:rFonts w:cstheme="minorHAnsi"/>
          <w:sz w:val="20"/>
          <w:szCs w:val="20"/>
        </w:rPr>
        <w:t xml:space="preserve">As there </w:t>
      </w:r>
      <w:r w:rsidR="007B6E49" w:rsidRPr="006C7B74">
        <w:rPr>
          <w:rFonts w:cstheme="minorHAnsi"/>
          <w:sz w:val="20"/>
          <w:szCs w:val="20"/>
        </w:rPr>
        <w:t>are</w:t>
      </w:r>
      <w:r w:rsidRPr="006C7B74">
        <w:rPr>
          <w:rFonts w:cstheme="minorHAnsi"/>
          <w:sz w:val="20"/>
          <w:szCs w:val="20"/>
        </w:rPr>
        <w:t xml:space="preserve"> no future commercial areas identified in the region, councils will </w:t>
      </w:r>
      <w:r w:rsidR="004011F2" w:rsidRPr="006C7B74">
        <w:rPr>
          <w:rFonts w:cstheme="minorHAnsi"/>
          <w:sz w:val="20"/>
          <w:szCs w:val="20"/>
        </w:rPr>
        <w:t xml:space="preserve">need to look at ways to accommodate project demand for commercial floorspace within existing commercial areas, as well as considering areas that could </w:t>
      </w:r>
      <w:r w:rsidRPr="006C7B74">
        <w:rPr>
          <w:rFonts w:cstheme="minorHAnsi"/>
          <w:sz w:val="20"/>
          <w:szCs w:val="20"/>
        </w:rPr>
        <w:t xml:space="preserve">accommodate </w:t>
      </w:r>
      <w:r w:rsidR="004011F2" w:rsidRPr="006C7B74">
        <w:rPr>
          <w:rFonts w:cstheme="minorHAnsi"/>
          <w:sz w:val="20"/>
          <w:szCs w:val="20"/>
        </w:rPr>
        <w:t>future floorspace requirements</w:t>
      </w:r>
      <w:r w:rsidRPr="006C7B74">
        <w:rPr>
          <w:rFonts w:cstheme="minorHAnsi"/>
          <w:sz w:val="20"/>
          <w:szCs w:val="20"/>
        </w:rPr>
        <w:t xml:space="preserve"> through </w:t>
      </w:r>
      <w:proofErr w:type="spellStart"/>
      <w:r w:rsidRPr="006C7B74">
        <w:rPr>
          <w:rFonts w:cstheme="minorHAnsi"/>
          <w:sz w:val="20"/>
          <w:szCs w:val="20"/>
        </w:rPr>
        <w:t>rezonings</w:t>
      </w:r>
      <w:proofErr w:type="spellEnd"/>
      <w:r w:rsidR="004011F2" w:rsidRPr="006C7B74">
        <w:rPr>
          <w:rFonts w:cstheme="minorHAnsi"/>
          <w:sz w:val="20"/>
          <w:szCs w:val="20"/>
        </w:rPr>
        <w:t>.</w:t>
      </w:r>
    </w:p>
    <w:p w14:paraId="09E7621A" w14:textId="0ADB0287" w:rsidR="004011F2" w:rsidRPr="006C7B74" w:rsidRDefault="004011F2" w:rsidP="00971A36">
      <w:pPr>
        <w:pStyle w:val="Heading5"/>
      </w:pPr>
      <w:r w:rsidRPr="006C7B74">
        <w:t xml:space="preserve">Table </w:t>
      </w:r>
      <w:r w:rsidR="00C15C91" w:rsidRPr="006C7B74">
        <w:t>35</w:t>
      </w:r>
      <w:r w:rsidRPr="006C7B74">
        <w:t xml:space="preserve">: Commercial floorspace supply and requirement, </w:t>
      </w:r>
      <w:r w:rsidR="008677B2" w:rsidRPr="006C7B74">
        <w:t>Inner South East Region</w:t>
      </w:r>
    </w:p>
    <w:tbl>
      <w:tblPr>
        <w:tblW w:w="5000" w:type="pct"/>
        <w:tblCellMar>
          <w:left w:w="0" w:type="dxa"/>
          <w:right w:w="0" w:type="dxa"/>
        </w:tblCellMar>
        <w:tblLook w:val="04A0" w:firstRow="1" w:lastRow="0" w:firstColumn="1" w:lastColumn="0" w:noHBand="0" w:noVBand="1"/>
      </w:tblPr>
      <w:tblGrid>
        <w:gridCol w:w="3646"/>
        <w:gridCol w:w="2479"/>
        <w:gridCol w:w="2895"/>
      </w:tblGrid>
      <w:tr w:rsidR="00A06647" w:rsidRPr="006C7B74" w14:paraId="74791313" w14:textId="77777777" w:rsidTr="002371F1">
        <w:trPr>
          <w:trHeight w:val="690"/>
        </w:trPr>
        <w:tc>
          <w:tcPr>
            <w:tcW w:w="2021" w:type="pct"/>
            <w:tcBorders>
              <w:top w:val="nil"/>
              <w:left w:val="nil"/>
              <w:bottom w:val="nil"/>
              <w:right w:val="nil"/>
            </w:tcBorders>
            <w:shd w:val="clear" w:color="000000" w:fill="4D446C"/>
            <w:noWrap/>
            <w:tcMar>
              <w:top w:w="15" w:type="dxa"/>
              <w:left w:w="15" w:type="dxa"/>
              <w:bottom w:w="0" w:type="dxa"/>
              <w:right w:w="15" w:type="dxa"/>
            </w:tcMar>
            <w:vAlign w:val="center"/>
            <w:hideMark/>
          </w:tcPr>
          <w:p w14:paraId="640DBEE2" w14:textId="5996FC9A" w:rsidR="00A06647" w:rsidRPr="006C7B74" w:rsidRDefault="00A06647" w:rsidP="00D625E1">
            <w:pPr>
              <w:pStyle w:val="TableHeaderRow"/>
              <w:rPr>
                <w:sz w:val="16"/>
              </w:rPr>
            </w:pPr>
            <w:r w:rsidRPr="006C7B74">
              <w:t>Council</w:t>
            </w:r>
          </w:p>
        </w:tc>
        <w:tc>
          <w:tcPr>
            <w:tcW w:w="1374" w:type="pct"/>
            <w:tcBorders>
              <w:top w:val="single" w:sz="4" w:space="0" w:color="auto"/>
              <w:left w:val="nil"/>
              <w:bottom w:val="nil"/>
              <w:right w:val="nil"/>
            </w:tcBorders>
            <w:shd w:val="clear" w:color="000000" w:fill="4D446C"/>
            <w:tcMar>
              <w:top w:w="15" w:type="dxa"/>
              <w:left w:w="15" w:type="dxa"/>
              <w:bottom w:w="0" w:type="dxa"/>
              <w:right w:w="15" w:type="dxa"/>
            </w:tcMar>
            <w:vAlign w:val="center"/>
            <w:hideMark/>
          </w:tcPr>
          <w:p w14:paraId="7E60DF35" w14:textId="0EE7FBD6" w:rsidR="00A06647" w:rsidRPr="006C7B74" w:rsidRDefault="00A06647" w:rsidP="00D625E1">
            <w:pPr>
              <w:pStyle w:val="TableHeaderRow"/>
              <w:jc w:val="center"/>
              <w:rPr>
                <w:sz w:val="16"/>
              </w:rPr>
            </w:pPr>
            <w:r w:rsidRPr="006C7B74">
              <w:t>Existing commercial</w:t>
            </w:r>
            <w:r w:rsidRPr="006C7B74">
              <w:br/>
              <w:t>floorspace</w:t>
            </w:r>
            <w:r w:rsidR="00656747" w:rsidRPr="006C7B74">
              <w:t xml:space="preserve"> 2018</w:t>
            </w:r>
            <w:r w:rsidR="002371F1" w:rsidRPr="006C7B74">
              <w:t xml:space="preserve"> </w:t>
            </w:r>
            <w:r w:rsidRPr="006C7B74">
              <w:t>(m</w:t>
            </w:r>
            <w:r w:rsidRPr="006C7B74">
              <w:rPr>
                <w:vertAlign w:val="superscript"/>
              </w:rPr>
              <w:t>2</w:t>
            </w:r>
            <w:r w:rsidRPr="006C7B74">
              <w:t>)</w:t>
            </w:r>
          </w:p>
        </w:tc>
        <w:tc>
          <w:tcPr>
            <w:tcW w:w="1605" w:type="pct"/>
            <w:tcBorders>
              <w:top w:val="nil"/>
              <w:left w:val="nil"/>
              <w:bottom w:val="nil"/>
              <w:right w:val="nil"/>
            </w:tcBorders>
            <w:shd w:val="clear" w:color="000000" w:fill="4D446C"/>
            <w:tcMar>
              <w:top w:w="15" w:type="dxa"/>
              <w:left w:w="15" w:type="dxa"/>
              <w:bottom w:w="0" w:type="dxa"/>
              <w:right w:w="15" w:type="dxa"/>
            </w:tcMar>
            <w:vAlign w:val="center"/>
            <w:hideMark/>
          </w:tcPr>
          <w:p w14:paraId="39E9C91B" w14:textId="3624684C" w:rsidR="00514CAC" w:rsidRPr="006C7B74" w:rsidRDefault="00B8272D" w:rsidP="00D625E1">
            <w:pPr>
              <w:pStyle w:val="TableHeaderRow"/>
              <w:jc w:val="center"/>
            </w:pPr>
            <w:r>
              <w:t>Estimated a</w:t>
            </w:r>
            <w:r w:rsidR="009854F1" w:rsidRPr="006C7B74">
              <w:t xml:space="preserve">dditional commercial </w:t>
            </w:r>
            <w:r w:rsidR="00A06647" w:rsidRPr="006C7B74">
              <w:t>floorspace</w:t>
            </w:r>
          </w:p>
          <w:p w14:paraId="655FDECD" w14:textId="042927D5" w:rsidR="00A06647" w:rsidRPr="006C7B74" w:rsidRDefault="00A06647" w:rsidP="00D625E1">
            <w:pPr>
              <w:pStyle w:val="TableHeaderRow"/>
              <w:jc w:val="center"/>
              <w:rPr>
                <w:sz w:val="16"/>
              </w:rPr>
            </w:pPr>
            <w:r w:rsidRPr="006C7B74">
              <w:t>2016 to 2031 (m</w:t>
            </w:r>
            <w:r w:rsidRPr="006C7B74">
              <w:rPr>
                <w:vertAlign w:val="superscript"/>
              </w:rPr>
              <w:t>2</w:t>
            </w:r>
            <w:r w:rsidRPr="006C7B74">
              <w:t>)</w:t>
            </w:r>
          </w:p>
        </w:tc>
      </w:tr>
      <w:tr w:rsidR="005047B2" w:rsidRPr="006C7B74" w14:paraId="7B82EFBC" w14:textId="77777777" w:rsidTr="006C7B74">
        <w:trPr>
          <w:trHeight w:val="240"/>
        </w:trPr>
        <w:tc>
          <w:tcPr>
            <w:tcW w:w="2021"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63DDB311" w14:textId="77777777" w:rsidR="005047B2" w:rsidRPr="006C7B74" w:rsidRDefault="005047B2" w:rsidP="005047B2">
            <w:pPr>
              <w:rPr>
                <w:rFonts w:ascii="Calibri" w:hAnsi="Calibri" w:cs="Calibri"/>
                <w:color w:val="000000"/>
                <w:sz w:val="16"/>
                <w:szCs w:val="16"/>
              </w:rPr>
            </w:pPr>
            <w:r w:rsidRPr="006C7B74">
              <w:rPr>
                <w:rFonts w:ascii="Calibri" w:hAnsi="Calibri" w:cs="Calibri"/>
                <w:color w:val="000000"/>
                <w:sz w:val="16"/>
                <w:szCs w:val="16"/>
              </w:rPr>
              <w:t>Bayside</w:t>
            </w:r>
          </w:p>
        </w:tc>
        <w:tc>
          <w:tcPr>
            <w:tcW w:w="1374" w:type="pct"/>
            <w:tcBorders>
              <w:top w:val="nil"/>
              <w:left w:val="nil"/>
              <w:bottom w:val="single" w:sz="8" w:space="0" w:color="44546A"/>
              <w:right w:val="nil"/>
            </w:tcBorders>
            <w:shd w:val="clear" w:color="auto" w:fill="auto"/>
            <w:tcMar>
              <w:top w:w="15" w:type="dxa"/>
              <w:left w:w="15" w:type="dxa"/>
              <w:bottom w:w="0" w:type="dxa"/>
              <w:right w:w="15" w:type="dxa"/>
            </w:tcMar>
            <w:hideMark/>
          </w:tcPr>
          <w:p w14:paraId="4B2B740F" w14:textId="7BBC1EC9" w:rsidR="005047B2" w:rsidRPr="006C7B74" w:rsidRDefault="005047B2" w:rsidP="005047B2">
            <w:pPr>
              <w:jc w:val="center"/>
              <w:rPr>
                <w:rFonts w:ascii="Calibri" w:hAnsi="Calibri" w:cs="Calibri"/>
                <w:color w:val="000000"/>
                <w:sz w:val="18"/>
                <w:szCs w:val="18"/>
              </w:rPr>
            </w:pPr>
            <w:r w:rsidRPr="006C7B74">
              <w:rPr>
                <w:sz w:val="18"/>
                <w:szCs w:val="18"/>
              </w:rPr>
              <w:t>322,100</w:t>
            </w:r>
          </w:p>
        </w:tc>
        <w:tc>
          <w:tcPr>
            <w:tcW w:w="1605"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5D1037F8" w14:textId="7AF5F7F5" w:rsidR="005047B2" w:rsidRPr="006C7B74" w:rsidRDefault="005047B2" w:rsidP="005047B2">
            <w:pPr>
              <w:jc w:val="center"/>
              <w:rPr>
                <w:rFonts w:ascii="Calibri" w:hAnsi="Calibri" w:cs="Calibri"/>
                <w:color w:val="000000"/>
                <w:sz w:val="18"/>
                <w:szCs w:val="18"/>
              </w:rPr>
            </w:pPr>
            <w:r w:rsidRPr="006C7B74">
              <w:rPr>
                <w:rFonts w:ascii="Calibri" w:hAnsi="Calibri" w:cs="Calibri"/>
                <w:color w:val="000000"/>
                <w:sz w:val="18"/>
                <w:szCs w:val="18"/>
              </w:rPr>
              <w:t xml:space="preserve">99,000 </w:t>
            </w:r>
          </w:p>
        </w:tc>
      </w:tr>
      <w:tr w:rsidR="005047B2" w:rsidRPr="006C7B74" w14:paraId="30226524" w14:textId="77777777" w:rsidTr="006C7B74">
        <w:trPr>
          <w:trHeight w:val="240"/>
        </w:trPr>
        <w:tc>
          <w:tcPr>
            <w:tcW w:w="2021"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6933FFA6" w14:textId="77777777" w:rsidR="005047B2" w:rsidRPr="006C7B74" w:rsidRDefault="005047B2" w:rsidP="005047B2">
            <w:pPr>
              <w:rPr>
                <w:rFonts w:ascii="Calibri" w:hAnsi="Calibri" w:cs="Calibri"/>
                <w:color w:val="000000"/>
                <w:sz w:val="16"/>
                <w:szCs w:val="16"/>
              </w:rPr>
            </w:pPr>
            <w:r w:rsidRPr="006C7B74">
              <w:rPr>
                <w:rFonts w:ascii="Calibri" w:hAnsi="Calibri" w:cs="Calibri"/>
                <w:color w:val="000000"/>
                <w:sz w:val="16"/>
                <w:szCs w:val="16"/>
              </w:rPr>
              <w:t>Boroondara</w:t>
            </w:r>
          </w:p>
        </w:tc>
        <w:tc>
          <w:tcPr>
            <w:tcW w:w="1374" w:type="pct"/>
            <w:tcBorders>
              <w:top w:val="nil"/>
              <w:left w:val="nil"/>
              <w:bottom w:val="single" w:sz="8" w:space="0" w:color="44546A"/>
              <w:right w:val="nil"/>
            </w:tcBorders>
            <w:shd w:val="clear" w:color="auto" w:fill="auto"/>
            <w:tcMar>
              <w:top w:w="15" w:type="dxa"/>
              <w:left w:w="15" w:type="dxa"/>
              <w:bottom w:w="0" w:type="dxa"/>
              <w:right w:w="15" w:type="dxa"/>
            </w:tcMar>
            <w:hideMark/>
          </w:tcPr>
          <w:p w14:paraId="0AE362FE" w14:textId="4936646B" w:rsidR="005047B2" w:rsidRPr="006C7B74" w:rsidRDefault="005047B2" w:rsidP="005047B2">
            <w:pPr>
              <w:jc w:val="center"/>
              <w:rPr>
                <w:rFonts w:ascii="Calibri" w:hAnsi="Calibri" w:cs="Calibri"/>
                <w:color w:val="000000"/>
                <w:sz w:val="18"/>
                <w:szCs w:val="18"/>
              </w:rPr>
            </w:pPr>
            <w:r w:rsidRPr="006C7B74">
              <w:rPr>
                <w:sz w:val="18"/>
                <w:szCs w:val="18"/>
              </w:rPr>
              <w:t>993,100</w:t>
            </w:r>
          </w:p>
        </w:tc>
        <w:tc>
          <w:tcPr>
            <w:tcW w:w="1605"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50595C06" w14:textId="46B744CC" w:rsidR="005047B2" w:rsidRPr="006C7B74" w:rsidRDefault="005047B2" w:rsidP="005047B2">
            <w:pPr>
              <w:jc w:val="center"/>
              <w:rPr>
                <w:rFonts w:ascii="Calibri" w:hAnsi="Calibri" w:cs="Calibri"/>
                <w:color w:val="000000"/>
                <w:sz w:val="18"/>
                <w:szCs w:val="18"/>
              </w:rPr>
            </w:pPr>
            <w:r w:rsidRPr="006C7B74">
              <w:rPr>
                <w:rFonts w:ascii="Calibri" w:hAnsi="Calibri" w:cs="Calibri"/>
                <w:color w:val="000000"/>
                <w:sz w:val="18"/>
                <w:szCs w:val="18"/>
              </w:rPr>
              <w:t xml:space="preserve">243,000 </w:t>
            </w:r>
          </w:p>
        </w:tc>
      </w:tr>
      <w:tr w:rsidR="005047B2" w:rsidRPr="006C7B74" w14:paraId="66CA94EC" w14:textId="77777777" w:rsidTr="006C7B74">
        <w:trPr>
          <w:trHeight w:val="240"/>
        </w:trPr>
        <w:tc>
          <w:tcPr>
            <w:tcW w:w="2021"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328EDBB0" w14:textId="77777777" w:rsidR="005047B2" w:rsidRPr="006C7B74" w:rsidRDefault="005047B2" w:rsidP="005047B2">
            <w:pPr>
              <w:rPr>
                <w:rFonts w:ascii="Calibri" w:hAnsi="Calibri" w:cs="Calibri"/>
                <w:color w:val="000000"/>
                <w:sz w:val="16"/>
                <w:szCs w:val="16"/>
              </w:rPr>
            </w:pPr>
            <w:r w:rsidRPr="006C7B74">
              <w:rPr>
                <w:rFonts w:ascii="Calibri" w:hAnsi="Calibri" w:cs="Calibri"/>
                <w:color w:val="000000"/>
                <w:sz w:val="16"/>
                <w:szCs w:val="16"/>
              </w:rPr>
              <w:t xml:space="preserve">Glen </w:t>
            </w:r>
            <w:proofErr w:type="spellStart"/>
            <w:r w:rsidRPr="006C7B74">
              <w:rPr>
                <w:rFonts w:ascii="Calibri" w:hAnsi="Calibri" w:cs="Calibri"/>
                <w:color w:val="000000"/>
                <w:sz w:val="16"/>
                <w:szCs w:val="16"/>
              </w:rPr>
              <w:t>Eira</w:t>
            </w:r>
            <w:proofErr w:type="spellEnd"/>
          </w:p>
        </w:tc>
        <w:tc>
          <w:tcPr>
            <w:tcW w:w="1374" w:type="pct"/>
            <w:tcBorders>
              <w:top w:val="nil"/>
              <w:left w:val="nil"/>
              <w:bottom w:val="single" w:sz="8" w:space="0" w:color="44546A"/>
              <w:right w:val="nil"/>
            </w:tcBorders>
            <w:shd w:val="clear" w:color="auto" w:fill="auto"/>
            <w:tcMar>
              <w:top w:w="15" w:type="dxa"/>
              <w:left w:w="15" w:type="dxa"/>
              <w:bottom w:w="0" w:type="dxa"/>
              <w:right w:w="15" w:type="dxa"/>
            </w:tcMar>
            <w:hideMark/>
          </w:tcPr>
          <w:p w14:paraId="2D8EBEF6" w14:textId="7FD71D79" w:rsidR="005047B2" w:rsidRPr="006C7B74" w:rsidRDefault="005047B2" w:rsidP="005047B2">
            <w:pPr>
              <w:jc w:val="center"/>
              <w:rPr>
                <w:rFonts w:ascii="Calibri" w:hAnsi="Calibri" w:cs="Calibri"/>
                <w:color w:val="000000"/>
                <w:sz w:val="18"/>
                <w:szCs w:val="18"/>
              </w:rPr>
            </w:pPr>
            <w:r w:rsidRPr="006C7B74">
              <w:rPr>
                <w:sz w:val="18"/>
                <w:szCs w:val="18"/>
              </w:rPr>
              <w:t>529,450</w:t>
            </w:r>
          </w:p>
        </w:tc>
        <w:tc>
          <w:tcPr>
            <w:tcW w:w="1605"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5840BCE8" w14:textId="7A92A337" w:rsidR="005047B2" w:rsidRPr="006C7B74" w:rsidRDefault="005047B2" w:rsidP="005047B2">
            <w:pPr>
              <w:jc w:val="center"/>
              <w:rPr>
                <w:rFonts w:ascii="Calibri" w:hAnsi="Calibri" w:cs="Calibri"/>
                <w:color w:val="000000"/>
                <w:sz w:val="18"/>
                <w:szCs w:val="18"/>
              </w:rPr>
            </w:pPr>
            <w:r w:rsidRPr="006C7B74">
              <w:rPr>
                <w:rFonts w:ascii="Calibri" w:hAnsi="Calibri" w:cs="Calibri"/>
                <w:color w:val="000000"/>
                <w:sz w:val="18"/>
                <w:szCs w:val="18"/>
              </w:rPr>
              <w:t xml:space="preserve">113,000 </w:t>
            </w:r>
          </w:p>
        </w:tc>
      </w:tr>
      <w:tr w:rsidR="005047B2" w:rsidRPr="006C7B74" w14:paraId="7CE45A0F" w14:textId="77777777" w:rsidTr="006C7B74">
        <w:trPr>
          <w:trHeight w:val="240"/>
        </w:trPr>
        <w:tc>
          <w:tcPr>
            <w:tcW w:w="2021"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04C014D4" w14:textId="77777777" w:rsidR="005047B2" w:rsidRPr="006C7B74" w:rsidRDefault="005047B2" w:rsidP="005047B2">
            <w:pPr>
              <w:rPr>
                <w:rFonts w:ascii="Calibri" w:hAnsi="Calibri" w:cs="Calibri"/>
                <w:color w:val="000000"/>
                <w:sz w:val="16"/>
                <w:szCs w:val="16"/>
              </w:rPr>
            </w:pPr>
            <w:r w:rsidRPr="006C7B74">
              <w:rPr>
                <w:rFonts w:ascii="Calibri" w:hAnsi="Calibri" w:cs="Calibri"/>
                <w:color w:val="000000"/>
                <w:sz w:val="16"/>
                <w:szCs w:val="16"/>
              </w:rPr>
              <w:t>Stonnington</w:t>
            </w:r>
          </w:p>
        </w:tc>
        <w:tc>
          <w:tcPr>
            <w:tcW w:w="1374" w:type="pct"/>
            <w:tcBorders>
              <w:top w:val="nil"/>
              <w:left w:val="nil"/>
              <w:bottom w:val="single" w:sz="8" w:space="0" w:color="44546A"/>
              <w:right w:val="nil"/>
            </w:tcBorders>
            <w:shd w:val="clear" w:color="auto" w:fill="auto"/>
            <w:tcMar>
              <w:top w:w="15" w:type="dxa"/>
              <w:left w:w="15" w:type="dxa"/>
              <w:bottom w:w="0" w:type="dxa"/>
              <w:right w:w="15" w:type="dxa"/>
            </w:tcMar>
            <w:hideMark/>
          </w:tcPr>
          <w:p w14:paraId="57EBBC7D" w14:textId="0712E18F" w:rsidR="005047B2" w:rsidRPr="006C7B74" w:rsidRDefault="005047B2" w:rsidP="005047B2">
            <w:pPr>
              <w:jc w:val="center"/>
              <w:rPr>
                <w:rFonts w:ascii="Calibri" w:hAnsi="Calibri" w:cs="Calibri"/>
                <w:color w:val="000000"/>
                <w:sz w:val="18"/>
                <w:szCs w:val="18"/>
              </w:rPr>
            </w:pPr>
            <w:r w:rsidRPr="006C7B74">
              <w:rPr>
                <w:sz w:val="18"/>
                <w:szCs w:val="18"/>
              </w:rPr>
              <w:t>1,14</w:t>
            </w:r>
            <w:r w:rsidR="00DF55B1">
              <w:rPr>
                <w:sz w:val="18"/>
                <w:szCs w:val="18"/>
              </w:rPr>
              <w:t>6</w:t>
            </w:r>
            <w:r w:rsidRPr="006C7B74">
              <w:rPr>
                <w:sz w:val="18"/>
                <w:szCs w:val="18"/>
              </w:rPr>
              <w:t>,</w:t>
            </w:r>
            <w:r w:rsidR="00DF55B1">
              <w:rPr>
                <w:sz w:val="18"/>
                <w:szCs w:val="18"/>
              </w:rPr>
              <w:t>55</w:t>
            </w:r>
            <w:r w:rsidRPr="006C7B74">
              <w:rPr>
                <w:sz w:val="18"/>
                <w:szCs w:val="18"/>
              </w:rPr>
              <w:t>0</w:t>
            </w:r>
          </w:p>
        </w:tc>
        <w:tc>
          <w:tcPr>
            <w:tcW w:w="1605"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09AAFF73" w14:textId="32CC3C9A" w:rsidR="005047B2" w:rsidRPr="006C7B74" w:rsidRDefault="005047B2" w:rsidP="005047B2">
            <w:pPr>
              <w:jc w:val="center"/>
              <w:rPr>
                <w:rFonts w:ascii="Calibri" w:hAnsi="Calibri" w:cs="Calibri"/>
                <w:color w:val="000000"/>
                <w:sz w:val="18"/>
                <w:szCs w:val="18"/>
              </w:rPr>
            </w:pPr>
            <w:r w:rsidRPr="006C7B74">
              <w:rPr>
                <w:rFonts w:ascii="Calibri" w:hAnsi="Calibri" w:cs="Calibri"/>
                <w:color w:val="000000"/>
                <w:sz w:val="18"/>
                <w:szCs w:val="18"/>
              </w:rPr>
              <w:t xml:space="preserve">328,000 </w:t>
            </w:r>
          </w:p>
        </w:tc>
      </w:tr>
      <w:tr w:rsidR="005047B2" w:rsidRPr="006C7B74" w14:paraId="45B1F4C6" w14:textId="77777777" w:rsidTr="006C7B74">
        <w:trPr>
          <w:trHeight w:val="240"/>
        </w:trPr>
        <w:tc>
          <w:tcPr>
            <w:tcW w:w="2021" w:type="pct"/>
            <w:tcBorders>
              <w:top w:val="nil"/>
              <w:left w:val="nil"/>
              <w:bottom w:val="single" w:sz="8" w:space="0" w:color="44546A"/>
              <w:right w:val="nil"/>
            </w:tcBorders>
            <w:shd w:val="clear" w:color="auto" w:fill="auto"/>
            <w:tcMar>
              <w:top w:w="15" w:type="dxa"/>
              <w:left w:w="15" w:type="dxa"/>
              <w:bottom w:w="0" w:type="dxa"/>
              <w:right w:w="15" w:type="dxa"/>
            </w:tcMar>
            <w:vAlign w:val="center"/>
            <w:hideMark/>
          </w:tcPr>
          <w:p w14:paraId="5F5FE391" w14:textId="77777777" w:rsidR="005047B2" w:rsidRPr="006C7B74" w:rsidRDefault="005047B2" w:rsidP="005047B2">
            <w:pPr>
              <w:rPr>
                <w:rFonts w:ascii="Calibri" w:hAnsi="Calibri" w:cs="Calibri"/>
                <w:b/>
                <w:bCs/>
                <w:color w:val="000000"/>
                <w:sz w:val="16"/>
                <w:szCs w:val="16"/>
              </w:rPr>
            </w:pPr>
            <w:r w:rsidRPr="006C7B74">
              <w:rPr>
                <w:rFonts w:ascii="Calibri" w:hAnsi="Calibri" w:cs="Calibri"/>
                <w:b/>
                <w:bCs/>
                <w:color w:val="000000"/>
                <w:sz w:val="16"/>
                <w:szCs w:val="16"/>
              </w:rPr>
              <w:t>Total</w:t>
            </w:r>
          </w:p>
        </w:tc>
        <w:tc>
          <w:tcPr>
            <w:tcW w:w="1374" w:type="pct"/>
            <w:tcBorders>
              <w:top w:val="nil"/>
              <w:left w:val="nil"/>
              <w:bottom w:val="single" w:sz="8" w:space="0" w:color="44546A"/>
              <w:right w:val="nil"/>
            </w:tcBorders>
            <w:shd w:val="clear" w:color="auto" w:fill="auto"/>
            <w:tcMar>
              <w:top w:w="15" w:type="dxa"/>
              <w:left w:w="15" w:type="dxa"/>
              <w:bottom w:w="0" w:type="dxa"/>
              <w:right w:w="15" w:type="dxa"/>
            </w:tcMar>
            <w:hideMark/>
          </w:tcPr>
          <w:p w14:paraId="7CAA0B5D" w14:textId="61DAA9FA" w:rsidR="005047B2" w:rsidRPr="006C7B74" w:rsidRDefault="005047B2" w:rsidP="005047B2">
            <w:pPr>
              <w:jc w:val="center"/>
              <w:rPr>
                <w:rFonts w:ascii="Calibri" w:hAnsi="Calibri" w:cs="Calibri"/>
                <w:b/>
                <w:color w:val="000000"/>
                <w:sz w:val="18"/>
                <w:szCs w:val="18"/>
              </w:rPr>
            </w:pPr>
            <w:r w:rsidRPr="006C7B74">
              <w:rPr>
                <w:b/>
                <w:sz w:val="18"/>
                <w:szCs w:val="18"/>
              </w:rPr>
              <w:t>2,99</w:t>
            </w:r>
            <w:r w:rsidR="00DF55B1">
              <w:rPr>
                <w:b/>
                <w:sz w:val="18"/>
                <w:szCs w:val="18"/>
              </w:rPr>
              <w:t>1</w:t>
            </w:r>
            <w:r w:rsidRPr="006C7B74">
              <w:rPr>
                <w:b/>
                <w:sz w:val="18"/>
                <w:szCs w:val="18"/>
              </w:rPr>
              <w:t>,</w:t>
            </w:r>
            <w:r w:rsidR="00DF55B1">
              <w:rPr>
                <w:b/>
                <w:sz w:val="18"/>
                <w:szCs w:val="18"/>
              </w:rPr>
              <w:t>20</w:t>
            </w:r>
            <w:r w:rsidRPr="006C7B74">
              <w:rPr>
                <w:b/>
                <w:sz w:val="18"/>
                <w:szCs w:val="18"/>
              </w:rPr>
              <w:t>0</w:t>
            </w:r>
          </w:p>
        </w:tc>
        <w:tc>
          <w:tcPr>
            <w:tcW w:w="1605" w:type="pct"/>
            <w:tcBorders>
              <w:top w:val="nil"/>
              <w:left w:val="nil"/>
              <w:bottom w:val="single" w:sz="8" w:space="0" w:color="44546A"/>
              <w:right w:val="nil"/>
            </w:tcBorders>
            <w:shd w:val="clear" w:color="auto" w:fill="auto"/>
            <w:tcMar>
              <w:top w:w="15" w:type="dxa"/>
              <w:left w:w="15" w:type="dxa"/>
              <w:bottom w:w="0" w:type="dxa"/>
              <w:right w:w="15" w:type="dxa"/>
            </w:tcMar>
            <w:vAlign w:val="bottom"/>
            <w:hideMark/>
          </w:tcPr>
          <w:p w14:paraId="2282D8E3" w14:textId="39891727" w:rsidR="005047B2" w:rsidRPr="006C7B74" w:rsidRDefault="005047B2" w:rsidP="005047B2">
            <w:pPr>
              <w:jc w:val="center"/>
              <w:rPr>
                <w:rFonts w:ascii="Calibri" w:hAnsi="Calibri" w:cs="Calibri"/>
                <w:b/>
                <w:bCs/>
                <w:color w:val="000000"/>
                <w:sz w:val="18"/>
                <w:szCs w:val="18"/>
              </w:rPr>
            </w:pPr>
            <w:r w:rsidRPr="006C7B74">
              <w:rPr>
                <w:rFonts w:ascii="Calibri" w:hAnsi="Calibri" w:cs="Calibri"/>
                <w:b/>
                <w:color w:val="000000"/>
                <w:sz w:val="18"/>
                <w:szCs w:val="18"/>
              </w:rPr>
              <w:t xml:space="preserve">784,000 </w:t>
            </w:r>
          </w:p>
        </w:tc>
      </w:tr>
    </w:tbl>
    <w:p w14:paraId="30EF3935" w14:textId="1CB7D5BB" w:rsidR="00C802F6" w:rsidRPr="006C7B74" w:rsidRDefault="00CF7392" w:rsidP="00CF7392">
      <w:pPr>
        <w:pStyle w:val="Quote"/>
      </w:pPr>
      <w:r w:rsidRPr="006C7B74">
        <w:t>Source:</w:t>
      </w:r>
      <w:r w:rsidR="007C154C" w:rsidRPr="006C7B74">
        <w:t xml:space="preserve"> </w:t>
      </w:r>
      <w:r w:rsidRPr="006C7B74">
        <w:t>Department of Environment, Land, Water and Planning, unpublished data (</w:t>
      </w:r>
      <w:r w:rsidR="003E2D0C" w:rsidRPr="006C7B74">
        <w:t>20</w:t>
      </w:r>
      <w:r w:rsidR="003E2D0C">
        <w:t>20</w:t>
      </w:r>
      <w:r w:rsidRPr="006C7B74">
        <w:t>)</w:t>
      </w:r>
    </w:p>
    <w:p w14:paraId="18C66C85" w14:textId="72EEAE99" w:rsidR="004011F2" w:rsidRPr="006C7B74" w:rsidRDefault="004011F2" w:rsidP="00364AE5">
      <w:pPr>
        <w:pStyle w:val="Heading5"/>
      </w:pPr>
      <w:r w:rsidRPr="006C7B74">
        <w:t xml:space="preserve">Figure </w:t>
      </w:r>
      <w:r w:rsidR="00C15C91" w:rsidRPr="006C7B74">
        <w:t>3</w:t>
      </w:r>
      <w:r w:rsidR="00272A6B" w:rsidRPr="006C7B74">
        <w:t>4</w:t>
      </w:r>
      <w:r w:rsidRPr="006C7B74">
        <w:t xml:space="preserve">: </w:t>
      </w:r>
      <w:r w:rsidR="00475C58">
        <w:t xml:space="preserve">Estimated additional </w:t>
      </w:r>
      <w:r w:rsidR="00475C58" w:rsidRPr="006C7B74">
        <w:t>commercial floorspace</w:t>
      </w:r>
      <w:r w:rsidR="00475C58" w:rsidRPr="006C7B74" w:rsidDel="00475C58">
        <w:t xml:space="preserve"> </w:t>
      </w:r>
      <w:r w:rsidRPr="006C7B74">
        <w:t xml:space="preserve">by type and municipality, </w:t>
      </w:r>
      <w:r w:rsidR="00203CAB" w:rsidRPr="006C7B74">
        <w:t xml:space="preserve">Inner South East Region, </w:t>
      </w:r>
      <w:r w:rsidRPr="006C7B74">
        <w:t>201</w:t>
      </w:r>
      <w:r w:rsidR="00543342" w:rsidRPr="006C7B74">
        <w:t>6</w:t>
      </w:r>
      <w:r w:rsidRPr="006C7B74">
        <w:t xml:space="preserve"> to 2031</w:t>
      </w:r>
    </w:p>
    <w:p w14:paraId="041FBBE2" w14:textId="25826359" w:rsidR="00CF7392" w:rsidRPr="006C7B74" w:rsidRDefault="0085017F" w:rsidP="00CF7392">
      <w:pPr>
        <w:pStyle w:val="Quote"/>
      </w:pPr>
      <w:r>
        <w:rPr>
          <w:noProof/>
        </w:rPr>
        <w:drawing>
          <wp:inline distT="0" distB="0" distL="0" distR="0" wp14:anchorId="162A13B1" wp14:editId="5C63287A">
            <wp:extent cx="5727700" cy="2940685"/>
            <wp:effectExtent l="0" t="0" r="0" b="0"/>
            <wp:docPr id="24" name="Chart 24" descr="Bar graph - Estimated additional commercial floorspace for Inner South East Region, 2016 to 2031. Shows estimates required for each council for office and retail floorspace.">
              <a:extLst xmlns:a="http://schemas.openxmlformats.org/drawingml/2006/main">
                <a:ext uri="{FF2B5EF4-FFF2-40B4-BE49-F238E27FC236}">
                  <a16:creationId xmlns:a16="http://schemas.microsoft.com/office/drawing/2014/main" id="{34CAAABA-C81A-475E-B9D0-BC9EE89CD0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00CF7392" w:rsidRPr="006C7B74">
        <w:t>Source:</w:t>
      </w:r>
      <w:r w:rsidR="007C154C" w:rsidRPr="006C7B74">
        <w:t xml:space="preserve"> </w:t>
      </w:r>
      <w:r w:rsidR="00CF7392" w:rsidRPr="006C7B74">
        <w:t>Department of Environment, Land, Water and Planning, unpublished data (</w:t>
      </w:r>
      <w:r w:rsidR="003E2D0C" w:rsidRPr="006C7B74">
        <w:t>20</w:t>
      </w:r>
      <w:r w:rsidR="003E2D0C">
        <w:t>20</w:t>
      </w:r>
      <w:r w:rsidR="00CF7392" w:rsidRPr="006C7B74">
        <w:t>)</w:t>
      </w:r>
    </w:p>
    <w:p w14:paraId="59944F03" w14:textId="77777777" w:rsidR="00627997" w:rsidRDefault="00627997">
      <w:pPr>
        <w:rPr>
          <w:rFonts w:asciiTheme="majorHAnsi" w:eastAsiaTheme="majorEastAsia" w:hAnsiTheme="majorHAnsi" w:cstheme="majorBidi"/>
          <w:b/>
          <w:color w:val="642667"/>
          <w:sz w:val="28"/>
        </w:rPr>
      </w:pPr>
      <w:bookmarkStart w:id="62" w:name="_Toc21694841"/>
      <w:r>
        <w:br w:type="page"/>
      </w:r>
    </w:p>
    <w:p w14:paraId="34C055BC" w14:textId="7648954B" w:rsidR="005005FC" w:rsidRPr="006C7B74" w:rsidRDefault="005005FC" w:rsidP="00934C4D">
      <w:pPr>
        <w:pStyle w:val="Heading2-Contenttable"/>
        <w:spacing w:after="120"/>
      </w:pPr>
      <w:r w:rsidRPr="006C7B74">
        <w:lastRenderedPageBreak/>
        <w:t>Planning framework for industrial and commercial land across the region</w:t>
      </w:r>
      <w:bookmarkEnd w:id="62"/>
    </w:p>
    <w:p w14:paraId="61C6DC3C" w14:textId="30B5CF55" w:rsidR="005005FC" w:rsidRPr="006C7B74" w:rsidRDefault="00A516B6" w:rsidP="002E4492">
      <w:pPr>
        <w:pStyle w:val="paragraph"/>
        <w:spacing w:before="0" w:beforeAutospacing="0" w:after="120" w:afterAutospacing="0"/>
        <w:textAlignment w:val="baseline"/>
        <w:rPr>
          <w:rStyle w:val="normaltextrun"/>
          <w:rFonts w:cstheme="minorHAnsi"/>
          <w:sz w:val="20"/>
          <w:szCs w:val="20"/>
        </w:rPr>
      </w:pPr>
      <w:r w:rsidRPr="006C7B74">
        <w:rPr>
          <w:rStyle w:val="normaltextrun"/>
          <w:rFonts w:cstheme="minorHAnsi"/>
          <w:sz w:val="20"/>
          <w:szCs w:val="20"/>
        </w:rPr>
        <w:t>While t</w:t>
      </w:r>
      <w:r w:rsidR="00697065" w:rsidRPr="006C7B74">
        <w:rPr>
          <w:rStyle w:val="normaltextrun"/>
          <w:rFonts w:cstheme="minorHAnsi"/>
          <w:sz w:val="20"/>
          <w:szCs w:val="20"/>
        </w:rPr>
        <w:t xml:space="preserve">he Inner South East Region </w:t>
      </w:r>
      <w:r w:rsidRPr="006C7B74">
        <w:rPr>
          <w:rStyle w:val="normaltextrun"/>
          <w:rFonts w:cstheme="minorHAnsi"/>
          <w:sz w:val="20"/>
          <w:szCs w:val="20"/>
        </w:rPr>
        <w:t xml:space="preserve">offers significant commercial floorspace across its network of activity centres, it contains the </w:t>
      </w:r>
      <w:r w:rsidR="00697065" w:rsidRPr="006C7B74">
        <w:rPr>
          <w:rStyle w:val="normaltextrun"/>
          <w:rFonts w:cstheme="minorHAnsi"/>
          <w:sz w:val="20"/>
          <w:szCs w:val="20"/>
        </w:rPr>
        <w:t xml:space="preserve">smallest supply of industrial land of all Melbourne’s regions with the majority of this located within </w:t>
      </w:r>
      <w:r w:rsidR="008E0064" w:rsidRPr="006C7B74">
        <w:rPr>
          <w:rStyle w:val="normaltextrun"/>
          <w:rFonts w:cstheme="minorHAnsi"/>
          <w:sz w:val="20"/>
          <w:szCs w:val="20"/>
        </w:rPr>
        <w:t xml:space="preserve">the municipality of </w:t>
      </w:r>
      <w:r w:rsidR="005005FC" w:rsidRPr="006C7B74">
        <w:rPr>
          <w:rStyle w:val="normaltextrun"/>
          <w:rFonts w:cstheme="minorHAnsi"/>
          <w:sz w:val="20"/>
          <w:szCs w:val="20"/>
        </w:rPr>
        <w:t>Bayside</w:t>
      </w:r>
      <w:r w:rsidR="00697065" w:rsidRPr="006C7B74">
        <w:rPr>
          <w:rStyle w:val="normaltextrun"/>
          <w:rFonts w:cstheme="minorHAnsi"/>
          <w:sz w:val="20"/>
          <w:szCs w:val="20"/>
        </w:rPr>
        <w:t>.</w:t>
      </w:r>
      <w:r w:rsidR="005005FC" w:rsidRPr="006C7B74">
        <w:rPr>
          <w:rStyle w:val="normaltextrun"/>
          <w:rFonts w:cstheme="minorHAnsi"/>
          <w:sz w:val="20"/>
          <w:szCs w:val="20"/>
        </w:rPr>
        <w:t xml:space="preserve"> </w:t>
      </w:r>
    </w:p>
    <w:p w14:paraId="1C018E1A" w14:textId="2DFDF515" w:rsidR="002E4492" w:rsidRPr="006C7B74" w:rsidRDefault="00FB312A" w:rsidP="002E4492">
      <w:pPr>
        <w:pStyle w:val="paragraph"/>
        <w:spacing w:before="0" w:beforeAutospacing="0" w:after="120" w:afterAutospacing="0"/>
        <w:textAlignment w:val="baseline"/>
        <w:rPr>
          <w:rStyle w:val="normaltextrun"/>
        </w:rPr>
      </w:pPr>
      <w:r w:rsidRPr="006C7B74">
        <w:rPr>
          <w:rStyle w:val="normaltextrun"/>
          <w:rFonts w:cstheme="minorHAnsi"/>
          <w:sz w:val="20"/>
          <w:szCs w:val="20"/>
        </w:rPr>
        <w:t xml:space="preserve">Strip-based </w:t>
      </w:r>
      <w:r w:rsidR="00DB29A2" w:rsidRPr="006C7B74">
        <w:rPr>
          <w:rStyle w:val="normaltextrun"/>
          <w:rFonts w:cstheme="minorHAnsi"/>
          <w:sz w:val="20"/>
          <w:szCs w:val="20"/>
        </w:rPr>
        <w:t>m</w:t>
      </w:r>
      <w:r w:rsidR="002E4492" w:rsidRPr="006C7B74">
        <w:rPr>
          <w:rStyle w:val="normaltextrun"/>
          <w:rFonts w:cstheme="minorHAnsi"/>
          <w:sz w:val="20"/>
          <w:szCs w:val="20"/>
        </w:rPr>
        <w:t xml:space="preserve">ajor </w:t>
      </w:r>
      <w:r w:rsidR="00DB29A2" w:rsidRPr="006C7B74">
        <w:rPr>
          <w:rStyle w:val="normaltextrun"/>
          <w:rFonts w:cstheme="minorHAnsi"/>
          <w:sz w:val="20"/>
          <w:szCs w:val="20"/>
        </w:rPr>
        <w:t>a</w:t>
      </w:r>
      <w:r w:rsidR="002E4492" w:rsidRPr="006C7B74">
        <w:rPr>
          <w:rStyle w:val="normaltextrun"/>
          <w:rFonts w:cstheme="minorHAnsi"/>
          <w:sz w:val="20"/>
          <w:szCs w:val="20"/>
        </w:rPr>
        <w:t xml:space="preserve">ctivity </w:t>
      </w:r>
      <w:r w:rsidR="00DB29A2" w:rsidRPr="006C7B74">
        <w:rPr>
          <w:rStyle w:val="normaltextrun"/>
          <w:rFonts w:cstheme="minorHAnsi"/>
          <w:sz w:val="20"/>
          <w:szCs w:val="20"/>
        </w:rPr>
        <w:t>c</w:t>
      </w:r>
      <w:r w:rsidR="002E4492" w:rsidRPr="006C7B74">
        <w:rPr>
          <w:rStyle w:val="normaltextrun"/>
          <w:rFonts w:cstheme="minorHAnsi"/>
          <w:sz w:val="20"/>
          <w:szCs w:val="20"/>
        </w:rPr>
        <w:t xml:space="preserve">entres such as Prahran-South Yarra, Glenferrie Road Hawthorn and Camberwell Junction offer significant retailing and office development. In addition to this, Chadstone Major Activity Centre continues to expand its commercial offerings beyond retail. </w:t>
      </w:r>
    </w:p>
    <w:p w14:paraId="7CE782BC" w14:textId="6D1C3E1F" w:rsidR="00A516B6" w:rsidRPr="006C7B74" w:rsidRDefault="005005FC" w:rsidP="00A82562">
      <w:pPr>
        <w:pStyle w:val="paragraph"/>
        <w:spacing w:before="0" w:beforeAutospacing="0" w:after="120" w:afterAutospacing="0"/>
        <w:textAlignment w:val="baseline"/>
        <w:rPr>
          <w:rStyle w:val="normaltextrun"/>
          <w:rFonts w:cstheme="minorHAnsi"/>
          <w:sz w:val="20"/>
          <w:szCs w:val="20"/>
        </w:rPr>
      </w:pPr>
      <w:r w:rsidRPr="006C7B74">
        <w:rPr>
          <w:rStyle w:val="normaltextrun"/>
          <w:rFonts w:cstheme="minorHAnsi"/>
          <w:sz w:val="20"/>
          <w:szCs w:val="20"/>
        </w:rPr>
        <w:t xml:space="preserve">Industrial land supply </w:t>
      </w:r>
      <w:r w:rsidR="00697065" w:rsidRPr="006C7B74">
        <w:rPr>
          <w:rStyle w:val="normaltextrun"/>
          <w:rFonts w:cstheme="minorHAnsi"/>
          <w:sz w:val="20"/>
          <w:szCs w:val="20"/>
        </w:rPr>
        <w:t>across the region has been gradually</w:t>
      </w:r>
      <w:r w:rsidR="005322AC" w:rsidRPr="006C7B74">
        <w:rPr>
          <w:rStyle w:val="normaltextrun"/>
          <w:rFonts w:cstheme="minorHAnsi"/>
          <w:sz w:val="20"/>
          <w:szCs w:val="20"/>
        </w:rPr>
        <w:t xml:space="preserve"> decreasing</w:t>
      </w:r>
      <w:r w:rsidR="008E0064" w:rsidRPr="006C7B74">
        <w:rPr>
          <w:rStyle w:val="normaltextrun"/>
        </w:rPr>
        <w:t>.</w:t>
      </w:r>
      <w:r w:rsidR="00FB312A" w:rsidRPr="006C7B74">
        <w:rPr>
          <w:rStyle w:val="normaltextrun"/>
          <w:rFonts w:cstheme="minorHAnsi"/>
          <w:sz w:val="20"/>
          <w:szCs w:val="20"/>
        </w:rPr>
        <w:t xml:space="preserve"> </w:t>
      </w:r>
      <w:r w:rsidR="008E0064" w:rsidRPr="006C7B74">
        <w:rPr>
          <w:rStyle w:val="normaltextrun"/>
          <w:rFonts w:cstheme="minorHAnsi"/>
          <w:sz w:val="20"/>
          <w:szCs w:val="20"/>
        </w:rPr>
        <w:t>The largest remaining i</w:t>
      </w:r>
      <w:r w:rsidRPr="006C7B74">
        <w:rPr>
          <w:rStyle w:val="normaltextrun"/>
          <w:rFonts w:cstheme="minorHAnsi"/>
          <w:sz w:val="20"/>
          <w:szCs w:val="20"/>
        </w:rPr>
        <w:t xml:space="preserve">ndustrial </w:t>
      </w:r>
      <w:r w:rsidR="008E0064" w:rsidRPr="006C7B74">
        <w:rPr>
          <w:rStyle w:val="normaltextrun"/>
          <w:rFonts w:cstheme="minorHAnsi"/>
          <w:sz w:val="20"/>
          <w:szCs w:val="20"/>
        </w:rPr>
        <w:t xml:space="preserve">area within the region is </w:t>
      </w:r>
      <w:r w:rsidR="00A82562" w:rsidRPr="006C7B74">
        <w:rPr>
          <w:rStyle w:val="normaltextrun"/>
          <w:rFonts w:cstheme="minorHAnsi"/>
          <w:sz w:val="20"/>
          <w:szCs w:val="20"/>
        </w:rPr>
        <w:t xml:space="preserve">the Bayside Business </w:t>
      </w:r>
      <w:r w:rsidR="00256D03" w:rsidRPr="006C7B74">
        <w:rPr>
          <w:rStyle w:val="normaltextrun"/>
          <w:rFonts w:cstheme="minorHAnsi"/>
          <w:sz w:val="20"/>
          <w:szCs w:val="20"/>
        </w:rPr>
        <w:t xml:space="preserve">District </w:t>
      </w:r>
      <w:r w:rsidR="008E0064" w:rsidRPr="006C7B74">
        <w:rPr>
          <w:rStyle w:val="normaltextrun"/>
          <w:rFonts w:cstheme="minorHAnsi"/>
          <w:sz w:val="20"/>
          <w:szCs w:val="20"/>
        </w:rPr>
        <w:t xml:space="preserve">in </w:t>
      </w:r>
      <w:r w:rsidRPr="006C7B74">
        <w:rPr>
          <w:rStyle w:val="normaltextrun"/>
          <w:rFonts w:cstheme="minorHAnsi"/>
          <w:sz w:val="20"/>
          <w:szCs w:val="20"/>
        </w:rPr>
        <w:t>Cheltenham</w:t>
      </w:r>
      <w:r w:rsidR="00A82562" w:rsidRPr="006C7B74">
        <w:rPr>
          <w:rStyle w:val="normaltextrun"/>
          <w:rFonts w:cstheme="minorHAnsi"/>
          <w:sz w:val="20"/>
          <w:szCs w:val="20"/>
        </w:rPr>
        <w:t>. This area has</w:t>
      </w:r>
      <w:r w:rsidR="001500ED" w:rsidRPr="006C7B74">
        <w:rPr>
          <w:rStyle w:val="normaltextrun"/>
          <w:rFonts w:cstheme="minorHAnsi"/>
          <w:sz w:val="20"/>
          <w:szCs w:val="20"/>
        </w:rPr>
        <w:t xml:space="preserve"> been </w:t>
      </w:r>
      <w:r w:rsidR="00A516B6" w:rsidRPr="006C7B74">
        <w:rPr>
          <w:rStyle w:val="normaltextrun"/>
          <w:rFonts w:cstheme="minorHAnsi"/>
          <w:sz w:val="20"/>
          <w:szCs w:val="20"/>
        </w:rPr>
        <w:t xml:space="preserve">gradually </w:t>
      </w:r>
      <w:r w:rsidR="001500ED" w:rsidRPr="006C7B74">
        <w:rPr>
          <w:rStyle w:val="normaltextrun"/>
          <w:rFonts w:cstheme="minorHAnsi"/>
          <w:sz w:val="20"/>
          <w:szCs w:val="20"/>
        </w:rPr>
        <w:t xml:space="preserve">transforming </w:t>
      </w:r>
      <w:r w:rsidR="00A516B6" w:rsidRPr="006C7B74">
        <w:rPr>
          <w:rStyle w:val="normaltextrun"/>
          <w:rFonts w:cstheme="minorHAnsi"/>
          <w:sz w:val="20"/>
          <w:szCs w:val="20"/>
        </w:rPr>
        <w:t>from a more traditional industrial area towards a more general business area allowing for a mix of activities including existing and new industrial uses as well as office-based facilities.</w:t>
      </w:r>
    </w:p>
    <w:p w14:paraId="323720DB" w14:textId="2D89921C" w:rsidR="00FB312A" w:rsidRPr="006C7B74" w:rsidRDefault="00FB312A" w:rsidP="00A82562">
      <w:pPr>
        <w:pStyle w:val="paragraph"/>
        <w:spacing w:before="0" w:beforeAutospacing="0" w:after="120" w:afterAutospacing="0"/>
        <w:textAlignment w:val="baseline"/>
        <w:rPr>
          <w:rStyle w:val="normaltextrun"/>
          <w:rFonts w:cstheme="minorHAnsi"/>
          <w:sz w:val="20"/>
          <w:szCs w:val="20"/>
        </w:rPr>
      </w:pPr>
      <w:r w:rsidRPr="006C7B74">
        <w:rPr>
          <w:rStyle w:val="normaltextrun"/>
          <w:rFonts w:cstheme="minorHAnsi"/>
          <w:sz w:val="20"/>
          <w:szCs w:val="20"/>
        </w:rPr>
        <w:t xml:space="preserve">Across the region there is ongoing pressure for residential development and a key challenge will be ensuring that rezoning proposals do not further diminish opportunity for industry and businesses to serve the region. </w:t>
      </w:r>
    </w:p>
    <w:p w14:paraId="11B71172" w14:textId="77777777" w:rsidR="0052312F" w:rsidRPr="006C7B74" w:rsidRDefault="0052312F" w:rsidP="0052312F">
      <w:pPr>
        <w:pStyle w:val="paragraph"/>
        <w:spacing w:before="0" w:beforeAutospacing="0" w:after="120" w:afterAutospacing="0"/>
        <w:textAlignment w:val="baseline"/>
        <w:rPr>
          <w:rStyle w:val="normaltextrun"/>
          <w:rFonts w:cstheme="minorHAnsi"/>
          <w:sz w:val="20"/>
          <w:szCs w:val="20"/>
        </w:rPr>
      </w:pPr>
      <w:r w:rsidRPr="006C7B74">
        <w:rPr>
          <w:rStyle w:val="normaltextrun"/>
          <w:rFonts w:cstheme="minorHAnsi"/>
          <w:sz w:val="20"/>
          <w:szCs w:val="20"/>
        </w:rPr>
        <w:t>Planning for the region should:</w:t>
      </w:r>
    </w:p>
    <w:p w14:paraId="3724EAA7" w14:textId="3AA74986" w:rsidR="0052312F" w:rsidRPr="006C7B74" w:rsidRDefault="007C69CB" w:rsidP="0052312F">
      <w:pPr>
        <w:pStyle w:val="BodyText"/>
        <w:numPr>
          <w:ilvl w:val="0"/>
          <w:numId w:val="55"/>
        </w:numPr>
        <w:spacing w:before="0" w:line="240" w:lineRule="auto"/>
        <w:rPr>
          <w:lang w:eastAsia="en-AU"/>
        </w:rPr>
      </w:pPr>
      <w:r w:rsidRPr="006C7B74">
        <w:rPr>
          <w:lang w:eastAsia="en-AU"/>
        </w:rPr>
        <w:t>Ensure</w:t>
      </w:r>
      <w:r w:rsidR="0052312F" w:rsidRPr="006C7B74">
        <w:rPr>
          <w:lang w:eastAsia="en-AU"/>
        </w:rPr>
        <w:t xml:space="preserve"> the Bayside Business </w:t>
      </w:r>
      <w:r w:rsidR="00345E98" w:rsidRPr="006C7B74">
        <w:rPr>
          <w:lang w:eastAsia="en-AU"/>
        </w:rPr>
        <w:t xml:space="preserve">District </w:t>
      </w:r>
      <w:r w:rsidRPr="006C7B74">
        <w:rPr>
          <w:lang w:eastAsia="en-AU"/>
        </w:rPr>
        <w:t>is</w:t>
      </w:r>
      <w:r w:rsidR="0052312F" w:rsidRPr="006C7B74">
        <w:rPr>
          <w:lang w:eastAsia="en-AU"/>
        </w:rPr>
        <w:t xml:space="preserve"> protect</w:t>
      </w:r>
      <w:r w:rsidR="005262D1">
        <w:rPr>
          <w:lang w:eastAsia="en-AU"/>
        </w:rPr>
        <w:t>ed</w:t>
      </w:r>
      <w:r w:rsidR="0052312F" w:rsidRPr="006C7B74">
        <w:rPr>
          <w:lang w:eastAsia="en-AU"/>
        </w:rPr>
        <w:t xml:space="preserve"> from encroachment of </w:t>
      </w:r>
      <w:r w:rsidR="002A2422" w:rsidRPr="006C7B74">
        <w:rPr>
          <w:lang w:eastAsia="en-AU"/>
        </w:rPr>
        <w:t xml:space="preserve">incompatible </w:t>
      </w:r>
      <w:r w:rsidR="0052312F" w:rsidRPr="006C7B74">
        <w:t xml:space="preserve">uses that would fragment the land and could compromise </w:t>
      </w:r>
      <w:r w:rsidR="00057C01" w:rsidRPr="006C7B74">
        <w:t xml:space="preserve">its </w:t>
      </w:r>
      <w:r w:rsidR="0052312F" w:rsidRPr="006C7B74">
        <w:t xml:space="preserve">development and efficient operation </w:t>
      </w:r>
      <w:r w:rsidR="00D95384" w:rsidRPr="006C7B74">
        <w:t xml:space="preserve">as a </w:t>
      </w:r>
      <w:r w:rsidR="0052312F" w:rsidRPr="006C7B74">
        <w:t>business location.</w:t>
      </w:r>
    </w:p>
    <w:p w14:paraId="1E4AD0E7" w14:textId="1B5D97C1" w:rsidR="0052312F" w:rsidRPr="006C7B74" w:rsidRDefault="0052312F" w:rsidP="0052312F">
      <w:pPr>
        <w:pStyle w:val="BodyText"/>
        <w:numPr>
          <w:ilvl w:val="0"/>
          <w:numId w:val="55"/>
        </w:numPr>
        <w:spacing w:before="0" w:line="240" w:lineRule="auto"/>
        <w:rPr>
          <w:lang w:eastAsia="en-AU"/>
        </w:rPr>
      </w:pPr>
      <w:r w:rsidRPr="006C7B74">
        <w:t xml:space="preserve">Review local industrial areas and identify areas important for retention </w:t>
      </w:r>
      <w:r w:rsidR="00E440E0">
        <w:t xml:space="preserve">as employment land </w:t>
      </w:r>
      <w:r w:rsidRPr="006C7B74">
        <w:t>to support local communities.</w:t>
      </w:r>
    </w:p>
    <w:p w14:paraId="373CE54A" w14:textId="77777777" w:rsidR="0052312F" w:rsidRPr="006C7B74" w:rsidRDefault="0052312F" w:rsidP="0052312F">
      <w:pPr>
        <w:pStyle w:val="BodyText"/>
        <w:numPr>
          <w:ilvl w:val="0"/>
          <w:numId w:val="55"/>
        </w:numPr>
        <w:spacing w:before="0" w:line="240" w:lineRule="auto"/>
        <w:rPr>
          <w:lang w:eastAsia="en-AU"/>
        </w:rPr>
      </w:pPr>
      <w:r w:rsidRPr="006C7B74">
        <w:t>Identify activity centres where commercial development should be prioritised to accommodate future needs.</w:t>
      </w:r>
    </w:p>
    <w:p w14:paraId="36352AA4" w14:textId="77777777" w:rsidR="0052312F" w:rsidRPr="006C7B74" w:rsidRDefault="0052312F" w:rsidP="0052312F">
      <w:pPr>
        <w:pStyle w:val="BodyText"/>
        <w:numPr>
          <w:ilvl w:val="0"/>
          <w:numId w:val="55"/>
        </w:numPr>
        <w:spacing w:before="0" w:line="240" w:lineRule="auto"/>
        <w:rPr>
          <w:lang w:eastAsia="en-AU"/>
        </w:rPr>
      </w:pPr>
      <w:r w:rsidRPr="006C7B74">
        <w:t>Identify locations where there is opportunity to support increased commercial development, and particularly office-based development with an employment focus.</w:t>
      </w:r>
    </w:p>
    <w:p w14:paraId="03E31D6A" w14:textId="6922C477" w:rsidR="00A842C3" w:rsidRPr="006C7B74" w:rsidRDefault="00A842C3" w:rsidP="00934C4D">
      <w:pPr>
        <w:pStyle w:val="paragraph"/>
        <w:spacing w:before="0" w:beforeAutospacing="0" w:after="120" w:afterAutospacing="0"/>
        <w:textAlignment w:val="baseline"/>
        <w:rPr>
          <w:rStyle w:val="normaltextrun"/>
          <w:rFonts w:cstheme="minorHAnsi"/>
          <w:sz w:val="20"/>
          <w:szCs w:val="20"/>
        </w:rPr>
      </w:pPr>
    </w:p>
    <w:p w14:paraId="723E2613" w14:textId="278279C4" w:rsidR="004011F2" w:rsidRPr="006C7B74" w:rsidRDefault="004011F2" w:rsidP="00934C4D">
      <w:pPr>
        <w:spacing w:after="120"/>
        <w:rPr>
          <w:rFonts w:cstheme="minorHAnsi"/>
          <w:sz w:val="20"/>
          <w:szCs w:val="20"/>
        </w:rPr>
      </w:pPr>
    </w:p>
    <w:p w14:paraId="5547A4EE" w14:textId="74A0900A" w:rsidR="004011F2" w:rsidRPr="006C7B74" w:rsidRDefault="004011F2" w:rsidP="00934C4D">
      <w:pPr>
        <w:spacing w:after="120"/>
        <w:rPr>
          <w:rFonts w:eastAsiaTheme="majorEastAsia" w:cstheme="minorHAnsi"/>
          <w:color w:val="4EBAC5" w:themeColor="accent1" w:themeShade="BF"/>
          <w:sz w:val="26"/>
          <w:szCs w:val="26"/>
        </w:rPr>
      </w:pPr>
      <w:r w:rsidRPr="006C7B74">
        <w:rPr>
          <w:rFonts w:cstheme="minorHAnsi"/>
        </w:rPr>
        <w:br w:type="page"/>
      </w:r>
    </w:p>
    <w:p w14:paraId="65DE8710" w14:textId="6B463F1B" w:rsidR="004011F2" w:rsidRPr="006C7B74" w:rsidRDefault="00323017" w:rsidP="00971A36">
      <w:pPr>
        <w:pStyle w:val="Heading5"/>
      </w:pPr>
      <w:r w:rsidRPr="006C7B74">
        <w:lastRenderedPageBreak/>
        <w:t>Map</w:t>
      </w:r>
      <w:r w:rsidR="00365AC8" w:rsidRPr="006C7B74">
        <w:t xml:space="preserve"> 1</w:t>
      </w:r>
      <w:r w:rsidR="009E78CE" w:rsidRPr="006C7B74">
        <w:t>4</w:t>
      </w:r>
      <w:r w:rsidR="004011F2" w:rsidRPr="006C7B74">
        <w:t xml:space="preserve">: Inner South East Region </w:t>
      </w:r>
      <w:r w:rsidR="00FC1EEE" w:rsidRPr="006C7B74">
        <w:t xml:space="preserve">- </w:t>
      </w:r>
      <w:r w:rsidR="007C1D4E" w:rsidRPr="006C7B74">
        <w:t>i</w:t>
      </w:r>
      <w:r w:rsidRPr="006C7B74">
        <w:t xml:space="preserve">ndustrial </w:t>
      </w:r>
      <w:r w:rsidR="007C1D4E" w:rsidRPr="006C7B74">
        <w:t>l</w:t>
      </w:r>
      <w:r w:rsidRPr="006C7B74">
        <w:t>and</w:t>
      </w:r>
      <w:r w:rsidRPr="006C7B74" w:rsidDel="004F3E8D">
        <w:t xml:space="preserve"> </w:t>
      </w:r>
    </w:p>
    <w:p w14:paraId="0D34E1B1" w14:textId="1AE79592" w:rsidR="000E5EC2" w:rsidRPr="006C7B74" w:rsidRDefault="000E5EC2" w:rsidP="001226B6">
      <w:pPr>
        <w:pStyle w:val="Quote"/>
      </w:pPr>
      <w:r w:rsidRPr="006C7B74">
        <w:t xml:space="preserve">Source: Department of Environment, Land, Water and Planning </w:t>
      </w:r>
    </w:p>
    <w:p w14:paraId="3113774E" w14:textId="77777777" w:rsidR="00FC1EEE" w:rsidRPr="006C7B74" w:rsidRDefault="00FC1EEE" w:rsidP="00FC1EEE"/>
    <w:p w14:paraId="7A1AF16B" w14:textId="00EFE846" w:rsidR="00365AC8" w:rsidRPr="006C7B74" w:rsidRDefault="00365AC8" w:rsidP="00365AC8">
      <w:pPr>
        <w:pStyle w:val="Heading5"/>
      </w:pPr>
      <w:r w:rsidRPr="006C7B74">
        <w:t>Map 1</w:t>
      </w:r>
      <w:r w:rsidR="009E78CE" w:rsidRPr="006C7B74">
        <w:t>5</w:t>
      </w:r>
      <w:r w:rsidRPr="006C7B74">
        <w:t xml:space="preserve">: Inner South East Region </w:t>
      </w:r>
      <w:r w:rsidR="00FC1EEE" w:rsidRPr="006C7B74">
        <w:t>-</w:t>
      </w:r>
      <w:r w:rsidR="0017387D" w:rsidRPr="006C7B74">
        <w:t xml:space="preserve"> </w:t>
      </w:r>
      <w:r w:rsidRPr="006C7B74">
        <w:t xml:space="preserve">commercial </w:t>
      </w:r>
      <w:r w:rsidR="007C1D4E" w:rsidRPr="006C7B74">
        <w:t>l</w:t>
      </w:r>
      <w:r w:rsidRPr="006C7B74">
        <w:t>and</w:t>
      </w:r>
      <w:r w:rsidRPr="006C7B74" w:rsidDel="004F3E8D">
        <w:t xml:space="preserve"> </w:t>
      </w:r>
    </w:p>
    <w:p w14:paraId="3C796AD8" w14:textId="4161BE48" w:rsidR="001226B6" w:rsidRPr="006C7B74" w:rsidRDefault="001226B6" w:rsidP="001226B6">
      <w:pPr>
        <w:pStyle w:val="Quote"/>
      </w:pPr>
      <w:r w:rsidRPr="006C7B74">
        <w:t xml:space="preserve">Source: Department of Environment, Land, Water and Planning </w:t>
      </w:r>
    </w:p>
    <w:p w14:paraId="43E36DCB" w14:textId="77777777" w:rsidR="00365AC8" w:rsidRPr="006C7B74" w:rsidRDefault="00365AC8" w:rsidP="00934C4D">
      <w:pPr>
        <w:pStyle w:val="ListParagraph"/>
        <w:spacing w:after="120"/>
        <w:ind w:left="0"/>
        <w:rPr>
          <w:rFonts w:cstheme="minorHAnsi"/>
          <w:sz w:val="20"/>
          <w:szCs w:val="20"/>
          <w:lang w:eastAsia="en-AU"/>
        </w:rPr>
      </w:pPr>
    </w:p>
    <w:p w14:paraId="33340E6D" w14:textId="05CD63D2" w:rsidR="000514B4" w:rsidRPr="006C7B74" w:rsidRDefault="000514B4">
      <w:pPr>
        <w:rPr>
          <w:rFonts w:asciiTheme="majorHAnsi" w:eastAsiaTheme="majorEastAsia" w:hAnsiTheme="majorHAnsi" w:cstheme="majorBidi"/>
          <w:b/>
          <w:color w:val="642667"/>
          <w:sz w:val="32"/>
          <w:szCs w:val="32"/>
        </w:rPr>
      </w:pPr>
      <w:r w:rsidRPr="006C7B74">
        <w:br w:type="page"/>
      </w:r>
    </w:p>
    <w:p w14:paraId="337B1AAC" w14:textId="77777777" w:rsidR="00B45B3D" w:rsidRPr="006C7B74" w:rsidRDefault="00B45B3D" w:rsidP="006158AA">
      <w:pPr>
        <w:pStyle w:val="Heading1"/>
        <w:spacing w:before="0"/>
      </w:pPr>
    </w:p>
    <w:p w14:paraId="20C5E541" w14:textId="0FD24F7C" w:rsidR="00F359FD" w:rsidRPr="006C7B74" w:rsidRDefault="00F359FD" w:rsidP="00F359FD"/>
    <w:p w14:paraId="124005F1" w14:textId="1C4F4EA2" w:rsidR="00F359FD" w:rsidRPr="006C7B74" w:rsidRDefault="00F359FD" w:rsidP="00F359FD"/>
    <w:p w14:paraId="2988575F" w14:textId="62054188" w:rsidR="00F359FD" w:rsidRPr="006C7B74" w:rsidRDefault="00F359FD" w:rsidP="00F359FD"/>
    <w:p w14:paraId="7EAFEDD2" w14:textId="4D203312" w:rsidR="00F359FD" w:rsidRPr="006C7B74" w:rsidRDefault="00F359FD" w:rsidP="00F359FD"/>
    <w:p w14:paraId="675420F0" w14:textId="5417CFB7" w:rsidR="00F359FD" w:rsidRPr="006C7B74" w:rsidRDefault="00F359FD" w:rsidP="00F359FD"/>
    <w:p w14:paraId="3088810A" w14:textId="5CD20C9F" w:rsidR="00F359FD" w:rsidRPr="006C7B74" w:rsidRDefault="00F359FD" w:rsidP="00F359FD"/>
    <w:p w14:paraId="013B08C8" w14:textId="4E2A42A8" w:rsidR="00F359FD" w:rsidRPr="006C7B74" w:rsidRDefault="00F359FD" w:rsidP="00F359FD"/>
    <w:p w14:paraId="464BF601" w14:textId="77777777" w:rsidR="00F359FD" w:rsidRPr="006C7B74" w:rsidRDefault="00F359FD" w:rsidP="000D058C"/>
    <w:p w14:paraId="331AD4C4" w14:textId="44BA1E95" w:rsidR="000525F6" w:rsidRPr="006C7B74" w:rsidRDefault="000525F6" w:rsidP="000525F6">
      <w:pPr>
        <w:pStyle w:val="Heading1"/>
        <w:spacing w:before="0"/>
        <w:ind w:left="357" w:hanging="357"/>
      </w:pPr>
      <w:bookmarkStart w:id="63" w:name="_Toc21694842"/>
      <w:r w:rsidRPr="006C7B74">
        <w:t>APPENDICES</w:t>
      </w:r>
      <w:bookmarkEnd w:id="63"/>
    </w:p>
    <w:p w14:paraId="57B7A8F2" w14:textId="77777777" w:rsidR="000525F6" w:rsidRPr="006C7B74" w:rsidRDefault="000525F6" w:rsidP="000525F6">
      <w:pPr>
        <w:pStyle w:val="Heading1"/>
        <w:spacing w:before="0"/>
        <w:ind w:left="357" w:hanging="357"/>
      </w:pPr>
    </w:p>
    <w:p w14:paraId="5A23B6AF" w14:textId="77777777" w:rsidR="00B45B3D" w:rsidRPr="006C7B74" w:rsidRDefault="00B45B3D">
      <w:pPr>
        <w:rPr>
          <w:rFonts w:asciiTheme="majorHAnsi" w:eastAsiaTheme="majorEastAsia" w:hAnsiTheme="majorHAnsi" w:cstheme="majorBidi"/>
          <w:b/>
          <w:color w:val="201547"/>
          <w:sz w:val="24"/>
        </w:rPr>
      </w:pPr>
      <w:r w:rsidRPr="006C7B74">
        <w:br w:type="page"/>
      </w:r>
    </w:p>
    <w:p w14:paraId="4BBC35EF" w14:textId="61D892B6" w:rsidR="0013334D" w:rsidRPr="006C7B74" w:rsidRDefault="009C1038" w:rsidP="0013334D">
      <w:pPr>
        <w:pStyle w:val="Heading2-Contenttable"/>
        <w:rPr>
          <w:color w:val="auto"/>
        </w:rPr>
      </w:pPr>
      <w:bookmarkStart w:id="64" w:name="_Toc12522306"/>
      <w:bookmarkStart w:id="65" w:name="_Toc21694843"/>
      <w:r w:rsidRPr="006C7B74">
        <w:rPr>
          <w:color w:val="auto"/>
        </w:rPr>
        <w:lastRenderedPageBreak/>
        <w:t xml:space="preserve">Appendix 1 – </w:t>
      </w:r>
      <w:bookmarkStart w:id="66" w:name="_Toc12522307"/>
      <w:bookmarkEnd w:id="64"/>
      <w:r w:rsidR="0013334D" w:rsidRPr="006C7B74">
        <w:rPr>
          <w:color w:val="auto"/>
        </w:rPr>
        <w:t>Methodology</w:t>
      </w:r>
      <w:bookmarkEnd w:id="65"/>
      <w:bookmarkEnd w:id="66"/>
    </w:p>
    <w:p w14:paraId="0E6DFC60" w14:textId="77777777" w:rsidR="0013334D" w:rsidRPr="006C7B74" w:rsidRDefault="0013334D" w:rsidP="0013334D">
      <w:pPr>
        <w:spacing w:after="120"/>
        <w:rPr>
          <w:rFonts w:cstheme="minorHAnsi"/>
          <w:color w:val="auto"/>
          <w:sz w:val="20"/>
          <w:szCs w:val="20"/>
        </w:rPr>
      </w:pPr>
    </w:p>
    <w:p w14:paraId="33B7CB06" w14:textId="0590DCEA" w:rsidR="008E3CC8" w:rsidRPr="006C7B74" w:rsidRDefault="0013334D" w:rsidP="0013334D">
      <w:pPr>
        <w:pStyle w:val="BodyText"/>
        <w:rPr>
          <w:lang w:eastAsia="en-AU"/>
        </w:rPr>
      </w:pPr>
      <w:r w:rsidRPr="006C7B74">
        <w:rPr>
          <w:b/>
          <w:lang w:eastAsia="en-AU"/>
        </w:rPr>
        <w:t>Industrial land supply and take-up</w:t>
      </w:r>
      <w:r w:rsidRPr="006C7B74">
        <w:rPr>
          <w:lang w:eastAsia="en-AU"/>
        </w:rPr>
        <w:t xml:space="preserve"> across </w:t>
      </w:r>
      <w:r w:rsidR="003B18AB" w:rsidRPr="006C7B74">
        <w:rPr>
          <w:lang w:eastAsia="en-AU"/>
        </w:rPr>
        <w:t>m</w:t>
      </w:r>
      <w:r w:rsidRPr="006C7B74">
        <w:rPr>
          <w:lang w:eastAsia="en-AU"/>
        </w:rPr>
        <w:t xml:space="preserve">etropolitan Melbourne </w:t>
      </w:r>
      <w:r w:rsidR="00F43F7D" w:rsidRPr="006C7B74">
        <w:rPr>
          <w:lang w:eastAsia="en-AU"/>
        </w:rPr>
        <w:t xml:space="preserve">has used </w:t>
      </w:r>
      <w:r w:rsidRPr="006C7B74">
        <w:rPr>
          <w:lang w:eastAsia="en-AU"/>
        </w:rPr>
        <w:t>the Urban Development Program (UDP)</w:t>
      </w:r>
      <w:r w:rsidR="00F43F7D" w:rsidRPr="006C7B74">
        <w:rPr>
          <w:lang w:eastAsia="en-AU"/>
        </w:rPr>
        <w:t xml:space="preserve"> as a basis</w:t>
      </w:r>
      <w:r w:rsidRPr="006C7B74">
        <w:rPr>
          <w:lang w:eastAsia="en-AU"/>
        </w:rPr>
        <w:t>.</w:t>
      </w:r>
      <w:r w:rsidR="007C154C" w:rsidRPr="006C7B74">
        <w:rPr>
          <w:lang w:eastAsia="en-AU"/>
        </w:rPr>
        <w:t xml:space="preserve"> </w:t>
      </w:r>
      <w:r w:rsidR="00DE20CA" w:rsidRPr="006C7B74">
        <w:rPr>
          <w:lang w:eastAsia="en-AU"/>
        </w:rPr>
        <w:t xml:space="preserve">In some </w:t>
      </w:r>
      <w:r w:rsidR="00936B75" w:rsidRPr="006C7B74">
        <w:rPr>
          <w:lang w:eastAsia="en-AU"/>
        </w:rPr>
        <w:t>instances,</w:t>
      </w:r>
      <w:r w:rsidR="00DE20CA" w:rsidRPr="006C7B74">
        <w:rPr>
          <w:lang w:eastAsia="en-AU"/>
        </w:rPr>
        <w:t xml:space="preserve"> additional areas have been identified that the UDP does not report on.</w:t>
      </w:r>
    </w:p>
    <w:p w14:paraId="2C77AD97" w14:textId="2177ADDD" w:rsidR="0013334D" w:rsidRPr="006C7B74" w:rsidRDefault="0013334D" w:rsidP="0013334D">
      <w:pPr>
        <w:pStyle w:val="BodyText"/>
        <w:rPr>
          <w:lang w:eastAsia="en-AU"/>
        </w:rPr>
      </w:pPr>
      <w:r w:rsidRPr="006C7B74">
        <w:rPr>
          <w:lang w:eastAsia="en-AU"/>
        </w:rPr>
        <w:t xml:space="preserve">For further information on </w:t>
      </w:r>
      <w:r w:rsidR="008E3CC8" w:rsidRPr="006C7B74">
        <w:rPr>
          <w:lang w:eastAsia="en-AU"/>
        </w:rPr>
        <w:t xml:space="preserve">the </w:t>
      </w:r>
      <w:r w:rsidRPr="006C7B74">
        <w:rPr>
          <w:lang w:eastAsia="en-AU"/>
        </w:rPr>
        <w:t xml:space="preserve">methodology </w:t>
      </w:r>
      <w:r w:rsidR="008E3CC8" w:rsidRPr="006C7B74">
        <w:rPr>
          <w:lang w:eastAsia="en-AU"/>
        </w:rPr>
        <w:t>of the UDP</w:t>
      </w:r>
      <w:r w:rsidRPr="006C7B74">
        <w:rPr>
          <w:lang w:eastAsia="en-AU"/>
        </w:rPr>
        <w:t>, please visit: https://www.planning.vic.gov.au/land-use-and-population-research/urban-development-program</w:t>
      </w:r>
    </w:p>
    <w:p w14:paraId="064B54F9" w14:textId="77777777" w:rsidR="0013334D" w:rsidRPr="006C7B74" w:rsidRDefault="0013334D" w:rsidP="0013334D">
      <w:pPr>
        <w:pStyle w:val="BodyText"/>
        <w:rPr>
          <w:lang w:eastAsia="en-AU"/>
        </w:rPr>
      </w:pPr>
    </w:p>
    <w:p w14:paraId="13078324" w14:textId="77777777" w:rsidR="0013334D" w:rsidRPr="006C7B74" w:rsidRDefault="0013334D" w:rsidP="0013334D">
      <w:pPr>
        <w:pStyle w:val="BodyText"/>
        <w:spacing w:before="0" w:line="240" w:lineRule="auto"/>
      </w:pPr>
      <w:r w:rsidRPr="006C7B74">
        <w:rPr>
          <w:b/>
        </w:rPr>
        <w:t>The identification of existing commercial land</w:t>
      </w:r>
      <w:r w:rsidRPr="006C7B74">
        <w:t xml:space="preserve"> in metropolitan Melbourne planning schemes includes land in the following zones:</w:t>
      </w:r>
    </w:p>
    <w:p w14:paraId="223EB5C6" w14:textId="77777777" w:rsidR="0013334D" w:rsidRPr="006C7B74" w:rsidRDefault="0013334D" w:rsidP="0013334D">
      <w:pPr>
        <w:pStyle w:val="BodyText"/>
        <w:numPr>
          <w:ilvl w:val="0"/>
          <w:numId w:val="4"/>
        </w:numPr>
        <w:spacing w:before="0" w:line="240" w:lineRule="auto"/>
        <w:rPr>
          <w:lang w:eastAsia="en-AU"/>
        </w:rPr>
      </w:pPr>
      <w:r w:rsidRPr="006C7B74">
        <w:rPr>
          <w:lang w:eastAsia="en-AU"/>
        </w:rPr>
        <w:t>Commercial 1 and Business 1, 2 and 5 Zones.</w:t>
      </w:r>
    </w:p>
    <w:p w14:paraId="5AD04186" w14:textId="77777777" w:rsidR="0013334D" w:rsidRPr="006C7B74" w:rsidRDefault="0013334D" w:rsidP="0013334D">
      <w:pPr>
        <w:pStyle w:val="BodyText"/>
        <w:numPr>
          <w:ilvl w:val="0"/>
          <w:numId w:val="4"/>
        </w:numPr>
        <w:spacing w:before="0" w:line="240" w:lineRule="auto"/>
        <w:rPr>
          <w:lang w:eastAsia="en-AU"/>
        </w:rPr>
      </w:pPr>
      <w:r w:rsidRPr="006C7B74">
        <w:rPr>
          <w:lang w:eastAsia="en-AU"/>
        </w:rPr>
        <w:t xml:space="preserve">Activity Centre Zone – excluding precincts identified for industrial, residential or other non-commercial purposes. </w:t>
      </w:r>
    </w:p>
    <w:p w14:paraId="026E8E4C" w14:textId="77777777" w:rsidR="0013334D" w:rsidRPr="006C7B74" w:rsidRDefault="0013334D" w:rsidP="0013334D">
      <w:pPr>
        <w:pStyle w:val="BodyText"/>
        <w:numPr>
          <w:ilvl w:val="0"/>
          <w:numId w:val="4"/>
        </w:numPr>
        <w:spacing w:before="0" w:line="240" w:lineRule="auto"/>
        <w:rPr>
          <w:lang w:eastAsia="en-AU"/>
        </w:rPr>
      </w:pPr>
      <w:r w:rsidRPr="006C7B74">
        <w:rPr>
          <w:lang w:eastAsia="en-AU"/>
        </w:rPr>
        <w:t>Capital City Zone – Schedules 1, 2, 3, 4, 5 and 6 in City of Melbourne and Schedule 1 in City of Port Phillip.</w:t>
      </w:r>
    </w:p>
    <w:p w14:paraId="66559A34" w14:textId="77777777" w:rsidR="0013334D" w:rsidRPr="006C7B74" w:rsidRDefault="0013334D" w:rsidP="0013334D">
      <w:pPr>
        <w:pStyle w:val="BodyText"/>
        <w:numPr>
          <w:ilvl w:val="0"/>
          <w:numId w:val="4"/>
        </w:numPr>
        <w:spacing w:before="0" w:line="240" w:lineRule="auto"/>
        <w:rPr>
          <w:lang w:eastAsia="en-AU"/>
        </w:rPr>
      </w:pPr>
      <w:r w:rsidRPr="006C7B74">
        <w:rPr>
          <w:lang w:eastAsia="en-AU"/>
        </w:rPr>
        <w:t>Docklands Zone – Schedules 2, 3, 5 and 6 in City of Melbourne.</w:t>
      </w:r>
    </w:p>
    <w:p w14:paraId="7D099741" w14:textId="77777777" w:rsidR="0013334D" w:rsidRPr="006C7B74" w:rsidRDefault="0013334D" w:rsidP="0013334D">
      <w:pPr>
        <w:spacing w:after="120"/>
        <w:rPr>
          <w:rFonts w:cstheme="minorHAnsi"/>
          <w:color w:val="auto"/>
          <w:sz w:val="20"/>
          <w:szCs w:val="20"/>
        </w:rPr>
      </w:pPr>
      <w:r w:rsidRPr="006C7B74">
        <w:rPr>
          <w:rFonts w:cstheme="minorHAnsi"/>
          <w:color w:val="auto"/>
          <w:sz w:val="20"/>
          <w:szCs w:val="20"/>
        </w:rPr>
        <w:t xml:space="preserve">Other Special Purpose Zones (such as the Comprehensive Development Zone or Special Use Zone) where the predominant use has been identified as a commercial use. </w:t>
      </w:r>
    </w:p>
    <w:p w14:paraId="73FC8BB3" w14:textId="77777777" w:rsidR="0013334D" w:rsidRPr="006C7B74" w:rsidRDefault="0013334D" w:rsidP="0013334D">
      <w:pPr>
        <w:spacing w:after="120"/>
        <w:rPr>
          <w:color w:val="auto"/>
          <w:lang w:eastAsia="en-AU"/>
        </w:rPr>
      </w:pPr>
    </w:p>
    <w:p w14:paraId="1AC7732F" w14:textId="0A4E6CB1" w:rsidR="0013334D" w:rsidRPr="006C7B74" w:rsidRDefault="0013334D" w:rsidP="0013334D">
      <w:pPr>
        <w:spacing w:after="120"/>
        <w:rPr>
          <w:rFonts w:cstheme="minorHAnsi"/>
          <w:color w:val="auto"/>
          <w:sz w:val="20"/>
          <w:szCs w:val="20"/>
        </w:rPr>
      </w:pPr>
      <w:r w:rsidRPr="006C7B74">
        <w:rPr>
          <w:rFonts w:cstheme="minorHAnsi"/>
          <w:b/>
          <w:color w:val="auto"/>
          <w:sz w:val="20"/>
          <w:szCs w:val="20"/>
        </w:rPr>
        <w:t>Commercial centres</w:t>
      </w:r>
      <w:r w:rsidRPr="006C7B74">
        <w:rPr>
          <w:rFonts w:cstheme="minorHAnsi"/>
          <w:color w:val="auto"/>
          <w:sz w:val="20"/>
          <w:szCs w:val="20"/>
        </w:rPr>
        <w:t xml:space="preserve"> comprise clusters of zoned commercial land. </w:t>
      </w:r>
    </w:p>
    <w:p w14:paraId="709A8C11" w14:textId="77777777" w:rsidR="0013334D" w:rsidRPr="006C7B74" w:rsidRDefault="0013334D" w:rsidP="0013334D">
      <w:pPr>
        <w:spacing w:after="120"/>
        <w:rPr>
          <w:rFonts w:cstheme="minorHAnsi"/>
          <w:color w:val="auto"/>
          <w:sz w:val="20"/>
          <w:szCs w:val="20"/>
        </w:rPr>
      </w:pPr>
    </w:p>
    <w:p w14:paraId="73FC58A4" w14:textId="77777777" w:rsidR="0013334D" w:rsidRPr="006C7B74" w:rsidRDefault="0013334D" w:rsidP="0013334D">
      <w:pPr>
        <w:spacing w:after="120"/>
        <w:rPr>
          <w:rFonts w:cstheme="minorHAnsi"/>
          <w:color w:val="auto"/>
          <w:sz w:val="20"/>
          <w:szCs w:val="20"/>
        </w:rPr>
      </w:pPr>
      <w:r w:rsidRPr="006C7B74">
        <w:rPr>
          <w:rFonts w:cstheme="minorHAnsi"/>
          <w:b/>
          <w:color w:val="auto"/>
          <w:sz w:val="20"/>
          <w:szCs w:val="20"/>
        </w:rPr>
        <w:t>Commercial centre floorspace</w:t>
      </w:r>
      <w:r w:rsidRPr="006C7B74">
        <w:rPr>
          <w:rFonts w:cstheme="minorHAnsi"/>
          <w:color w:val="auto"/>
          <w:sz w:val="20"/>
          <w:szCs w:val="20"/>
        </w:rPr>
        <w:t xml:space="preserve"> is calculated from the following sources:</w:t>
      </w:r>
    </w:p>
    <w:p w14:paraId="32E17E25" w14:textId="0755BB40" w:rsidR="0013334D" w:rsidRPr="006C7B74" w:rsidRDefault="0013334D" w:rsidP="0013334D">
      <w:pPr>
        <w:pStyle w:val="BodyText"/>
        <w:numPr>
          <w:ilvl w:val="0"/>
          <w:numId w:val="4"/>
        </w:numPr>
        <w:spacing w:before="0" w:line="240" w:lineRule="auto"/>
        <w:rPr>
          <w:lang w:eastAsia="en-AU"/>
        </w:rPr>
      </w:pPr>
      <w:r w:rsidRPr="006C7B74">
        <w:rPr>
          <w:lang w:eastAsia="en-AU"/>
        </w:rPr>
        <w:t>City of Melbourne Census of Land Use and Employment data provides comprehensive information about land use, employment and economic activity in the City of Melbourne and has informed the calculation of commercial centre floorspace within the City of Melbourne</w:t>
      </w:r>
      <w:r w:rsidR="003277CB" w:rsidRPr="006C7B74">
        <w:rPr>
          <w:lang w:eastAsia="en-AU"/>
        </w:rPr>
        <w:t>.</w:t>
      </w:r>
    </w:p>
    <w:p w14:paraId="0FB120F2" w14:textId="7EFD300E" w:rsidR="0013334D" w:rsidRPr="006C7B74" w:rsidRDefault="0013334D" w:rsidP="0013334D">
      <w:pPr>
        <w:pStyle w:val="BodyText"/>
        <w:numPr>
          <w:ilvl w:val="0"/>
          <w:numId w:val="4"/>
        </w:numPr>
        <w:spacing w:before="0" w:line="240" w:lineRule="auto"/>
        <w:rPr>
          <w:lang w:eastAsia="en-AU"/>
        </w:rPr>
      </w:pPr>
      <w:r w:rsidRPr="006C7B74">
        <w:rPr>
          <w:lang w:eastAsia="en-AU"/>
        </w:rPr>
        <w:t>Property Council of Australia (PCA) Shopping Centre Directory has been used to calculate net shopping centre floorspace for enclosed shopping centres. The directory includes details on centre ownership, size, management, tenancy mix and site area.</w:t>
      </w:r>
      <w:r w:rsidR="007C154C" w:rsidRPr="006C7B74">
        <w:rPr>
          <w:lang w:eastAsia="en-AU"/>
        </w:rPr>
        <w:t xml:space="preserve"> </w:t>
      </w:r>
    </w:p>
    <w:p w14:paraId="19498CAE" w14:textId="522996ED" w:rsidR="0013334D" w:rsidRPr="006C7B74" w:rsidRDefault="0013334D" w:rsidP="0013334D">
      <w:pPr>
        <w:pStyle w:val="BodyText"/>
        <w:numPr>
          <w:ilvl w:val="0"/>
          <w:numId w:val="4"/>
        </w:numPr>
        <w:spacing w:before="0" w:line="240" w:lineRule="auto"/>
        <w:rPr>
          <w:lang w:eastAsia="en-AU"/>
        </w:rPr>
      </w:pPr>
      <w:r w:rsidRPr="006C7B74">
        <w:rPr>
          <w:lang w:eastAsia="en-AU"/>
        </w:rPr>
        <w:t>Building footprint and height data was used to estimate commercial floor space for each building. This was calculated for commercial land located outside the City of Melbourne and commercial land not included in the PCA Shopping Centre Directory.</w:t>
      </w:r>
      <w:r w:rsidR="007C154C" w:rsidRPr="006C7B74">
        <w:rPr>
          <w:lang w:eastAsia="en-AU"/>
        </w:rPr>
        <w:t xml:space="preserve"> </w:t>
      </w:r>
      <w:r w:rsidRPr="006C7B74">
        <w:rPr>
          <w:lang w:eastAsia="en-AU"/>
        </w:rPr>
        <w:t>Each storey was assumed to be 4 metres high and the estimated floor area is the product of the footprint area multiplied by the number of storeys.</w:t>
      </w:r>
      <w:r w:rsidR="007C154C" w:rsidRPr="006C7B74">
        <w:rPr>
          <w:lang w:eastAsia="en-AU"/>
        </w:rPr>
        <w:t xml:space="preserve"> </w:t>
      </w:r>
      <w:r w:rsidRPr="006C7B74">
        <w:rPr>
          <w:lang w:eastAsia="en-AU"/>
        </w:rPr>
        <w:t xml:space="preserve">The estimated floor area was further refined by using one of four mutually exclusive filters. </w:t>
      </w:r>
    </w:p>
    <w:p w14:paraId="35A69B7F" w14:textId="77777777" w:rsidR="0013334D" w:rsidRPr="006C7B74" w:rsidRDefault="0013334D" w:rsidP="0013334D">
      <w:pPr>
        <w:pStyle w:val="ListParagraph"/>
        <w:numPr>
          <w:ilvl w:val="0"/>
          <w:numId w:val="56"/>
        </w:numPr>
        <w:spacing w:after="120"/>
        <w:rPr>
          <w:rFonts w:cstheme="minorHAnsi"/>
          <w:sz w:val="20"/>
          <w:szCs w:val="20"/>
        </w:rPr>
      </w:pPr>
      <w:r w:rsidRPr="006C7B74">
        <w:rPr>
          <w:rFonts w:cstheme="minorHAnsi"/>
          <w:sz w:val="20"/>
          <w:szCs w:val="20"/>
        </w:rPr>
        <w:t>Where the location of a commercial building is the same as the Housing Development Data (HDD), it is assumed that only the ground floor is available for commercial uses with the remaining storeys used for apartments.</w:t>
      </w:r>
    </w:p>
    <w:p w14:paraId="53A81806" w14:textId="77777777" w:rsidR="0013334D" w:rsidRPr="006C7B74" w:rsidRDefault="0013334D" w:rsidP="0013334D">
      <w:pPr>
        <w:pStyle w:val="ListParagraph"/>
        <w:numPr>
          <w:ilvl w:val="0"/>
          <w:numId w:val="56"/>
        </w:numPr>
        <w:spacing w:after="120"/>
        <w:rPr>
          <w:rFonts w:cstheme="minorHAnsi"/>
          <w:sz w:val="20"/>
          <w:szCs w:val="20"/>
        </w:rPr>
      </w:pPr>
      <w:r w:rsidRPr="006C7B74">
        <w:rPr>
          <w:rFonts w:cstheme="minorHAnsi"/>
          <w:sz w:val="20"/>
          <w:szCs w:val="20"/>
        </w:rPr>
        <w:t>If the building is less than 4 storeys high, it was assumed that only the ground floor is available for commercial uses with the remainder used for apartments.</w:t>
      </w:r>
    </w:p>
    <w:p w14:paraId="72AE838E" w14:textId="77777777" w:rsidR="0013334D" w:rsidRPr="006C7B74" w:rsidRDefault="0013334D" w:rsidP="0013334D">
      <w:pPr>
        <w:pStyle w:val="ListParagraph"/>
        <w:numPr>
          <w:ilvl w:val="0"/>
          <w:numId w:val="56"/>
        </w:numPr>
        <w:spacing w:after="120"/>
        <w:rPr>
          <w:rFonts w:cstheme="minorHAnsi"/>
          <w:sz w:val="20"/>
          <w:szCs w:val="20"/>
        </w:rPr>
      </w:pPr>
      <w:r w:rsidRPr="006C7B74">
        <w:rPr>
          <w:rFonts w:cstheme="minorHAnsi"/>
          <w:sz w:val="20"/>
          <w:szCs w:val="20"/>
        </w:rPr>
        <w:t>If the building is taller than 4 storeys, the total floor area of the building was assumed to be used for commercial uses.</w:t>
      </w:r>
    </w:p>
    <w:p w14:paraId="2BF9D593" w14:textId="23E3E37D" w:rsidR="0013334D" w:rsidRPr="006C7B74" w:rsidRDefault="0013334D" w:rsidP="0013334D">
      <w:pPr>
        <w:pStyle w:val="ListParagraph"/>
        <w:numPr>
          <w:ilvl w:val="0"/>
          <w:numId w:val="56"/>
        </w:numPr>
        <w:spacing w:after="120"/>
        <w:rPr>
          <w:rFonts w:cstheme="minorHAnsi"/>
          <w:sz w:val="20"/>
          <w:szCs w:val="20"/>
        </w:rPr>
      </w:pPr>
      <w:r w:rsidRPr="006C7B74">
        <w:rPr>
          <w:rFonts w:cstheme="minorHAnsi"/>
          <w:sz w:val="20"/>
          <w:szCs w:val="20"/>
        </w:rPr>
        <w:t>For the land in the City of Port Philip located on St Kilda Road, a visual inspection (using Google Street View) was used.</w:t>
      </w:r>
      <w:r w:rsidR="007C154C" w:rsidRPr="006C7B74">
        <w:rPr>
          <w:rFonts w:cstheme="minorHAnsi"/>
          <w:sz w:val="20"/>
          <w:szCs w:val="20"/>
        </w:rPr>
        <w:t xml:space="preserve"> </w:t>
      </w:r>
      <w:r w:rsidRPr="006C7B74">
        <w:rPr>
          <w:rFonts w:cstheme="minorHAnsi"/>
          <w:sz w:val="20"/>
          <w:szCs w:val="20"/>
        </w:rPr>
        <w:t>Where a building appeared to be an apartment block the ground floor was assumed to be available for commercial uses.</w:t>
      </w:r>
      <w:r w:rsidR="007C154C" w:rsidRPr="006C7B74">
        <w:rPr>
          <w:rFonts w:cstheme="minorHAnsi"/>
          <w:sz w:val="20"/>
          <w:szCs w:val="20"/>
        </w:rPr>
        <w:t xml:space="preserve"> </w:t>
      </w:r>
      <w:r w:rsidRPr="006C7B74">
        <w:rPr>
          <w:rFonts w:cstheme="minorHAnsi"/>
          <w:sz w:val="20"/>
          <w:szCs w:val="20"/>
        </w:rPr>
        <w:t>Where the building appeared to be a commercial use then the total floor area of the building was assumed to be used for commercial purposes.</w:t>
      </w:r>
    </w:p>
    <w:p w14:paraId="2A832CF7" w14:textId="77777777" w:rsidR="0013334D" w:rsidRPr="006C7B74" w:rsidRDefault="0013334D" w:rsidP="0013334D">
      <w:pPr>
        <w:pStyle w:val="BodyText"/>
        <w:spacing w:before="0" w:line="240" w:lineRule="auto"/>
      </w:pPr>
    </w:p>
    <w:p w14:paraId="784F3D72" w14:textId="77777777" w:rsidR="00CB76E5" w:rsidRPr="006C7B74" w:rsidRDefault="00CB76E5">
      <w:pPr>
        <w:rPr>
          <w:rFonts w:cstheme="minorHAnsi"/>
          <w:b/>
          <w:color w:val="auto"/>
          <w:sz w:val="20"/>
          <w:szCs w:val="20"/>
        </w:rPr>
      </w:pPr>
      <w:r w:rsidRPr="006C7B74">
        <w:rPr>
          <w:b/>
          <w:color w:val="auto"/>
        </w:rPr>
        <w:br w:type="page"/>
      </w:r>
    </w:p>
    <w:p w14:paraId="0560BAED" w14:textId="491521F2" w:rsidR="0013334D" w:rsidRPr="006C7B74" w:rsidRDefault="0013334D" w:rsidP="0013334D">
      <w:pPr>
        <w:pStyle w:val="BodyText"/>
        <w:spacing w:before="0" w:line="240" w:lineRule="auto"/>
      </w:pPr>
      <w:r w:rsidRPr="006C7B74">
        <w:rPr>
          <w:b/>
        </w:rPr>
        <w:lastRenderedPageBreak/>
        <w:t xml:space="preserve">Future commercial land </w:t>
      </w:r>
      <w:r w:rsidRPr="006C7B74">
        <w:t>includes</w:t>
      </w:r>
      <w:r w:rsidRPr="006C7B74">
        <w:rPr>
          <w:b/>
        </w:rPr>
        <w:t xml:space="preserve"> </w:t>
      </w:r>
      <w:r w:rsidRPr="006C7B74">
        <w:t xml:space="preserve">proposed future Commercial 1 Zone land identified in PSPs and areas identified for future commercial purposes in Growth Corridor Plans. </w:t>
      </w:r>
    </w:p>
    <w:p w14:paraId="6AEFDC9A" w14:textId="393B1BFD" w:rsidR="0013334D" w:rsidRDefault="0013334D" w:rsidP="0013334D">
      <w:pPr>
        <w:pStyle w:val="BodyText"/>
        <w:spacing w:before="0" w:line="240" w:lineRule="auto"/>
      </w:pPr>
      <w:r w:rsidRPr="006C7B74">
        <w:t xml:space="preserve">Future Commercial 2 Zone land identified in PSPs, that is small in size and located adjacent to future Commercial 1 Zone land identified in PSPs is also identified as future commercial land. </w:t>
      </w:r>
    </w:p>
    <w:p w14:paraId="2BAD8F74" w14:textId="470FBACE" w:rsidR="00FD2E84" w:rsidRPr="006C7B74" w:rsidRDefault="00FD2E84" w:rsidP="0013334D">
      <w:pPr>
        <w:pStyle w:val="BodyText"/>
        <w:spacing w:before="0" w:line="240" w:lineRule="auto"/>
        <w:rPr>
          <w:b/>
        </w:rPr>
      </w:pPr>
      <w:r>
        <w:t xml:space="preserve">Future ‘business with residential’ areas identified in </w:t>
      </w:r>
      <w:r w:rsidRPr="006C7B74">
        <w:t>Growth Corridor Plans</w:t>
      </w:r>
      <w:r>
        <w:t xml:space="preserve"> have also been </w:t>
      </w:r>
      <w:r w:rsidRPr="006C7B74">
        <w:t>identified as future commercial land</w:t>
      </w:r>
      <w:r>
        <w:t xml:space="preserve"> and discounted to 50 per cent of land area to account for potential residential development.</w:t>
      </w:r>
    </w:p>
    <w:p w14:paraId="0EEEFD3B" w14:textId="77777777" w:rsidR="0013334D" w:rsidRPr="006C7B74" w:rsidRDefault="0013334D" w:rsidP="0013334D">
      <w:pPr>
        <w:pStyle w:val="BodyText"/>
        <w:spacing w:before="0" w:line="240" w:lineRule="auto"/>
        <w:rPr>
          <w:b/>
        </w:rPr>
      </w:pPr>
    </w:p>
    <w:p w14:paraId="01756886" w14:textId="532233BD" w:rsidR="0013334D" w:rsidRPr="006C7B74" w:rsidRDefault="0013334D" w:rsidP="0013334D">
      <w:pPr>
        <w:pStyle w:val="BodyText"/>
        <w:spacing w:before="0" w:line="240" w:lineRule="auto"/>
        <w:rPr>
          <w:b/>
        </w:rPr>
      </w:pPr>
      <w:r w:rsidRPr="006C7B74">
        <w:rPr>
          <w:b/>
        </w:rPr>
        <w:t xml:space="preserve">Future commercial floorspace </w:t>
      </w:r>
      <w:r w:rsidR="00FD2E84">
        <w:rPr>
          <w:b/>
        </w:rPr>
        <w:t>estimates</w:t>
      </w:r>
    </w:p>
    <w:p w14:paraId="1D5B981B" w14:textId="6227BD8A" w:rsidR="00E8119E" w:rsidRPr="006C7B74" w:rsidRDefault="0013334D" w:rsidP="0013334D">
      <w:pPr>
        <w:pStyle w:val="BodyText"/>
      </w:pPr>
      <w:r w:rsidRPr="006C7B74">
        <w:t xml:space="preserve">Employment projections and floorspace per worker by industry </w:t>
      </w:r>
      <w:r w:rsidR="00381C61" w:rsidRPr="006C7B74">
        <w:t xml:space="preserve">have been developed in conjunction with the </w:t>
      </w:r>
      <w:r w:rsidRPr="006C7B74">
        <w:t>D</w:t>
      </w:r>
      <w:r w:rsidR="00381C61" w:rsidRPr="006C7B74">
        <w:t xml:space="preserve">epartment of </w:t>
      </w:r>
      <w:r w:rsidRPr="006C7B74">
        <w:t>J</w:t>
      </w:r>
      <w:r w:rsidR="00381C61" w:rsidRPr="006C7B74">
        <w:t xml:space="preserve">obs, </w:t>
      </w:r>
      <w:r w:rsidRPr="006C7B74">
        <w:t>P</w:t>
      </w:r>
      <w:r w:rsidR="00381C61" w:rsidRPr="006C7B74">
        <w:t xml:space="preserve">recincts and </w:t>
      </w:r>
      <w:r w:rsidRPr="006C7B74">
        <w:t>R</w:t>
      </w:r>
      <w:r w:rsidR="00381C61" w:rsidRPr="006C7B74">
        <w:t>egions</w:t>
      </w:r>
      <w:r w:rsidRPr="006C7B74">
        <w:t xml:space="preserve"> (Figure 1). </w:t>
      </w:r>
      <w:r w:rsidR="00174A6C" w:rsidRPr="006C7B74">
        <w:t xml:space="preserve">These are used as the bases </w:t>
      </w:r>
      <w:r w:rsidR="00E42AC5" w:rsidRPr="006C7B74">
        <w:t>for determining future</w:t>
      </w:r>
      <w:r w:rsidR="00987A43" w:rsidRPr="006C7B74">
        <w:t xml:space="preserve"> commercial floorspace </w:t>
      </w:r>
      <w:r w:rsidR="00FD2E84">
        <w:t>estimates</w:t>
      </w:r>
      <w:r w:rsidR="00987A43" w:rsidRPr="006C7B74">
        <w:t>.</w:t>
      </w:r>
      <w:r w:rsidR="00E42AC5" w:rsidRPr="006C7B74">
        <w:t xml:space="preserve"> </w:t>
      </w:r>
    </w:p>
    <w:p w14:paraId="103796FA" w14:textId="02088ED1" w:rsidR="0013334D" w:rsidRPr="006C7B74" w:rsidRDefault="0013334D" w:rsidP="0013334D">
      <w:pPr>
        <w:pStyle w:val="BodyText"/>
      </w:pPr>
      <w:r w:rsidRPr="006C7B74">
        <w:t xml:space="preserve">Commercial retail floorspace is defined as floorspace used by retail, accommodation, food and other industries. </w:t>
      </w:r>
    </w:p>
    <w:p w14:paraId="4A8110C1" w14:textId="77777777" w:rsidR="00F277FC" w:rsidRPr="006C7B74" w:rsidRDefault="0013334D" w:rsidP="0013334D">
      <w:pPr>
        <w:pStyle w:val="BodyText"/>
      </w:pPr>
      <w:r w:rsidRPr="006C7B74">
        <w:t xml:space="preserve">Commercial office floorspace is defined as floorspace used by business service industries (Figure 1). </w:t>
      </w:r>
    </w:p>
    <w:p w14:paraId="3FA7B470" w14:textId="299F35D8" w:rsidR="0013334D" w:rsidRPr="006C7B74" w:rsidRDefault="0013334D" w:rsidP="0013334D">
      <w:pPr>
        <w:pStyle w:val="BodyText"/>
      </w:pPr>
      <w:r w:rsidRPr="006C7B74">
        <w:t xml:space="preserve">Future commercial floorspace </w:t>
      </w:r>
      <w:r w:rsidR="00FD2E84">
        <w:t>estimates</w:t>
      </w:r>
      <w:r w:rsidR="00FD2E84" w:rsidRPr="006C7B74">
        <w:t xml:space="preserve"> </w:t>
      </w:r>
      <w:r w:rsidR="00F277FC" w:rsidRPr="006C7B74">
        <w:t xml:space="preserve">have been </w:t>
      </w:r>
      <w:r w:rsidRPr="006C7B74">
        <w:t xml:space="preserve">calculated </w:t>
      </w:r>
      <w:r w:rsidR="00EC0642" w:rsidRPr="006C7B74">
        <w:t xml:space="preserve">based on the following </w:t>
      </w:r>
      <w:r w:rsidRPr="006C7B74">
        <w:t>floorspace require</w:t>
      </w:r>
      <w:r w:rsidR="00B55A41" w:rsidRPr="006C7B74">
        <w:t>ment</w:t>
      </w:r>
      <w:r w:rsidRPr="006C7B74">
        <w:t xml:space="preserve"> per worker.</w:t>
      </w:r>
    </w:p>
    <w:p w14:paraId="1FC1F3D6" w14:textId="5288295C" w:rsidR="0013334D" w:rsidRPr="006C7B74" w:rsidRDefault="0013334D" w:rsidP="0013334D">
      <w:pPr>
        <w:pStyle w:val="BodyText"/>
        <w:rPr>
          <w:b/>
        </w:rPr>
      </w:pPr>
      <w:r w:rsidRPr="006C7B74">
        <w:rPr>
          <w:b/>
        </w:rPr>
        <w:t>Figure 1:</w:t>
      </w:r>
      <w:r w:rsidR="000B4E7E" w:rsidRPr="006C7B74">
        <w:rPr>
          <w:b/>
        </w:rPr>
        <w:t xml:space="preserve"> Floorspace per worker</w:t>
      </w:r>
    </w:p>
    <w:tbl>
      <w:tblPr>
        <w:tblW w:w="9026" w:type="dxa"/>
        <w:tblLook w:val="04A0" w:firstRow="1" w:lastRow="0" w:firstColumn="1" w:lastColumn="0" w:noHBand="0" w:noVBand="1"/>
      </w:tblPr>
      <w:tblGrid>
        <w:gridCol w:w="3828"/>
        <w:gridCol w:w="3684"/>
        <w:gridCol w:w="1514"/>
      </w:tblGrid>
      <w:tr w:rsidR="0013334D" w:rsidRPr="006C7B74" w14:paraId="2356C51F" w14:textId="77777777" w:rsidTr="00507CA9">
        <w:trPr>
          <w:trHeight w:val="260"/>
        </w:trPr>
        <w:tc>
          <w:tcPr>
            <w:tcW w:w="3828" w:type="dxa"/>
            <w:tcBorders>
              <w:top w:val="nil"/>
              <w:left w:val="nil"/>
              <w:bottom w:val="nil"/>
              <w:right w:val="nil"/>
            </w:tcBorders>
            <w:shd w:val="clear" w:color="auto" w:fill="302E57" w:themeFill="accent6" w:themeFillShade="80"/>
            <w:noWrap/>
            <w:vAlign w:val="center"/>
            <w:hideMark/>
          </w:tcPr>
          <w:p w14:paraId="6EB40AF1" w14:textId="77777777" w:rsidR="0013334D" w:rsidRPr="006C7B74" w:rsidRDefault="0013334D" w:rsidP="00D625E1">
            <w:pPr>
              <w:pStyle w:val="TableHeaderRow"/>
            </w:pPr>
            <w:r w:rsidRPr="006C7B74">
              <w:t>6-industry classifications</w:t>
            </w:r>
          </w:p>
        </w:tc>
        <w:tc>
          <w:tcPr>
            <w:tcW w:w="3684" w:type="dxa"/>
            <w:tcBorders>
              <w:top w:val="nil"/>
              <w:left w:val="nil"/>
              <w:bottom w:val="single" w:sz="4" w:space="0" w:color="auto"/>
              <w:right w:val="nil"/>
            </w:tcBorders>
            <w:shd w:val="clear" w:color="auto" w:fill="302E57" w:themeFill="accent6" w:themeFillShade="80"/>
            <w:noWrap/>
            <w:vAlign w:val="center"/>
            <w:hideMark/>
          </w:tcPr>
          <w:p w14:paraId="0C14B438" w14:textId="77777777" w:rsidR="0013334D" w:rsidRPr="006C7B74" w:rsidRDefault="0013334D" w:rsidP="00D625E1">
            <w:pPr>
              <w:pStyle w:val="TableHeaderRow"/>
            </w:pPr>
            <w:r w:rsidRPr="006C7B74">
              <w:t>Australian and New Zealand Standard Industry Classification (ANZSIC)</w:t>
            </w:r>
          </w:p>
        </w:tc>
        <w:tc>
          <w:tcPr>
            <w:tcW w:w="1514" w:type="dxa"/>
            <w:tcBorders>
              <w:top w:val="nil"/>
              <w:left w:val="nil"/>
              <w:bottom w:val="single" w:sz="4" w:space="0" w:color="auto"/>
              <w:right w:val="nil"/>
            </w:tcBorders>
            <w:shd w:val="clear" w:color="auto" w:fill="302E57" w:themeFill="accent6" w:themeFillShade="80"/>
          </w:tcPr>
          <w:p w14:paraId="115274C8" w14:textId="77777777" w:rsidR="0013334D" w:rsidRPr="006C7B74" w:rsidRDefault="0013334D" w:rsidP="00D625E1">
            <w:pPr>
              <w:pStyle w:val="TableHeaderRow"/>
            </w:pPr>
            <w:r w:rsidRPr="006C7B74">
              <w:t>Floor area sqm/employee</w:t>
            </w:r>
          </w:p>
        </w:tc>
      </w:tr>
      <w:tr w:rsidR="0052312F" w:rsidRPr="006C7B74" w14:paraId="5ED63D36" w14:textId="77777777" w:rsidTr="0079077A">
        <w:trPr>
          <w:trHeight w:val="260"/>
        </w:trPr>
        <w:tc>
          <w:tcPr>
            <w:tcW w:w="3828" w:type="dxa"/>
            <w:vMerge w:val="restart"/>
            <w:tcBorders>
              <w:top w:val="single" w:sz="4" w:space="0" w:color="auto"/>
              <w:left w:val="single" w:sz="4" w:space="0" w:color="auto"/>
              <w:right w:val="single" w:sz="4" w:space="0" w:color="auto"/>
            </w:tcBorders>
            <w:shd w:val="clear" w:color="auto" w:fill="auto"/>
            <w:vAlign w:val="center"/>
            <w:hideMark/>
          </w:tcPr>
          <w:p w14:paraId="574A561E" w14:textId="77777777" w:rsidR="0052312F" w:rsidRPr="006C7B74" w:rsidRDefault="0052312F" w:rsidP="0079077A">
            <w:pPr>
              <w:jc w:val="center"/>
              <w:rPr>
                <w:rFonts w:cstheme="minorHAnsi"/>
                <w:color w:val="auto"/>
                <w:sz w:val="18"/>
                <w:lang w:eastAsia="en-AU"/>
              </w:rPr>
            </w:pPr>
            <w:r w:rsidRPr="006C7B74">
              <w:rPr>
                <w:rFonts w:cstheme="minorHAnsi"/>
                <w:color w:val="auto"/>
                <w:sz w:val="18"/>
                <w:lang w:eastAsia="en-AU"/>
              </w:rPr>
              <w:t>Business Service</w:t>
            </w:r>
          </w:p>
          <w:p w14:paraId="52D4ED09" w14:textId="56ED30AC" w:rsidR="0052312F" w:rsidRPr="006C7B74" w:rsidRDefault="0052312F" w:rsidP="0052312F">
            <w:pPr>
              <w:rPr>
                <w:rFonts w:cstheme="minorHAnsi"/>
                <w:color w:val="auto"/>
                <w:sz w:val="18"/>
                <w:lang w:eastAsia="en-AU"/>
              </w:rPr>
            </w:pPr>
          </w:p>
        </w:tc>
        <w:tc>
          <w:tcPr>
            <w:tcW w:w="3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9643A4" w14:textId="77777777" w:rsidR="0052312F" w:rsidRPr="006C7B74" w:rsidRDefault="0052312F" w:rsidP="0079077A">
            <w:pPr>
              <w:rPr>
                <w:rFonts w:cstheme="minorHAnsi"/>
                <w:color w:val="auto"/>
                <w:sz w:val="18"/>
                <w:lang w:eastAsia="en-AU"/>
              </w:rPr>
            </w:pPr>
            <w:r w:rsidRPr="006C7B74">
              <w:rPr>
                <w:rFonts w:cstheme="minorHAnsi"/>
                <w:color w:val="auto"/>
                <w:sz w:val="18"/>
                <w:lang w:eastAsia="en-AU"/>
              </w:rPr>
              <w:t>Administrative and support services</w:t>
            </w:r>
          </w:p>
        </w:tc>
        <w:tc>
          <w:tcPr>
            <w:tcW w:w="1514" w:type="dxa"/>
            <w:tcBorders>
              <w:top w:val="single" w:sz="4" w:space="0" w:color="auto"/>
              <w:left w:val="single" w:sz="4" w:space="0" w:color="auto"/>
              <w:bottom w:val="single" w:sz="4" w:space="0" w:color="auto"/>
              <w:right w:val="single" w:sz="4" w:space="0" w:color="auto"/>
            </w:tcBorders>
            <w:vAlign w:val="center"/>
          </w:tcPr>
          <w:p w14:paraId="18ADCE76" w14:textId="77777777" w:rsidR="0052312F" w:rsidRPr="006C7B74" w:rsidRDefault="0052312F" w:rsidP="0079077A">
            <w:pPr>
              <w:jc w:val="center"/>
              <w:rPr>
                <w:rFonts w:cstheme="minorHAnsi"/>
                <w:color w:val="auto"/>
                <w:sz w:val="18"/>
                <w:lang w:eastAsia="en-AU"/>
              </w:rPr>
            </w:pPr>
            <w:r w:rsidRPr="006C7B74">
              <w:rPr>
                <w:rFonts w:cstheme="minorHAnsi"/>
                <w:color w:val="auto"/>
                <w:sz w:val="18"/>
                <w:lang w:eastAsia="en-AU"/>
              </w:rPr>
              <w:t>25</w:t>
            </w:r>
          </w:p>
        </w:tc>
      </w:tr>
      <w:tr w:rsidR="0052312F" w:rsidRPr="006C7B74" w14:paraId="63BA6586" w14:textId="77777777" w:rsidTr="001E2FA6">
        <w:trPr>
          <w:trHeight w:val="260"/>
        </w:trPr>
        <w:tc>
          <w:tcPr>
            <w:tcW w:w="3828" w:type="dxa"/>
            <w:vMerge/>
            <w:tcBorders>
              <w:left w:val="single" w:sz="4" w:space="0" w:color="auto"/>
              <w:right w:val="single" w:sz="4" w:space="0" w:color="auto"/>
            </w:tcBorders>
            <w:vAlign w:val="center"/>
            <w:hideMark/>
          </w:tcPr>
          <w:p w14:paraId="5BF7313C" w14:textId="6DE07736" w:rsidR="0052312F" w:rsidRPr="006C7B74" w:rsidRDefault="0052312F" w:rsidP="0079077A">
            <w:pPr>
              <w:jc w:val="center"/>
              <w:rPr>
                <w:rFonts w:cstheme="minorHAnsi"/>
                <w:color w:val="auto"/>
                <w:sz w:val="18"/>
                <w:lang w:eastAsia="en-AU"/>
              </w:rPr>
            </w:pPr>
          </w:p>
        </w:tc>
        <w:tc>
          <w:tcPr>
            <w:tcW w:w="3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28A4DD" w14:textId="77777777" w:rsidR="0052312F" w:rsidRPr="006C7B74" w:rsidRDefault="0052312F" w:rsidP="0079077A">
            <w:pPr>
              <w:rPr>
                <w:rFonts w:cstheme="minorHAnsi"/>
                <w:color w:val="auto"/>
                <w:sz w:val="18"/>
                <w:lang w:eastAsia="en-AU"/>
              </w:rPr>
            </w:pPr>
            <w:r w:rsidRPr="006C7B74">
              <w:rPr>
                <w:rFonts w:cstheme="minorHAnsi"/>
                <w:color w:val="auto"/>
                <w:sz w:val="18"/>
                <w:lang w:eastAsia="en-AU"/>
              </w:rPr>
              <w:t>Financial and insurance services</w:t>
            </w:r>
          </w:p>
        </w:tc>
        <w:tc>
          <w:tcPr>
            <w:tcW w:w="1514" w:type="dxa"/>
            <w:tcBorders>
              <w:top w:val="single" w:sz="4" w:space="0" w:color="auto"/>
              <w:left w:val="single" w:sz="4" w:space="0" w:color="auto"/>
              <w:bottom w:val="single" w:sz="4" w:space="0" w:color="auto"/>
              <w:right w:val="single" w:sz="4" w:space="0" w:color="auto"/>
            </w:tcBorders>
            <w:vAlign w:val="center"/>
          </w:tcPr>
          <w:p w14:paraId="7349727F" w14:textId="77777777" w:rsidR="0052312F" w:rsidRPr="006C7B74" w:rsidRDefault="0052312F" w:rsidP="0079077A">
            <w:pPr>
              <w:jc w:val="center"/>
              <w:rPr>
                <w:rFonts w:cstheme="minorHAnsi"/>
                <w:color w:val="auto"/>
                <w:sz w:val="18"/>
                <w:lang w:eastAsia="en-AU"/>
              </w:rPr>
            </w:pPr>
            <w:r w:rsidRPr="006C7B74">
              <w:rPr>
                <w:rFonts w:cstheme="minorHAnsi"/>
                <w:color w:val="auto"/>
                <w:sz w:val="18"/>
                <w:lang w:eastAsia="en-AU"/>
              </w:rPr>
              <w:t>19</w:t>
            </w:r>
          </w:p>
        </w:tc>
      </w:tr>
      <w:tr w:rsidR="0052312F" w:rsidRPr="006C7B74" w14:paraId="407CD821" w14:textId="77777777" w:rsidTr="001E2FA6">
        <w:trPr>
          <w:trHeight w:val="260"/>
        </w:trPr>
        <w:tc>
          <w:tcPr>
            <w:tcW w:w="3828" w:type="dxa"/>
            <w:vMerge/>
            <w:tcBorders>
              <w:left w:val="single" w:sz="4" w:space="0" w:color="auto"/>
              <w:right w:val="single" w:sz="4" w:space="0" w:color="auto"/>
            </w:tcBorders>
            <w:vAlign w:val="bottom"/>
            <w:hideMark/>
          </w:tcPr>
          <w:p w14:paraId="00D5BB65" w14:textId="6158B404" w:rsidR="0052312F" w:rsidRPr="006C7B74" w:rsidRDefault="0052312F" w:rsidP="0079077A">
            <w:pPr>
              <w:jc w:val="center"/>
              <w:rPr>
                <w:rFonts w:cstheme="minorHAnsi"/>
                <w:color w:val="auto"/>
                <w:sz w:val="18"/>
                <w:lang w:eastAsia="en-AU"/>
              </w:rPr>
            </w:pPr>
          </w:p>
        </w:tc>
        <w:tc>
          <w:tcPr>
            <w:tcW w:w="3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82D2E2" w14:textId="77777777" w:rsidR="0052312F" w:rsidRPr="006C7B74" w:rsidRDefault="0052312F" w:rsidP="0079077A">
            <w:pPr>
              <w:rPr>
                <w:rFonts w:cstheme="minorHAnsi"/>
                <w:color w:val="auto"/>
                <w:sz w:val="18"/>
                <w:lang w:eastAsia="en-AU"/>
              </w:rPr>
            </w:pPr>
            <w:r w:rsidRPr="006C7B74">
              <w:rPr>
                <w:rFonts w:cstheme="minorHAnsi"/>
                <w:color w:val="auto"/>
                <w:sz w:val="18"/>
                <w:lang w:eastAsia="en-AU"/>
              </w:rPr>
              <w:t>Information media and telecommunications</w:t>
            </w:r>
          </w:p>
        </w:tc>
        <w:tc>
          <w:tcPr>
            <w:tcW w:w="1514" w:type="dxa"/>
            <w:tcBorders>
              <w:top w:val="single" w:sz="4" w:space="0" w:color="auto"/>
              <w:left w:val="single" w:sz="4" w:space="0" w:color="auto"/>
              <w:bottom w:val="single" w:sz="4" w:space="0" w:color="auto"/>
              <w:right w:val="single" w:sz="4" w:space="0" w:color="auto"/>
            </w:tcBorders>
            <w:vAlign w:val="center"/>
          </w:tcPr>
          <w:p w14:paraId="0FE0DCA1" w14:textId="77777777" w:rsidR="0052312F" w:rsidRPr="006C7B74" w:rsidRDefault="0052312F" w:rsidP="0079077A">
            <w:pPr>
              <w:jc w:val="center"/>
              <w:rPr>
                <w:rFonts w:cstheme="minorHAnsi"/>
                <w:color w:val="auto"/>
                <w:sz w:val="18"/>
                <w:lang w:eastAsia="en-AU"/>
              </w:rPr>
            </w:pPr>
            <w:r w:rsidRPr="006C7B74">
              <w:rPr>
                <w:rFonts w:cstheme="minorHAnsi"/>
                <w:color w:val="auto"/>
                <w:sz w:val="18"/>
                <w:lang w:eastAsia="en-AU"/>
              </w:rPr>
              <w:t>24</w:t>
            </w:r>
          </w:p>
        </w:tc>
      </w:tr>
      <w:tr w:rsidR="0052312F" w:rsidRPr="006C7B74" w14:paraId="2A8BEDCC" w14:textId="77777777" w:rsidTr="001E2FA6">
        <w:trPr>
          <w:trHeight w:val="260"/>
        </w:trPr>
        <w:tc>
          <w:tcPr>
            <w:tcW w:w="3828" w:type="dxa"/>
            <w:vMerge/>
            <w:tcBorders>
              <w:left w:val="single" w:sz="4" w:space="0" w:color="auto"/>
              <w:right w:val="single" w:sz="4" w:space="0" w:color="auto"/>
            </w:tcBorders>
            <w:shd w:val="clear" w:color="auto" w:fill="auto"/>
            <w:vAlign w:val="center"/>
            <w:hideMark/>
          </w:tcPr>
          <w:p w14:paraId="107C3EB3" w14:textId="7BF3A643" w:rsidR="0052312F" w:rsidRPr="006C7B74" w:rsidRDefault="0052312F" w:rsidP="0079077A">
            <w:pPr>
              <w:jc w:val="center"/>
              <w:rPr>
                <w:rFonts w:cstheme="minorHAnsi"/>
                <w:color w:val="auto"/>
                <w:sz w:val="18"/>
                <w:lang w:eastAsia="en-AU"/>
              </w:rPr>
            </w:pPr>
          </w:p>
        </w:tc>
        <w:tc>
          <w:tcPr>
            <w:tcW w:w="3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7E0696" w14:textId="77777777" w:rsidR="0052312F" w:rsidRPr="006C7B74" w:rsidRDefault="0052312F" w:rsidP="0079077A">
            <w:pPr>
              <w:rPr>
                <w:rFonts w:cstheme="minorHAnsi"/>
                <w:color w:val="auto"/>
                <w:sz w:val="18"/>
                <w:lang w:eastAsia="en-AU"/>
              </w:rPr>
            </w:pPr>
            <w:r w:rsidRPr="006C7B74">
              <w:rPr>
                <w:rFonts w:cstheme="minorHAnsi"/>
                <w:color w:val="auto"/>
                <w:sz w:val="18"/>
                <w:lang w:eastAsia="en-AU"/>
              </w:rPr>
              <w:t>Professional, scientific and technical services</w:t>
            </w:r>
          </w:p>
        </w:tc>
        <w:tc>
          <w:tcPr>
            <w:tcW w:w="1514" w:type="dxa"/>
            <w:tcBorders>
              <w:top w:val="single" w:sz="4" w:space="0" w:color="auto"/>
              <w:left w:val="single" w:sz="4" w:space="0" w:color="auto"/>
              <w:bottom w:val="single" w:sz="4" w:space="0" w:color="auto"/>
              <w:right w:val="single" w:sz="4" w:space="0" w:color="auto"/>
            </w:tcBorders>
            <w:vAlign w:val="center"/>
          </w:tcPr>
          <w:p w14:paraId="42CF6CC1" w14:textId="77777777" w:rsidR="0052312F" w:rsidRPr="006C7B74" w:rsidRDefault="0052312F" w:rsidP="0079077A">
            <w:pPr>
              <w:jc w:val="center"/>
              <w:rPr>
                <w:rFonts w:cstheme="minorHAnsi"/>
                <w:color w:val="auto"/>
                <w:sz w:val="18"/>
                <w:lang w:eastAsia="en-AU"/>
              </w:rPr>
            </w:pPr>
            <w:r w:rsidRPr="006C7B74">
              <w:rPr>
                <w:rFonts w:cstheme="minorHAnsi"/>
                <w:color w:val="auto"/>
                <w:sz w:val="18"/>
                <w:lang w:eastAsia="en-AU"/>
              </w:rPr>
              <w:t>22</w:t>
            </w:r>
          </w:p>
        </w:tc>
      </w:tr>
      <w:tr w:rsidR="0052312F" w:rsidRPr="006C7B74" w14:paraId="52E8C4B7" w14:textId="77777777" w:rsidTr="001E2FA6">
        <w:trPr>
          <w:trHeight w:val="260"/>
        </w:trPr>
        <w:tc>
          <w:tcPr>
            <w:tcW w:w="3828" w:type="dxa"/>
            <w:vMerge/>
            <w:tcBorders>
              <w:left w:val="single" w:sz="4" w:space="0" w:color="auto"/>
              <w:right w:val="single" w:sz="4" w:space="0" w:color="auto"/>
            </w:tcBorders>
            <w:shd w:val="clear" w:color="auto" w:fill="auto"/>
            <w:noWrap/>
            <w:vAlign w:val="center"/>
            <w:hideMark/>
          </w:tcPr>
          <w:p w14:paraId="552E821A" w14:textId="37C5BBBB" w:rsidR="0052312F" w:rsidRPr="006C7B74" w:rsidRDefault="0052312F" w:rsidP="0079077A">
            <w:pPr>
              <w:jc w:val="center"/>
              <w:rPr>
                <w:rFonts w:cstheme="minorHAnsi"/>
                <w:color w:val="auto"/>
                <w:sz w:val="18"/>
                <w:lang w:eastAsia="en-AU"/>
              </w:rPr>
            </w:pPr>
          </w:p>
        </w:tc>
        <w:tc>
          <w:tcPr>
            <w:tcW w:w="3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1F4DC" w14:textId="77777777" w:rsidR="0052312F" w:rsidRPr="006C7B74" w:rsidRDefault="0052312F" w:rsidP="0079077A">
            <w:pPr>
              <w:rPr>
                <w:rFonts w:cstheme="minorHAnsi"/>
                <w:color w:val="auto"/>
                <w:sz w:val="18"/>
                <w:lang w:eastAsia="en-AU"/>
              </w:rPr>
            </w:pPr>
            <w:r w:rsidRPr="006C7B74">
              <w:rPr>
                <w:rFonts w:cstheme="minorHAnsi"/>
                <w:color w:val="auto"/>
                <w:sz w:val="18"/>
                <w:lang w:eastAsia="en-AU"/>
              </w:rPr>
              <w:t>Public administration and safety</w:t>
            </w:r>
          </w:p>
        </w:tc>
        <w:tc>
          <w:tcPr>
            <w:tcW w:w="1514" w:type="dxa"/>
            <w:tcBorders>
              <w:top w:val="single" w:sz="4" w:space="0" w:color="auto"/>
              <w:left w:val="single" w:sz="4" w:space="0" w:color="auto"/>
              <w:bottom w:val="single" w:sz="4" w:space="0" w:color="auto"/>
              <w:right w:val="single" w:sz="4" w:space="0" w:color="auto"/>
            </w:tcBorders>
            <w:vAlign w:val="center"/>
          </w:tcPr>
          <w:p w14:paraId="215B9ED3" w14:textId="77777777" w:rsidR="0052312F" w:rsidRPr="006C7B74" w:rsidRDefault="0052312F" w:rsidP="0079077A">
            <w:pPr>
              <w:jc w:val="center"/>
              <w:rPr>
                <w:rFonts w:cstheme="minorHAnsi"/>
                <w:color w:val="auto"/>
                <w:sz w:val="18"/>
                <w:lang w:eastAsia="en-AU"/>
              </w:rPr>
            </w:pPr>
            <w:r w:rsidRPr="006C7B74">
              <w:rPr>
                <w:rFonts w:cstheme="minorHAnsi"/>
                <w:color w:val="auto"/>
                <w:sz w:val="18"/>
                <w:lang w:eastAsia="en-AU"/>
              </w:rPr>
              <w:t>19</w:t>
            </w:r>
          </w:p>
        </w:tc>
      </w:tr>
      <w:tr w:rsidR="0052312F" w:rsidRPr="006C7B74" w14:paraId="78953EA1" w14:textId="77777777" w:rsidTr="001E2FA6">
        <w:trPr>
          <w:trHeight w:val="260"/>
        </w:trPr>
        <w:tc>
          <w:tcPr>
            <w:tcW w:w="3828" w:type="dxa"/>
            <w:vMerge/>
            <w:tcBorders>
              <w:left w:val="single" w:sz="4" w:space="0" w:color="auto"/>
              <w:bottom w:val="single" w:sz="4" w:space="0" w:color="auto"/>
              <w:right w:val="single" w:sz="4" w:space="0" w:color="auto"/>
            </w:tcBorders>
            <w:shd w:val="clear" w:color="auto" w:fill="auto"/>
            <w:noWrap/>
            <w:vAlign w:val="center"/>
            <w:hideMark/>
          </w:tcPr>
          <w:p w14:paraId="46CF85EF" w14:textId="4A2BF5B1" w:rsidR="0052312F" w:rsidRPr="006C7B74" w:rsidRDefault="0052312F" w:rsidP="0079077A">
            <w:pPr>
              <w:jc w:val="center"/>
              <w:rPr>
                <w:rFonts w:cstheme="minorHAnsi"/>
                <w:color w:val="auto"/>
                <w:sz w:val="18"/>
                <w:lang w:eastAsia="en-AU"/>
              </w:rPr>
            </w:pPr>
          </w:p>
        </w:tc>
        <w:tc>
          <w:tcPr>
            <w:tcW w:w="3684" w:type="dxa"/>
            <w:tcBorders>
              <w:top w:val="single" w:sz="4" w:space="0" w:color="auto"/>
              <w:left w:val="nil"/>
              <w:bottom w:val="single" w:sz="4" w:space="0" w:color="auto"/>
              <w:right w:val="single" w:sz="4" w:space="0" w:color="auto"/>
            </w:tcBorders>
            <w:shd w:val="clear" w:color="auto" w:fill="auto"/>
            <w:noWrap/>
            <w:vAlign w:val="bottom"/>
            <w:hideMark/>
          </w:tcPr>
          <w:p w14:paraId="2251F96B" w14:textId="77777777" w:rsidR="0052312F" w:rsidRPr="006C7B74" w:rsidRDefault="0052312F" w:rsidP="0079077A">
            <w:pPr>
              <w:rPr>
                <w:rFonts w:cstheme="minorHAnsi"/>
                <w:color w:val="auto"/>
                <w:sz w:val="18"/>
                <w:lang w:eastAsia="en-AU"/>
              </w:rPr>
            </w:pPr>
            <w:r w:rsidRPr="006C7B74">
              <w:rPr>
                <w:rFonts w:cstheme="minorHAnsi"/>
                <w:color w:val="auto"/>
                <w:sz w:val="18"/>
                <w:lang w:eastAsia="en-AU"/>
              </w:rPr>
              <w:t>Rental, hiring and real estate services</w:t>
            </w:r>
          </w:p>
        </w:tc>
        <w:tc>
          <w:tcPr>
            <w:tcW w:w="1514" w:type="dxa"/>
            <w:tcBorders>
              <w:top w:val="single" w:sz="4" w:space="0" w:color="auto"/>
              <w:left w:val="nil"/>
              <w:bottom w:val="single" w:sz="4" w:space="0" w:color="auto"/>
              <w:right w:val="single" w:sz="4" w:space="0" w:color="auto"/>
            </w:tcBorders>
            <w:vAlign w:val="center"/>
          </w:tcPr>
          <w:p w14:paraId="3DDA3E4F" w14:textId="77777777" w:rsidR="0052312F" w:rsidRPr="006C7B74" w:rsidRDefault="0052312F" w:rsidP="0079077A">
            <w:pPr>
              <w:jc w:val="center"/>
              <w:rPr>
                <w:rFonts w:cstheme="minorHAnsi"/>
                <w:color w:val="auto"/>
                <w:sz w:val="18"/>
                <w:lang w:eastAsia="en-AU"/>
              </w:rPr>
            </w:pPr>
            <w:r w:rsidRPr="006C7B74">
              <w:rPr>
                <w:rFonts w:cstheme="minorHAnsi"/>
                <w:color w:val="auto"/>
                <w:sz w:val="18"/>
                <w:lang w:eastAsia="en-AU"/>
              </w:rPr>
              <w:t>34</w:t>
            </w:r>
          </w:p>
        </w:tc>
      </w:tr>
      <w:tr w:rsidR="0052312F" w:rsidRPr="006C7B74" w14:paraId="49BF0AFF" w14:textId="77777777" w:rsidTr="0079077A">
        <w:trPr>
          <w:trHeight w:val="260"/>
        </w:trPr>
        <w:tc>
          <w:tcPr>
            <w:tcW w:w="3828" w:type="dxa"/>
            <w:vMerge w:val="restart"/>
            <w:tcBorders>
              <w:top w:val="single" w:sz="4" w:space="0" w:color="auto"/>
              <w:left w:val="single" w:sz="4" w:space="0" w:color="auto"/>
              <w:right w:val="single" w:sz="4" w:space="0" w:color="auto"/>
            </w:tcBorders>
            <w:shd w:val="clear" w:color="auto" w:fill="auto"/>
            <w:vAlign w:val="center"/>
            <w:hideMark/>
          </w:tcPr>
          <w:p w14:paraId="10908FD7" w14:textId="7BBD4021" w:rsidR="0052312F" w:rsidRPr="006C7B74" w:rsidRDefault="0052312F" w:rsidP="0079077A">
            <w:pPr>
              <w:rPr>
                <w:rFonts w:cstheme="minorHAnsi"/>
                <w:color w:val="auto"/>
                <w:sz w:val="18"/>
                <w:lang w:eastAsia="en-AU"/>
              </w:rPr>
            </w:pPr>
            <w:r w:rsidRPr="006C7B74">
              <w:rPr>
                <w:rFonts w:cstheme="minorHAnsi"/>
                <w:color w:val="auto"/>
                <w:sz w:val="18"/>
                <w:lang w:eastAsia="en-AU"/>
              </w:rPr>
              <w:t>Retail, accommodation, food and other</w:t>
            </w:r>
          </w:p>
        </w:tc>
        <w:tc>
          <w:tcPr>
            <w:tcW w:w="3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EAED92" w14:textId="77777777" w:rsidR="0052312F" w:rsidRPr="006C7B74" w:rsidRDefault="0052312F" w:rsidP="0079077A">
            <w:pPr>
              <w:rPr>
                <w:rFonts w:cstheme="minorHAnsi"/>
                <w:color w:val="auto"/>
                <w:sz w:val="18"/>
                <w:lang w:eastAsia="en-AU"/>
              </w:rPr>
            </w:pPr>
            <w:r w:rsidRPr="006C7B74">
              <w:rPr>
                <w:rFonts w:cstheme="minorHAnsi"/>
                <w:color w:val="auto"/>
                <w:sz w:val="18"/>
                <w:lang w:eastAsia="en-AU"/>
              </w:rPr>
              <w:t>Accommodation and food services</w:t>
            </w:r>
          </w:p>
        </w:tc>
        <w:tc>
          <w:tcPr>
            <w:tcW w:w="1514" w:type="dxa"/>
            <w:tcBorders>
              <w:top w:val="single" w:sz="4" w:space="0" w:color="auto"/>
              <w:left w:val="single" w:sz="4" w:space="0" w:color="auto"/>
              <w:bottom w:val="single" w:sz="4" w:space="0" w:color="auto"/>
              <w:right w:val="single" w:sz="4" w:space="0" w:color="auto"/>
            </w:tcBorders>
            <w:vAlign w:val="center"/>
          </w:tcPr>
          <w:p w14:paraId="13A8B1F0" w14:textId="77777777" w:rsidR="0052312F" w:rsidRPr="006C7B74" w:rsidRDefault="0052312F" w:rsidP="0079077A">
            <w:pPr>
              <w:jc w:val="center"/>
              <w:rPr>
                <w:rFonts w:cstheme="minorHAnsi"/>
                <w:color w:val="auto"/>
                <w:sz w:val="18"/>
                <w:lang w:eastAsia="en-AU"/>
              </w:rPr>
            </w:pPr>
            <w:r w:rsidRPr="006C7B74">
              <w:rPr>
                <w:rFonts w:cstheme="minorHAnsi"/>
                <w:color w:val="auto"/>
                <w:sz w:val="18"/>
                <w:lang w:eastAsia="en-AU"/>
              </w:rPr>
              <w:t>26</w:t>
            </w:r>
          </w:p>
        </w:tc>
      </w:tr>
      <w:tr w:rsidR="0052312F" w:rsidRPr="006C7B74" w14:paraId="133AF3D7" w14:textId="77777777" w:rsidTr="0079077A">
        <w:trPr>
          <w:trHeight w:val="260"/>
        </w:trPr>
        <w:tc>
          <w:tcPr>
            <w:tcW w:w="3828" w:type="dxa"/>
            <w:vMerge/>
            <w:tcBorders>
              <w:left w:val="single" w:sz="4" w:space="0" w:color="auto"/>
              <w:right w:val="single" w:sz="4" w:space="0" w:color="auto"/>
            </w:tcBorders>
            <w:vAlign w:val="center"/>
            <w:hideMark/>
          </w:tcPr>
          <w:p w14:paraId="4115A510" w14:textId="5B7D94AB" w:rsidR="0052312F" w:rsidRPr="006C7B74" w:rsidRDefault="0052312F" w:rsidP="0079077A">
            <w:pPr>
              <w:rPr>
                <w:rFonts w:cstheme="minorHAnsi"/>
                <w:color w:val="auto"/>
                <w:sz w:val="18"/>
                <w:lang w:eastAsia="en-AU"/>
              </w:rPr>
            </w:pPr>
          </w:p>
        </w:tc>
        <w:tc>
          <w:tcPr>
            <w:tcW w:w="3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6A3B23" w14:textId="77777777" w:rsidR="0052312F" w:rsidRPr="006C7B74" w:rsidRDefault="0052312F" w:rsidP="0079077A">
            <w:pPr>
              <w:rPr>
                <w:rFonts w:cstheme="minorHAnsi"/>
                <w:color w:val="auto"/>
                <w:sz w:val="18"/>
                <w:lang w:eastAsia="en-AU"/>
              </w:rPr>
            </w:pPr>
            <w:r w:rsidRPr="006C7B74">
              <w:rPr>
                <w:rFonts w:cstheme="minorHAnsi"/>
                <w:color w:val="auto"/>
                <w:sz w:val="18"/>
                <w:lang w:eastAsia="en-AU"/>
              </w:rPr>
              <w:t>Other services</w:t>
            </w:r>
          </w:p>
        </w:tc>
        <w:tc>
          <w:tcPr>
            <w:tcW w:w="1514" w:type="dxa"/>
            <w:tcBorders>
              <w:top w:val="single" w:sz="4" w:space="0" w:color="auto"/>
              <w:left w:val="single" w:sz="4" w:space="0" w:color="auto"/>
              <w:bottom w:val="single" w:sz="4" w:space="0" w:color="auto"/>
              <w:right w:val="single" w:sz="4" w:space="0" w:color="auto"/>
            </w:tcBorders>
            <w:vAlign w:val="center"/>
          </w:tcPr>
          <w:p w14:paraId="646BB63B" w14:textId="77777777" w:rsidR="0052312F" w:rsidRPr="006C7B74" w:rsidRDefault="0052312F" w:rsidP="0079077A">
            <w:pPr>
              <w:jc w:val="center"/>
              <w:rPr>
                <w:rFonts w:cstheme="minorHAnsi"/>
                <w:color w:val="auto"/>
                <w:sz w:val="18"/>
                <w:lang w:eastAsia="en-AU"/>
              </w:rPr>
            </w:pPr>
            <w:r w:rsidRPr="006C7B74">
              <w:rPr>
                <w:rFonts w:cstheme="minorHAnsi"/>
                <w:color w:val="auto"/>
                <w:sz w:val="18"/>
                <w:lang w:eastAsia="en-AU"/>
              </w:rPr>
              <w:t>43</w:t>
            </w:r>
          </w:p>
        </w:tc>
      </w:tr>
      <w:tr w:rsidR="0052312F" w:rsidRPr="006C7B74" w14:paraId="3B173CEB" w14:textId="77777777" w:rsidTr="0079077A">
        <w:trPr>
          <w:trHeight w:val="260"/>
        </w:trPr>
        <w:tc>
          <w:tcPr>
            <w:tcW w:w="3828" w:type="dxa"/>
            <w:vMerge/>
            <w:tcBorders>
              <w:left w:val="single" w:sz="4" w:space="0" w:color="auto"/>
              <w:bottom w:val="single" w:sz="4" w:space="0" w:color="auto"/>
              <w:right w:val="single" w:sz="4" w:space="0" w:color="auto"/>
            </w:tcBorders>
            <w:vAlign w:val="center"/>
            <w:hideMark/>
          </w:tcPr>
          <w:p w14:paraId="57A942FD" w14:textId="77777777" w:rsidR="0052312F" w:rsidRPr="006C7B74" w:rsidRDefault="0052312F" w:rsidP="0079077A">
            <w:pPr>
              <w:rPr>
                <w:rFonts w:cstheme="minorHAnsi"/>
                <w:color w:val="auto"/>
                <w:sz w:val="18"/>
                <w:lang w:eastAsia="en-AU"/>
              </w:rPr>
            </w:pPr>
          </w:p>
        </w:tc>
        <w:tc>
          <w:tcPr>
            <w:tcW w:w="3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7BD37B" w14:textId="77777777" w:rsidR="0052312F" w:rsidRPr="006C7B74" w:rsidRDefault="0052312F" w:rsidP="0079077A">
            <w:pPr>
              <w:rPr>
                <w:rFonts w:cstheme="minorHAnsi"/>
                <w:color w:val="auto"/>
                <w:sz w:val="18"/>
                <w:lang w:eastAsia="en-AU"/>
              </w:rPr>
            </w:pPr>
            <w:r w:rsidRPr="006C7B74">
              <w:rPr>
                <w:rFonts w:cstheme="minorHAnsi"/>
                <w:color w:val="auto"/>
                <w:sz w:val="18"/>
                <w:lang w:eastAsia="en-AU"/>
              </w:rPr>
              <w:t>Retail trade</w:t>
            </w:r>
          </w:p>
        </w:tc>
        <w:tc>
          <w:tcPr>
            <w:tcW w:w="1514" w:type="dxa"/>
            <w:tcBorders>
              <w:top w:val="single" w:sz="4" w:space="0" w:color="auto"/>
              <w:left w:val="single" w:sz="4" w:space="0" w:color="auto"/>
              <w:bottom w:val="single" w:sz="4" w:space="0" w:color="auto"/>
              <w:right w:val="single" w:sz="4" w:space="0" w:color="auto"/>
            </w:tcBorders>
            <w:vAlign w:val="center"/>
          </w:tcPr>
          <w:p w14:paraId="106CDAEC" w14:textId="77777777" w:rsidR="0052312F" w:rsidRPr="006C7B74" w:rsidRDefault="0052312F" w:rsidP="0079077A">
            <w:pPr>
              <w:jc w:val="center"/>
              <w:rPr>
                <w:rFonts w:cstheme="minorHAnsi"/>
                <w:color w:val="auto"/>
                <w:sz w:val="18"/>
                <w:lang w:eastAsia="en-AU"/>
              </w:rPr>
            </w:pPr>
            <w:r w:rsidRPr="006C7B74">
              <w:rPr>
                <w:rFonts w:cstheme="minorHAnsi"/>
                <w:color w:val="auto"/>
                <w:sz w:val="18"/>
                <w:lang w:eastAsia="en-AU"/>
              </w:rPr>
              <w:t>30</w:t>
            </w:r>
          </w:p>
        </w:tc>
      </w:tr>
    </w:tbl>
    <w:p w14:paraId="0588CB28" w14:textId="77777777" w:rsidR="0013334D" w:rsidRPr="006C7B74" w:rsidRDefault="0013334D" w:rsidP="0013334D">
      <w:pPr>
        <w:rPr>
          <w:rFonts w:cstheme="minorHAnsi"/>
          <w:color w:val="auto"/>
          <w:sz w:val="20"/>
          <w:szCs w:val="20"/>
        </w:rPr>
      </w:pPr>
    </w:p>
    <w:p w14:paraId="6BE67174" w14:textId="77777777" w:rsidR="0013334D" w:rsidRPr="006C7B74" w:rsidRDefault="0013334D" w:rsidP="0013334D">
      <w:pPr>
        <w:spacing w:after="160" w:line="259" w:lineRule="auto"/>
        <w:rPr>
          <w:rFonts w:asciiTheme="majorHAnsi" w:eastAsiaTheme="majorEastAsia" w:hAnsiTheme="majorHAnsi" w:cstheme="majorBidi"/>
          <w:b/>
          <w:color w:val="auto"/>
          <w:sz w:val="24"/>
        </w:rPr>
      </w:pPr>
      <w:bookmarkStart w:id="67" w:name="_Toc12522308"/>
      <w:r w:rsidRPr="006C7B74">
        <w:rPr>
          <w:color w:val="auto"/>
        </w:rPr>
        <w:br w:type="page"/>
      </w:r>
    </w:p>
    <w:p w14:paraId="43D586B1" w14:textId="167CA5B4" w:rsidR="00C025D1" w:rsidRPr="006C7B74" w:rsidRDefault="00C025D1" w:rsidP="00C025D1">
      <w:pPr>
        <w:pStyle w:val="Heading2-Contenttable"/>
        <w:rPr>
          <w:b w:val="0"/>
        </w:rPr>
      </w:pPr>
      <w:bookmarkStart w:id="68" w:name="_Toc21694844"/>
      <w:r w:rsidRPr="006C7B74">
        <w:lastRenderedPageBreak/>
        <w:t>Appendix 2 – D</w:t>
      </w:r>
      <w:r w:rsidR="00CA1379">
        <w:t>raft guidance for d</w:t>
      </w:r>
      <w:r w:rsidRPr="006C7B74">
        <w:t>eveloping local industrial land use strategies</w:t>
      </w:r>
      <w:bookmarkEnd w:id="68"/>
    </w:p>
    <w:p w14:paraId="719D182D" w14:textId="77777777" w:rsidR="00C025D1" w:rsidRPr="006C7B74" w:rsidRDefault="00C025D1" w:rsidP="00C025D1">
      <w:pPr>
        <w:spacing w:after="120"/>
        <w:rPr>
          <w:rFonts w:cstheme="minorHAnsi"/>
          <w:sz w:val="20"/>
          <w:szCs w:val="20"/>
        </w:rPr>
      </w:pPr>
    </w:p>
    <w:p w14:paraId="32B57B6C" w14:textId="77777777" w:rsidR="00C025D1" w:rsidRPr="006C7B74" w:rsidRDefault="00C025D1" w:rsidP="00C025D1">
      <w:pPr>
        <w:spacing w:after="120"/>
        <w:rPr>
          <w:rFonts w:cstheme="minorHAnsi"/>
          <w:sz w:val="20"/>
          <w:szCs w:val="20"/>
        </w:rPr>
      </w:pPr>
      <w:r w:rsidRPr="006C7B74">
        <w:rPr>
          <w:rFonts w:cstheme="minorHAnsi"/>
          <w:sz w:val="20"/>
          <w:szCs w:val="20"/>
        </w:rPr>
        <w:t>The key aim for developing a local industrial land use strategy is to plan for and develop a shared vision for a council’s industrial land, and to identify the type and scope of change projected and anticipated over time. A local industrial land use strategy should be a tool to help manage, influence, and where appropriate, facilitate change within identified industrial precincts, in accordance with the directions of state planning policy.</w:t>
      </w:r>
    </w:p>
    <w:p w14:paraId="774CA87C" w14:textId="77777777" w:rsidR="00C025D1" w:rsidRPr="006C7B74" w:rsidRDefault="00C025D1" w:rsidP="00C025D1">
      <w:pPr>
        <w:pStyle w:val="Heading3"/>
        <w:rPr>
          <w:lang w:eastAsia="en-AU"/>
        </w:rPr>
      </w:pPr>
      <w:r w:rsidRPr="006C7B74">
        <w:rPr>
          <w:lang w:eastAsia="en-AU"/>
        </w:rPr>
        <w:t xml:space="preserve">What should a local industrial land use strategy include? </w:t>
      </w:r>
    </w:p>
    <w:p w14:paraId="52E89D79" w14:textId="77777777" w:rsidR="00C025D1" w:rsidRPr="006C7B74" w:rsidRDefault="00C025D1" w:rsidP="00C025D1">
      <w:pPr>
        <w:spacing w:after="120"/>
        <w:rPr>
          <w:rFonts w:cstheme="minorHAnsi"/>
          <w:sz w:val="20"/>
          <w:szCs w:val="20"/>
        </w:rPr>
      </w:pPr>
      <w:r w:rsidRPr="006C7B74">
        <w:rPr>
          <w:rFonts w:cstheme="minorHAnsi"/>
          <w:sz w:val="20"/>
          <w:szCs w:val="20"/>
        </w:rPr>
        <w:t>The strategy should be concise and relevant but detailed enough to be translated into a clear implementation program that includes statutory and strategic actions.</w:t>
      </w:r>
    </w:p>
    <w:p w14:paraId="40EE11AF" w14:textId="77777777" w:rsidR="00C025D1" w:rsidRPr="006C7B74" w:rsidRDefault="00C025D1" w:rsidP="00C025D1">
      <w:pPr>
        <w:spacing w:after="120"/>
        <w:rPr>
          <w:rFonts w:cstheme="minorHAnsi"/>
          <w:sz w:val="20"/>
          <w:szCs w:val="20"/>
        </w:rPr>
      </w:pPr>
      <w:r w:rsidRPr="006C7B74">
        <w:rPr>
          <w:rFonts w:cstheme="minorHAnsi"/>
          <w:sz w:val="20"/>
          <w:szCs w:val="20"/>
        </w:rPr>
        <w:t>The strategy should address the following:</w:t>
      </w:r>
    </w:p>
    <w:p w14:paraId="0829418A" w14:textId="77777777" w:rsidR="00C025D1" w:rsidRPr="006C7B74" w:rsidRDefault="00C025D1" w:rsidP="00C025D1">
      <w:pPr>
        <w:pStyle w:val="Heading4"/>
        <w:rPr>
          <w:lang w:eastAsia="en-AU"/>
        </w:rPr>
      </w:pPr>
      <w:r w:rsidRPr="006C7B74">
        <w:rPr>
          <w:lang w:eastAsia="en-AU"/>
        </w:rPr>
        <w:t>Introduction</w:t>
      </w:r>
    </w:p>
    <w:p w14:paraId="31C4123E" w14:textId="77777777" w:rsidR="00C025D1" w:rsidRPr="006C7B74" w:rsidRDefault="00C025D1" w:rsidP="00C025D1">
      <w:pPr>
        <w:pStyle w:val="ListParagraph"/>
        <w:numPr>
          <w:ilvl w:val="0"/>
          <w:numId w:val="47"/>
        </w:numPr>
        <w:spacing w:after="120"/>
        <w:rPr>
          <w:rFonts w:cstheme="minorHAnsi"/>
          <w:sz w:val="18"/>
          <w:szCs w:val="20"/>
        </w:rPr>
      </w:pPr>
      <w:r w:rsidRPr="006C7B74">
        <w:rPr>
          <w:rFonts w:cstheme="minorHAnsi"/>
          <w:sz w:val="18"/>
          <w:szCs w:val="20"/>
        </w:rPr>
        <w:t>Outline the background, purpose and approach to the strategy.</w:t>
      </w:r>
    </w:p>
    <w:p w14:paraId="49FC9676" w14:textId="77777777" w:rsidR="00C025D1" w:rsidRPr="006C7B74" w:rsidRDefault="00C025D1" w:rsidP="00C025D1">
      <w:pPr>
        <w:pStyle w:val="Heading4"/>
        <w:rPr>
          <w:lang w:eastAsia="en-AU"/>
        </w:rPr>
      </w:pPr>
      <w:r w:rsidRPr="006C7B74">
        <w:rPr>
          <w:lang w:eastAsia="en-AU"/>
        </w:rPr>
        <w:t>Vision</w:t>
      </w:r>
    </w:p>
    <w:p w14:paraId="7A2500B5" w14:textId="77777777" w:rsidR="00C025D1" w:rsidRPr="006C7B74" w:rsidRDefault="00C025D1" w:rsidP="00C025D1">
      <w:pPr>
        <w:pStyle w:val="ListParagraph"/>
        <w:numPr>
          <w:ilvl w:val="0"/>
          <w:numId w:val="47"/>
        </w:numPr>
        <w:spacing w:after="120"/>
        <w:rPr>
          <w:rFonts w:cstheme="minorHAnsi"/>
          <w:sz w:val="18"/>
          <w:szCs w:val="20"/>
        </w:rPr>
      </w:pPr>
      <w:r w:rsidRPr="006C7B74">
        <w:rPr>
          <w:rFonts w:cstheme="minorHAnsi"/>
          <w:sz w:val="18"/>
          <w:szCs w:val="20"/>
        </w:rPr>
        <w:t>Develop a concise vision and framework, which sets out the objectives for industrial land, other employment areas and transitional areas.</w:t>
      </w:r>
    </w:p>
    <w:p w14:paraId="789929C5" w14:textId="5F4B6124" w:rsidR="00C025D1" w:rsidRPr="006C7B74" w:rsidRDefault="00C025D1" w:rsidP="00C025D1">
      <w:pPr>
        <w:pStyle w:val="Heading4"/>
        <w:rPr>
          <w:lang w:eastAsia="en-AU"/>
        </w:rPr>
      </w:pPr>
      <w:r w:rsidRPr="006C7B74">
        <w:rPr>
          <w:lang w:eastAsia="en-AU"/>
        </w:rPr>
        <w:t>Policy and planning context</w:t>
      </w:r>
    </w:p>
    <w:p w14:paraId="26E45AE3" w14:textId="77777777" w:rsidR="00C025D1" w:rsidRPr="006C7B74" w:rsidRDefault="00C025D1" w:rsidP="00C025D1">
      <w:pPr>
        <w:pStyle w:val="ListParagraph"/>
        <w:numPr>
          <w:ilvl w:val="0"/>
          <w:numId w:val="47"/>
        </w:numPr>
        <w:spacing w:after="120"/>
        <w:rPr>
          <w:rFonts w:cstheme="minorHAnsi"/>
          <w:sz w:val="18"/>
          <w:szCs w:val="20"/>
        </w:rPr>
      </w:pPr>
      <w:r w:rsidRPr="006C7B74">
        <w:rPr>
          <w:rFonts w:cstheme="minorHAnsi"/>
          <w:sz w:val="18"/>
          <w:szCs w:val="20"/>
        </w:rPr>
        <w:t>Clarify the role and function of industrial land in the municipality in the context of state, regional and local planning policy.</w:t>
      </w:r>
    </w:p>
    <w:p w14:paraId="217F74BC" w14:textId="09D6DAC8" w:rsidR="00C025D1" w:rsidRPr="006C7B74" w:rsidRDefault="00C025D1" w:rsidP="00C025D1">
      <w:pPr>
        <w:pStyle w:val="Heading4"/>
        <w:rPr>
          <w:lang w:eastAsia="en-AU"/>
        </w:rPr>
      </w:pPr>
      <w:r w:rsidRPr="006C7B74">
        <w:rPr>
          <w:lang w:eastAsia="en-AU"/>
        </w:rPr>
        <w:t xml:space="preserve">Undertake a strategic analysis and identify key issues </w:t>
      </w:r>
    </w:p>
    <w:p w14:paraId="31AE019A" w14:textId="77777777" w:rsidR="00C025D1" w:rsidRPr="006C7B74" w:rsidRDefault="00C025D1" w:rsidP="00C025D1">
      <w:pPr>
        <w:pStyle w:val="ListParagraph"/>
        <w:numPr>
          <w:ilvl w:val="0"/>
          <w:numId w:val="47"/>
        </w:numPr>
        <w:spacing w:after="120"/>
        <w:rPr>
          <w:rFonts w:cstheme="minorHAnsi"/>
          <w:sz w:val="18"/>
          <w:szCs w:val="20"/>
        </w:rPr>
      </w:pPr>
      <w:r w:rsidRPr="006C7B74">
        <w:rPr>
          <w:rFonts w:cstheme="minorHAnsi"/>
          <w:sz w:val="18"/>
          <w:szCs w:val="20"/>
        </w:rPr>
        <w:t>Identify and analyse future population growth and employment trends at a local level and understand the regional context.</w:t>
      </w:r>
    </w:p>
    <w:p w14:paraId="7B803859" w14:textId="77777777" w:rsidR="00C025D1" w:rsidRPr="006C7B74" w:rsidRDefault="00C025D1" w:rsidP="00C025D1">
      <w:pPr>
        <w:pStyle w:val="ListParagraph"/>
        <w:numPr>
          <w:ilvl w:val="0"/>
          <w:numId w:val="47"/>
        </w:numPr>
        <w:spacing w:after="120"/>
        <w:rPr>
          <w:rFonts w:cstheme="minorHAnsi"/>
          <w:sz w:val="18"/>
          <w:szCs w:val="20"/>
        </w:rPr>
      </w:pPr>
      <w:r w:rsidRPr="006C7B74">
        <w:rPr>
          <w:rFonts w:cstheme="minorHAnsi"/>
          <w:sz w:val="18"/>
          <w:szCs w:val="20"/>
        </w:rPr>
        <w:t>Identify and analyse industrial and employment land supply, use and demand at a local level and understand the regional context.</w:t>
      </w:r>
    </w:p>
    <w:p w14:paraId="00FEB282" w14:textId="77777777" w:rsidR="00C025D1" w:rsidRPr="006C7B74" w:rsidRDefault="00C025D1" w:rsidP="00C025D1">
      <w:pPr>
        <w:pStyle w:val="ListParagraph"/>
        <w:numPr>
          <w:ilvl w:val="0"/>
          <w:numId w:val="47"/>
        </w:numPr>
        <w:spacing w:after="120"/>
        <w:rPr>
          <w:rFonts w:cstheme="minorHAnsi"/>
          <w:sz w:val="18"/>
          <w:szCs w:val="20"/>
        </w:rPr>
      </w:pPr>
      <w:r w:rsidRPr="006C7B74">
        <w:rPr>
          <w:rFonts w:cstheme="minorHAnsi"/>
          <w:sz w:val="18"/>
          <w:szCs w:val="20"/>
        </w:rPr>
        <w:t>Understand the outlook for existing industries and identify any possible new employment related uses.</w:t>
      </w:r>
    </w:p>
    <w:p w14:paraId="4612E896" w14:textId="73D59817" w:rsidR="00C025D1" w:rsidRPr="006C7B74" w:rsidRDefault="00C025D1" w:rsidP="00C025D1">
      <w:pPr>
        <w:pStyle w:val="ListParagraph"/>
        <w:numPr>
          <w:ilvl w:val="0"/>
          <w:numId w:val="47"/>
        </w:numPr>
        <w:spacing w:after="120"/>
        <w:rPr>
          <w:rFonts w:cstheme="minorHAnsi"/>
          <w:sz w:val="18"/>
          <w:szCs w:val="20"/>
        </w:rPr>
      </w:pPr>
      <w:r w:rsidRPr="006C7B74">
        <w:rPr>
          <w:rFonts w:cstheme="minorHAnsi"/>
          <w:sz w:val="18"/>
          <w:szCs w:val="20"/>
        </w:rPr>
        <w:t xml:space="preserve">Understand how much industrial land and floor space will be needed for local and regional functions and where or how this should be accommodated. </w:t>
      </w:r>
    </w:p>
    <w:p w14:paraId="5E71A7A5" w14:textId="77777777" w:rsidR="00C025D1" w:rsidRPr="006C7B74" w:rsidRDefault="00C025D1" w:rsidP="00C025D1">
      <w:pPr>
        <w:pStyle w:val="ListParagraph"/>
        <w:numPr>
          <w:ilvl w:val="0"/>
          <w:numId w:val="47"/>
        </w:numPr>
        <w:spacing w:after="120"/>
        <w:rPr>
          <w:rFonts w:cstheme="minorHAnsi"/>
          <w:sz w:val="18"/>
          <w:szCs w:val="20"/>
        </w:rPr>
      </w:pPr>
      <w:r w:rsidRPr="006C7B74">
        <w:rPr>
          <w:rFonts w:cstheme="minorHAnsi"/>
          <w:sz w:val="18"/>
          <w:szCs w:val="20"/>
        </w:rPr>
        <w:t>Identify the existing and proposed transport connections, including the Principal Freight Network, that can support development of industrial precincts and determine if new access routes will be required or are planned.</w:t>
      </w:r>
    </w:p>
    <w:p w14:paraId="4939527D" w14:textId="77777777" w:rsidR="00C025D1" w:rsidRPr="006C7B74" w:rsidRDefault="00C025D1" w:rsidP="00C025D1">
      <w:pPr>
        <w:pStyle w:val="ListParagraph"/>
        <w:numPr>
          <w:ilvl w:val="0"/>
          <w:numId w:val="47"/>
        </w:numPr>
        <w:spacing w:after="120"/>
        <w:rPr>
          <w:rFonts w:cstheme="minorHAnsi"/>
          <w:sz w:val="18"/>
          <w:szCs w:val="20"/>
        </w:rPr>
      </w:pPr>
      <w:r w:rsidRPr="006C7B74">
        <w:rPr>
          <w:rFonts w:cstheme="minorHAnsi"/>
          <w:sz w:val="18"/>
          <w:szCs w:val="20"/>
        </w:rPr>
        <w:t>Identify any local issues, pressures, trends or opportunities. These should include:</w:t>
      </w:r>
    </w:p>
    <w:p w14:paraId="371E4E51" w14:textId="77777777" w:rsidR="00C025D1" w:rsidRPr="006C7B74" w:rsidRDefault="00C025D1" w:rsidP="00C025D1">
      <w:pPr>
        <w:pStyle w:val="ListParagraph"/>
        <w:numPr>
          <w:ilvl w:val="1"/>
          <w:numId w:val="49"/>
        </w:numPr>
        <w:spacing w:after="120"/>
        <w:ind w:left="709"/>
        <w:rPr>
          <w:rFonts w:cstheme="minorHAnsi"/>
          <w:sz w:val="18"/>
          <w:szCs w:val="20"/>
        </w:rPr>
      </w:pPr>
      <w:r w:rsidRPr="006C7B74">
        <w:rPr>
          <w:rFonts w:cstheme="minorHAnsi"/>
          <w:sz w:val="18"/>
          <w:szCs w:val="20"/>
        </w:rPr>
        <w:t>Identifying the location of industrial uses that may require buffers to sensitive uses.</w:t>
      </w:r>
    </w:p>
    <w:p w14:paraId="20AF4927" w14:textId="749CDE7F" w:rsidR="00C025D1" w:rsidRPr="006C7B74" w:rsidRDefault="00C025D1" w:rsidP="00C025D1">
      <w:pPr>
        <w:pStyle w:val="ListParagraph"/>
        <w:numPr>
          <w:ilvl w:val="1"/>
          <w:numId w:val="49"/>
        </w:numPr>
        <w:spacing w:after="120"/>
        <w:ind w:left="709"/>
        <w:rPr>
          <w:rFonts w:cstheme="minorHAnsi"/>
          <w:sz w:val="18"/>
          <w:szCs w:val="20"/>
        </w:rPr>
      </w:pPr>
      <w:r w:rsidRPr="006C7B74">
        <w:rPr>
          <w:rFonts w:cstheme="minorHAnsi"/>
          <w:sz w:val="18"/>
          <w:szCs w:val="20"/>
        </w:rPr>
        <w:t>Identifying any contamination and environmental issues</w:t>
      </w:r>
      <w:r w:rsidR="00E63E62" w:rsidRPr="006C7B74">
        <w:rPr>
          <w:rFonts w:cstheme="minorHAnsi"/>
          <w:sz w:val="18"/>
          <w:szCs w:val="20"/>
        </w:rPr>
        <w:t>.</w:t>
      </w:r>
      <w:r w:rsidRPr="006C7B74">
        <w:rPr>
          <w:rFonts w:cstheme="minorHAnsi"/>
          <w:sz w:val="18"/>
          <w:szCs w:val="20"/>
        </w:rPr>
        <w:t xml:space="preserve"> </w:t>
      </w:r>
    </w:p>
    <w:p w14:paraId="7F961AD5" w14:textId="77777777" w:rsidR="00C025D1" w:rsidRPr="006C7B74" w:rsidRDefault="00C025D1" w:rsidP="00C025D1">
      <w:pPr>
        <w:pStyle w:val="ListParagraph"/>
        <w:numPr>
          <w:ilvl w:val="1"/>
          <w:numId w:val="49"/>
        </w:numPr>
        <w:spacing w:after="120"/>
        <w:ind w:left="709"/>
        <w:rPr>
          <w:rFonts w:cstheme="minorHAnsi"/>
          <w:sz w:val="18"/>
          <w:szCs w:val="20"/>
        </w:rPr>
      </w:pPr>
      <w:r w:rsidRPr="006C7B74">
        <w:rPr>
          <w:rFonts w:cstheme="minorHAnsi"/>
          <w:sz w:val="18"/>
          <w:szCs w:val="20"/>
        </w:rPr>
        <w:t>Identifying any waterways and habitats that require consideration or protection.</w:t>
      </w:r>
    </w:p>
    <w:p w14:paraId="3C904A07" w14:textId="77777777" w:rsidR="00C025D1" w:rsidRPr="006C7B74" w:rsidRDefault="00C025D1" w:rsidP="00C025D1">
      <w:pPr>
        <w:pStyle w:val="ListParagraph"/>
        <w:numPr>
          <w:ilvl w:val="1"/>
          <w:numId w:val="49"/>
        </w:numPr>
        <w:spacing w:after="120"/>
        <w:ind w:left="709"/>
        <w:rPr>
          <w:rFonts w:cstheme="minorHAnsi"/>
          <w:sz w:val="18"/>
          <w:szCs w:val="20"/>
        </w:rPr>
      </w:pPr>
      <w:r w:rsidRPr="006C7B74">
        <w:rPr>
          <w:rFonts w:cstheme="minorHAnsi"/>
          <w:sz w:val="18"/>
          <w:szCs w:val="20"/>
        </w:rPr>
        <w:t>Identifying sites of significant industrial heritage which should be protected or incorporated into new industrial developments.</w:t>
      </w:r>
    </w:p>
    <w:p w14:paraId="0674B0B5" w14:textId="77777777" w:rsidR="00C025D1" w:rsidRPr="006C7B74" w:rsidRDefault="00C025D1" w:rsidP="00C025D1">
      <w:pPr>
        <w:pStyle w:val="ListParagraph"/>
        <w:numPr>
          <w:ilvl w:val="1"/>
          <w:numId w:val="49"/>
        </w:numPr>
        <w:spacing w:after="120"/>
        <w:ind w:left="709"/>
        <w:rPr>
          <w:rFonts w:cstheme="minorHAnsi"/>
          <w:sz w:val="18"/>
          <w:szCs w:val="20"/>
        </w:rPr>
      </w:pPr>
      <w:r w:rsidRPr="006C7B74">
        <w:rPr>
          <w:rFonts w:cstheme="minorHAnsi"/>
          <w:sz w:val="18"/>
          <w:szCs w:val="20"/>
        </w:rPr>
        <w:t xml:space="preserve">Identifying areas of Aboriginal Cultural Heritage significance in consultation with Traditional Owners. </w:t>
      </w:r>
    </w:p>
    <w:p w14:paraId="45ABD224" w14:textId="77777777" w:rsidR="00C025D1" w:rsidRPr="006C7B74" w:rsidRDefault="00C025D1" w:rsidP="00C025D1">
      <w:pPr>
        <w:pStyle w:val="ListParagraph"/>
        <w:numPr>
          <w:ilvl w:val="1"/>
          <w:numId w:val="49"/>
        </w:numPr>
        <w:spacing w:after="120"/>
        <w:ind w:left="709"/>
        <w:rPr>
          <w:rFonts w:cstheme="minorHAnsi"/>
          <w:sz w:val="18"/>
          <w:szCs w:val="20"/>
        </w:rPr>
      </w:pPr>
      <w:r w:rsidRPr="006C7B74">
        <w:rPr>
          <w:rFonts w:cstheme="minorHAnsi"/>
          <w:sz w:val="18"/>
          <w:szCs w:val="20"/>
        </w:rPr>
        <w:t>Understanding any urban design and built form requirements for precincts and potential for landscaping, open space and amenity for workers and visitors.</w:t>
      </w:r>
    </w:p>
    <w:p w14:paraId="6BA9865E" w14:textId="4F3BDED3" w:rsidR="00C025D1" w:rsidRPr="006C7B74" w:rsidRDefault="00C025D1" w:rsidP="00C025D1">
      <w:pPr>
        <w:pStyle w:val="Heading4"/>
        <w:rPr>
          <w:lang w:eastAsia="en-AU"/>
        </w:rPr>
      </w:pPr>
      <w:r w:rsidRPr="006C7B74">
        <w:rPr>
          <w:lang w:eastAsia="en-AU"/>
        </w:rPr>
        <w:t>Develop objectives and strategies</w:t>
      </w:r>
    </w:p>
    <w:p w14:paraId="6194B570" w14:textId="77777777" w:rsidR="00C025D1" w:rsidRPr="006C7B74" w:rsidRDefault="00C025D1" w:rsidP="00C025D1">
      <w:pPr>
        <w:pStyle w:val="ListParagraph"/>
        <w:numPr>
          <w:ilvl w:val="0"/>
          <w:numId w:val="47"/>
        </w:numPr>
        <w:spacing w:after="120"/>
        <w:rPr>
          <w:rFonts w:cstheme="minorHAnsi"/>
          <w:sz w:val="18"/>
          <w:szCs w:val="20"/>
        </w:rPr>
      </w:pPr>
      <w:r w:rsidRPr="006C7B74">
        <w:rPr>
          <w:rFonts w:cstheme="minorHAnsi"/>
          <w:sz w:val="18"/>
          <w:szCs w:val="20"/>
        </w:rPr>
        <w:t>Develop objectives and strategies to manage growth and change.</w:t>
      </w:r>
    </w:p>
    <w:p w14:paraId="21017C1B" w14:textId="77777777" w:rsidR="00C025D1" w:rsidRPr="006C7B74" w:rsidRDefault="00C025D1" w:rsidP="00C025D1">
      <w:pPr>
        <w:pStyle w:val="ListParagraph"/>
        <w:numPr>
          <w:ilvl w:val="0"/>
          <w:numId w:val="47"/>
        </w:numPr>
        <w:spacing w:after="120"/>
        <w:rPr>
          <w:rFonts w:cstheme="minorHAnsi"/>
          <w:sz w:val="18"/>
          <w:szCs w:val="20"/>
        </w:rPr>
      </w:pPr>
      <w:r w:rsidRPr="006C7B74">
        <w:rPr>
          <w:rFonts w:cstheme="minorHAnsi"/>
          <w:sz w:val="18"/>
          <w:szCs w:val="20"/>
        </w:rPr>
        <w:t>Identify where industrial land should be retained for industrial purposes, where it could transition to other employment uses or where it is no longer required and could transition to non-employment uses.</w:t>
      </w:r>
    </w:p>
    <w:p w14:paraId="5102D94C" w14:textId="46E01307" w:rsidR="00C025D1" w:rsidRPr="006C7B74" w:rsidRDefault="00C025D1" w:rsidP="00C025D1">
      <w:pPr>
        <w:pStyle w:val="Heading4"/>
        <w:rPr>
          <w:lang w:eastAsia="en-AU"/>
        </w:rPr>
      </w:pPr>
      <w:r w:rsidRPr="006C7B74">
        <w:rPr>
          <w:lang w:eastAsia="en-AU"/>
        </w:rPr>
        <w:t>Precinct plans</w:t>
      </w:r>
    </w:p>
    <w:p w14:paraId="75570901" w14:textId="77777777" w:rsidR="00C025D1" w:rsidRPr="006C7B74" w:rsidRDefault="00C025D1" w:rsidP="00C025D1">
      <w:pPr>
        <w:pStyle w:val="ListParagraph"/>
        <w:numPr>
          <w:ilvl w:val="0"/>
          <w:numId w:val="47"/>
        </w:numPr>
        <w:spacing w:after="120"/>
        <w:rPr>
          <w:rFonts w:cstheme="minorHAnsi"/>
          <w:sz w:val="18"/>
          <w:szCs w:val="20"/>
        </w:rPr>
      </w:pPr>
      <w:r w:rsidRPr="006C7B74">
        <w:rPr>
          <w:rFonts w:cstheme="minorHAnsi"/>
          <w:sz w:val="18"/>
          <w:szCs w:val="20"/>
        </w:rPr>
        <w:t xml:space="preserve">Identify and assess key industrial precincts, scope existing conditions and issues, and provide guidance for future direction, land use and development. </w:t>
      </w:r>
    </w:p>
    <w:p w14:paraId="270167BF" w14:textId="77777777" w:rsidR="00C025D1" w:rsidRPr="006C7B74" w:rsidRDefault="00C025D1" w:rsidP="00C025D1">
      <w:pPr>
        <w:pStyle w:val="ListParagraph"/>
        <w:numPr>
          <w:ilvl w:val="0"/>
          <w:numId w:val="47"/>
        </w:numPr>
        <w:spacing w:after="120"/>
        <w:rPr>
          <w:rFonts w:cstheme="minorHAnsi"/>
          <w:sz w:val="18"/>
          <w:szCs w:val="20"/>
        </w:rPr>
      </w:pPr>
      <w:r w:rsidRPr="006C7B74">
        <w:rPr>
          <w:rFonts w:cstheme="minorHAnsi"/>
          <w:sz w:val="18"/>
          <w:szCs w:val="20"/>
        </w:rPr>
        <w:t>Develop precinct plans which clearly identify:</w:t>
      </w:r>
    </w:p>
    <w:p w14:paraId="7BF5D1F1" w14:textId="77777777" w:rsidR="00C025D1" w:rsidRPr="006C7B74" w:rsidRDefault="00C025D1" w:rsidP="00C025D1">
      <w:pPr>
        <w:pStyle w:val="ListParagraph"/>
        <w:numPr>
          <w:ilvl w:val="1"/>
          <w:numId w:val="49"/>
        </w:numPr>
        <w:spacing w:after="120"/>
        <w:ind w:left="709"/>
        <w:rPr>
          <w:rFonts w:cstheme="minorHAnsi"/>
          <w:sz w:val="18"/>
          <w:szCs w:val="20"/>
        </w:rPr>
      </w:pPr>
      <w:r w:rsidRPr="006C7B74">
        <w:rPr>
          <w:rFonts w:cstheme="minorHAnsi"/>
          <w:sz w:val="18"/>
          <w:szCs w:val="20"/>
        </w:rPr>
        <w:t>Industrial land of state, regional and local significance that is to be retained.</w:t>
      </w:r>
    </w:p>
    <w:p w14:paraId="2083F64D" w14:textId="77777777" w:rsidR="00C025D1" w:rsidRPr="006C7B74" w:rsidRDefault="00C025D1" w:rsidP="00C025D1">
      <w:pPr>
        <w:pStyle w:val="ListParagraph"/>
        <w:numPr>
          <w:ilvl w:val="1"/>
          <w:numId w:val="49"/>
        </w:numPr>
        <w:spacing w:after="120"/>
        <w:ind w:left="709"/>
        <w:rPr>
          <w:rFonts w:cstheme="minorHAnsi"/>
          <w:sz w:val="18"/>
          <w:szCs w:val="20"/>
        </w:rPr>
      </w:pPr>
      <w:r w:rsidRPr="006C7B74">
        <w:rPr>
          <w:rFonts w:cstheme="minorHAnsi"/>
          <w:sz w:val="18"/>
          <w:szCs w:val="20"/>
        </w:rPr>
        <w:t>Industrial land that can transition to other employment uses.</w:t>
      </w:r>
    </w:p>
    <w:p w14:paraId="018CA33F" w14:textId="77777777" w:rsidR="00C025D1" w:rsidRPr="006C7B74" w:rsidRDefault="00C025D1" w:rsidP="00C025D1">
      <w:pPr>
        <w:pStyle w:val="ListParagraph"/>
        <w:numPr>
          <w:ilvl w:val="1"/>
          <w:numId w:val="49"/>
        </w:numPr>
        <w:spacing w:after="120"/>
        <w:ind w:left="709"/>
        <w:rPr>
          <w:rFonts w:cstheme="minorHAnsi"/>
          <w:sz w:val="18"/>
          <w:szCs w:val="20"/>
        </w:rPr>
      </w:pPr>
      <w:r w:rsidRPr="006C7B74">
        <w:rPr>
          <w:rFonts w:cstheme="minorHAnsi"/>
          <w:sz w:val="18"/>
          <w:szCs w:val="20"/>
        </w:rPr>
        <w:t>Industrial land that is no longer needed or appropriate for employment activities and could be considered for other uses.</w:t>
      </w:r>
    </w:p>
    <w:p w14:paraId="0B5F4F01" w14:textId="403C3A88" w:rsidR="00C025D1" w:rsidRPr="006C7B74" w:rsidRDefault="00C025D1" w:rsidP="00C025D1">
      <w:pPr>
        <w:pStyle w:val="Heading4"/>
        <w:rPr>
          <w:lang w:eastAsia="en-AU"/>
        </w:rPr>
      </w:pPr>
      <w:r w:rsidRPr="006C7B74">
        <w:rPr>
          <w:lang w:eastAsia="en-AU"/>
        </w:rPr>
        <w:t>Monitoring and implementation plan</w:t>
      </w:r>
    </w:p>
    <w:p w14:paraId="626685CC" w14:textId="77777777" w:rsidR="00C025D1" w:rsidRPr="006C7B74" w:rsidRDefault="00C025D1" w:rsidP="00C025D1">
      <w:pPr>
        <w:pStyle w:val="ListParagraph"/>
        <w:numPr>
          <w:ilvl w:val="0"/>
          <w:numId w:val="47"/>
        </w:numPr>
        <w:spacing w:after="120"/>
        <w:rPr>
          <w:rFonts w:cstheme="minorHAnsi"/>
          <w:sz w:val="18"/>
          <w:szCs w:val="20"/>
        </w:rPr>
      </w:pPr>
      <w:r w:rsidRPr="006C7B74">
        <w:rPr>
          <w:rFonts w:cstheme="minorHAnsi"/>
          <w:sz w:val="18"/>
          <w:szCs w:val="20"/>
        </w:rPr>
        <w:t>Provide a detailed implementation program including a statutory framework and strategic initiatives.</w:t>
      </w:r>
    </w:p>
    <w:p w14:paraId="1227BD70" w14:textId="77777777" w:rsidR="00C025D1" w:rsidRPr="006C7B74" w:rsidRDefault="00C025D1" w:rsidP="00C025D1">
      <w:pPr>
        <w:pStyle w:val="ListParagraph"/>
        <w:numPr>
          <w:ilvl w:val="0"/>
          <w:numId w:val="47"/>
        </w:numPr>
        <w:spacing w:after="120"/>
        <w:rPr>
          <w:rFonts w:cstheme="minorHAnsi"/>
          <w:sz w:val="18"/>
          <w:szCs w:val="20"/>
        </w:rPr>
      </w:pPr>
      <w:r w:rsidRPr="006C7B74">
        <w:rPr>
          <w:rFonts w:cstheme="minorHAnsi"/>
          <w:sz w:val="18"/>
          <w:szCs w:val="20"/>
        </w:rPr>
        <w:t>Develop an industrial land monitoring and evaluation strategy.</w:t>
      </w:r>
    </w:p>
    <w:p w14:paraId="7B2798B7" w14:textId="77777777" w:rsidR="00C025D1" w:rsidRPr="006C7B74" w:rsidRDefault="00C025D1" w:rsidP="00D91B8D">
      <w:pPr>
        <w:pStyle w:val="Heading2-Contenttable"/>
        <w:rPr>
          <w:color w:val="auto"/>
        </w:rPr>
      </w:pPr>
    </w:p>
    <w:p w14:paraId="67F3828C" w14:textId="0DDDC780" w:rsidR="0013334D" w:rsidRPr="006C7B74" w:rsidRDefault="0013334D" w:rsidP="00D91B8D">
      <w:pPr>
        <w:pStyle w:val="Heading2-Contenttable"/>
        <w:rPr>
          <w:color w:val="auto"/>
        </w:rPr>
      </w:pPr>
      <w:bookmarkStart w:id="69" w:name="_Toc21694845"/>
      <w:r w:rsidRPr="006C7B74">
        <w:rPr>
          <w:color w:val="auto"/>
        </w:rPr>
        <w:t>Appendix 3 – Glossar</w:t>
      </w:r>
      <w:bookmarkEnd w:id="67"/>
      <w:r w:rsidR="00D91B8D" w:rsidRPr="006C7B74">
        <w:rPr>
          <w:color w:val="auto"/>
        </w:rPr>
        <w:t>y</w:t>
      </w:r>
      <w:bookmarkEnd w:id="69"/>
    </w:p>
    <w:p w14:paraId="103B27E2" w14:textId="4875CD49" w:rsidR="00D91B8D" w:rsidRPr="006C7B74" w:rsidRDefault="00D91B8D" w:rsidP="00D91B8D">
      <w:pPr>
        <w:pStyle w:val="Heading2-Contenttable"/>
        <w:rPr>
          <w:rFonts w:cstheme="minorHAnsi"/>
          <w:color w:val="auto"/>
          <w:sz w:val="20"/>
          <w:szCs w:val="20"/>
        </w:rPr>
      </w:pPr>
    </w:p>
    <w:p w14:paraId="6A514E98" w14:textId="77777777" w:rsidR="00D91B8D" w:rsidRPr="006C7B74" w:rsidRDefault="00D91B8D" w:rsidP="00D91B8D">
      <w:pPr>
        <w:pStyle w:val="Heading2-Contenttable"/>
        <w:rPr>
          <w:rFonts w:cstheme="minorHAnsi"/>
          <w:color w:val="auto"/>
          <w:sz w:val="20"/>
          <w:szCs w:val="20"/>
        </w:rPr>
      </w:pPr>
    </w:p>
    <w:tbl>
      <w:tblPr>
        <w:tblStyle w:val="PlainTable2"/>
        <w:tblW w:w="0" w:type="auto"/>
        <w:tblLook w:val="04A0" w:firstRow="1" w:lastRow="0" w:firstColumn="1" w:lastColumn="0" w:noHBand="0" w:noVBand="1"/>
      </w:tblPr>
      <w:tblGrid>
        <w:gridCol w:w="3828"/>
        <w:gridCol w:w="5188"/>
      </w:tblGrid>
      <w:tr w:rsidR="001B2BFB" w:rsidRPr="006C7B74" w14:paraId="5A994C5B" w14:textId="77777777" w:rsidTr="007907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03E41599" w14:textId="77777777"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Activity centres</w:t>
            </w:r>
          </w:p>
        </w:tc>
        <w:tc>
          <w:tcPr>
            <w:tcW w:w="5188" w:type="dxa"/>
          </w:tcPr>
          <w:p w14:paraId="601D2ECD" w14:textId="77777777" w:rsidR="0013334D" w:rsidRPr="006C7B74" w:rsidRDefault="0013334D" w:rsidP="0079077A">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auto"/>
                <w:sz w:val="16"/>
                <w:szCs w:val="16"/>
              </w:rPr>
            </w:pPr>
            <w:r w:rsidRPr="006C7B74">
              <w:rPr>
                <w:rFonts w:asciiTheme="majorHAnsi" w:hAnsiTheme="majorHAnsi" w:cstheme="majorHAnsi"/>
                <w:b w:val="0"/>
                <w:color w:val="auto"/>
                <w:sz w:val="16"/>
                <w:szCs w:val="16"/>
              </w:rPr>
              <w:t>Areas that provide a focus for services, employment, housing, transport and social interaction. They range in size and intensity of use from smaller neighbourhood centres to major suburban centres and larger metropolitan centres.</w:t>
            </w:r>
          </w:p>
        </w:tc>
      </w:tr>
      <w:tr w:rsidR="001B2BFB" w:rsidRPr="006C7B74" w14:paraId="18848FA3" w14:textId="77777777" w:rsidTr="00790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27EFA3AD" w14:textId="00811F2B" w:rsidR="00323699" w:rsidRPr="006C7B74" w:rsidRDefault="00103C7F"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 xml:space="preserve">Australian New Zealand Standard Industry Classifications </w:t>
            </w:r>
            <w:r w:rsidR="00323699" w:rsidRPr="006C7B74">
              <w:rPr>
                <w:rFonts w:asciiTheme="majorHAnsi" w:hAnsiTheme="majorHAnsi" w:cstheme="majorHAnsi"/>
                <w:color w:val="auto"/>
                <w:sz w:val="16"/>
                <w:szCs w:val="16"/>
              </w:rPr>
              <w:t>(ANZSIC)</w:t>
            </w:r>
          </w:p>
        </w:tc>
        <w:tc>
          <w:tcPr>
            <w:tcW w:w="5188" w:type="dxa"/>
          </w:tcPr>
          <w:p w14:paraId="2F66DEF8" w14:textId="22AA5212" w:rsidR="00323699" w:rsidRPr="006C7B74" w:rsidRDefault="003D41E4" w:rsidP="0074588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A classification that provides a framework for organising data about businesses by grouping business units carrying out similar productive activities.</w:t>
            </w:r>
          </w:p>
        </w:tc>
      </w:tr>
      <w:tr w:rsidR="001B2BFB" w:rsidRPr="006C7B74" w14:paraId="67B3101C" w14:textId="77777777" w:rsidTr="0079077A">
        <w:tc>
          <w:tcPr>
            <w:cnfStyle w:val="001000000000" w:firstRow="0" w:lastRow="0" w:firstColumn="1" w:lastColumn="0" w:oddVBand="0" w:evenVBand="0" w:oddHBand="0" w:evenHBand="0" w:firstRowFirstColumn="0" w:firstRowLastColumn="0" w:lastRowFirstColumn="0" w:lastRowLastColumn="0"/>
            <w:tcW w:w="3828" w:type="dxa"/>
          </w:tcPr>
          <w:p w14:paraId="46132FC0" w14:textId="77777777"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Business service industries</w:t>
            </w:r>
          </w:p>
        </w:tc>
        <w:tc>
          <w:tcPr>
            <w:tcW w:w="5188" w:type="dxa"/>
          </w:tcPr>
          <w:p w14:paraId="691BB9C8" w14:textId="77777777" w:rsidR="0013334D" w:rsidRPr="006C7B74" w:rsidRDefault="0013334D" w:rsidP="0079077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Includes the following ANZSIC industry classifications: administrative and support services; financial and insurance services; information media and telecommunications; professional, scientific and technical services; public administration and safety; rental, hiring and real estate services.</w:t>
            </w:r>
          </w:p>
        </w:tc>
      </w:tr>
      <w:tr w:rsidR="001B2BFB" w:rsidRPr="006C7B74" w14:paraId="1D47AD32" w14:textId="77777777" w:rsidTr="00790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5B7DF5EF" w14:textId="77777777"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Census of Land Use and Employment (CLUE)</w:t>
            </w:r>
          </w:p>
        </w:tc>
        <w:tc>
          <w:tcPr>
            <w:tcW w:w="5188" w:type="dxa"/>
          </w:tcPr>
          <w:p w14:paraId="0A50C405" w14:textId="77777777" w:rsidR="0013334D" w:rsidRPr="006C7B74" w:rsidRDefault="0013334D" w:rsidP="0079077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Census of Land Use and Employment (CLUE) provides comprehensive information about land use, employment and economic activity across the City of Melbourne.</w:t>
            </w:r>
          </w:p>
          <w:p w14:paraId="577CA066" w14:textId="77777777" w:rsidR="0013334D" w:rsidRPr="006C7B74" w:rsidRDefault="0013334D" w:rsidP="0079077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p>
          <w:p w14:paraId="632245D0" w14:textId="339A6258" w:rsidR="0013334D" w:rsidRPr="006C7B74" w:rsidRDefault="007B1498" w:rsidP="0079077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D</w:t>
            </w:r>
            <w:r w:rsidR="0013334D" w:rsidRPr="006C7B74">
              <w:rPr>
                <w:rFonts w:asciiTheme="majorHAnsi" w:hAnsiTheme="majorHAnsi" w:cstheme="majorHAnsi"/>
                <w:color w:val="auto"/>
                <w:sz w:val="16"/>
                <w:szCs w:val="16"/>
              </w:rPr>
              <w:t>ata includes:</w:t>
            </w:r>
          </w:p>
          <w:p w14:paraId="34DD37D2" w14:textId="77777777" w:rsidR="0013334D" w:rsidRPr="006C7B74" w:rsidRDefault="0013334D" w:rsidP="001B2BFB">
            <w:pPr>
              <w:pStyle w:val="ListParagraph"/>
              <w:numPr>
                <w:ilvl w:val="0"/>
                <w:numId w:val="75"/>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industry structure and type (ANZSIC code and number of establishments or business locations)</w:t>
            </w:r>
          </w:p>
          <w:p w14:paraId="25B3456A" w14:textId="77777777" w:rsidR="0013334D" w:rsidRPr="006C7B74" w:rsidRDefault="0013334D" w:rsidP="001B2BFB">
            <w:pPr>
              <w:pStyle w:val="ListParagraph"/>
              <w:numPr>
                <w:ilvl w:val="0"/>
                <w:numId w:val="75"/>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floor space type and use (office, retail, industrial, accommodation or entertainment and office vacancy rates)</w:t>
            </w:r>
          </w:p>
          <w:p w14:paraId="697AA9FA" w14:textId="77777777" w:rsidR="0013334D" w:rsidRPr="006C7B74" w:rsidRDefault="0013334D" w:rsidP="001B2BFB">
            <w:pPr>
              <w:pStyle w:val="ListParagraph"/>
              <w:numPr>
                <w:ilvl w:val="0"/>
                <w:numId w:val="75"/>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employment type (full-time, part-time, casual or contractor)</w:t>
            </w:r>
          </w:p>
          <w:p w14:paraId="21D7DE0C" w14:textId="77777777" w:rsidR="0013334D" w:rsidRPr="006C7B74" w:rsidRDefault="0013334D" w:rsidP="001B2BFB">
            <w:pPr>
              <w:pStyle w:val="ListParagraph"/>
              <w:numPr>
                <w:ilvl w:val="0"/>
                <w:numId w:val="75"/>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building information (number of floors, year of construction, gross floor area and lettable area)</w:t>
            </w:r>
          </w:p>
          <w:p w14:paraId="716E405B" w14:textId="77777777" w:rsidR="0013334D" w:rsidRPr="006C7B74" w:rsidRDefault="0013334D" w:rsidP="001B2BFB">
            <w:pPr>
              <w:pStyle w:val="ListParagraph"/>
              <w:numPr>
                <w:ilvl w:val="0"/>
                <w:numId w:val="75"/>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 xml:space="preserve">venue and capacity measures (cafe or restaurant seats, </w:t>
            </w:r>
            <w:proofErr w:type="gramStart"/>
            <w:r w:rsidRPr="006C7B74">
              <w:rPr>
                <w:rFonts w:asciiTheme="majorHAnsi" w:hAnsiTheme="majorHAnsi" w:cstheme="majorHAnsi"/>
                <w:color w:val="auto"/>
                <w:sz w:val="16"/>
                <w:szCs w:val="16"/>
              </w:rPr>
              <w:t>child care</w:t>
            </w:r>
            <w:proofErr w:type="gramEnd"/>
            <w:r w:rsidRPr="006C7B74">
              <w:rPr>
                <w:rFonts w:asciiTheme="majorHAnsi" w:hAnsiTheme="majorHAnsi" w:cstheme="majorHAnsi"/>
                <w:color w:val="auto"/>
                <w:sz w:val="16"/>
                <w:szCs w:val="16"/>
              </w:rPr>
              <w:t xml:space="preserve"> centre spaces, off-street car parking spaces, bicycle and shower facilities, residential dwellings, student dwellings, student beds, theatre and stadium seats, conference and meeting seats and gaming machines)</w:t>
            </w:r>
          </w:p>
          <w:p w14:paraId="2DA7E6A2" w14:textId="77777777" w:rsidR="0013334D" w:rsidRPr="006C7B74" w:rsidRDefault="0013334D" w:rsidP="001B2BFB">
            <w:pPr>
              <w:pStyle w:val="ListParagraph"/>
              <w:numPr>
                <w:ilvl w:val="0"/>
                <w:numId w:val="75"/>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spatial distribution (maps, CLUE small areas, blocks and customised regions).</w:t>
            </w:r>
          </w:p>
        </w:tc>
      </w:tr>
      <w:tr w:rsidR="001B2BFB" w:rsidRPr="006C7B74" w14:paraId="6EFAA900" w14:textId="77777777" w:rsidTr="0079077A">
        <w:tc>
          <w:tcPr>
            <w:cnfStyle w:val="001000000000" w:firstRow="0" w:lastRow="0" w:firstColumn="1" w:lastColumn="0" w:oddVBand="0" w:evenVBand="0" w:oddHBand="0" w:evenHBand="0" w:firstRowFirstColumn="0" w:firstRowLastColumn="0" w:lastRowFirstColumn="0" w:lastRowLastColumn="0"/>
            <w:tcW w:w="3828" w:type="dxa"/>
          </w:tcPr>
          <w:p w14:paraId="61CC108F" w14:textId="77777777"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Central Business District (CBD)</w:t>
            </w:r>
          </w:p>
        </w:tc>
        <w:tc>
          <w:tcPr>
            <w:tcW w:w="5188" w:type="dxa"/>
          </w:tcPr>
          <w:p w14:paraId="6CA41D08" w14:textId="77777777" w:rsidR="0013334D" w:rsidRPr="006C7B74" w:rsidRDefault="0013334D" w:rsidP="0079077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Melbourne’s original ‘Hoddle Grid’ street layout bounded by the Yarra River, Spring Street, La Trobe Street and Spencer Street, as well as the triangular area to the north bounded by Victoria, Peel and La Trobe streets.</w:t>
            </w:r>
          </w:p>
        </w:tc>
      </w:tr>
      <w:tr w:rsidR="001B2BFB" w:rsidRPr="006C7B74" w14:paraId="761BC44F" w14:textId="77777777" w:rsidTr="00790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213250D3" w14:textId="44BB9F9D"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 xml:space="preserve">Central </w:t>
            </w:r>
            <w:r w:rsidR="002029A4" w:rsidRPr="006C7B74">
              <w:rPr>
                <w:rFonts w:asciiTheme="majorHAnsi" w:hAnsiTheme="majorHAnsi" w:cstheme="majorHAnsi"/>
                <w:color w:val="auto"/>
                <w:sz w:val="16"/>
                <w:szCs w:val="16"/>
              </w:rPr>
              <w:t>C</w:t>
            </w:r>
            <w:r w:rsidRPr="006C7B74">
              <w:rPr>
                <w:rFonts w:asciiTheme="majorHAnsi" w:hAnsiTheme="majorHAnsi" w:cstheme="majorHAnsi"/>
                <w:color w:val="auto"/>
                <w:sz w:val="16"/>
                <w:szCs w:val="16"/>
              </w:rPr>
              <w:t>ity</w:t>
            </w:r>
          </w:p>
        </w:tc>
        <w:tc>
          <w:tcPr>
            <w:tcW w:w="5188" w:type="dxa"/>
          </w:tcPr>
          <w:p w14:paraId="225370D1" w14:textId="77777777" w:rsidR="0013334D" w:rsidRPr="006C7B74" w:rsidRDefault="0013334D" w:rsidP="0079077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The area within the inner region that contains key capital city functions and civic facilities, as well as several precincts identified for major and strategic change. It is a larger area than the Melbourne CBD.</w:t>
            </w:r>
          </w:p>
        </w:tc>
      </w:tr>
      <w:tr w:rsidR="001B2BFB" w:rsidRPr="006C7B74" w14:paraId="52F1C5FA" w14:textId="77777777" w:rsidTr="0079077A">
        <w:tc>
          <w:tcPr>
            <w:cnfStyle w:val="001000000000" w:firstRow="0" w:lastRow="0" w:firstColumn="1" w:lastColumn="0" w:oddVBand="0" w:evenVBand="0" w:oddHBand="0" w:evenHBand="0" w:firstRowFirstColumn="0" w:firstRowLastColumn="0" w:lastRowFirstColumn="0" w:lastRowLastColumn="0"/>
            <w:tcW w:w="3828" w:type="dxa"/>
          </w:tcPr>
          <w:p w14:paraId="066C4FB5" w14:textId="7A544647" w:rsidR="000F4967" w:rsidRPr="006C7B74" w:rsidRDefault="00542249"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Commercial floorspace</w:t>
            </w:r>
          </w:p>
        </w:tc>
        <w:tc>
          <w:tcPr>
            <w:tcW w:w="5188" w:type="dxa"/>
          </w:tcPr>
          <w:p w14:paraId="043A7D9E" w14:textId="12A116FB" w:rsidR="000F4967" w:rsidRPr="006C7B74" w:rsidRDefault="007B1498" w:rsidP="0079077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F</w:t>
            </w:r>
            <w:r w:rsidR="00160F73" w:rsidRPr="006C7B74">
              <w:rPr>
                <w:rFonts w:asciiTheme="majorHAnsi" w:hAnsiTheme="majorHAnsi" w:cstheme="majorHAnsi"/>
                <w:color w:val="auto"/>
                <w:sz w:val="16"/>
                <w:szCs w:val="16"/>
              </w:rPr>
              <w:t>loorspace used by retail, accommodation, food and other industries</w:t>
            </w:r>
            <w:r w:rsidR="00C317A9" w:rsidRPr="006C7B74">
              <w:rPr>
                <w:rFonts w:asciiTheme="majorHAnsi" w:hAnsiTheme="majorHAnsi" w:cstheme="majorHAnsi"/>
                <w:color w:val="auto"/>
                <w:sz w:val="16"/>
                <w:szCs w:val="16"/>
              </w:rPr>
              <w:t>, and</w:t>
            </w:r>
            <w:r w:rsidR="00B535B9" w:rsidRPr="006C7B74">
              <w:rPr>
                <w:rFonts w:asciiTheme="majorHAnsi" w:hAnsiTheme="majorHAnsi" w:cstheme="majorHAnsi"/>
                <w:color w:val="auto"/>
                <w:sz w:val="16"/>
                <w:szCs w:val="16"/>
              </w:rPr>
              <w:t xml:space="preserve"> business service industries</w:t>
            </w:r>
            <w:r w:rsidR="00C317A9" w:rsidRPr="006C7B74">
              <w:rPr>
                <w:rFonts w:asciiTheme="majorHAnsi" w:hAnsiTheme="majorHAnsi" w:cstheme="majorHAnsi"/>
                <w:color w:val="auto"/>
                <w:sz w:val="16"/>
                <w:szCs w:val="16"/>
              </w:rPr>
              <w:t>.</w:t>
            </w:r>
          </w:p>
        </w:tc>
      </w:tr>
      <w:tr w:rsidR="001B2BFB" w:rsidRPr="006C7B74" w14:paraId="07E661F7" w14:textId="77777777" w:rsidTr="00790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3DD1B087" w14:textId="1C8EFCFA" w:rsidR="00542249" w:rsidRPr="006C7B74" w:rsidRDefault="00542249"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Commercial land</w:t>
            </w:r>
          </w:p>
        </w:tc>
        <w:tc>
          <w:tcPr>
            <w:tcW w:w="5188" w:type="dxa"/>
          </w:tcPr>
          <w:p w14:paraId="306E05EF" w14:textId="6AA13493" w:rsidR="00542249" w:rsidRPr="006C7B74" w:rsidRDefault="00F00EC9" w:rsidP="0079077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 xml:space="preserve">Land used for commercial purposes including </w:t>
            </w:r>
            <w:r w:rsidR="007D3A63" w:rsidRPr="006C7B74">
              <w:rPr>
                <w:rFonts w:asciiTheme="majorHAnsi" w:hAnsiTheme="majorHAnsi" w:cstheme="majorHAnsi"/>
                <w:color w:val="auto"/>
                <w:sz w:val="16"/>
                <w:szCs w:val="16"/>
              </w:rPr>
              <w:t xml:space="preserve">land used for </w:t>
            </w:r>
            <w:r w:rsidR="00252B67" w:rsidRPr="006C7B74">
              <w:rPr>
                <w:rFonts w:asciiTheme="majorHAnsi" w:hAnsiTheme="majorHAnsi" w:cstheme="majorHAnsi"/>
                <w:color w:val="auto"/>
                <w:sz w:val="16"/>
                <w:szCs w:val="16"/>
              </w:rPr>
              <w:t xml:space="preserve">business </w:t>
            </w:r>
            <w:r w:rsidR="007D3A63" w:rsidRPr="006C7B74">
              <w:rPr>
                <w:rFonts w:asciiTheme="majorHAnsi" w:hAnsiTheme="majorHAnsi" w:cstheme="majorHAnsi"/>
                <w:color w:val="auto"/>
                <w:sz w:val="16"/>
                <w:szCs w:val="16"/>
              </w:rPr>
              <w:t xml:space="preserve">service; </w:t>
            </w:r>
            <w:r w:rsidR="00E54EE7" w:rsidRPr="006C7B74">
              <w:rPr>
                <w:rFonts w:asciiTheme="majorHAnsi" w:hAnsiTheme="majorHAnsi" w:cstheme="majorHAnsi"/>
                <w:color w:val="auto"/>
                <w:sz w:val="16"/>
                <w:szCs w:val="16"/>
              </w:rPr>
              <w:t>r</w:t>
            </w:r>
            <w:r w:rsidR="007D3A63" w:rsidRPr="006C7B74">
              <w:rPr>
                <w:rFonts w:asciiTheme="majorHAnsi" w:hAnsiTheme="majorHAnsi" w:cstheme="majorHAnsi"/>
                <w:color w:val="auto"/>
                <w:sz w:val="16"/>
                <w:szCs w:val="16"/>
              </w:rPr>
              <w:t xml:space="preserve">etail, accommodation, food and other industries. </w:t>
            </w:r>
          </w:p>
        </w:tc>
      </w:tr>
      <w:tr w:rsidR="001B2BFB" w:rsidRPr="006C7B74" w14:paraId="32AA76D6" w14:textId="77777777" w:rsidTr="0079077A">
        <w:tc>
          <w:tcPr>
            <w:cnfStyle w:val="001000000000" w:firstRow="0" w:lastRow="0" w:firstColumn="1" w:lastColumn="0" w:oddVBand="0" w:evenVBand="0" w:oddHBand="0" w:evenHBand="0" w:firstRowFirstColumn="0" w:firstRowLastColumn="0" w:lastRowFirstColumn="0" w:lastRowLastColumn="0"/>
            <w:tcW w:w="3828" w:type="dxa"/>
          </w:tcPr>
          <w:p w14:paraId="2247085B" w14:textId="2F8785E2"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 xml:space="preserve">Community </w:t>
            </w:r>
            <w:r w:rsidR="00222F85" w:rsidRPr="006C7B74">
              <w:rPr>
                <w:rFonts w:asciiTheme="majorHAnsi" w:hAnsiTheme="majorHAnsi" w:cstheme="majorHAnsi"/>
                <w:color w:val="auto"/>
                <w:sz w:val="16"/>
                <w:szCs w:val="16"/>
              </w:rPr>
              <w:t>s</w:t>
            </w:r>
            <w:r w:rsidRPr="006C7B74">
              <w:rPr>
                <w:rFonts w:asciiTheme="majorHAnsi" w:hAnsiTheme="majorHAnsi" w:cstheme="majorHAnsi"/>
                <w:color w:val="auto"/>
                <w:sz w:val="16"/>
                <w:szCs w:val="16"/>
              </w:rPr>
              <w:t xml:space="preserve">ervice </w:t>
            </w:r>
            <w:r w:rsidR="00222F85" w:rsidRPr="006C7B74">
              <w:rPr>
                <w:rFonts w:asciiTheme="majorHAnsi" w:hAnsiTheme="majorHAnsi" w:cstheme="majorHAnsi"/>
                <w:color w:val="auto"/>
                <w:sz w:val="16"/>
                <w:szCs w:val="16"/>
              </w:rPr>
              <w:t>i</w:t>
            </w:r>
            <w:r w:rsidRPr="006C7B74">
              <w:rPr>
                <w:rFonts w:asciiTheme="majorHAnsi" w:hAnsiTheme="majorHAnsi" w:cstheme="majorHAnsi"/>
                <w:color w:val="auto"/>
                <w:sz w:val="16"/>
                <w:szCs w:val="16"/>
              </w:rPr>
              <w:t>ndustries</w:t>
            </w:r>
          </w:p>
        </w:tc>
        <w:tc>
          <w:tcPr>
            <w:tcW w:w="5188" w:type="dxa"/>
          </w:tcPr>
          <w:p w14:paraId="1A185611" w14:textId="11E0D244" w:rsidR="0013334D" w:rsidRPr="006C7B74" w:rsidRDefault="0013334D" w:rsidP="0079077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 xml:space="preserve">Includes the following ANZSIC industry classifications: </w:t>
            </w:r>
            <w:r w:rsidR="00D00041" w:rsidRPr="006C7B74">
              <w:rPr>
                <w:rFonts w:asciiTheme="majorHAnsi" w:hAnsiTheme="majorHAnsi" w:cstheme="majorHAnsi"/>
                <w:color w:val="auto"/>
                <w:sz w:val="16"/>
                <w:szCs w:val="16"/>
              </w:rPr>
              <w:t>a</w:t>
            </w:r>
            <w:r w:rsidRPr="006C7B74">
              <w:rPr>
                <w:rFonts w:asciiTheme="majorHAnsi" w:hAnsiTheme="majorHAnsi" w:cstheme="majorHAnsi"/>
                <w:color w:val="auto"/>
                <w:sz w:val="16"/>
                <w:szCs w:val="16"/>
              </w:rPr>
              <w:t xml:space="preserve">rts and recreation services; </w:t>
            </w:r>
            <w:r w:rsidR="00D00041" w:rsidRPr="006C7B74">
              <w:rPr>
                <w:rFonts w:asciiTheme="majorHAnsi" w:hAnsiTheme="majorHAnsi" w:cstheme="majorHAnsi"/>
                <w:color w:val="auto"/>
                <w:sz w:val="16"/>
                <w:szCs w:val="16"/>
              </w:rPr>
              <w:t>e</w:t>
            </w:r>
            <w:r w:rsidRPr="006C7B74">
              <w:rPr>
                <w:rFonts w:asciiTheme="majorHAnsi" w:hAnsiTheme="majorHAnsi" w:cstheme="majorHAnsi"/>
                <w:color w:val="auto"/>
                <w:sz w:val="16"/>
                <w:szCs w:val="16"/>
              </w:rPr>
              <w:t xml:space="preserve">ducation and training; </w:t>
            </w:r>
            <w:r w:rsidR="00D00041" w:rsidRPr="006C7B74">
              <w:rPr>
                <w:rFonts w:asciiTheme="majorHAnsi" w:hAnsiTheme="majorHAnsi" w:cstheme="majorHAnsi"/>
                <w:color w:val="auto"/>
                <w:sz w:val="16"/>
                <w:szCs w:val="16"/>
              </w:rPr>
              <w:t>h</w:t>
            </w:r>
            <w:r w:rsidRPr="006C7B74">
              <w:rPr>
                <w:rFonts w:asciiTheme="majorHAnsi" w:hAnsiTheme="majorHAnsi" w:cstheme="majorHAnsi"/>
                <w:color w:val="auto"/>
                <w:sz w:val="16"/>
                <w:szCs w:val="16"/>
              </w:rPr>
              <w:t>ealth care and social assistance.</w:t>
            </w:r>
          </w:p>
        </w:tc>
      </w:tr>
      <w:tr w:rsidR="001B2BFB" w:rsidRPr="006C7B74" w14:paraId="1AF3FC95" w14:textId="77777777" w:rsidTr="00790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292B8B47" w14:textId="32B4AA7B" w:rsidR="00C70D6F" w:rsidRPr="006C7B74" w:rsidRDefault="00C70D6F"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Creative industry</w:t>
            </w:r>
          </w:p>
        </w:tc>
        <w:tc>
          <w:tcPr>
            <w:tcW w:w="5188" w:type="dxa"/>
          </w:tcPr>
          <w:p w14:paraId="068AEEB3" w14:textId="7D27EF50" w:rsidR="00C70D6F" w:rsidRPr="006C7B74" w:rsidRDefault="00A93EE9" w:rsidP="0079077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Media, digital screen, design, writing and publishing, literature, fashion, performing arts, digital games development, broadcasting, music, cultural heritage</w:t>
            </w:r>
            <w:r w:rsidR="00222F85" w:rsidRPr="006C7B74">
              <w:rPr>
                <w:rFonts w:asciiTheme="majorHAnsi" w:hAnsiTheme="majorHAnsi" w:cstheme="majorHAnsi"/>
                <w:color w:val="auto"/>
                <w:sz w:val="16"/>
                <w:szCs w:val="16"/>
              </w:rPr>
              <w:t>,</w:t>
            </w:r>
            <w:r w:rsidR="00AE0F24" w:rsidRPr="006C7B74">
              <w:rPr>
                <w:rFonts w:asciiTheme="majorHAnsi" w:hAnsiTheme="majorHAnsi" w:cstheme="majorHAnsi"/>
                <w:color w:val="auto"/>
                <w:sz w:val="16"/>
                <w:szCs w:val="16"/>
              </w:rPr>
              <w:t xml:space="preserve"> </w:t>
            </w:r>
            <w:r w:rsidRPr="006C7B74">
              <w:rPr>
                <w:rFonts w:asciiTheme="majorHAnsi" w:hAnsiTheme="majorHAnsi" w:cstheme="majorHAnsi"/>
                <w:color w:val="auto"/>
                <w:sz w:val="16"/>
                <w:szCs w:val="16"/>
              </w:rPr>
              <w:t>arts</w:t>
            </w:r>
            <w:r w:rsidR="00AE0F24" w:rsidRPr="006C7B74">
              <w:rPr>
                <w:rFonts w:asciiTheme="majorHAnsi" w:hAnsiTheme="majorHAnsi" w:cstheme="majorHAnsi"/>
                <w:color w:val="auto"/>
                <w:sz w:val="16"/>
                <w:szCs w:val="16"/>
              </w:rPr>
              <w:t>,</w:t>
            </w:r>
            <w:r w:rsidRPr="006C7B74">
              <w:rPr>
                <w:rFonts w:asciiTheme="majorHAnsi" w:hAnsiTheme="majorHAnsi" w:cstheme="majorHAnsi"/>
                <w:color w:val="auto"/>
                <w:sz w:val="16"/>
                <w:szCs w:val="16"/>
              </w:rPr>
              <w:t xml:space="preserve"> education and craft</w:t>
            </w:r>
            <w:r w:rsidR="00177B83" w:rsidRPr="006C7B74">
              <w:rPr>
                <w:rFonts w:asciiTheme="majorHAnsi" w:hAnsiTheme="majorHAnsi" w:cstheme="majorHAnsi"/>
                <w:color w:val="auto"/>
                <w:sz w:val="16"/>
                <w:szCs w:val="16"/>
              </w:rPr>
              <w:t xml:space="preserve"> industries</w:t>
            </w:r>
            <w:r w:rsidRPr="006C7B74">
              <w:rPr>
                <w:rFonts w:asciiTheme="majorHAnsi" w:hAnsiTheme="majorHAnsi" w:cstheme="majorHAnsi"/>
                <w:color w:val="auto"/>
                <w:sz w:val="16"/>
                <w:szCs w:val="16"/>
              </w:rPr>
              <w:t>.</w:t>
            </w:r>
          </w:p>
        </w:tc>
      </w:tr>
      <w:tr w:rsidR="001B2BFB" w:rsidRPr="006C7B74" w14:paraId="0AB472E6" w14:textId="77777777" w:rsidTr="0079077A">
        <w:tc>
          <w:tcPr>
            <w:cnfStyle w:val="001000000000" w:firstRow="0" w:lastRow="0" w:firstColumn="1" w:lastColumn="0" w:oddVBand="0" w:evenVBand="0" w:oddHBand="0" w:evenHBand="0" w:firstRowFirstColumn="0" w:firstRowLastColumn="0" w:lastRowFirstColumn="0" w:lastRowLastColumn="0"/>
            <w:tcW w:w="3828" w:type="dxa"/>
          </w:tcPr>
          <w:p w14:paraId="08C52FE7" w14:textId="01ADA8BB" w:rsidR="00663633" w:rsidRPr="006C7B74" w:rsidRDefault="00663633"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Eastern Region</w:t>
            </w:r>
          </w:p>
        </w:tc>
        <w:tc>
          <w:tcPr>
            <w:tcW w:w="5188" w:type="dxa"/>
          </w:tcPr>
          <w:p w14:paraId="0FCB70D6" w14:textId="08E66A73" w:rsidR="00663633" w:rsidRPr="006C7B74" w:rsidRDefault="00617C89" w:rsidP="00617C89">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Includes the municipalities of Knox, Manningham, Maroondah, Monash, Whitehorse and Yarra Ranges.</w:t>
            </w:r>
          </w:p>
        </w:tc>
      </w:tr>
      <w:tr w:rsidR="001B2BFB" w:rsidRPr="006C7B74" w14:paraId="5F1CE529" w14:textId="77777777" w:rsidTr="00790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22EFD375" w14:textId="78EF475A" w:rsidR="00744F0D" w:rsidRPr="006C7B74" w:rsidRDefault="005318F7"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 xml:space="preserve">Employment </w:t>
            </w:r>
            <w:r w:rsidR="001B159F" w:rsidRPr="006C7B74">
              <w:rPr>
                <w:rFonts w:asciiTheme="majorHAnsi" w:hAnsiTheme="majorHAnsi" w:cstheme="majorHAnsi"/>
                <w:color w:val="auto"/>
                <w:sz w:val="16"/>
                <w:szCs w:val="16"/>
              </w:rPr>
              <w:t>land</w:t>
            </w:r>
          </w:p>
        </w:tc>
        <w:tc>
          <w:tcPr>
            <w:tcW w:w="5188" w:type="dxa"/>
          </w:tcPr>
          <w:p w14:paraId="658FF7A8" w14:textId="66E49DEC" w:rsidR="0000696D" w:rsidRPr="006C7B74" w:rsidRDefault="00905DB6" w:rsidP="007E7D6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 xml:space="preserve">Land that is </w:t>
            </w:r>
            <w:r w:rsidR="007E7D6A" w:rsidRPr="006C7B74">
              <w:rPr>
                <w:rFonts w:asciiTheme="majorHAnsi" w:hAnsiTheme="majorHAnsi" w:cstheme="majorHAnsi"/>
                <w:color w:val="auto"/>
                <w:sz w:val="16"/>
                <w:szCs w:val="16"/>
              </w:rPr>
              <w:t xml:space="preserve">generally </w:t>
            </w:r>
            <w:r w:rsidRPr="006C7B74">
              <w:rPr>
                <w:rFonts w:asciiTheme="majorHAnsi" w:hAnsiTheme="majorHAnsi" w:cstheme="majorHAnsi"/>
                <w:color w:val="auto"/>
                <w:sz w:val="16"/>
                <w:szCs w:val="16"/>
              </w:rPr>
              <w:t xml:space="preserve">zoned </w:t>
            </w:r>
            <w:r w:rsidR="00632EAE" w:rsidRPr="006C7B74">
              <w:rPr>
                <w:rFonts w:asciiTheme="majorHAnsi" w:hAnsiTheme="majorHAnsi" w:cstheme="majorHAnsi"/>
                <w:color w:val="auto"/>
                <w:sz w:val="16"/>
                <w:szCs w:val="16"/>
              </w:rPr>
              <w:t xml:space="preserve">or otherwise identified </w:t>
            </w:r>
            <w:r w:rsidRPr="006C7B74">
              <w:rPr>
                <w:rFonts w:asciiTheme="majorHAnsi" w:hAnsiTheme="majorHAnsi" w:cstheme="majorHAnsi"/>
                <w:color w:val="auto"/>
                <w:sz w:val="16"/>
                <w:szCs w:val="16"/>
              </w:rPr>
              <w:t xml:space="preserve">for either industrial or commercial purposes. </w:t>
            </w:r>
            <w:r w:rsidR="00632EAE" w:rsidRPr="006C7B74">
              <w:rPr>
                <w:rFonts w:asciiTheme="majorHAnsi" w:hAnsiTheme="majorHAnsi" w:cstheme="majorHAnsi"/>
                <w:color w:val="auto"/>
                <w:sz w:val="16"/>
                <w:szCs w:val="16"/>
              </w:rPr>
              <w:t>It generally allows</w:t>
            </w:r>
            <w:r w:rsidR="00920407" w:rsidRPr="006C7B74">
              <w:rPr>
                <w:rFonts w:asciiTheme="majorHAnsi" w:hAnsiTheme="majorHAnsi" w:cstheme="majorHAnsi"/>
                <w:color w:val="auto"/>
                <w:sz w:val="16"/>
                <w:szCs w:val="16"/>
              </w:rPr>
              <w:t xml:space="preserve"> for a range of manufacturing industries, </w:t>
            </w:r>
            <w:r w:rsidR="004760E1" w:rsidRPr="006C7B74">
              <w:rPr>
                <w:rFonts w:asciiTheme="majorHAnsi" w:hAnsiTheme="majorHAnsi" w:cstheme="majorHAnsi"/>
                <w:color w:val="auto"/>
                <w:sz w:val="16"/>
                <w:szCs w:val="16"/>
              </w:rPr>
              <w:t>the storage and distribution of goods, retail, office, business, entertainment and other associated uses.</w:t>
            </w:r>
          </w:p>
        </w:tc>
      </w:tr>
      <w:tr w:rsidR="00A67C8C" w:rsidRPr="006C7B74" w14:paraId="760E895F" w14:textId="77777777" w:rsidTr="0079077A">
        <w:tc>
          <w:tcPr>
            <w:cnfStyle w:val="001000000000" w:firstRow="0" w:lastRow="0" w:firstColumn="1" w:lastColumn="0" w:oddVBand="0" w:evenVBand="0" w:oddHBand="0" w:evenHBand="0" w:firstRowFirstColumn="0" w:firstRowLastColumn="0" w:lastRowFirstColumn="0" w:lastRowLastColumn="0"/>
            <w:tcW w:w="3828" w:type="dxa"/>
          </w:tcPr>
          <w:p w14:paraId="07F4B3D1" w14:textId="05CB54C4" w:rsidR="00A67C8C" w:rsidRPr="006C7B74" w:rsidRDefault="00A67C8C"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Greater Melbour</w:t>
            </w:r>
            <w:r w:rsidR="00DB0DF8" w:rsidRPr="006C7B74">
              <w:rPr>
                <w:rFonts w:asciiTheme="majorHAnsi" w:hAnsiTheme="majorHAnsi" w:cstheme="majorHAnsi"/>
                <w:color w:val="auto"/>
                <w:sz w:val="16"/>
                <w:szCs w:val="16"/>
              </w:rPr>
              <w:t>n</w:t>
            </w:r>
            <w:r w:rsidRPr="006C7B74">
              <w:rPr>
                <w:rFonts w:asciiTheme="majorHAnsi" w:hAnsiTheme="majorHAnsi" w:cstheme="majorHAnsi"/>
                <w:color w:val="auto"/>
                <w:sz w:val="16"/>
                <w:szCs w:val="16"/>
              </w:rPr>
              <w:t>e</w:t>
            </w:r>
            <w:r w:rsidR="00D30B7A" w:rsidRPr="006C7B74">
              <w:rPr>
                <w:rFonts w:asciiTheme="majorHAnsi" w:hAnsiTheme="majorHAnsi" w:cstheme="majorHAnsi"/>
                <w:color w:val="auto"/>
                <w:sz w:val="16"/>
                <w:szCs w:val="16"/>
              </w:rPr>
              <w:t xml:space="preserve"> area</w:t>
            </w:r>
          </w:p>
        </w:tc>
        <w:tc>
          <w:tcPr>
            <w:tcW w:w="5188" w:type="dxa"/>
          </w:tcPr>
          <w:p w14:paraId="51A30548" w14:textId="2E6C6970" w:rsidR="007F373F" w:rsidRPr="006C7B74" w:rsidRDefault="00C3788D" w:rsidP="00580BC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Defined by the ABS</w:t>
            </w:r>
            <w:r w:rsidR="00993029" w:rsidRPr="006C7B74">
              <w:rPr>
                <w:rFonts w:asciiTheme="majorHAnsi" w:hAnsiTheme="majorHAnsi" w:cstheme="majorHAnsi"/>
                <w:color w:val="auto"/>
                <w:sz w:val="16"/>
                <w:szCs w:val="16"/>
              </w:rPr>
              <w:t>, t</w:t>
            </w:r>
            <w:r w:rsidR="00A773BA" w:rsidRPr="006C7B74">
              <w:rPr>
                <w:rFonts w:asciiTheme="majorHAnsi" w:hAnsiTheme="majorHAnsi" w:cstheme="majorHAnsi"/>
                <w:color w:val="auto"/>
                <w:sz w:val="16"/>
                <w:szCs w:val="16"/>
              </w:rPr>
              <w:t>he</w:t>
            </w:r>
            <w:r w:rsidRPr="006C7B74">
              <w:rPr>
                <w:rFonts w:asciiTheme="majorHAnsi" w:hAnsiTheme="majorHAnsi" w:cstheme="majorHAnsi"/>
                <w:color w:val="auto"/>
                <w:sz w:val="16"/>
                <w:szCs w:val="16"/>
              </w:rPr>
              <w:t xml:space="preserve"> area</w:t>
            </w:r>
            <w:r w:rsidR="00A773BA" w:rsidRPr="006C7B74">
              <w:rPr>
                <w:rFonts w:asciiTheme="majorHAnsi" w:hAnsiTheme="majorHAnsi" w:cstheme="majorHAnsi"/>
                <w:color w:val="auto"/>
                <w:sz w:val="16"/>
                <w:szCs w:val="16"/>
              </w:rPr>
              <w:t xml:space="preserve"> contain</w:t>
            </w:r>
            <w:r w:rsidRPr="006C7B74">
              <w:rPr>
                <w:rFonts w:asciiTheme="majorHAnsi" w:hAnsiTheme="majorHAnsi" w:cstheme="majorHAnsi"/>
                <w:color w:val="auto"/>
                <w:sz w:val="16"/>
                <w:szCs w:val="16"/>
              </w:rPr>
              <w:t>s</w:t>
            </w:r>
            <w:r w:rsidR="00A773BA" w:rsidRPr="006C7B74">
              <w:rPr>
                <w:rFonts w:asciiTheme="majorHAnsi" w:hAnsiTheme="majorHAnsi" w:cstheme="majorHAnsi"/>
                <w:color w:val="auto"/>
                <w:sz w:val="16"/>
                <w:szCs w:val="16"/>
              </w:rPr>
              <w:t xml:space="preserve"> not only the urban area of the city, but also the surrounding and non-urban areas where much of the population has strong links to the capital city</w:t>
            </w:r>
            <w:r w:rsidR="00F35BEA" w:rsidRPr="006C7B74">
              <w:rPr>
                <w:rFonts w:asciiTheme="majorHAnsi" w:hAnsiTheme="majorHAnsi" w:cstheme="majorHAnsi"/>
                <w:color w:val="auto"/>
                <w:sz w:val="16"/>
                <w:szCs w:val="16"/>
              </w:rPr>
              <w:t>. It includes t</w:t>
            </w:r>
            <w:r w:rsidR="005B0B21" w:rsidRPr="006C7B74">
              <w:rPr>
                <w:rFonts w:asciiTheme="majorHAnsi" w:hAnsiTheme="majorHAnsi" w:cstheme="majorHAnsi"/>
                <w:color w:val="auto"/>
                <w:sz w:val="16"/>
                <w:szCs w:val="16"/>
              </w:rPr>
              <w:t xml:space="preserve">he 31 Local Government Areas which make up metropolitan Melbourne, plus the surrounding Statistical Areas Level 2 (SA2) of Bacchus Marsh, Gisborne, Macedon, Romsey, </w:t>
            </w:r>
            <w:proofErr w:type="spellStart"/>
            <w:r w:rsidR="005B0B21" w:rsidRPr="006C7B74">
              <w:rPr>
                <w:rFonts w:asciiTheme="majorHAnsi" w:hAnsiTheme="majorHAnsi" w:cstheme="majorHAnsi"/>
                <w:color w:val="auto"/>
                <w:sz w:val="16"/>
                <w:szCs w:val="16"/>
              </w:rPr>
              <w:t>Riddells</w:t>
            </w:r>
            <w:proofErr w:type="spellEnd"/>
            <w:r w:rsidR="005B0B21" w:rsidRPr="006C7B74">
              <w:rPr>
                <w:rFonts w:asciiTheme="majorHAnsi" w:hAnsiTheme="majorHAnsi" w:cstheme="majorHAnsi"/>
                <w:color w:val="auto"/>
                <w:sz w:val="16"/>
                <w:szCs w:val="16"/>
              </w:rPr>
              <w:t xml:space="preserve"> Creek, Wallan and Kinglake</w:t>
            </w:r>
            <w:r w:rsidR="00580BCE" w:rsidRPr="006C7B74">
              <w:rPr>
                <w:rFonts w:asciiTheme="majorHAnsi" w:hAnsiTheme="majorHAnsi" w:cstheme="majorHAnsi"/>
                <w:color w:val="auto"/>
                <w:sz w:val="16"/>
                <w:szCs w:val="16"/>
              </w:rPr>
              <w:t>.</w:t>
            </w:r>
          </w:p>
        </w:tc>
      </w:tr>
      <w:tr w:rsidR="001B2BFB" w:rsidRPr="006C7B74" w14:paraId="3E30A569" w14:textId="77777777" w:rsidTr="00790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509DAD1C" w14:textId="77777777"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Green wedges</w:t>
            </w:r>
          </w:p>
        </w:tc>
        <w:tc>
          <w:tcPr>
            <w:tcW w:w="5188" w:type="dxa"/>
          </w:tcPr>
          <w:p w14:paraId="4C06DBF2" w14:textId="77777777" w:rsidR="0013334D" w:rsidRPr="006C7B74" w:rsidRDefault="0013334D" w:rsidP="0079077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Defined under Part 3AA of the Planning and Environment Act 1987 as “land that is described in a metropolitan fringe planning scheme as being outside an urban growth boundary”. There are 12 defined green wedges spanning parts of 17 municipalities.</w:t>
            </w:r>
          </w:p>
        </w:tc>
      </w:tr>
      <w:tr w:rsidR="001B2BFB" w:rsidRPr="006C7B74" w14:paraId="3FF3AF93" w14:textId="77777777" w:rsidTr="0079077A">
        <w:tc>
          <w:tcPr>
            <w:cnfStyle w:val="001000000000" w:firstRow="0" w:lastRow="0" w:firstColumn="1" w:lastColumn="0" w:oddVBand="0" w:evenVBand="0" w:oddHBand="0" w:evenHBand="0" w:firstRowFirstColumn="0" w:firstRowLastColumn="0" w:lastRowFirstColumn="0" w:lastRowLastColumn="0"/>
            <w:tcW w:w="3828" w:type="dxa"/>
          </w:tcPr>
          <w:p w14:paraId="6B468675" w14:textId="77777777"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Gross regional product (GRP)</w:t>
            </w:r>
          </w:p>
        </w:tc>
        <w:tc>
          <w:tcPr>
            <w:tcW w:w="5188" w:type="dxa"/>
          </w:tcPr>
          <w:p w14:paraId="0BA12421" w14:textId="33EED76F" w:rsidR="00594EE3" w:rsidRPr="006C7B74" w:rsidRDefault="0013334D" w:rsidP="0079077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Gross regional product is a measure of the market value of all final goods and services produced in a region over a period of time.</w:t>
            </w:r>
          </w:p>
        </w:tc>
      </w:tr>
      <w:tr w:rsidR="00594EE3" w:rsidRPr="006C7B74" w14:paraId="6E95FD22" w14:textId="77777777" w:rsidTr="00790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63486951" w14:textId="303ABC7E" w:rsidR="00594EE3" w:rsidRPr="006C7B74" w:rsidRDefault="00594EE3"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lastRenderedPageBreak/>
              <w:t xml:space="preserve">Gross </w:t>
            </w:r>
            <w:r w:rsidR="00594C80" w:rsidRPr="006C7B74">
              <w:rPr>
                <w:rFonts w:asciiTheme="majorHAnsi" w:hAnsiTheme="majorHAnsi" w:cstheme="majorHAnsi"/>
                <w:color w:val="auto"/>
                <w:sz w:val="16"/>
                <w:szCs w:val="16"/>
              </w:rPr>
              <w:t>state product (GSP)</w:t>
            </w:r>
          </w:p>
        </w:tc>
        <w:tc>
          <w:tcPr>
            <w:tcW w:w="5188" w:type="dxa"/>
          </w:tcPr>
          <w:p w14:paraId="6BFD46E7" w14:textId="4EB3F56C" w:rsidR="00594EE3" w:rsidRPr="006C7B74" w:rsidRDefault="002C5600" w:rsidP="0079077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Gross state product is defined equivalently to gross domestic product (GDP) but refers to production within a state or territory rather than to the nation as a whole.</w:t>
            </w:r>
            <w:r w:rsidR="00841D4E" w:rsidRPr="006C7B74">
              <w:rPr>
                <w:rFonts w:asciiTheme="majorHAnsi" w:hAnsiTheme="majorHAnsi"/>
                <w:bCs/>
                <w:szCs w:val="16"/>
              </w:rPr>
              <w:t xml:space="preserve"> </w:t>
            </w:r>
            <w:r w:rsidR="00841D4E" w:rsidRPr="006C7B74">
              <w:rPr>
                <w:rFonts w:asciiTheme="majorHAnsi" w:hAnsiTheme="majorHAnsi" w:cstheme="majorHAnsi"/>
                <w:color w:val="auto"/>
                <w:sz w:val="16"/>
                <w:szCs w:val="16"/>
              </w:rPr>
              <w:t>GDP is t</w:t>
            </w:r>
            <w:r w:rsidR="00F27C19" w:rsidRPr="006C7B74">
              <w:rPr>
                <w:rFonts w:asciiTheme="majorHAnsi" w:hAnsiTheme="majorHAnsi" w:cstheme="majorHAnsi"/>
                <w:color w:val="auto"/>
                <w:sz w:val="16"/>
                <w:szCs w:val="16"/>
              </w:rPr>
              <w:t xml:space="preserve">he total market value of goods and services produced in Australia within a given period after deducting the cost of goods and services used up in the process of production but before deducting allowances for the consumption of fixed capital. </w:t>
            </w:r>
          </w:p>
        </w:tc>
      </w:tr>
      <w:tr w:rsidR="004540DF" w:rsidRPr="006C7B74" w14:paraId="615E468E" w14:textId="77777777" w:rsidTr="0079077A">
        <w:tc>
          <w:tcPr>
            <w:cnfStyle w:val="001000000000" w:firstRow="0" w:lastRow="0" w:firstColumn="1" w:lastColumn="0" w:oddVBand="0" w:evenVBand="0" w:oddHBand="0" w:evenHBand="0" w:firstRowFirstColumn="0" w:firstRowLastColumn="0" w:lastRowFirstColumn="0" w:lastRowLastColumn="0"/>
            <w:tcW w:w="3828" w:type="dxa"/>
          </w:tcPr>
          <w:p w14:paraId="311A7D77" w14:textId="41FC9C7B" w:rsidR="004540DF" w:rsidRPr="006C7B74" w:rsidRDefault="00076E5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 xml:space="preserve">Growth </w:t>
            </w:r>
            <w:r w:rsidR="00B322BA" w:rsidRPr="006C7B74">
              <w:rPr>
                <w:rFonts w:asciiTheme="majorHAnsi" w:hAnsiTheme="majorHAnsi" w:cstheme="majorHAnsi"/>
                <w:color w:val="auto"/>
                <w:sz w:val="16"/>
                <w:szCs w:val="16"/>
              </w:rPr>
              <w:t>a</w:t>
            </w:r>
            <w:r w:rsidRPr="006C7B74">
              <w:rPr>
                <w:rFonts w:asciiTheme="majorHAnsi" w:hAnsiTheme="majorHAnsi" w:cstheme="majorHAnsi"/>
                <w:color w:val="auto"/>
                <w:sz w:val="16"/>
                <w:szCs w:val="16"/>
              </w:rPr>
              <w:t xml:space="preserve">rea </w:t>
            </w:r>
            <w:r w:rsidR="00B322BA" w:rsidRPr="006C7B74">
              <w:rPr>
                <w:rFonts w:asciiTheme="majorHAnsi" w:hAnsiTheme="majorHAnsi" w:cstheme="majorHAnsi"/>
                <w:color w:val="auto"/>
                <w:sz w:val="16"/>
                <w:szCs w:val="16"/>
              </w:rPr>
              <w:t>b</w:t>
            </w:r>
            <w:r w:rsidRPr="006C7B74">
              <w:rPr>
                <w:rFonts w:asciiTheme="majorHAnsi" w:hAnsiTheme="majorHAnsi" w:cstheme="majorHAnsi"/>
                <w:color w:val="auto"/>
                <w:sz w:val="16"/>
                <w:szCs w:val="16"/>
              </w:rPr>
              <w:t xml:space="preserve">usiness </w:t>
            </w:r>
            <w:r w:rsidR="00AE7DD1" w:rsidRPr="006C7B74">
              <w:rPr>
                <w:rFonts w:asciiTheme="majorHAnsi" w:hAnsiTheme="majorHAnsi" w:cstheme="majorHAnsi"/>
                <w:color w:val="auto"/>
                <w:sz w:val="16"/>
                <w:szCs w:val="16"/>
              </w:rPr>
              <w:t xml:space="preserve">with residential </w:t>
            </w:r>
            <w:r w:rsidR="00B322BA" w:rsidRPr="006C7B74">
              <w:rPr>
                <w:rFonts w:asciiTheme="majorHAnsi" w:hAnsiTheme="majorHAnsi" w:cstheme="majorHAnsi"/>
                <w:color w:val="auto"/>
                <w:sz w:val="16"/>
                <w:szCs w:val="16"/>
              </w:rPr>
              <w:t>p</w:t>
            </w:r>
            <w:r w:rsidRPr="006C7B74">
              <w:rPr>
                <w:rFonts w:asciiTheme="majorHAnsi" w:hAnsiTheme="majorHAnsi" w:cstheme="majorHAnsi"/>
                <w:color w:val="auto"/>
                <w:sz w:val="16"/>
                <w:szCs w:val="16"/>
              </w:rPr>
              <w:t>recinct</w:t>
            </w:r>
            <w:r w:rsidR="00BD277C" w:rsidRPr="006C7B74">
              <w:rPr>
                <w:rFonts w:asciiTheme="majorHAnsi" w:hAnsiTheme="majorHAnsi" w:cstheme="majorHAnsi"/>
                <w:color w:val="auto"/>
                <w:sz w:val="16"/>
                <w:szCs w:val="16"/>
              </w:rPr>
              <w:t>s</w:t>
            </w:r>
          </w:p>
        </w:tc>
        <w:tc>
          <w:tcPr>
            <w:tcW w:w="5188" w:type="dxa"/>
          </w:tcPr>
          <w:p w14:paraId="604C1213" w14:textId="0C2C6E79" w:rsidR="004540DF" w:rsidRPr="006C7B74" w:rsidRDefault="00BD277C" w:rsidP="00B6379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 xml:space="preserve">Growth </w:t>
            </w:r>
            <w:r w:rsidR="00B322BA" w:rsidRPr="006C7B74">
              <w:rPr>
                <w:rFonts w:asciiTheme="majorHAnsi" w:hAnsiTheme="majorHAnsi" w:cstheme="majorHAnsi"/>
                <w:color w:val="auto"/>
                <w:sz w:val="16"/>
                <w:szCs w:val="16"/>
              </w:rPr>
              <w:t>a</w:t>
            </w:r>
            <w:r w:rsidRPr="006C7B74">
              <w:rPr>
                <w:rFonts w:asciiTheme="majorHAnsi" w:hAnsiTheme="majorHAnsi" w:cstheme="majorHAnsi"/>
                <w:color w:val="auto"/>
                <w:sz w:val="16"/>
                <w:szCs w:val="16"/>
              </w:rPr>
              <w:t xml:space="preserve">rea </w:t>
            </w:r>
            <w:r w:rsidR="00B322BA" w:rsidRPr="006C7B74">
              <w:rPr>
                <w:rFonts w:asciiTheme="majorHAnsi" w:hAnsiTheme="majorHAnsi" w:cstheme="majorHAnsi"/>
                <w:color w:val="auto"/>
                <w:sz w:val="16"/>
                <w:szCs w:val="16"/>
              </w:rPr>
              <w:t>b</w:t>
            </w:r>
            <w:r w:rsidRPr="006C7B74">
              <w:rPr>
                <w:rFonts w:asciiTheme="majorHAnsi" w:hAnsiTheme="majorHAnsi" w:cstheme="majorHAnsi"/>
                <w:color w:val="auto"/>
                <w:sz w:val="16"/>
                <w:szCs w:val="16"/>
              </w:rPr>
              <w:t>usiness</w:t>
            </w:r>
            <w:r w:rsidR="00AE7DD1" w:rsidRPr="006C7B74">
              <w:rPr>
                <w:rFonts w:asciiTheme="majorHAnsi" w:hAnsiTheme="majorHAnsi" w:cstheme="majorHAnsi"/>
                <w:color w:val="auto"/>
                <w:sz w:val="16"/>
                <w:szCs w:val="16"/>
              </w:rPr>
              <w:t xml:space="preserve"> with residential</w:t>
            </w:r>
            <w:r w:rsidRPr="006C7B74">
              <w:rPr>
                <w:rFonts w:asciiTheme="majorHAnsi" w:hAnsiTheme="majorHAnsi" w:cstheme="majorHAnsi"/>
                <w:color w:val="auto"/>
                <w:sz w:val="16"/>
                <w:szCs w:val="16"/>
              </w:rPr>
              <w:t xml:space="preserve"> </w:t>
            </w:r>
            <w:r w:rsidR="00B322BA" w:rsidRPr="006C7B74">
              <w:rPr>
                <w:rFonts w:asciiTheme="majorHAnsi" w:hAnsiTheme="majorHAnsi" w:cstheme="majorHAnsi"/>
                <w:color w:val="auto"/>
                <w:sz w:val="16"/>
                <w:szCs w:val="16"/>
              </w:rPr>
              <w:t>p</w:t>
            </w:r>
            <w:r w:rsidRPr="006C7B74">
              <w:rPr>
                <w:rFonts w:asciiTheme="majorHAnsi" w:hAnsiTheme="majorHAnsi" w:cstheme="majorHAnsi"/>
                <w:color w:val="auto"/>
                <w:sz w:val="16"/>
                <w:szCs w:val="16"/>
              </w:rPr>
              <w:t xml:space="preserve">recincts </w:t>
            </w:r>
            <w:r w:rsidR="009246FC" w:rsidRPr="006C7B74">
              <w:rPr>
                <w:rFonts w:asciiTheme="majorHAnsi" w:hAnsiTheme="majorHAnsi" w:cstheme="majorHAnsi"/>
                <w:color w:val="auto"/>
                <w:sz w:val="16"/>
                <w:szCs w:val="16"/>
              </w:rPr>
              <w:t>are large flexible multi-use areas identified in Growth Corridor Plans</w:t>
            </w:r>
            <w:r w:rsidR="008E2E1A" w:rsidRPr="006C7B74">
              <w:rPr>
                <w:rFonts w:asciiTheme="majorHAnsi" w:hAnsiTheme="majorHAnsi" w:cstheme="majorHAnsi"/>
                <w:color w:val="auto"/>
                <w:sz w:val="16"/>
                <w:szCs w:val="16"/>
              </w:rPr>
              <w:t>. They are</w:t>
            </w:r>
            <w:r w:rsidR="00D11561" w:rsidRPr="006C7B74">
              <w:rPr>
                <w:rFonts w:asciiTheme="majorHAnsi" w:hAnsiTheme="majorHAnsi" w:cstheme="majorHAnsi"/>
                <w:color w:val="auto"/>
                <w:sz w:val="16"/>
                <w:szCs w:val="16"/>
              </w:rPr>
              <w:t xml:space="preserve"> generally located </w:t>
            </w:r>
            <w:r w:rsidR="008E2E1A" w:rsidRPr="006C7B74">
              <w:rPr>
                <w:rFonts w:asciiTheme="majorHAnsi" w:hAnsiTheme="majorHAnsi" w:cstheme="majorHAnsi"/>
                <w:color w:val="auto"/>
                <w:sz w:val="16"/>
                <w:szCs w:val="16"/>
              </w:rPr>
              <w:t>adjacent to town centres or along</w:t>
            </w:r>
            <w:r w:rsidR="00D11561" w:rsidRPr="006C7B74">
              <w:rPr>
                <w:rFonts w:asciiTheme="majorHAnsi" w:hAnsiTheme="majorHAnsi" w:cstheme="majorHAnsi"/>
                <w:color w:val="auto"/>
                <w:sz w:val="16"/>
                <w:szCs w:val="16"/>
              </w:rPr>
              <w:t xml:space="preserve"> </w:t>
            </w:r>
            <w:r w:rsidR="008E2E1A" w:rsidRPr="006C7B74">
              <w:rPr>
                <w:rFonts w:asciiTheme="majorHAnsi" w:hAnsiTheme="majorHAnsi" w:cstheme="majorHAnsi"/>
                <w:color w:val="auto"/>
                <w:sz w:val="16"/>
                <w:szCs w:val="16"/>
              </w:rPr>
              <w:t>P</w:t>
            </w:r>
            <w:r w:rsidR="002029A4" w:rsidRPr="006C7B74">
              <w:rPr>
                <w:rFonts w:asciiTheme="majorHAnsi" w:hAnsiTheme="majorHAnsi" w:cstheme="majorHAnsi"/>
                <w:color w:val="auto"/>
                <w:sz w:val="16"/>
                <w:szCs w:val="16"/>
              </w:rPr>
              <w:t xml:space="preserve">rincipal </w:t>
            </w:r>
            <w:r w:rsidR="008E2E1A" w:rsidRPr="006C7B74">
              <w:rPr>
                <w:rFonts w:asciiTheme="majorHAnsi" w:hAnsiTheme="majorHAnsi" w:cstheme="majorHAnsi"/>
                <w:color w:val="auto"/>
                <w:sz w:val="16"/>
                <w:szCs w:val="16"/>
              </w:rPr>
              <w:t>P</w:t>
            </w:r>
            <w:r w:rsidR="002029A4" w:rsidRPr="006C7B74">
              <w:rPr>
                <w:rFonts w:asciiTheme="majorHAnsi" w:hAnsiTheme="majorHAnsi" w:cstheme="majorHAnsi"/>
                <w:color w:val="auto"/>
                <w:sz w:val="16"/>
                <w:szCs w:val="16"/>
              </w:rPr>
              <w:t xml:space="preserve">ublic </w:t>
            </w:r>
            <w:r w:rsidR="008E2E1A" w:rsidRPr="006C7B74">
              <w:rPr>
                <w:rFonts w:asciiTheme="majorHAnsi" w:hAnsiTheme="majorHAnsi" w:cstheme="majorHAnsi"/>
                <w:color w:val="auto"/>
                <w:sz w:val="16"/>
                <w:szCs w:val="16"/>
              </w:rPr>
              <w:t>T</w:t>
            </w:r>
            <w:r w:rsidR="002029A4" w:rsidRPr="006C7B74">
              <w:rPr>
                <w:rFonts w:asciiTheme="majorHAnsi" w:hAnsiTheme="majorHAnsi" w:cstheme="majorHAnsi"/>
                <w:color w:val="auto"/>
                <w:sz w:val="16"/>
                <w:szCs w:val="16"/>
              </w:rPr>
              <w:t xml:space="preserve">ransport </w:t>
            </w:r>
            <w:r w:rsidR="008E2E1A" w:rsidRPr="006C7B74">
              <w:rPr>
                <w:rFonts w:asciiTheme="majorHAnsi" w:hAnsiTheme="majorHAnsi" w:cstheme="majorHAnsi"/>
                <w:color w:val="auto"/>
                <w:sz w:val="16"/>
                <w:szCs w:val="16"/>
              </w:rPr>
              <w:t>N</w:t>
            </w:r>
            <w:r w:rsidR="002029A4" w:rsidRPr="006C7B74">
              <w:rPr>
                <w:rFonts w:asciiTheme="majorHAnsi" w:hAnsiTheme="majorHAnsi" w:cstheme="majorHAnsi"/>
                <w:color w:val="auto"/>
                <w:sz w:val="16"/>
                <w:szCs w:val="16"/>
              </w:rPr>
              <w:t>etwork</w:t>
            </w:r>
            <w:r w:rsidR="008E2E1A" w:rsidRPr="006C7B74">
              <w:rPr>
                <w:rFonts w:asciiTheme="majorHAnsi" w:hAnsiTheme="majorHAnsi" w:cstheme="majorHAnsi"/>
                <w:color w:val="auto"/>
                <w:sz w:val="16"/>
                <w:szCs w:val="16"/>
              </w:rPr>
              <w:t xml:space="preserve"> routes</w:t>
            </w:r>
            <w:r w:rsidR="00D11561" w:rsidRPr="006C7B74">
              <w:rPr>
                <w:rFonts w:asciiTheme="majorHAnsi" w:hAnsiTheme="majorHAnsi" w:cstheme="majorHAnsi"/>
                <w:color w:val="auto"/>
                <w:sz w:val="16"/>
                <w:szCs w:val="16"/>
              </w:rPr>
              <w:t xml:space="preserve">. </w:t>
            </w:r>
            <w:r w:rsidR="00651138" w:rsidRPr="006C7B74">
              <w:rPr>
                <w:rFonts w:asciiTheme="majorHAnsi" w:hAnsiTheme="majorHAnsi" w:cstheme="majorHAnsi"/>
                <w:color w:val="auto"/>
                <w:sz w:val="16"/>
                <w:szCs w:val="16"/>
              </w:rPr>
              <w:t>These precincts are expected to deliver more intensive forms of employment generating uses in comparison to industrial areas. They will accommodate a wide range of employment generating uses including service industry, office and commercial activity, and research and</w:t>
            </w:r>
            <w:r w:rsidR="00B6379E" w:rsidRPr="006C7B74">
              <w:rPr>
                <w:rFonts w:asciiTheme="majorHAnsi" w:hAnsiTheme="majorHAnsi" w:cstheme="majorHAnsi"/>
                <w:color w:val="auto"/>
                <w:sz w:val="16"/>
                <w:szCs w:val="16"/>
              </w:rPr>
              <w:t xml:space="preserve"> </w:t>
            </w:r>
            <w:r w:rsidR="00651138" w:rsidRPr="006C7B74">
              <w:rPr>
                <w:rFonts w:asciiTheme="majorHAnsi" w:hAnsiTheme="majorHAnsi" w:cstheme="majorHAnsi"/>
                <w:color w:val="auto"/>
                <w:sz w:val="16"/>
                <w:szCs w:val="16"/>
              </w:rPr>
              <w:t>development</w:t>
            </w:r>
            <w:r w:rsidR="00B6379E" w:rsidRPr="006C7B74">
              <w:rPr>
                <w:rFonts w:asciiTheme="majorHAnsi" w:hAnsiTheme="majorHAnsi" w:cstheme="majorHAnsi"/>
                <w:color w:val="auto"/>
                <w:sz w:val="16"/>
                <w:szCs w:val="16"/>
              </w:rPr>
              <w:t xml:space="preserve"> </w:t>
            </w:r>
            <w:r w:rsidR="00651138" w:rsidRPr="006C7B74">
              <w:rPr>
                <w:rFonts w:asciiTheme="majorHAnsi" w:hAnsiTheme="majorHAnsi" w:cstheme="majorHAnsi"/>
                <w:color w:val="auto"/>
                <w:sz w:val="16"/>
                <w:szCs w:val="16"/>
              </w:rPr>
              <w:t xml:space="preserve">and some </w:t>
            </w:r>
            <w:r w:rsidR="00EE7545" w:rsidRPr="006C7B74">
              <w:rPr>
                <w:rFonts w:asciiTheme="majorHAnsi" w:hAnsiTheme="majorHAnsi" w:cstheme="majorHAnsi"/>
                <w:color w:val="auto"/>
                <w:sz w:val="16"/>
                <w:szCs w:val="16"/>
              </w:rPr>
              <w:t>large format retailing</w:t>
            </w:r>
            <w:r w:rsidR="00651138" w:rsidRPr="006C7B74">
              <w:rPr>
                <w:rFonts w:asciiTheme="majorHAnsi" w:hAnsiTheme="majorHAnsi" w:cstheme="majorHAnsi"/>
                <w:color w:val="auto"/>
                <w:sz w:val="16"/>
                <w:szCs w:val="16"/>
              </w:rPr>
              <w:t>.</w:t>
            </w:r>
          </w:p>
        </w:tc>
      </w:tr>
      <w:tr w:rsidR="001B2BFB" w:rsidRPr="006C7B74" w14:paraId="02CC04D3" w14:textId="77777777" w:rsidTr="00790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02A36CFA" w14:textId="77777777"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Growth Corridor Plans</w:t>
            </w:r>
          </w:p>
        </w:tc>
        <w:tc>
          <w:tcPr>
            <w:tcW w:w="5188" w:type="dxa"/>
          </w:tcPr>
          <w:p w14:paraId="52986CBD" w14:textId="77777777" w:rsidR="0013334D" w:rsidRPr="006C7B74" w:rsidRDefault="0013334D" w:rsidP="0079077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The Growth Corridor Plans are high level integrated land use and transport plans that provide a strategy for the development of Melbourne’s growth corridors over the coming decades.</w:t>
            </w:r>
          </w:p>
          <w:p w14:paraId="3C907829" w14:textId="77777777" w:rsidR="0013334D" w:rsidRPr="006C7B74" w:rsidRDefault="0013334D" w:rsidP="0079077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p>
          <w:p w14:paraId="0D5EA426" w14:textId="1B06165F" w:rsidR="0013334D" w:rsidRPr="006C7B74" w:rsidRDefault="0013334D" w:rsidP="0079077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 xml:space="preserve">The Growth Corridor Plans focus on four metropolitan growth corridors (North, West, Sunbury and South East Growth Corridor) and identify broad transport networks, industrial and employment </w:t>
            </w:r>
            <w:r w:rsidR="00BA3C9C" w:rsidRPr="006C7B74">
              <w:rPr>
                <w:rFonts w:asciiTheme="majorHAnsi" w:hAnsiTheme="majorHAnsi" w:cstheme="majorHAnsi"/>
                <w:color w:val="auto"/>
                <w:sz w:val="16"/>
                <w:szCs w:val="16"/>
              </w:rPr>
              <w:t>areas</w:t>
            </w:r>
            <w:r w:rsidRPr="006C7B74">
              <w:rPr>
                <w:rFonts w:asciiTheme="majorHAnsi" w:hAnsiTheme="majorHAnsi" w:cstheme="majorHAnsi"/>
                <w:color w:val="auto"/>
                <w:sz w:val="16"/>
                <w:szCs w:val="16"/>
              </w:rPr>
              <w:t xml:space="preserve">, residential areas and recreation precincts across </w:t>
            </w:r>
            <w:r w:rsidR="00BA3C9C" w:rsidRPr="006C7B74">
              <w:rPr>
                <w:rFonts w:asciiTheme="majorHAnsi" w:hAnsiTheme="majorHAnsi" w:cstheme="majorHAnsi"/>
                <w:color w:val="auto"/>
                <w:sz w:val="16"/>
                <w:szCs w:val="16"/>
              </w:rPr>
              <w:t>the</w:t>
            </w:r>
            <w:r w:rsidRPr="006C7B74">
              <w:rPr>
                <w:rFonts w:asciiTheme="majorHAnsi" w:hAnsiTheme="majorHAnsi" w:cstheme="majorHAnsi"/>
                <w:color w:val="auto"/>
                <w:sz w:val="16"/>
                <w:szCs w:val="16"/>
              </w:rPr>
              <w:t xml:space="preserve"> city’s newest metropolitan suburbs. </w:t>
            </w:r>
          </w:p>
        </w:tc>
      </w:tr>
      <w:tr w:rsidR="001B2BFB" w:rsidRPr="006C7B74" w14:paraId="3CEA8929" w14:textId="77777777" w:rsidTr="000D058C">
        <w:trPr>
          <w:trHeight w:val="2934"/>
        </w:trPr>
        <w:tc>
          <w:tcPr>
            <w:cnfStyle w:val="001000000000" w:firstRow="0" w:lastRow="0" w:firstColumn="1" w:lastColumn="0" w:oddVBand="0" w:evenVBand="0" w:oddHBand="0" w:evenHBand="0" w:firstRowFirstColumn="0" w:firstRowLastColumn="0" w:lastRowFirstColumn="0" w:lastRowLastColumn="0"/>
            <w:tcW w:w="3828" w:type="dxa"/>
          </w:tcPr>
          <w:p w14:paraId="2E1A0EC9" w14:textId="77777777" w:rsidR="00B36325" w:rsidRPr="006C7B74" w:rsidRDefault="00B36325" w:rsidP="000D058C">
            <w:pPr>
              <w:rPr>
                <w:rFonts w:asciiTheme="majorHAnsi" w:hAnsiTheme="majorHAnsi" w:cstheme="majorHAnsi"/>
                <w:color w:val="auto"/>
                <w:sz w:val="16"/>
                <w:szCs w:val="16"/>
              </w:rPr>
            </w:pPr>
            <w:r w:rsidRPr="006C7B74">
              <w:rPr>
                <w:rFonts w:asciiTheme="majorHAnsi" w:hAnsiTheme="majorHAnsi" w:cstheme="majorHAnsi"/>
                <w:color w:val="auto"/>
                <w:sz w:val="16"/>
                <w:szCs w:val="16"/>
              </w:rPr>
              <w:t>Industrial land</w:t>
            </w:r>
          </w:p>
        </w:tc>
        <w:tc>
          <w:tcPr>
            <w:tcW w:w="5188" w:type="dxa"/>
          </w:tcPr>
          <w:p w14:paraId="38B6135B" w14:textId="77777777" w:rsidR="00B36325" w:rsidRPr="006C7B74" w:rsidRDefault="00B36325" w:rsidP="000D058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Areas that are zoned for industrial purposes from the planning scheme.</w:t>
            </w:r>
          </w:p>
          <w:p w14:paraId="3C1157D6" w14:textId="77777777" w:rsidR="00B36325" w:rsidRPr="006C7B74" w:rsidRDefault="00B36325" w:rsidP="000D058C">
            <w:pPr>
              <w:pStyle w:val="ListParagraph"/>
              <w:numPr>
                <w:ilvl w:val="0"/>
                <w:numId w:val="75"/>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Industrial 1, 2 and 3 Zones;</w:t>
            </w:r>
          </w:p>
          <w:p w14:paraId="0063750D" w14:textId="77777777" w:rsidR="00B36325" w:rsidRPr="006C7B74" w:rsidRDefault="00B36325" w:rsidP="000D058C">
            <w:pPr>
              <w:pStyle w:val="ListParagraph"/>
              <w:numPr>
                <w:ilvl w:val="0"/>
                <w:numId w:val="75"/>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Business 3 and 4 Zones;</w:t>
            </w:r>
          </w:p>
          <w:p w14:paraId="028E3211" w14:textId="77777777" w:rsidR="00B36325" w:rsidRPr="006C7B74" w:rsidRDefault="00B36325" w:rsidP="000D058C">
            <w:pPr>
              <w:pStyle w:val="ListParagraph"/>
              <w:numPr>
                <w:ilvl w:val="0"/>
                <w:numId w:val="75"/>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Commercial 2;</w:t>
            </w:r>
          </w:p>
          <w:p w14:paraId="24236E73" w14:textId="77777777" w:rsidR="00B36325" w:rsidRPr="006C7B74" w:rsidRDefault="00B36325" w:rsidP="000D058C">
            <w:pPr>
              <w:pStyle w:val="ListParagraph"/>
              <w:numPr>
                <w:ilvl w:val="0"/>
                <w:numId w:val="75"/>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Special Use 2, 3, 4, and 5 Zones in the City of Hobsons Bay, Special Use 1 Zone in the Shire of Mornington Peninsula (which is identified for industrial uses associated with the Port of Hastings and is not a general industrial zone) and Special Use Zone 6 in the City of Monash;</w:t>
            </w:r>
          </w:p>
          <w:p w14:paraId="7E51036F" w14:textId="77777777" w:rsidR="00B36325" w:rsidRPr="006C7B74" w:rsidRDefault="00B36325" w:rsidP="000D058C">
            <w:pPr>
              <w:pStyle w:val="ListParagraph"/>
              <w:numPr>
                <w:ilvl w:val="0"/>
                <w:numId w:val="75"/>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Comprehensive Development Zone 2 in the City of Hume and Comprehensive Development Zone 2 in the City of Whittlesea;</w:t>
            </w:r>
          </w:p>
          <w:p w14:paraId="04FDB931" w14:textId="5395042A" w:rsidR="00B36325" w:rsidRPr="006C7B74" w:rsidRDefault="00B36325" w:rsidP="000D058C">
            <w:pPr>
              <w:pStyle w:val="ListParagraph"/>
              <w:numPr>
                <w:ilvl w:val="0"/>
                <w:numId w:val="75"/>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Precincts with Activity Centre Zones that are industrial in character;</w:t>
            </w:r>
          </w:p>
          <w:p w14:paraId="14B6526A" w14:textId="77777777" w:rsidR="00B36325" w:rsidRPr="006C7B74" w:rsidRDefault="00B36325" w:rsidP="000D058C">
            <w:pPr>
              <w:pStyle w:val="ListParagraph"/>
              <w:numPr>
                <w:ilvl w:val="0"/>
                <w:numId w:val="75"/>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Land within the Melbourne and Moorabbin Airport Business Parks; and;</w:t>
            </w:r>
          </w:p>
          <w:p w14:paraId="311B087A" w14:textId="16CDAE4E" w:rsidR="00B36325" w:rsidRPr="006C7B74" w:rsidRDefault="00B36325" w:rsidP="000D058C">
            <w:pPr>
              <w:pStyle w:val="ListParagraph"/>
              <w:numPr>
                <w:ilvl w:val="0"/>
                <w:numId w:val="75"/>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Urban Growth Zone land identified as industrial in Precinct Structure Plans.</w:t>
            </w:r>
          </w:p>
          <w:p w14:paraId="3184562B" w14:textId="26BAEE7D" w:rsidR="00B36325" w:rsidRPr="006C7B74" w:rsidRDefault="006674C8" w:rsidP="0015396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Also included are PSP areas where planning has not yet commenced, but the land has been identified for employment purpose.</w:t>
            </w:r>
          </w:p>
        </w:tc>
      </w:tr>
      <w:tr w:rsidR="001B2BFB" w:rsidRPr="006C7B74" w14:paraId="1FC175AA" w14:textId="77777777" w:rsidTr="00790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6D194384" w14:textId="276A8AD7" w:rsidR="00617C89" w:rsidRPr="006C7B74" w:rsidRDefault="00617C89"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Inner Region</w:t>
            </w:r>
          </w:p>
        </w:tc>
        <w:tc>
          <w:tcPr>
            <w:tcW w:w="5188" w:type="dxa"/>
          </w:tcPr>
          <w:p w14:paraId="7D401DBA" w14:textId="35F5D26E" w:rsidR="00617C89" w:rsidRPr="006C7B74" w:rsidRDefault="003279DA" w:rsidP="003279D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Includes the municipalities of Melbourne, Port Phillip and Yarra City.</w:t>
            </w:r>
          </w:p>
        </w:tc>
      </w:tr>
      <w:tr w:rsidR="001B2BFB" w:rsidRPr="006C7B74" w14:paraId="29F0F8A5" w14:textId="77777777" w:rsidTr="0079077A">
        <w:tc>
          <w:tcPr>
            <w:cnfStyle w:val="001000000000" w:firstRow="0" w:lastRow="0" w:firstColumn="1" w:lastColumn="0" w:oddVBand="0" w:evenVBand="0" w:oddHBand="0" w:evenHBand="0" w:firstRowFirstColumn="0" w:firstRowLastColumn="0" w:lastRowFirstColumn="0" w:lastRowLastColumn="0"/>
            <w:tcW w:w="3828" w:type="dxa"/>
          </w:tcPr>
          <w:p w14:paraId="08CAEBEC" w14:textId="0DF15C74" w:rsidR="00617C89" w:rsidRPr="006C7B74" w:rsidRDefault="003279DA" w:rsidP="003279DA">
            <w:pPr>
              <w:rPr>
                <w:rFonts w:asciiTheme="majorHAnsi" w:hAnsiTheme="majorHAnsi" w:cstheme="majorHAnsi"/>
                <w:color w:val="auto"/>
                <w:sz w:val="16"/>
                <w:szCs w:val="16"/>
              </w:rPr>
            </w:pPr>
            <w:r w:rsidRPr="006C7B74">
              <w:rPr>
                <w:rFonts w:asciiTheme="majorHAnsi" w:hAnsiTheme="majorHAnsi" w:cstheme="majorHAnsi"/>
                <w:color w:val="auto"/>
                <w:sz w:val="16"/>
                <w:szCs w:val="16"/>
              </w:rPr>
              <w:t>Inner South East Region</w:t>
            </w:r>
          </w:p>
        </w:tc>
        <w:tc>
          <w:tcPr>
            <w:tcW w:w="5188" w:type="dxa"/>
          </w:tcPr>
          <w:p w14:paraId="6BC97095" w14:textId="56AEA89B" w:rsidR="00617C89" w:rsidRPr="006C7B74" w:rsidRDefault="003279DA" w:rsidP="003279D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 xml:space="preserve">Includes the municipalities of Bayside, Boroondara, Glen </w:t>
            </w:r>
            <w:proofErr w:type="spellStart"/>
            <w:r w:rsidRPr="006C7B74">
              <w:rPr>
                <w:rFonts w:asciiTheme="majorHAnsi" w:hAnsiTheme="majorHAnsi" w:cstheme="majorHAnsi"/>
                <w:color w:val="auto"/>
                <w:sz w:val="16"/>
                <w:szCs w:val="16"/>
              </w:rPr>
              <w:t>Eira</w:t>
            </w:r>
            <w:proofErr w:type="spellEnd"/>
            <w:r w:rsidRPr="006C7B74">
              <w:rPr>
                <w:rFonts w:asciiTheme="majorHAnsi" w:hAnsiTheme="majorHAnsi" w:cstheme="majorHAnsi"/>
                <w:color w:val="auto"/>
                <w:sz w:val="16"/>
                <w:szCs w:val="16"/>
              </w:rPr>
              <w:t xml:space="preserve"> and Stonnington.</w:t>
            </w:r>
          </w:p>
        </w:tc>
      </w:tr>
      <w:tr w:rsidR="001B2BFB" w:rsidRPr="006C7B74" w14:paraId="1129B03D" w14:textId="77777777" w:rsidTr="00790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67E1BCE9" w14:textId="31F45B2D" w:rsidR="0013334D" w:rsidRPr="006C7B74" w:rsidRDefault="00F34C57"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Intermodal</w:t>
            </w:r>
            <w:r w:rsidR="0013334D" w:rsidRPr="006C7B74">
              <w:rPr>
                <w:rFonts w:asciiTheme="majorHAnsi" w:hAnsiTheme="majorHAnsi" w:cstheme="majorHAnsi"/>
                <w:color w:val="auto"/>
                <w:sz w:val="16"/>
                <w:szCs w:val="16"/>
              </w:rPr>
              <w:t xml:space="preserve"> freight terminal</w:t>
            </w:r>
          </w:p>
        </w:tc>
        <w:tc>
          <w:tcPr>
            <w:tcW w:w="5188" w:type="dxa"/>
          </w:tcPr>
          <w:p w14:paraId="5A192191" w14:textId="6BA4A127" w:rsidR="0013334D" w:rsidRPr="006C7B74" w:rsidRDefault="00CD0F1B" w:rsidP="0079077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A location for the transfer of freight from one transport mode to another</w:t>
            </w:r>
            <w:r w:rsidR="009072F9" w:rsidRPr="006C7B74">
              <w:rPr>
                <w:rFonts w:asciiTheme="majorHAnsi" w:hAnsiTheme="majorHAnsi" w:cstheme="majorHAnsi"/>
                <w:color w:val="auto"/>
                <w:sz w:val="16"/>
                <w:szCs w:val="16"/>
              </w:rPr>
              <w:t>,</w:t>
            </w:r>
            <w:r w:rsidRPr="006C7B74">
              <w:rPr>
                <w:rFonts w:asciiTheme="majorHAnsi" w:hAnsiTheme="majorHAnsi" w:cstheme="majorHAnsi"/>
                <w:color w:val="auto"/>
                <w:sz w:val="16"/>
                <w:szCs w:val="16"/>
              </w:rPr>
              <w:t xml:space="preserve"> for example between road and rail.</w:t>
            </w:r>
          </w:p>
        </w:tc>
      </w:tr>
      <w:tr w:rsidR="001B2BFB" w:rsidRPr="006C7B74" w14:paraId="0DB0A651" w14:textId="77777777" w:rsidTr="0079077A">
        <w:tc>
          <w:tcPr>
            <w:cnfStyle w:val="001000000000" w:firstRow="0" w:lastRow="0" w:firstColumn="1" w:lastColumn="0" w:oddVBand="0" w:evenVBand="0" w:oddHBand="0" w:evenHBand="0" w:firstRowFirstColumn="0" w:firstRowLastColumn="0" w:lastRowFirstColumn="0" w:lastRowLastColumn="0"/>
            <w:tcW w:w="3828" w:type="dxa"/>
          </w:tcPr>
          <w:p w14:paraId="075AD19B" w14:textId="77777777"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Industry value-added</w:t>
            </w:r>
          </w:p>
        </w:tc>
        <w:tc>
          <w:tcPr>
            <w:tcW w:w="5188" w:type="dxa"/>
          </w:tcPr>
          <w:p w14:paraId="4227D8B0" w14:textId="77777777" w:rsidR="0013334D" w:rsidRPr="006C7B74" w:rsidRDefault="0013334D" w:rsidP="0079077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The total value of goods and services produced by an industry, after deducting the cost of goods and services used in the process of production.</w:t>
            </w:r>
          </w:p>
        </w:tc>
      </w:tr>
      <w:tr w:rsidR="001B2BFB" w:rsidRPr="006C7B74" w14:paraId="054C3C87" w14:textId="77777777" w:rsidTr="00790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4C054F32" w14:textId="32E09CB2" w:rsidR="00CF7DA2" w:rsidRPr="006C7B74" w:rsidRDefault="00213D6C" w:rsidP="00916277">
            <w:pPr>
              <w:rPr>
                <w:rFonts w:asciiTheme="majorHAnsi" w:hAnsiTheme="majorHAnsi" w:cstheme="majorHAnsi"/>
                <w:color w:val="auto"/>
                <w:sz w:val="16"/>
                <w:szCs w:val="16"/>
              </w:rPr>
            </w:pPr>
            <w:r w:rsidRPr="006C7B74">
              <w:rPr>
                <w:rFonts w:asciiTheme="majorHAnsi" w:hAnsiTheme="majorHAnsi" w:cstheme="majorHAnsi"/>
                <w:color w:val="auto"/>
                <w:sz w:val="16"/>
                <w:szCs w:val="16"/>
              </w:rPr>
              <w:t>Knowledge-based industr</w:t>
            </w:r>
            <w:r w:rsidR="00F42648" w:rsidRPr="006C7B74">
              <w:rPr>
                <w:rFonts w:asciiTheme="majorHAnsi" w:hAnsiTheme="majorHAnsi" w:cstheme="majorHAnsi"/>
                <w:color w:val="auto"/>
                <w:sz w:val="16"/>
                <w:szCs w:val="16"/>
              </w:rPr>
              <w:t>ies and jobs</w:t>
            </w:r>
          </w:p>
        </w:tc>
        <w:tc>
          <w:tcPr>
            <w:tcW w:w="5188" w:type="dxa"/>
          </w:tcPr>
          <w:p w14:paraId="02BC1A5E" w14:textId="621B4659" w:rsidR="00CF7DA2" w:rsidRPr="006C7B74" w:rsidRDefault="00EB1690" w:rsidP="00EB169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Production and services based on knowledge-intensive activities that contribute to an accelerated pace of technical and scientific advancement. Their key characteristic is a greater reliance on intellectual capabilities than on physical inputs or natural resources.</w:t>
            </w:r>
          </w:p>
        </w:tc>
      </w:tr>
      <w:tr w:rsidR="001B2BFB" w:rsidRPr="006C7B74" w14:paraId="07ED3D78" w14:textId="77777777" w:rsidTr="0079077A">
        <w:tc>
          <w:tcPr>
            <w:cnfStyle w:val="001000000000" w:firstRow="0" w:lastRow="0" w:firstColumn="1" w:lastColumn="0" w:oddVBand="0" w:evenVBand="0" w:oddHBand="0" w:evenHBand="0" w:firstRowFirstColumn="0" w:firstRowLastColumn="0" w:lastRowFirstColumn="0" w:lastRowLastColumn="0"/>
            <w:tcW w:w="3828" w:type="dxa"/>
          </w:tcPr>
          <w:p w14:paraId="4CE924C0" w14:textId="77777777"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Local industrial precincts</w:t>
            </w:r>
          </w:p>
        </w:tc>
        <w:tc>
          <w:tcPr>
            <w:tcW w:w="5188" w:type="dxa"/>
          </w:tcPr>
          <w:p w14:paraId="2733C3DA" w14:textId="0E88E596" w:rsidR="0013334D" w:rsidRPr="006C7B74" w:rsidRDefault="006A21FF" w:rsidP="0079077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 xml:space="preserve">Industrial </w:t>
            </w:r>
            <w:r w:rsidR="00257F53" w:rsidRPr="006C7B74">
              <w:rPr>
                <w:rFonts w:asciiTheme="majorHAnsi" w:hAnsiTheme="majorHAnsi" w:cstheme="majorHAnsi"/>
                <w:color w:val="auto"/>
                <w:sz w:val="16"/>
                <w:szCs w:val="16"/>
              </w:rPr>
              <w:t>areas that</w:t>
            </w:r>
            <w:r w:rsidR="0013334D" w:rsidRPr="006C7B74">
              <w:rPr>
                <w:rFonts w:asciiTheme="majorHAnsi" w:hAnsiTheme="majorHAnsi" w:cstheme="majorHAnsi"/>
                <w:color w:val="auto"/>
                <w:sz w:val="16"/>
                <w:szCs w:val="16"/>
              </w:rPr>
              <w:t xml:space="preserve"> </w:t>
            </w:r>
            <w:r w:rsidR="00257F53" w:rsidRPr="006C7B74">
              <w:rPr>
                <w:rFonts w:asciiTheme="majorHAnsi" w:hAnsiTheme="majorHAnsi" w:cstheme="majorHAnsi"/>
                <w:color w:val="auto"/>
                <w:sz w:val="16"/>
                <w:szCs w:val="16"/>
              </w:rPr>
              <w:t>are</w:t>
            </w:r>
            <w:r w:rsidR="0013334D" w:rsidRPr="006C7B74">
              <w:rPr>
                <w:rFonts w:asciiTheme="majorHAnsi" w:hAnsiTheme="majorHAnsi" w:cstheme="majorHAnsi"/>
                <w:color w:val="auto"/>
                <w:sz w:val="16"/>
                <w:szCs w:val="16"/>
              </w:rPr>
              <w:t xml:space="preserve"> not identified as being of state or regional significance.</w:t>
            </w:r>
          </w:p>
        </w:tc>
      </w:tr>
      <w:tr w:rsidR="001B2BFB" w:rsidRPr="006C7B74" w14:paraId="73823D0B" w14:textId="77777777" w:rsidTr="00790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335BCBB5" w14:textId="6DE82E01"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 xml:space="preserve">Major </w:t>
            </w:r>
            <w:r w:rsidR="00C005C6" w:rsidRPr="006C7B74">
              <w:rPr>
                <w:rFonts w:asciiTheme="majorHAnsi" w:hAnsiTheme="majorHAnsi" w:cstheme="majorHAnsi"/>
                <w:color w:val="auto"/>
                <w:sz w:val="16"/>
                <w:szCs w:val="16"/>
              </w:rPr>
              <w:t>a</w:t>
            </w:r>
            <w:r w:rsidRPr="006C7B74">
              <w:rPr>
                <w:rFonts w:asciiTheme="majorHAnsi" w:hAnsiTheme="majorHAnsi" w:cstheme="majorHAnsi"/>
                <w:color w:val="auto"/>
                <w:sz w:val="16"/>
                <w:szCs w:val="16"/>
              </w:rPr>
              <w:t xml:space="preserve">ctivity </w:t>
            </w:r>
            <w:r w:rsidR="00C005C6" w:rsidRPr="006C7B74">
              <w:rPr>
                <w:rFonts w:asciiTheme="majorHAnsi" w:hAnsiTheme="majorHAnsi" w:cstheme="majorHAnsi"/>
                <w:color w:val="auto"/>
                <w:sz w:val="16"/>
                <w:szCs w:val="16"/>
              </w:rPr>
              <w:t>c</w:t>
            </w:r>
            <w:r w:rsidRPr="006C7B74">
              <w:rPr>
                <w:rFonts w:asciiTheme="majorHAnsi" w:hAnsiTheme="majorHAnsi" w:cstheme="majorHAnsi"/>
                <w:color w:val="auto"/>
                <w:sz w:val="16"/>
                <w:szCs w:val="16"/>
              </w:rPr>
              <w:t>entres</w:t>
            </w:r>
          </w:p>
        </w:tc>
        <w:tc>
          <w:tcPr>
            <w:tcW w:w="5188" w:type="dxa"/>
          </w:tcPr>
          <w:p w14:paraId="63A2B18C" w14:textId="5035EEAA" w:rsidR="0013334D" w:rsidRPr="006C7B74" w:rsidRDefault="0013334D" w:rsidP="0079077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Suburban centres that provide access to a wide range of goods and services. They have different attributes and provide different functions, with some serving larger sub</w:t>
            </w:r>
            <w:r w:rsidR="00634BFD" w:rsidRPr="006C7B74">
              <w:rPr>
                <w:rFonts w:asciiTheme="majorHAnsi" w:hAnsiTheme="majorHAnsi" w:cstheme="majorHAnsi"/>
                <w:color w:val="auto"/>
                <w:sz w:val="16"/>
                <w:szCs w:val="16"/>
              </w:rPr>
              <w:t>-</w:t>
            </w:r>
            <w:r w:rsidRPr="006C7B74">
              <w:rPr>
                <w:rFonts w:asciiTheme="majorHAnsi" w:hAnsiTheme="majorHAnsi" w:cstheme="majorHAnsi"/>
                <w:color w:val="auto"/>
                <w:sz w:val="16"/>
                <w:szCs w:val="16"/>
              </w:rPr>
              <w:t>regional catchments. Plan Melbourne identifies 121 major activity centres.</w:t>
            </w:r>
          </w:p>
        </w:tc>
      </w:tr>
      <w:tr w:rsidR="001B2BFB" w:rsidRPr="006C7B74" w14:paraId="2065F5FB" w14:textId="77777777" w:rsidTr="0079077A">
        <w:tc>
          <w:tcPr>
            <w:cnfStyle w:val="001000000000" w:firstRow="0" w:lastRow="0" w:firstColumn="1" w:lastColumn="0" w:oddVBand="0" w:evenVBand="0" w:oddHBand="0" w:evenHBand="0" w:firstRowFirstColumn="0" w:firstRowLastColumn="0" w:lastRowFirstColumn="0" w:lastRowLastColumn="0"/>
            <w:tcW w:w="3828" w:type="dxa"/>
          </w:tcPr>
          <w:p w14:paraId="666CD27E" w14:textId="77777777"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Manufacturing and industrial industries</w:t>
            </w:r>
          </w:p>
        </w:tc>
        <w:tc>
          <w:tcPr>
            <w:tcW w:w="5188" w:type="dxa"/>
          </w:tcPr>
          <w:p w14:paraId="77D42395" w14:textId="77777777" w:rsidR="0013334D" w:rsidRPr="006C7B74" w:rsidRDefault="0013334D" w:rsidP="0079077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Includes the following ANZSIC industry classifications: electricity, gas, water and waste services; manufacturing; transport, postal and warehousing; wholesale trade.</w:t>
            </w:r>
          </w:p>
        </w:tc>
      </w:tr>
      <w:tr w:rsidR="001B2BFB" w:rsidRPr="006C7B74" w14:paraId="34AC6642" w14:textId="77777777" w:rsidTr="00790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029A5290" w14:textId="0405948E"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 xml:space="preserve">Metropolitan </w:t>
            </w:r>
            <w:r w:rsidR="00A17357" w:rsidRPr="006C7B74">
              <w:rPr>
                <w:rFonts w:asciiTheme="majorHAnsi" w:hAnsiTheme="majorHAnsi" w:cstheme="majorHAnsi"/>
                <w:color w:val="auto"/>
                <w:sz w:val="16"/>
                <w:szCs w:val="16"/>
              </w:rPr>
              <w:t>a</w:t>
            </w:r>
            <w:r w:rsidRPr="006C7B74">
              <w:rPr>
                <w:rFonts w:asciiTheme="majorHAnsi" w:hAnsiTheme="majorHAnsi" w:cstheme="majorHAnsi"/>
                <w:color w:val="auto"/>
                <w:sz w:val="16"/>
                <w:szCs w:val="16"/>
              </w:rPr>
              <w:t xml:space="preserve">ctivity </w:t>
            </w:r>
            <w:r w:rsidR="00A17357" w:rsidRPr="006C7B74">
              <w:rPr>
                <w:rFonts w:asciiTheme="majorHAnsi" w:hAnsiTheme="majorHAnsi" w:cstheme="majorHAnsi"/>
                <w:color w:val="auto"/>
                <w:sz w:val="16"/>
                <w:szCs w:val="16"/>
              </w:rPr>
              <w:t>c</w:t>
            </w:r>
            <w:r w:rsidRPr="006C7B74">
              <w:rPr>
                <w:rFonts w:asciiTheme="majorHAnsi" w:hAnsiTheme="majorHAnsi" w:cstheme="majorHAnsi"/>
                <w:color w:val="auto"/>
                <w:sz w:val="16"/>
                <w:szCs w:val="16"/>
              </w:rPr>
              <w:t>entres</w:t>
            </w:r>
          </w:p>
        </w:tc>
        <w:tc>
          <w:tcPr>
            <w:tcW w:w="5188" w:type="dxa"/>
          </w:tcPr>
          <w:p w14:paraId="755E1083" w14:textId="51A18AF6" w:rsidR="0013334D" w:rsidRPr="006C7B74" w:rsidRDefault="0013334D" w:rsidP="0079077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Higher-order centres with diverse employment options, services and housing stock, supported by good transport connections. Existing centres include Box Hill, Broadmeadows, Dandenong, Epping, Footscray, Fountain Gate</w:t>
            </w:r>
            <w:r w:rsidR="004C347A" w:rsidRPr="006C7B74">
              <w:rPr>
                <w:rFonts w:asciiTheme="majorHAnsi" w:hAnsiTheme="majorHAnsi" w:cstheme="majorHAnsi"/>
                <w:color w:val="auto"/>
                <w:sz w:val="16"/>
                <w:szCs w:val="16"/>
              </w:rPr>
              <w:t>-</w:t>
            </w:r>
            <w:r w:rsidRPr="006C7B74">
              <w:rPr>
                <w:rFonts w:asciiTheme="majorHAnsi" w:hAnsiTheme="majorHAnsi" w:cstheme="majorHAnsi"/>
                <w:color w:val="auto"/>
                <w:sz w:val="16"/>
                <w:szCs w:val="16"/>
              </w:rPr>
              <w:t xml:space="preserve">Narre Warren, Frankston, Ringwood and Sunshine. Future centres will include Lockerbie and </w:t>
            </w:r>
            <w:proofErr w:type="spellStart"/>
            <w:r w:rsidRPr="006C7B74">
              <w:rPr>
                <w:rFonts w:asciiTheme="majorHAnsi" w:hAnsiTheme="majorHAnsi" w:cstheme="majorHAnsi"/>
                <w:color w:val="auto"/>
                <w:sz w:val="16"/>
                <w:szCs w:val="16"/>
              </w:rPr>
              <w:t>Toolern</w:t>
            </w:r>
            <w:proofErr w:type="spellEnd"/>
            <w:r w:rsidRPr="006C7B74">
              <w:rPr>
                <w:rFonts w:asciiTheme="majorHAnsi" w:hAnsiTheme="majorHAnsi" w:cstheme="majorHAnsi"/>
                <w:color w:val="auto"/>
                <w:sz w:val="16"/>
                <w:szCs w:val="16"/>
              </w:rPr>
              <w:t>.</w:t>
            </w:r>
          </w:p>
        </w:tc>
      </w:tr>
      <w:tr w:rsidR="001B2BFB" w:rsidRPr="006C7B74" w14:paraId="274BC9C6" w14:textId="77777777" w:rsidTr="0079077A">
        <w:tc>
          <w:tcPr>
            <w:cnfStyle w:val="001000000000" w:firstRow="0" w:lastRow="0" w:firstColumn="1" w:lastColumn="0" w:oddVBand="0" w:evenVBand="0" w:oddHBand="0" w:evenHBand="0" w:firstRowFirstColumn="0" w:firstRowLastColumn="0" w:lastRowFirstColumn="0" w:lastRowLastColumn="0"/>
            <w:tcW w:w="3828" w:type="dxa"/>
          </w:tcPr>
          <w:p w14:paraId="54DBB556" w14:textId="77777777"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Metropolitan Melbourne</w:t>
            </w:r>
          </w:p>
        </w:tc>
        <w:tc>
          <w:tcPr>
            <w:tcW w:w="5188" w:type="dxa"/>
          </w:tcPr>
          <w:p w14:paraId="0BC88966" w14:textId="77777777" w:rsidR="0013334D" w:rsidRPr="006C7B74" w:rsidRDefault="0013334D" w:rsidP="0079077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The 31 municipalities that make up metropolitan Melbourne, plus part of Mitchell Shire within the urban growth boundary.</w:t>
            </w:r>
          </w:p>
        </w:tc>
      </w:tr>
      <w:tr w:rsidR="001B2BFB" w:rsidRPr="006C7B74" w14:paraId="17BCB990" w14:textId="77777777" w:rsidTr="00790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218881DB" w14:textId="77777777"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National employment and innovation clusters (NEICs)</w:t>
            </w:r>
          </w:p>
        </w:tc>
        <w:tc>
          <w:tcPr>
            <w:tcW w:w="5188" w:type="dxa"/>
          </w:tcPr>
          <w:p w14:paraId="0CEA68A2" w14:textId="77777777" w:rsidR="0013334D" w:rsidRPr="006C7B74" w:rsidRDefault="0013334D" w:rsidP="0079077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Designated concentrations of employment distinguished by a strong core of nationally significant knowledge sector businesses and institutions that make a major contribution to the national economy and Melbourne’s positioning in the global economy.</w:t>
            </w:r>
          </w:p>
        </w:tc>
      </w:tr>
      <w:tr w:rsidR="001B2BFB" w:rsidRPr="006C7B74" w14:paraId="5E09FF84" w14:textId="77777777" w:rsidTr="0079077A">
        <w:tc>
          <w:tcPr>
            <w:cnfStyle w:val="001000000000" w:firstRow="0" w:lastRow="0" w:firstColumn="1" w:lastColumn="0" w:oddVBand="0" w:evenVBand="0" w:oddHBand="0" w:evenHBand="0" w:firstRowFirstColumn="0" w:firstRowLastColumn="0" w:lastRowFirstColumn="0" w:lastRowLastColumn="0"/>
            <w:tcW w:w="3828" w:type="dxa"/>
          </w:tcPr>
          <w:p w14:paraId="3E279152" w14:textId="55142CEB"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lastRenderedPageBreak/>
              <w:t xml:space="preserve">Neighbourhood </w:t>
            </w:r>
            <w:r w:rsidR="00C005C6" w:rsidRPr="006C7B74">
              <w:rPr>
                <w:rFonts w:asciiTheme="majorHAnsi" w:hAnsiTheme="majorHAnsi" w:cstheme="majorHAnsi"/>
                <w:color w:val="auto"/>
                <w:sz w:val="16"/>
                <w:szCs w:val="16"/>
              </w:rPr>
              <w:t>a</w:t>
            </w:r>
            <w:r w:rsidRPr="006C7B74">
              <w:rPr>
                <w:rFonts w:asciiTheme="majorHAnsi" w:hAnsiTheme="majorHAnsi" w:cstheme="majorHAnsi"/>
                <w:color w:val="auto"/>
                <w:sz w:val="16"/>
                <w:szCs w:val="16"/>
              </w:rPr>
              <w:t xml:space="preserve">ctivity </w:t>
            </w:r>
            <w:r w:rsidR="00C005C6" w:rsidRPr="006C7B74">
              <w:rPr>
                <w:rFonts w:asciiTheme="majorHAnsi" w:hAnsiTheme="majorHAnsi" w:cstheme="majorHAnsi"/>
                <w:color w:val="auto"/>
                <w:sz w:val="16"/>
                <w:szCs w:val="16"/>
              </w:rPr>
              <w:t>c</w:t>
            </w:r>
            <w:r w:rsidRPr="006C7B74">
              <w:rPr>
                <w:rFonts w:asciiTheme="majorHAnsi" w:hAnsiTheme="majorHAnsi" w:cstheme="majorHAnsi"/>
                <w:color w:val="auto"/>
                <w:sz w:val="16"/>
                <w:szCs w:val="16"/>
              </w:rPr>
              <w:t>entres</w:t>
            </w:r>
          </w:p>
        </w:tc>
        <w:tc>
          <w:tcPr>
            <w:tcW w:w="5188" w:type="dxa"/>
          </w:tcPr>
          <w:p w14:paraId="0EFEBF9F" w14:textId="77777777" w:rsidR="0013334D" w:rsidRPr="006C7B74" w:rsidRDefault="0013334D" w:rsidP="0079077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Local centres that provide access to local goods, services and employment opportunities and serve the needs of the surrounding community.</w:t>
            </w:r>
          </w:p>
        </w:tc>
      </w:tr>
      <w:tr w:rsidR="001B2BFB" w:rsidRPr="006C7B74" w14:paraId="3196616E" w14:textId="77777777" w:rsidTr="00790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7F197CBB" w14:textId="38CF626D" w:rsidR="003A3BB3" w:rsidRPr="006C7B74" w:rsidRDefault="003A3BB3"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Northern Region</w:t>
            </w:r>
          </w:p>
        </w:tc>
        <w:tc>
          <w:tcPr>
            <w:tcW w:w="5188" w:type="dxa"/>
          </w:tcPr>
          <w:p w14:paraId="0FD3209A" w14:textId="57C4811A" w:rsidR="003A3BB3" w:rsidRPr="006C7B74" w:rsidRDefault="003A3BB3" w:rsidP="003A3BB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Includes the municipalities of Banyule, Darebin, Hume, Mitchell (part), Moreland, Nillumbik and Whittlesea.</w:t>
            </w:r>
          </w:p>
        </w:tc>
      </w:tr>
      <w:tr w:rsidR="001B2BFB" w:rsidRPr="006C7B74" w14:paraId="2F6989F5" w14:textId="77777777" w:rsidTr="0079077A">
        <w:tc>
          <w:tcPr>
            <w:cnfStyle w:val="001000000000" w:firstRow="0" w:lastRow="0" w:firstColumn="1" w:lastColumn="0" w:oddVBand="0" w:evenVBand="0" w:oddHBand="0" w:evenHBand="0" w:firstRowFirstColumn="0" w:firstRowLastColumn="0" w:lastRowFirstColumn="0" w:lastRowLastColumn="0"/>
            <w:tcW w:w="3828" w:type="dxa"/>
          </w:tcPr>
          <w:p w14:paraId="636ADEA7" w14:textId="7F39D84B" w:rsidR="00521872" w:rsidRPr="006C7B74" w:rsidRDefault="00521872"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 xml:space="preserve">Population serving </w:t>
            </w:r>
            <w:r w:rsidR="00AC3675" w:rsidRPr="006C7B74">
              <w:rPr>
                <w:rFonts w:asciiTheme="majorHAnsi" w:hAnsiTheme="majorHAnsi" w:cstheme="majorHAnsi"/>
                <w:color w:val="auto"/>
                <w:sz w:val="16"/>
                <w:szCs w:val="16"/>
              </w:rPr>
              <w:t>industr</w:t>
            </w:r>
            <w:r w:rsidR="002A57C3" w:rsidRPr="006C7B74">
              <w:rPr>
                <w:rFonts w:asciiTheme="majorHAnsi" w:hAnsiTheme="majorHAnsi" w:cstheme="majorHAnsi"/>
                <w:color w:val="auto"/>
                <w:sz w:val="16"/>
                <w:szCs w:val="16"/>
              </w:rPr>
              <w:t>ies</w:t>
            </w:r>
          </w:p>
        </w:tc>
        <w:tc>
          <w:tcPr>
            <w:tcW w:w="5188" w:type="dxa"/>
          </w:tcPr>
          <w:p w14:paraId="15EC9053" w14:textId="3EB4AA87" w:rsidR="00521872" w:rsidRPr="006C7B74" w:rsidRDefault="002A57C3" w:rsidP="0079077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Includ</w:t>
            </w:r>
            <w:r w:rsidR="008E07C1" w:rsidRPr="006C7B74">
              <w:rPr>
                <w:rFonts w:asciiTheme="majorHAnsi" w:hAnsiTheme="majorHAnsi" w:cstheme="majorHAnsi"/>
                <w:color w:val="auto"/>
                <w:sz w:val="16"/>
                <w:szCs w:val="16"/>
              </w:rPr>
              <w:t>es the following industries: h</w:t>
            </w:r>
            <w:r w:rsidR="00EA61A5" w:rsidRPr="006C7B74">
              <w:rPr>
                <w:rFonts w:asciiTheme="majorHAnsi" w:hAnsiTheme="majorHAnsi" w:cstheme="majorHAnsi"/>
                <w:color w:val="auto"/>
                <w:sz w:val="16"/>
                <w:szCs w:val="16"/>
              </w:rPr>
              <w:t xml:space="preserve">ealth care </w:t>
            </w:r>
            <w:r w:rsidR="009072F9" w:rsidRPr="006C7B74">
              <w:rPr>
                <w:rFonts w:asciiTheme="majorHAnsi" w:hAnsiTheme="majorHAnsi" w:cstheme="majorHAnsi"/>
                <w:color w:val="auto"/>
                <w:sz w:val="16"/>
                <w:szCs w:val="16"/>
              </w:rPr>
              <w:t>and</w:t>
            </w:r>
            <w:r w:rsidR="00EA61A5" w:rsidRPr="006C7B74">
              <w:rPr>
                <w:rFonts w:asciiTheme="majorHAnsi" w:hAnsiTheme="majorHAnsi" w:cstheme="majorHAnsi"/>
                <w:color w:val="auto"/>
                <w:sz w:val="16"/>
                <w:szCs w:val="16"/>
              </w:rPr>
              <w:t xml:space="preserve"> social assistance, </w:t>
            </w:r>
            <w:r w:rsidR="008E07C1" w:rsidRPr="006C7B74">
              <w:rPr>
                <w:rFonts w:asciiTheme="majorHAnsi" w:hAnsiTheme="majorHAnsi" w:cstheme="majorHAnsi"/>
                <w:color w:val="auto"/>
                <w:sz w:val="16"/>
                <w:szCs w:val="16"/>
              </w:rPr>
              <w:t>e</w:t>
            </w:r>
            <w:r w:rsidR="00EA61A5" w:rsidRPr="006C7B74">
              <w:rPr>
                <w:rFonts w:asciiTheme="majorHAnsi" w:hAnsiTheme="majorHAnsi" w:cstheme="majorHAnsi"/>
                <w:color w:val="auto"/>
                <w:sz w:val="16"/>
                <w:szCs w:val="16"/>
              </w:rPr>
              <w:t xml:space="preserve">ducation </w:t>
            </w:r>
            <w:r w:rsidR="009072F9" w:rsidRPr="006C7B74">
              <w:rPr>
                <w:rFonts w:asciiTheme="majorHAnsi" w:hAnsiTheme="majorHAnsi" w:cstheme="majorHAnsi"/>
                <w:color w:val="auto"/>
                <w:sz w:val="16"/>
                <w:szCs w:val="16"/>
              </w:rPr>
              <w:t>and</w:t>
            </w:r>
            <w:r w:rsidR="00EA61A5" w:rsidRPr="006C7B74">
              <w:rPr>
                <w:rFonts w:asciiTheme="majorHAnsi" w:hAnsiTheme="majorHAnsi" w:cstheme="majorHAnsi"/>
                <w:color w:val="auto"/>
                <w:sz w:val="16"/>
                <w:szCs w:val="16"/>
              </w:rPr>
              <w:t xml:space="preserve"> training and </w:t>
            </w:r>
            <w:r w:rsidR="008E07C1" w:rsidRPr="006C7B74">
              <w:rPr>
                <w:rFonts w:asciiTheme="majorHAnsi" w:hAnsiTheme="majorHAnsi" w:cstheme="majorHAnsi"/>
                <w:color w:val="auto"/>
                <w:sz w:val="16"/>
                <w:szCs w:val="16"/>
              </w:rPr>
              <w:t>a</w:t>
            </w:r>
            <w:r w:rsidR="00EA61A5" w:rsidRPr="006C7B74">
              <w:rPr>
                <w:rFonts w:asciiTheme="majorHAnsi" w:hAnsiTheme="majorHAnsi" w:cstheme="majorHAnsi"/>
                <w:color w:val="auto"/>
                <w:sz w:val="16"/>
                <w:szCs w:val="16"/>
              </w:rPr>
              <w:t xml:space="preserve">ccommodation </w:t>
            </w:r>
            <w:r w:rsidR="009072F9" w:rsidRPr="006C7B74">
              <w:rPr>
                <w:rFonts w:asciiTheme="majorHAnsi" w:hAnsiTheme="majorHAnsi" w:cstheme="majorHAnsi"/>
                <w:color w:val="auto"/>
                <w:sz w:val="16"/>
                <w:szCs w:val="16"/>
              </w:rPr>
              <w:t>and</w:t>
            </w:r>
            <w:r w:rsidR="00EA61A5" w:rsidRPr="006C7B74">
              <w:rPr>
                <w:rFonts w:asciiTheme="majorHAnsi" w:hAnsiTheme="majorHAnsi" w:cstheme="majorHAnsi"/>
                <w:color w:val="auto"/>
                <w:sz w:val="16"/>
                <w:szCs w:val="16"/>
              </w:rPr>
              <w:t xml:space="preserve"> food services.</w:t>
            </w:r>
          </w:p>
        </w:tc>
      </w:tr>
      <w:tr w:rsidR="001B2BFB" w:rsidRPr="006C7B74" w14:paraId="004E7062" w14:textId="77777777" w:rsidTr="00790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409C531B" w14:textId="77777777"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Precinct structure plans (PSPs)</w:t>
            </w:r>
          </w:p>
        </w:tc>
        <w:tc>
          <w:tcPr>
            <w:tcW w:w="5188" w:type="dxa"/>
          </w:tcPr>
          <w:p w14:paraId="482CF8B7" w14:textId="2576C34B" w:rsidR="0013334D" w:rsidRPr="006C7B74" w:rsidRDefault="008E07C1" w:rsidP="0079077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M</w:t>
            </w:r>
            <w:r w:rsidR="0013334D" w:rsidRPr="006C7B74">
              <w:rPr>
                <w:rFonts w:asciiTheme="majorHAnsi" w:hAnsiTheme="majorHAnsi" w:cstheme="majorHAnsi"/>
                <w:color w:val="auto"/>
                <w:sz w:val="16"/>
                <w:szCs w:val="16"/>
              </w:rPr>
              <w:t xml:space="preserve">aster plans for future growth corridor developments, informed by </w:t>
            </w:r>
            <w:r w:rsidR="002F0350" w:rsidRPr="006C7B74">
              <w:rPr>
                <w:rFonts w:asciiTheme="majorHAnsi" w:hAnsiTheme="majorHAnsi" w:cstheme="majorHAnsi"/>
                <w:color w:val="auto"/>
                <w:sz w:val="16"/>
                <w:szCs w:val="16"/>
              </w:rPr>
              <w:t>Growth Corridor Plans</w:t>
            </w:r>
            <w:r w:rsidR="0013334D" w:rsidRPr="006C7B74">
              <w:rPr>
                <w:rFonts w:asciiTheme="majorHAnsi" w:hAnsiTheme="majorHAnsi" w:cstheme="majorHAnsi"/>
                <w:color w:val="auto"/>
                <w:sz w:val="16"/>
                <w:szCs w:val="16"/>
              </w:rPr>
              <w:t xml:space="preserve">. The plans identify alignments of transport routes, </w:t>
            </w:r>
            <w:r w:rsidR="000A45E2" w:rsidRPr="006C7B74">
              <w:rPr>
                <w:rFonts w:asciiTheme="majorHAnsi" w:hAnsiTheme="majorHAnsi" w:cstheme="majorHAnsi"/>
                <w:color w:val="auto"/>
                <w:sz w:val="16"/>
                <w:szCs w:val="16"/>
              </w:rPr>
              <w:t xml:space="preserve">activity </w:t>
            </w:r>
            <w:r w:rsidR="0013334D" w:rsidRPr="006C7B74">
              <w:rPr>
                <w:rFonts w:asciiTheme="majorHAnsi" w:hAnsiTheme="majorHAnsi" w:cstheme="majorHAnsi"/>
                <w:color w:val="auto"/>
                <w:sz w:val="16"/>
                <w:szCs w:val="16"/>
              </w:rPr>
              <w:t>centres, open space networks, residential areas, and areas for industry and employment.</w:t>
            </w:r>
          </w:p>
        </w:tc>
      </w:tr>
      <w:tr w:rsidR="001B2BFB" w:rsidRPr="006C7B74" w14:paraId="41D2B274" w14:textId="77777777" w:rsidTr="0079077A">
        <w:tc>
          <w:tcPr>
            <w:cnfStyle w:val="001000000000" w:firstRow="0" w:lastRow="0" w:firstColumn="1" w:lastColumn="0" w:oddVBand="0" w:evenVBand="0" w:oddHBand="0" w:evenHBand="0" w:firstRowFirstColumn="0" w:firstRowLastColumn="0" w:lastRowFirstColumn="0" w:lastRowLastColumn="0"/>
            <w:tcW w:w="3828" w:type="dxa"/>
          </w:tcPr>
          <w:p w14:paraId="5C3A024B" w14:textId="77777777"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Primary industries</w:t>
            </w:r>
          </w:p>
        </w:tc>
        <w:tc>
          <w:tcPr>
            <w:tcW w:w="5188" w:type="dxa"/>
          </w:tcPr>
          <w:p w14:paraId="3876D4E9" w14:textId="77777777" w:rsidR="0013334D" w:rsidRPr="006C7B74" w:rsidRDefault="0013334D" w:rsidP="0079077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Includes the following ANZSIC industry classifications: agriculture, forestry and fishing; mining.</w:t>
            </w:r>
          </w:p>
        </w:tc>
      </w:tr>
      <w:tr w:rsidR="001B2BFB" w:rsidRPr="006C7B74" w14:paraId="107BEA69" w14:textId="77777777" w:rsidTr="00790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4B14F4BD" w14:textId="77777777"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Principal Freight Network (PFN)</w:t>
            </w:r>
          </w:p>
        </w:tc>
        <w:tc>
          <w:tcPr>
            <w:tcW w:w="5188" w:type="dxa"/>
          </w:tcPr>
          <w:p w14:paraId="7DFDE660" w14:textId="77777777" w:rsidR="0013334D" w:rsidRPr="006C7B74" w:rsidRDefault="0013334D" w:rsidP="0079077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Part of the larger transport network over which the movement of heavy freight will be concentrated.</w:t>
            </w:r>
          </w:p>
        </w:tc>
      </w:tr>
      <w:tr w:rsidR="001B2BFB" w:rsidRPr="006C7B74" w14:paraId="577182E0" w14:textId="77777777" w:rsidTr="0079077A">
        <w:tc>
          <w:tcPr>
            <w:cnfStyle w:val="001000000000" w:firstRow="0" w:lastRow="0" w:firstColumn="1" w:lastColumn="0" w:oddVBand="0" w:evenVBand="0" w:oddHBand="0" w:evenHBand="0" w:firstRowFirstColumn="0" w:firstRowLastColumn="0" w:lastRowFirstColumn="0" w:lastRowLastColumn="0"/>
            <w:tcW w:w="3828" w:type="dxa"/>
          </w:tcPr>
          <w:p w14:paraId="7CDC8998" w14:textId="77777777"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Principal Public Transport Network (PPTN)</w:t>
            </w:r>
          </w:p>
        </w:tc>
        <w:tc>
          <w:tcPr>
            <w:tcW w:w="5188" w:type="dxa"/>
          </w:tcPr>
          <w:p w14:paraId="3397890D" w14:textId="77777777" w:rsidR="0013334D" w:rsidRPr="006C7B74" w:rsidRDefault="0013334D" w:rsidP="0079077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A statutory land-use planning tool that supports integrated land-use and transport planning by providing certainty to land-use planners and developers around locations that are and will be served by high</w:t>
            </w:r>
            <w:r w:rsidRPr="006C7B74">
              <w:rPr>
                <w:rFonts w:ascii="Cambria Math" w:hAnsi="Cambria Math" w:cs="Cambria Math"/>
                <w:color w:val="auto"/>
                <w:sz w:val="16"/>
                <w:szCs w:val="16"/>
              </w:rPr>
              <w:t>‑</w:t>
            </w:r>
            <w:r w:rsidRPr="006C7B74">
              <w:rPr>
                <w:rFonts w:asciiTheme="majorHAnsi" w:hAnsiTheme="majorHAnsi" w:cstheme="majorHAnsi"/>
                <w:color w:val="auto"/>
                <w:sz w:val="16"/>
                <w:szCs w:val="16"/>
              </w:rPr>
              <w:t>quality public transport.</w:t>
            </w:r>
          </w:p>
        </w:tc>
      </w:tr>
      <w:tr w:rsidR="001B2BFB" w:rsidRPr="006C7B74" w14:paraId="78602BAB" w14:textId="77777777" w:rsidTr="00790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38B6AC55" w14:textId="1706E67E" w:rsidR="0013334D" w:rsidRPr="006C7B74" w:rsidRDefault="0013334D" w:rsidP="0079077A">
            <w:pPr>
              <w:rPr>
                <w:rFonts w:asciiTheme="majorHAnsi" w:hAnsiTheme="majorHAnsi" w:cstheme="majorHAnsi"/>
                <w:color w:val="auto"/>
                <w:sz w:val="16"/>
                <w:szCs w:val="16"/>
              </w:rPr>
            </w:pPr>
            <w:proofErr w:type="gramStart"/>
            <w:r w:rsidRPr="006C7B74">
              <w:rPr>
                <w:rFonts w:asciiTheme="majorHAnsi" w:hAnsiTheme="majorHAnsi" w:cstheme="majorHAnsi"/>
                <w:color w:val="auto"/>
                <w:sz w:val="16"/>
                <w:szCs w:val="16"/>
              </w:rPr>
              <w:t>Regional</w:t>
            </w:r>
            <w:r w:rsidR="006F42F9" w:rsidRPr="006C7B74">
              <w:rPr>
                <w:rFonts w:asciiTheme="majorHAnsi" w:hAnsiTheme="majorHAnsi" w:cstheme="majorHAnsi"/>
                <w:color w:val="auto"/>
                <w:sz w:val="16"/>
                <w:szCs w:val="16"/>
              </w:rPr>
              <w:t>ly</w:t>
            </w:r>
            <w:r w:rsidR="003D75B2" w:rsidRPr="006C7B74">
              <w:rPr>
                <w:rFonts w:asciiTheme="majorHAnsi" w:hAnsiTheme="majorHAnsi" w:cstheme="majorHAnsi"/>
                <w:color w:val="auto"/>
                <w:sz w:val="16"/>
                <w:szCs w:val="16"/>
              </w:rPr>
              <w:t>-</w:t>
            </w:r>
            <w:r w:rsidRPr="006C7B74">
              <w:rPr>
                <w:rFonts w:asciiTheme="majorHAnsi" w:hAnsiTheme="majorHAnsi" w:cstheme="majorHAnsi"/>
                <w:color w:val="auto"/>
                <w:sz w:val="16"/>
                <w:szCs w:val="16"/>
              </w:rPr>
              <w:t>significant</w:t>
            </w:r>
            <w:proofErr w:type="gramEnd"/>
            <w:r w:rsidRPr="006C7B74">
              <w:rPr>
                <w:rFonts w:asciiTheme="majorHAnsi" w:hAnsiTheme="majorHAnsi" w:cstheme="majorHAnsi"/>
                <w:color w:val="auto"/>
                <w:sz w:val="16"/>
                <w:szCs w:val="16"/>
              </w:rPr>
              <w:t xml:space="preserve"> industrial precincts</w:t>
            </w:r>
          </w:p>
        </w:tc>
        <w:tc>
          <w:tcPr>
            <w:tcW w:w="5188" w:type="dxa"/>
          </w:tcPr>
          <w:p w14:paraId="52FE145E" w14:textId="7EC52B1D" w:rsidR="0013334D" w:rsidRPr="006C7B74" w:rsidRDefault="00352209" w:rsidP="0079077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 xml:space="preserve">Key industrial areas that contribute significantly to local and regional economies. Some of these areas are well established and support a range of industrial uses while others are transitioning and supporting new uses. They include future employment areas have been identified through </w:t>
            </w:r>
            <w:r w:rsidR="002F0350" w:rsidRPr="006C7B74">
              <w:rPr>
                <w:rFonts w:asciiTheme="majorHAnsi" w:hAnsiTheme="majorHAnsi" w:cstheme="majorHAnsi"/>
                <w:color w:val="auto"/>
                <w:sz w:val="16"/>
                <w:szCs w:val="16"/>
              </w:rPr>
              <w:t>Growth Corridor Plans</w:t>
            </w:r>
            <w:r w:rsidRPr="006C7B74">
              <w:rPr>
                <w:rFonts w:asciiTheme="majorHAnsi" w:hAnsiTheme="majorHAnsi" w:cstheme="majorHAnsi"/>
                <w:color w:val="auto"/>
                <w:sz w:val="16"/>
                <w:szCs w:val="16"/>
              </w:rPr>
              <w:t xml:space="preserve"> to support not just employment growth in outer areas, but to also meet Melbourne’s longer term industrial and logistics needs. They are to be retained and planned for to allow a range of industrial uses or where appropriate new and emerging businesses that require access to affordable and well</w:t>
            </w:r>
            <w:r w:rsidR="009F3637" w:rsidRPr="006C7B74">
              <w:rPr>
                <w:rFonts w:asciiTheme="majorHAnsi" w:hAnsiTheme="majorHAnsi" w:cstheme="majorHAnsi"/>
                <w:color w:val="auto"/>
                <w:sz w:val="16"/>
                <w:szCs w:val="16"/>
              </w:rPr>
              <w:t>-</w:t>
            </w:r>
            <w:r w:rsidRPr="006C7B74">
              <w:rPr>
                <w:rFonts w:asciiTheme="majorHAnsi" w:hAnsiTheme="majorHAnsi" w:cstheme="majorHAnsi"/>
                <w:color w:val="auto"/>
                <w:sz w:val="16"/>
                <w:szCs w:val="16"/>
              </w:rPr>
              <w:t>located employment land.</w:t>
            </w:r>
          </w:p>
        </w:tc>
      </w:tr>
      <w:tr w:rsidR="001B2BFB" w:rsidRPr="006C7B74" w14:paraId="201F00E8" w14:textId="77777777" w:rsidTr="0079077A">
        <w:tc>
          <w:tcPr>
            <w:cnfStyle w:val="001000000000" w:firstRow="0" w:lastRow="0" w:firstColumn="1" w:lastColumn="0" w:oddVBand="0" w:evenVBand="0" w:oddHBand="0" w:evenHBand="0" w:firstRowFirstColumn="0" w:firstRowLastColumn="0" w:lastRowFirstColumn="0" w:lastRowLastColumn="0"/>
            <w:tcW w:w="3828" w:type="dxa"/>
          </w:tcPr>
          <w:p w14:paraId="1C7830F1" w14:textId="77777777"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Retail, accommodation, food and other industries</w:t>
            </w:r>
          </w:p>
        </w:tc>
        <w:tc>
          <w:tcPr>
            <w:tcW w:w="5188" w:type="dxa"/>
          </w:tcPr>
          <w:p w14:paraId="49FA3DBB" w14:textId="77777777" w:rsidR="0013334D" w:rsidRPr="006C7B74" w:rsidRDefault="0013334D" w:rsidP="0079077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Includes the following ANZSIC industry classifications: Accommodation and food services; Other services; Retail trade.</w:t>
            </w:r>
          </w:p>
        </w:tc>
      </w:tr>
      <w:tr w:rsidR="001B2BFB" w:rsidRPr="006C7B74" w14:paraId="5E88322D" w14:textId="77777777" w:rsidTr="00790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6072932E" w14:textId="77777777"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St Kilda Road</w:t>
            </w:r>
          </w:p>
        </w:tc>
        <w:tc>
          <w:tcPr>
            <w:tcW w:w="5188" w:type="dxa"/>
          </w:tcPr>
          <w:p w14:paraId="26852FD1" w14:textId="6D13F257" w:rsidR="0013334D" w:rsidRPr="006C7B74" w:rsidRDefault="00277F23" w:rsidP="0079077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A</w:t>
            </w:r>
            <w:r w:rsidR="0013334D" w:rsidRPr="006C7B74">
              <w:rPr>
                <w:rFonts w:asciiTheme="majorHAnsi" w:hAnsiTheme="majorHAnsi" w:cstheme="majorHAnsi"/>
                <w:color w:val="auto"/>
                <w:sz w:val="16"/>
                <w:szCs w:val="16"/>
              </w:rPr>
              <w:t xml:space="preserve"> major north-south arterial spine which connects the Melbourne CBD to the suburb of St Kilda. St Kilda Road straddles the City of Port Phillip and the City of Melbourne and supports both commercial and residential apartment development.</w:t>
            </w:r>
          </w:p>
        </w:tc>
      </w:tr>
      <w:tr w:rsidR="001B2BFB" w:rsidRPr="006C7B74" w14:paraId="629DD539" w14:textId="77777777" w:rsidTr="0079077A">
        <w:tc>
          <w:tcPr>
            <w:cnfStyle w:val="001000000000" w:firstRow="0" w:lastRow="0" w:firstColumn="1" w:lastColumn="0" w:oddVBand="0" w:evenVBand="0" w:oddHBand="0" w:evenHBand="0" w:firstRowFirstColumn="0" w:firstRowLastColumn="0" w:lastRowFirstColumn="0" w:lastRowLastColumn="0"/>
            <w:tcW w:w="3828" w:type="dxa"/>
          </w:tcPr>
          <w:p w14:paraId="2508B95A" w14:textId="1909B333" w:rsidR="002B6779" w:rsidRPr="006C7B74" w:rsidRDefault="002B6779"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Southern Region</w:t>
            </w:r>
          </w:p>
        </w:tc>
        <w:tc>
          <w:tcPr>
            <w:tcW w:w="5188" w:type="dxa"/>
          </w:tcPr>
          <w:p w14:paraId="5ABB6851" w14:textId="09104CBE" w:rsidR="002B6779" w:rsidRPr="006C7B74" w:rsidRDefault="002B6779" w:rsidP="002B6779">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Includes the municipalities of Cardinia, Casey, Frankston, Greater Dandenong, Kingston and Mornington Peninsula.</w:t>
            </w:r>
          </w:p>
        </w:tc>
      </w:tr>
      <w:tr w:rsidR="001B2BFB" w:rsidRPr="006C7B74" w14:paraId="59B2182D" w14:textId="77777777" w:rsidTr="00790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29F9CC9A" w14:textId="08E8A39F"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State</w:t>
            </w:r>
            <w:r w:rsidR="003D75B2" w:rsidRPr="006C7B74">
              <w:rPr>
                <w:rFonts w:asciiTheme="majorHAnsi" w:hAnsiTheme="majorHAnsi" w:cstheme="majorHAnsi"/>
                <w:color w:val="auto"/>
                <w:sz w:val="16"/>
                <w:szCs w:val="16"/>
              </w:rPr>
              <w:t>-</w:t>
            </w:r>
            <w:r w:rsidRPr="006C7B74">
              <w:rPr>
                <w:rFonts w:asciiTheme="majorHAnsi" w:hAnsiTheme="majorHAnsi" w:cstheme="majorHAnsi"/>
                <w:color w:val="auto"/>
                <w:sz w:val="16"/>
                <w:szCs w:val="16"/>
              </w:rPr>
              <w:t>significant industrial precincts (SSIPs)</w:t>
            </w:r>
          </w:p>
        </w:tc>
        <w:tc>
          <w:tcPr>
            <w:tcW w:w="5188" w:type="dxa"/>
          </w:tcPr>
          <w:p w14:paraId="6F2B0B21" w14:textId="3BA0B116" w:rsidR="0013334D" w:rsidRPr="006C7B74" w:rsidRDefault="0013334D" w:rsidP="0079077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 xml:space="preserve">Strategically located land available for major industrial development linked to the Principal Freight Network and transport gateways. They will be protected from incompatible land uses to allow continual growth in freight, logistics and manufacturing investment. </w:t>
            </w:r>
          </w:p>
          <w:p w14:paraId="5FC312B8" w14:textId="21709474" w:rsidR="0013334D" w:rsidRPr="006C7B74" w:rsidRDefault="00415A27" w:rsidP="0079077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There are</w:t>
            </w:r>
            <w:r w:rsidR="0013334D" w:rsidRPr="006C7B74">
              <w:rPr>
                <w:rFonts w:asciiTheme="majorHAnsi" w:hAnsiTheme="majorHAnsi" w:cstheme="majorHAnsi"/>
                <w:color w:val="auto"/>
                <w:sz w:val="16"/>
                <w:szCs w:val="16"/>
              </w:rPr>
              <w:t xml:space="preserve"> five </w:t>
            </w:r>
            <w:r w:rsidR="000B630A" w:rsidRPr="006C7B74">
              <w:rPr>
                <w:rFonts w:asciiTheme="majorHAnsi" w:hAnsiTheme="majorHAnsi" w:cstheme="majorHAnsi"/>
                <w:color w:val="auto"/>
                <w:sz w:val="16"/>
                <w:szCs w:val="16"/>
              </w:rPr>
              <w:t>s</w:t>
            </w:r>
            <w:r w:rsidR="0013334D" w:rsidRPr="006C7B74">
              <w:rPr>
                <w:rFonts w:asciiTheme="majorHAnsi" w:hAnsiTheme="majorHAnsi" w:cstheme="majorHAnsi"/>
                <w:color w:val="auto"/>
                <w:sz w:val="16"/>
                <w:szCs w:val="16"/>
              </w:rPr>
              <w:t>tate</w:t>
            </w:r>
            <w:r w:rsidR="001C538C" w:rsidRPr="006C7B74">
              <w:rPr>
                <w:rFonts w:asciiTheme="majorHAnsi" w:hAnsiTheme="majorHAnsi" w:cstheme="majorHAnsi"/>
                <w:color w:val="auto"/>
                <w:sz w:val="16"/>
                <w:szCs w:val="16"/>
              </w:rPr>
              <w:t>-significant</w:t>
            </w:r>
            <w:r w:rsidR="0013334D" w:rsidRPr="006C7B74">
              <w:rPr>
                <w:rFonts w:asciiTheme="majorHAnsi" w:hAnsiTheme="majorHAnsi" w:cstheme="majorHAnsi"/>
                <w:color w:val="auto"/>
                <w:sz w:val="16"/>
                <w:szCs w:val="16"/>
              </w:rPr>
              <w:t xml:space="preserve"> </w:t>
            </w:r>
            <w:r w:rsidR="001C538C" w:rsidRPr="006C7B74">
              <w:rPr>
                <w:rFonts w:asciiTheme="majorHAnsi" w:hAnsiTheme="majorHAnsi" w:cstheme="majorHAnsi"/>
                <w:color w:val="auto"/>
                <w:sz w:val="16"/>
                <w:szCs w:val="16"/>
              </w:rPr>
              <w:t>i</w:t>
            </w:r>
            <w:r w:rsidR="0013334D" w:rsidRPr="006C7B74">
              <w:rPr>
                <w:rFonts w:asciiTheme="majorHAnsi" w:hAnsiTheme="majorHAnsi" w:cstheme="majorHAnsi"/>
                <w:color w:val="auto"/>
                <w:sz w:val="16"/>
                <w:szCs w:val="16"/>
              </w:rPr>
              <w:t xml:space="preserve">ndustrial </w:t>
            </w:r>
            <w:r w:rsidR="001C538C" w:rsidRPr="006C7B74">
              <w:rPr>
                <w:rFonts w:asciiTheme="majorHAnsi" w:hAnsiTheme="majorHAnsi" w:cstheme="majorHAnsi"/>
                <w:color w:val="auto"/>
                <w:sz w:val="16"/>
                <w:szCs w:val="16"/>
              </w:rPr>
              <w:t>p</w:t>
            </w:r>
            <w:r w:rsidR="0013334D" w:rsidRPr="006C7B74">
              <w:rPr>
                <w:rFonts w:asciiTheme="majorHAnsi" w:hAnsiTheme="majorHAnsi" w:cstheme="majorHAnsi"/>
                <w:color w:val="auto"/>
                <w:sz w:val="16"/>
                <w:szCs w:val="16"/>
              </w:rPr>
              <w:t>recincts</w:t>
            </w:r>
            <w:r w:rsidR="00186F1F" w:rsidRPr="006C7B74">
              <w:rPr>
                <w:rFonts w:asciiTheme="majorHAnsi" w:hAnsiTheme="majorHAnsi" w:cstheme="majorHAnsi"/>
                <w:color w:val="auto"/>
                <w:sz w:val="16"/>
                <w:szCs w:val="16"/>
              </w:rPr>
              <w:t>:</w:t>
            </w:r>
            <w:r w:rsidR="0013334D" w:rsidRPr="006C7B74">
              <w:rPr>
                <w:rFonts w:asciiTheme="majorHAnsi" w:hAnsiTheme="majorHAnsi" w:cstheme="majorHAnsi"/>
                <w:color w:val="auto"/>
                <w:sz w:val="16"/>
                <w:szCs w:val="16"/>
              </w:rPr>
              <w:t xml:space="preserve"> Western Industrial Precinct, Northern Industrial Precinct, Southern Industrial Precinct, Port of Hastings Industrial Precinct and Officer-Pakenham Industrial Precinct. </w:t>
            </w:r>
          </w:p>
        </w:tc>
      </w:tr>
      <w:tr w:rsidR="001B2BFB" w:rsidRPr="006C7B74" w14:paraId="03AD762C" w14:textId="77777777" w:rsidTr="0079077A">
        <w:tc>
          <w:tcPr>
            <w:cnfStyle w:val="001000000000" w:firstRow="0" w:lastRow="0" w:firstColumn="1" w:lastColumn="0" w:oddVBand="0" w:evenVBand="0" w:oddHBand="0" w:evenHBand="0" w:firstRowFirstColumn="0" w:firstRowLastColumn="0" w:lastRowFirstColumn="0" w:lastRowLastColumn="0"/>
            <w:tcW w:w="3828" w:type="dxa"/>
          </w:tcPr>
          <w:p w14:paraId="04C2DEB0" w14:textId="7A17AF9D" w:rsidR="00291DA1" w:rsidRPr="006C7B74" w:rsidRDefault="00291DA1"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Western Region</w:t>
            </w:r>
          </w:p>
        </w:tc>
        <w:tc>
          <w:tcPr>
            <w:tcW w:w="5188" w:type="dxa"/>
          </w:tcPr>
          <w:p w14:paraId="42E5C46E" w14:textId="697B531B" w:rsidR="00291DA1" w:rsidRPr="006C7B74" w:rsidRDefault="00291DA1" w:rsidP="00291DA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 xml:space="preserve">Includes the municipalities of </w:t>
            </w:r>
            <w:proofErr w:type="spellStart"/>
            <w:r w:rsidRPr="006C7B74">
              <w:rPr>
                <w:rFonts w:asciiTheme="majorHAnsi" w:hAnsiTheme="majorHAnsi" w:cstheme="majorHAnsi"/>
                <w:color w:val="auto"/>
                <w:sz w:val="16"/>
                <w:szCs w:val="16"/>
              </w:rPr>
              <w:t>Brimbank</w:t>
            </w:r>
            <w:proofErr w:type="spellEnd"/>
            <w:r w:rsidRPr="006C7B74">
              <w:rPr>
                <w:rFonts w:asciiTheme="majorHAnsi" w:hAnsiTheme="majorHAnsi" w:cstheme="majorHAnsi"/>
                <w:color w:val="auto"/>
                <w:sz w:val="16"/>
                <w:szCs w:val="16"/>
              </w:rPr>
              <w:t>, Hobsons Bay, Maribyrnong, Melton, Moonee Valley and Wyndham.</w:t>
            </w:r>
          </w:p>
        </w:tc>
      </w:tr>
      <w:tr w:rsidR="001B2BFB" w:rsidRPr="006C7B74" w14:paraId="1D172A83" w14:textId="77777777" w:rsidTr="00790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20564F71" w14:textId="77777777"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Urban Development Program (UDP)</w:t>
            </w:r>
          </w:p>
          <w:p w14:paraId="2A325467" w14:textId="77777777" w:rsidR="0013334D" w:rsidRPr="006C7B74" w:rsidRDefault="0013334D" w:rsidP="0079077A">
            <w:pPr>
              <w:rPr>
                <w:rFonts w:asciiTheme="majorHAnsi" w:hAnsiTheme="majorHAnsi" w:cstheme="majorHAnsi"/>
                <w:color w:val="auto"/>
                <w:sz w:val="16"/>
                <w:szCs w:val="16"/>
              </w:rPr>
            </w:pPr>
          </w:p>
        </w:tc>
        <w:tc>
          <w:tcPr>
            <w:tcW w:w="5188" w:type="dxa"/>
          </w:tcPr>
          <w:p w14:paraId="67DCCFA7" w14:textId="7EE24FB5" w:rsidR="0013334D" w:rsidRPr="006C7B74" w:rsidRDefault="0013334D" w:rsidP="0079077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 xml:space="preserve">The Urban Development Program (UDP) provides an annual assessment of supply and consumption of industrial </w:t>
            </w:r>
            <w:r w:rsidR="002303FB" w:rsidRPr="006C7B74">
              <w:rPr>
                <w:rFonts w:asciiTheme="majorHAnsi" w:hAnsiTheme="majorHAnsi" w:cstheme="majorHAnsi"/>
                <w:color w:val="auto"/>
                <w:sz w:val="16"/>
                <w:szCs w:val="16"/>
              </w:rPr>
              <w:t xml:space="preserve">and residential </w:t>
            </w:r>
            <w:r w:rsidRPr="006C7B74">
              <w:rPr>
                <w:rFonts w:asciiTheme="majorHAnsi" w:hAnsiTheme="majorHAnsi" w:cstheme="majorHAnsi"/>
                <w:color w:val="auto"/>
                <w:sz w:val="16"/>
                <w:szCs w:val="16"/>
              </w:rPr>
              <w:t>land across metropolitan Melbourne.</w:t>
            </w:r>
            <w:r w:rsidR="007C154C" w:rsidRPr="006C7B74">
              <w:rPr>
                <w:rFonts w:asciiTheme="majorHAnsi" w:hAnsiTheme="majorHAnsi" w:cstheme="majorHAnsi"/>
                <w:color w:val="auto"/>
                <w:sz w:val="16"/>
                <w:szCs w:val="16"/>
              </w:rPr>
              <w:t xml:space="preserve"> </w:t>
            </w:r>
          </w:p>
        </w:tc>
      </w:tr>
      <w:tr w:rsidR="001B2BFB" w:rsidRPr="006C7B74" w14:paraId="7D26D01C" w14:textId="77777777" w:rsidTr="0079077A">
        <w:tc>
          <w:tcPr>
            <w:cnfStyle w:val="001000000000" w:firstRow="0" w:lastRow="0" w:firstColumn="1" w:lastColumn="0" w:oddVBand="0" w:evenVBand="0" w:oddHBand="0" w:evenHBand="0" w:firstRowFirstColumn="0" w:firstRowLastColumn="0" w:lastRowFirstColumn="0" w:lastRowLastColumn="0"/>
            <w:tcW w:w="3828" w:type="dxa"/>
          </w:tcPr>
          <w:p w14:paraId="1CC6AC33" w14:textId="77777777" w:rsidR="0013334D" w:rsidRPr="006C7B74" w:rsidRDefault="0013334D"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Urban Growth Boundary (UGB)</w:t>
            </w:r>
          </w:p>
        </w:tc>
        <w:tc>
          <w:tcPr>
            <w:tcW w:w="5188" w:type="dxa"/>
          </w:tcPr>
          <w:p w14:paraId="0CC8D462" w14:textId="77777777" w:rsidR="0013334D" w:rsidRPr="006C7B74" w:rsidRDefault="0013334D" w:rsidP="0079077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A management tool to contain urban areas and limit their expansion. It divides land that is urban – to be used for housing, shops, factories – from land that is non-urban and to be used for purposes such as conservation,</w:t>
            </w:r>
          </w:p>
          <w:p w14:paraId="0F885B64" w14:textId="77777777" w:rsidR="0013334D" w:rsidRPr="006C7B74" w:rsidRDefault="0013334D" w:rsidP="0079077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 xml:space="preserve">agriculture, mineral extraction, airports and the like. An urban growth boundary encourages urban consolidation and protects valued non-urban areas from urban development. </w:t>
            </w:r>
          </w:p>
        </w:tc>
      </w:tr>
      <w:tr w:rsidR="00C14F06" w:rsidRPr="001B2BFB" w14:paraId="404C4E8D" w14:textId="77777777" w:rsidTr="00790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316FFC55" w14:textId="497182D4" w:rsidR="00C14F06" w:rsidRPr="006C7B74" w:rsidRDefault="00C14F06" w:rsidP="0079077A">
            <w:pPr>
              <w:rPr>
                <w:rFonts w:asciiTheme="majorHAnsi" w:hAnsiTheme="majorHAnsi" w:cstheme="majorHAnsi"/>
                <w:color w:val="auto"/>
                <w:sz w:val="16"/>
                <w:szCs w:val="16"/>
              </w:rPr>
            </w:pPr>
            <w:r w:rsidRPr="006C7B74">
              <w:rPr>
                <w:rFonts w:asciiTheme="majorHAnsi" w:hAnsiTheme="majorHAnsi" w:cstheme="majorHAnsi"/>
                <w:color w:val="auto"/>
                <w:sz w:val="16"/>
                <w:szCs w:val="16"/>
              </w:rPr>
              <w:t>Wallan SA2</w:t>
            </w:r>
          </w:p>
        </w:tc>
        <w:tc>
          <w:tcPr>
            <w:tcW w:w="5188" w:type="dxa"/>
          </w:tcPr>
          <w:p w14:paraId="3030196E" w14:textId="71FB7E27" w:rsidR="00C14F06" w:rsidRPr="001B2BFB" w:rsidRDefault="00042EEB" w:rsidP="0079077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6C7B74">
              <w:rPr>
                <w:rFonts w:asciiTheme="majorHAnsi" w:hAnsiTheme="majorHAnsi" w:cstheme="majorHAnsi"/>
                <w:color w:val="auto"/>
                <w:sz w:val="16"/>
                <w:szCs w:val="16"/>
              </w:rPr>
              <w:t>Statistical Area</w:t>
            </w:r>
            <w:r w:rsidR="00DE3058" w:rsidRPr="006C7B74">
              <w:rPr>
                <w:rFonts w:asciiTheme="majorHAnsi" w:hAnsiTheme="majorHAnsi" w:cstheme="majorHAnsi"/>
                <w:color w:val="auto"/>
                <w:sz w:val="16"/>
                <w:szCs w:val="16"/>
              </w:rPr>
              <w:t>s</w:t>
            </w:r>
            <w:r w:rsidRPr="006C7B74">
              <w:rPr>
                <w:rFonts w:asciiTheme="majorHAnsi" w:hAnsiTheme="majorHAnsi" w:cstheme="majorHAnsi"/>
                <w:color w:val="auto"/>
                <w:sz w:val="16"/>
                <w:szCs w:val="16"/>
              </w:rPr>
              <w:t xml:space="preserve"> Level 2</w:t>
            </w:r>
            <w:r w:rsidR="00C957F9" w:rsidRPr="006C7B74">
              <w:rPr>
                <w:rFonts w:asciiTheme="majorHAnsi" w:hAnsiTheme="majorHAnsi" w:cstheme="majorHAnsi"/>
                <w:color w:val="auto"/>
                <w:sz w:val="16"/>
                <w:szCs w:val="16"/>
              </w:rPr>
              <w:t xml:space="preserve"> (SA2) are medium-sized </w:t>
            </w:r>
            <w:proofErr w:type="gramStart"/>
            <w:r w:rsidR="00C957F9" w:rsidRPr="006C7B74">
              <w:rPr>
                <w:rFonts w:asciiTheme="majorHAnsi" w:hAnsiTheme="majorHAnsi" w:cstheme="majorHAnsi"/>
                <w:color w:val="auto"/>
                <w:sz w:val="16"/>
                <w:szCs w:val="16"/>
              </w:rPr>
              <w:t>general</w:t>
            </w:r>
            <w:r w:rsidR="00DE3058" w:rsidRPr="006C7B74">
              <w:rPr>
                <w:rFonts w:asciiTheme="majorHAnsi" w:hAnsiTheme="majorHAnsi" w:cstheme="majorHAnsi"/>
                <w:color w:val="auto"/>
                <w:sz w:val="16"/>
                <w:szCs w:val="16"/>
              </w:rPr>
              <w:t xml:space="preserve"> </w:t>
            </w:r>
            <w:r w:rsidR="00C957F9" w:rsidRPr="006C7B74">
              <w:rPr>
                <w:rFonts w:asciiTheme="majorHAnsi" w:hAnsiTheme="majorHAnsi" w:cstheme="majorHAnsi"/>
                <w:color w:val="auto"/>
                <w:sz w:val="16"/>
                <w:szCs w:val="16"/>
              </w:rPr>
              <w:t>purpose</w:t>
            </w:r>
            <w:proofErr w:type="gramEnd"/>
            <w:r w:rsidR="00C957F9" w:rsidRPr="006C7B74">
              <w:rPr>
                <w:rFonts w:asciiTheme="majorHAnsi" w:hAnsiTheme="majorHAnsi" w:cstheme="majorHAnsi"/>
                <w:color w:val="auto"/>
                <w:sz w:val="16"/>
                <w:szCs w:val="16"/>
              </w:rPr>
              <w:t xml:space="preserve"> areas</w:t>
            </w:r>
            <w:r w:rsidR="001D5E7C" w:rsidRPr="006C7B74">
              <w:rPr>
                <w:rFonts w:asciiTheme="majorHAnsi" w:hAnsiTheme="majorHAnsi" w:cstheme="majorHAnsi"/>
                <w:color w:val="auto"/>
                <w:sz w:val="16"/>
                <w:szCs w:val="16"/>
              </w:rPr>
              <w:t xml:space="preserve"> established by the ABS that</w:t>
            </w:r>
            <w:r w:rsidR="00C957F9" w:rsidRPr="006C7B74">
              <w:rPr>
                <w:rFonts w:asciiTheme="majorHAnsi" w:hAnsiTheme="majorHAnsi" w:cstheme="majorHAnsi"/>
                <w:color w:val="auto"/>
                <w:sz w:val="16"/>
                <w:szCs w:val="16"/>
              </w:rPr>
              <w:t xml:space="preserve"> represent a community that interacts together socially and economically.</w:t>
            </w:r>
            <w:r w:rsidR="006D7F98" w:rsidRPr="006C7B74">
              <w:rPr>
                <w:rFonts w:asciiTheme="majorHAnsi" w:hAnsiTheme="majorHAnsi" w:cstheme="majorHAnsi"/>
                <w:color w:val="auto"/>
                <w:sz w:val="16"/>
                <w:szCs w:val="16"/>
              </w:rPr>
              <w:t xml:space="preserve"> </w:t>
            </w:r>
            <w:r w:rsidR="00652BD3" w:rsidRPr="006C7B74">
              <w:rPr>
                <w:rFonts w:asciiTheme="majorHAnsi" w:hAnsiTheme="majorHAnsi" w:cstheme="majorHAnsi"/>
                <w:color w:val="auto"/>
                <w:sz w:val="16"/>
                <w:szCs w:val="16"/>
              </w:rPr>
              <w:t xml:space="preserve">The </w:t>
            </w:r>
            <w:r w:rsidR="006D7F98" w:rsidRPr="006C7B74">
              <w:rPr>
                <w:rFonts w:asciiTheme="majorHAnsi" w:hAnsiTheme="majorHAnsi" w:cstheme="majorHAnsi"/>
                <w:color w:val="auto"/>
                <w:sz w:val="16"/>
                <w:szCs w:val="16"/>
              </w:rPr>
              <w:t xml:space="preserve">Wallan SA2 </w:t>
            </w:r>
            <w:r w:rsidR="00652BD3" w:rsidRPr="006C7B74">
              <w:rPr>
                <w:rFonts w:asciiTheme="majorHAnsi" w:hAnsiTheme="majorHAnsi" w:cstheme="majorHAnsi"/>
                <w:color w:val="auto"/>
                <w:sz w:val="16"/>
                <w:szCs w:val="16"/>
              </w:rPr>
              <w:t>is larger than the area in Mitch</w:t>
            </w:r>
            <w:r w:rsidR="00EF65C4" w:rsidRPr="006C7B74">
              <w:rPr>
                <w:rFonts w:asciiTheme="majorHAnsi" w:hAnsiTheme="majorHAnsi" w:cstheme="majorHAnsi"/>
                <w:color w:val="auto"/>
                <w:sz w:val="16"/>
                <w:szCs w:val="16"/>
              </w:rPr>
              <w:t>e</w:t>
            </w:r>
            <w:r w:rsidR="00652BD3" w:rsidRPr="006C7B74">
              <w:rPr>
                <w:rFonts w:asciiTheme="majorHAnsi" w:hAnsiTheme="majorHAnsi" w:cstheme="majorHAnsi"/>
                <w:color w:val="auto"/>
                <w:sz w:val="16"/>
                <w:szCs w:val="16"/>
              </w:rPr>
              <w:t>l</w:t>
            </w:r>
            <w:r w:rsidR="00EF65C4" w:rsidRPr="006C7B74">
              <w:rPr>
                <w:rFonts w:asciiTheme="majorHAnsi" w:hAnsiTheme="majorHAnsi" w:cstheme="majorHAnsi"/>
                <w:color w:val="auto"/>
                <w:sz w:val="16"/>
                <w:szCs w:val="16"/>
              </w:rPr>
              <w:t>l</w:t>
            </w:r>
            <w:r w:rsidR="00652BD3" w:rsidRPr="006C7B74">
              <w:rPr>
                <w:rFonts w:asciiTheme="majorHAnsi" w:hAnsiTheme="majorHAnsi" w:cstheme="majorHAnsi"/>
                <w:color w:val="auto"/>
                <w:sz w:val="16"/>
                <w:szCs w:val="16"/>
              </w:rPr>
              <w:t xml:space="preserve"> within the UGB</w:t>
            </w:r>
            <w:r w:rsidR="00E45C36" w:rsidRPr="006C7B74">
              <w:rPr>
                <w:rFonts w:asciiTheme="majorHAnsi" w:hAnsiTheme="majorHAnsi" w:cstheme="majorHAnsi"/>
                <w:color w:val="auto"/>
                <w:sz w:val="16"/>
                <w:szCs w:val="16"/>
              </w:rPr>
              <w:t xml:space="preserve"> and</w:t>
            </w:r>
            <w:r w:rsidR="006D7F98" w:rsidRPr="006C7B74">
              <w:rPr>
                <w:rFonts w:asciiTheme="majorHAnsi" w:hAnsiTheme="majorHAnsi" w:cstheme="majorHAnsi"/>
                <w:color w:val="auto"/>
                <w:sz w:val="16"/>
                <w:szCs w:val="16"/>
              </w:rPr>
              <w:t xml:space="preserve"> generally</w:t>
            </w:r>
            <w:r w:rsidR="00EF65C4" w:rsidRPr="006C7B74">
              <w:rPr>
                <w:rFonts w:asciiTheme="majorHAnsi" w:hAnsiTheme="majorHAnsi" w:cstheme="majorHAnsi"/>
                <w:color w:val="auto"/>
                <w:sz w:val="16"/>
                <w:szCs w:val="16"/>
              </w:rPr>
              <w:t xml:space="preserve"> follows the municipal boundary west of Wallan and extends north of Wandong </w:t>
            </w:r>
            <w:r w:rsidR="00E45C36" w:rsidRPr="006C7B74">
              <w:rPr>
                <w:rFonts w:asciiTheme="majorHAnsi" w:hAnsiTheme="majorHAnsi" w:cstheme="majorHAnsi"/>
                <w:color w:val="auto"/>
                <w:sz w:val="16"/>
                <w:szCs w:val="16"/>
              </w:rPr>
              <w:t>and east into Kinglake National Park.</w:t>
            </w:r>
          </w:p>
        </w:tc>
      </w:tr>
    </w:tbl>
    <w:p w14:paraId="550AB8A2" w14:textId="77777777" w:rsidR="0013334D" w:rsidRPr="001B2BFB" w:rsidRDefault="0013334D" w:rsidP="0013334D">
      <w:pPr>
        <w:pStyle w:val="ListParagraph"/>
        <w:rPr>
          <w:rFonts w:cstheme="minorHAnsi"/>
          <w:sz w:val="20"/>
          <w:szCs w:val="20"/>
        </w:rPr>
      </w:pPr>
    </w:p>
    <w:p w14:paraId="1759FF70" w14:textId="77777777" w:rsidR="0013334D" w:rsidRPr="001B2BFB" w:rsidRDefault="0013334D" w:rsidP="0013334D">
      <w:pPr>
        <w:pStyle w:val="Default"/>
        <w:rPr>
          <w:rFonts w:asciiTheme="minorHAnsi" w:eastAsia="Times New Roman" w:hAnsiTheme="minorHAnsi" w:cstheme="minorHAnsi"/>
          <w:b/>
          <w:color w:val="auto"/>
          <w:sz w:val="20"/>
          <w:szCs w:val="20"/>
        </w:rPr>
      </w:pPr>
    </w:p>
    <w:sectPr w:rsidR="0013334D" w:rsidRPr="001B2BFB" w:rsidSect="00E2093A">
      <w:pgSz w:w="11900" w:h="16840"/>
      <w:pgMar w:top="1440" w:right="1440" w:bottom="1440" w:left="1440" w:header="454" w:footer="62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B0C3F8A" w14:textId="77777777" w:rsidR="002F088C" w:rsidRDefault="002F088C" w:rsidP="00DF0C94">
      <w:r>
        <w:separator/>
      </w:r>
    </w:p>
  </w:endnote>
  <w:endnote w:type="continuationSeparator" w:id="0">
    <w:p w14:paraId="1F10B8FE" w14:textId="77777777" w:rsidR="002F088C" w:rsidRDefault="002F088C" w:rsidP="00DF0C94">
      <w:r>
        <w:continuationSeparator/>
      </w:r>
    </w:p>
  </w:endnote>
  <w:endnote w:type="continuationNotice" w:id="1">
    <w:p w14:paraId="0CD4E046" w14:textId="77777777" w:rsidR="002F088C" w:rsidRDefault="002F088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10006FF" w:usb1="4000205B" w:usb2="00000010" w:usb3="00000000" w:csb0="0000019F" w:csb1="00000000"/>
  </w:font>
  <w:font w:name="Yu Mincho">
    <w:panose1 w:val="02020400000000000000"/>
    <w:charset w:val="80"/>
    <w:family w:val="roman"/>
    <w:notTrueType/>
    <w:pitch w:val="variable"/>
    <w:sig w:usb0="800002E7" w:usb1="2AC7FCFF" w:usb2="00000012" w:usb3="00000000" w:csb0="0002009F" w:csb1="00000000"/>
  </w:font>
  <w:font w:name="Network Sans Light">
    <w:altName w:val="Calibri"/>
    <w:panose1 w:val="020B0604020202020204"/>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VIC-Medium">
    <w:altName w:val="Calibri"/>
    <w:panose1 w:val="020B0604020202020204"/>
    <w:charset w:val="4D"/>
    <w:family w:val="auto"/>
    <w:notTrueType/>
    <w:pitch w:val="variable"/>
    <w:sig w:usb0="00000007" w:usb1="00000000" w:usb2="00000000" w:usb3="00000000" w:csb0="00000093"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482656718"/>
      <w:docPartObj>
        <w:docPartGallery w:val="Page Numbers (Bottom of Page)"/>
        <w:docPartUnique/>
      </w:docPartObj>
    </w:sdtPr>
    <w:sdtEndPr>
      <w:rPr>
        <w:rStyle w:val="PageNumber"/>
      </w:rPr>
    </w:sdtEndPr>
    <w:sdtContent>
      <w:p w14:paraId="40CED385" w14:textId="77777777" w:rsidR="00136CF6" w:rsidRDefault="00136CF6" w:rsidP="0044580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9956EC8" w14:textId="77777777" w:rsidR="00136CF6" w:rsidRDefault="00136CF6" w:rsidP="00DF0C9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5E4AE6" w14:textId="77777777" w:rsidR="00136CF6" w:rsidRDefault="00136CF6" w:rsidP="005439F0">
    <w:pPr>
      <w:pStyle w:val="Footer"/>
      <w:pBdr>
        <w:top w:val="dotted" w:sz="4" w:space="1" w:color="auto"/>
      </w:pBdr>
      <w:ind w:right="360"/>
      <w:rPr>
        <w:sz w:val="16"/>
        <w:szCs w:val="16"/>
      </w:rPr>
    </w:pPr>
  </w:p>
  <w:p w14:paraId="0E3E5D6B" w14:textId="77777777" w:rsidR="00136CF6" w:rsidRPr="002D6599" w:rsidRDefault="00136CF6" w:rsidP="00234E8C">
    <w:pPr>
      <w:pStyle w:val="Footer"/>
      <w:pBdr>
        <w:top w:val="dotted" w:sz="4" w:space="1" w:color="auto"/>
      </w:pBdr>
      <w:ind w:right="360"/>
      <w:jc w:val="center"/>
      <w:rPr>
        <w:rFonts w:ascii="VIC-Medium" w:eastAsiaTheme="minorHAnsi" w:hAnsi="VIC-Medium" w:cs="VIC-Medium"/>
        <w:color w:val="5E196A"/>
        <w:sz w:val="16"/>
        <w:szCs w:val="16"/>
      </w:rPr>
    </w:pPr>
    <w:r w:rsidRPr="002D6599">
      <w:rPr>
        <w:rFonts w:ascii="VIC-Medium" w:eastAsiaTheme="minorHAnsi" w:hAnsi="VIC-Medium" w:cs="VIC-Medium"/>
        <w:sz w:val="16"/>
        <w:szCs w:val="16"/>
      </w:rPr>
      <w:t xml:space="preserve">Page </w:t>
    </w:r>
    <w:r w:rsidRPr="002D6599">
      <w:rPr>
        <w:rFonts w:ascii="VIC-Medium" w:eastAsiaTheme="minorHAnsi" w:hAnsi="VIC-Medium" w:cs="VIC-Medium"/>
        <w:sz w:val="16"/>
        <w:szCs w:val="16"/>
      </w:rPr>
      <w:fldChar w:fldCharType="begin"/>
    </w:r>
    <w:r w:rsidRPr="002D6599">
      <w:rPr>
        <w:rFonts w:ascii="VIC-Medium" w:eastAsiaTheme="minorHAnsi" w:hAnsi="VIC-Medium" w:cs="VIC-Medium"/>
        <w:sz w:val="16"/>
        <w:szCs w:val="16"/>
      </w:rPr>
      <w:instrText xml:space="preserve"> PAGE  \* MERGEFORMAT </w:instrText>
    </w:r>
    <w:r w:rsidRPr="002D6599">
      <w:rPr>
        <w:rFonts w:ascii="VIC-Medium" w:eastAsiaTheme="minorHAnsi" w:hAnsi="VIC-Medium" w:cs="VIC-Medium"/>
        <w:sz w:val="16"/>
        <w:szCs w:val="16"/>
      </w:rPr>
      <w:fldChar w:fldCharType="separate"/>
    </w:r>
    <w:r>
      <w:rPr>
        <w:rFonts w:ascii="VIC-Medium" w:eastAsiaTheme="minorHAnsi" w:hAnsi="VIC-Medium" w:cs="VIC-Medium"/>
        <w:sz w:val="16"/>
        <w:szCs w:val="16"/>
      </w:rPr>
      <w:t>i</w:t>
    </w:r>
    <w:r w:rsidRPr="002D6599">
      <w:rPr>
        <w:rFonts w:ascii="VIC-Medium" w:eastAsiaTheme="minorHAnsi" w:hAnsi="VIC-Medium" w:cs="VIC-Medium"/>
        <w:sz w:val="16"/>
        <w:szCs w:val="16"/>
      </w:rPr>
      <w:fldChar w:fldCharType="end"/>
    </w:r>
  </w:p>
  <w:p w14:paraId="749F3713" w14:textId="6EBDB3F3" w:rsidR="00136CF6" w:rsidRDefault="00136CF6" w:rsidP="00F76FC0">
    <w:pPr>
      <w:pStyle w:val="Footer"/>
      <w:pBdr>
        <w:top w:val="dotted" w:sz="4" w:space="1" w:color="auto"/>
      </w:pBdr>
      <w:ind w:right="360"/>
      <w:jc w:val="center"/>
      <w:rPr>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6095D1" w14:textId="4DCDE342" w:rsidR="00136CF6" w:rsidRDefault="00136CF6" w:rsidP="00652302">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72CE980" w14:textId="77777777" w:rsidR="002F088C" w:rsidRDefault="002F088C" w:rsidP="00DF0C94">
      <w:r>
        <w:separator/>
      </w:r>
    </w:p>
  </w:footnote>
  <w:footnote w:type="continuationSeparator" w:id="0">
    <w:p w14:paraId="6272169F" w14:textId="77777777" w:rsidR="002F088C" w:rsidRDefault="002F088C" w:rsidP="00DF0C94">
      <w:r>
        <w:continuationSeparator/>
      </w:r>
    </w:p>
  </w:footnote>
  <w:footnote w:type="continuationNotice" w:id="1">
    <w:p w14:paraId="5982DE47" w14:textId="77777777" w:rsidR="002F088C" w:rsidRDefault="002F088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BC40FB" w14:textId="4BC92D16" w:rsidR="00136CF6" w:rsidRPr="00A62507" w:rsidRDefault="00136CF6" w:rsidP="00C07B4C">
    <w:pPr>
      <w:pStyle w:val="Header"/>
      <w:tabs>
        <w:tab w:val="clear" w:pos="4513"/>
        <w:tab w:val="clear" w:pos="9026"/>
        <w:tab w:val="center" w:pos="4510"/>
        <w:tab w:val="right" w:pos="9020"/>
      </w:tabs>
    </w:pPr>
    <w:r>
      <w:rPr>
        <w:color w:val="FF0000"/>
        <w:sz w:val="28"/>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2CC96C" w14:textId="57C8C20C" w:rsidR="00136CF6" w:rsidRPr="00A62507" w:rsidRDefault="00136CF6" w:rsidP="005D4380">
    <w:pPr>
      <w:pStyle w:val="Header"/>
    </w:pPr>
  </w:p>
  <w:p w14:paraId="03A0673F" w14:textId="5AA0DD7D" w:rsidR="00136CF6" w:rsidRPr="00A62507" w:rsidRDefault="00136CF6">
    <w:pPr>
      <w:pStyle w:val="Header"/>
    </w:pPr>
  </w:p>
  <w:p w14:paraId="0686A9CB" w14:textId="56DF8C26" w:rsidR="00136CF6" w:rsidRPr="00A62507" w:rsidRDefault="00136CF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C826A4"/>
    <w:multiLevelType w:val="multilevel"/>
    <w:tmpl w:val="A37A1772"/>
    <w:lvl w:ilvl="0">
      <w:start w:val="1"/>
      <w:numFmt w:val="bullet"/>
      <w:lvlText w:val=""/>
      <w:lvlJc w:val="left"/>
      <w:pPr>
        <w:tabs>
          <w:tab w:val="num" w:pos="360"/>
        </w:tabs>
        <w:ind w:left="360" w:hanging="360"/>
      </w:pPr>
      <w:rPr>
        <w:rFonts w:ascii="Symbol" w:hAnsi="Symbol" w:hint="default"/>
        <w:sz w:val="20"/>
      </w:rPr>
    </w:lvl>
    <w:lvl w:ilvl="1">
      <w:numFmt w:val="bullet"/>
      <w:lvlText w:val="-"/>
      <w:lvlJc w:val="left"/>
      <w:pPr>
        <w:ind w:left="1080" w:hanging="360"/>
      </w:pPr>
      <w:rPr>
        <w:rFonts w:ascii="Arial" w:eastAsia="Times New Roman" w:hAnsi="Arial" w:cs="Arial" w:hint="default"/>
      </w:rPr>
    </w:lvl>
    <w:lvl w:ilvl="2">
      <w:start w:val="1"/>
      <w:numFmt w:val="lowerLetter"/>
      <w:lvlText w:val="%3)"/>
      <w:lvlJc w:val="left"/>
      <w:pPr>
        <w:ind w:left="1800" w:hanging="360"/>
      </w:pPr>
      <w:rPr>
        <w:rFonts w:hint="default"/>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 w15:restartNumberingAfterBreak="0">
    <w:nsid w:val="01107939"/>
    <w:multiLevelType w:val="multilevel"/>
    <w:tmpl w:val="8E083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84F7801"/>
    <w:multiLevelType w:val="multilevel"/>
    <w:tmpl w:val="904AEB3A"/>
    <w:numStyleLink w:val="TableListNumbermaster"/>
  </w:abstractNum>
  <w:abstractNum w:abstractNumId="3" w15:restartNumberingAfterBreak="0">
    <w:nsid w:val="0A046475"/>
    <w:multiLevelType w:val="multilevel"/>
    <w:tmpl w:val="6DACF6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A8C5CEE"/>
    <w:multiLevelType w:val="hybridMultilevel"/>
    <w:tmpl w:val="D912456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D466573"/>
    <w:multiLevelType w:val="hybridMultilevel"/>
    <w:tmpl w:val="6E3093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04F506C"/>
    <w:multiLevelType w:val="hybridMultilevel"/>
    <w:tmpl w:val="F7FE6B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25C0108"/>
    <w:multiLevelType w:val="hybridMultilevel"/>
    <w:tmpl w:val="62F03016"/>
    <w:lvl w:ilvl="0" w:tplc="AB624B68">
      <w:numFmt w:val="bullet"/>
      <w:lvlText w:val="-"/>
      <w:lvlJc w:val="left"/>
      <w:pPr>
        <w:ind w:left="360" w:hanging="360"/>
      </w:pPr>
      <w:rPr>
        <w:rFonts w:ascii="Calibri" w:eastAsiaTheme="minorHAnsi" w:hAnsi="Calibri" w:cs="Calibri"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13513969"/>
    <w:multiLevelType w:val="hybridMultilevel"/>
    <w:tmpl w:val="74AED9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4A22E0D"/>
    <w:multiLevelType w:val="hybridMultilevel"/>
    <w:tmpl w:val="A9802392"/>
    <w:lvl w:ilvl="0" w:tplc="4FFCF276">
      <w:start w:val="1"/>
      <w:numFmt w:val="decimal"/>
      <w:lvlText w:val="4.%1"/>
      <w:lvlJc w:val="left"/>
      <w:pPr>
        <w:ind w:left="720" w:hanging="360"/>
      </w:pPr>
      <w:rPr>
        <w:rFont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6D361A7"/>
    <w:multiLevelType w:val="multilevel"/>
    <w:tmpl w:val="347253B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ACD56A8"/>
    <w:multiLevelType w:val="hybridMultilevel"/>
    <w:tmpl w:val="05FE34D8"/>
    <w:lvl w:ilvl="0" w:tplc="D0560910">
      <w:numFmt w:val="bullet"/>
      <w:lvlText w:val="-"/>
      <w:lvlJc w:val="left"/>
      <w:pPr>
        <w:ind w:left="360" w:hanging="360"/>
      </w:pPr>
      <w:rPr>
        <w:rFonts w:ascii="Calibri" w:eastAsia="Times New Roman" w:hAnsi="Calibri" w:cs="Aria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1AEB4FA6"/>
    <w:multiLevelType w:val="hybridMultilevel"/>
    <w:tmpl w:val="8D0A1FD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1BFE1619"/>
    <w:multiLevelType w:val="hybridMultilevel"/>
    <w:tmpl w:val="CEA047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E0304E2"/>
    <w:multiLevelType w:val="hybridMultilevel"/>
    <w:tmpl w:val="19BC86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F082FEE"/>
    <w:multiLevelType w:val="multilevel"/>
    <w:tmpl w:val="904AEB3A"/>
    <w:styleLink w:val="TableListNumbermaster"/>
    <w:lvl w:ilvl="0">
      <w:start w:val="1"/>
      <w:numFmt w:val="decimal"/>
      <w:pStyle w:val="TableListNumber"/>
      <w:lvlText w:val="%1."/>
      <w:lvlJc w:val="left"/>
      <w:pPr>
        <w:ind w:left="360" w:hanging="360"/>
      </w:pPr>
      <w:rPr>
        <w:rFonts w:hint="default"/>
        <w:color w:val="auto"/>
      </w:rPr>
    </w:lvl>
    <w:lvl w:ilvl="1">
      <w:start w:val="1"/>
      <w:numFmt w:val="lowerLetter"/>
      <w:pStyle w:val="TableListNumber2"/>
      <w:lvlText w:val="%2."/>
      <w:lvlJc w:val="left"/>
      <w:pPr>
        <w:ind w:left="720" w:hanging="360"/>
      </w:pPr>
      <w:rPr>
        <w:rFonts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21865912"/>
    <w:multiLevelType w:val="multilevel"/>
    <w:tmpl w:val="9D6E0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44D46C0"/>
    <w:multiLevelType w:val="hybridMultilevel"/>
    <w:tmpl w:val="E746EA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5793A61"/>
    <w:multiLevelType w:val="hybridMultilevel"/>
    <w:tmpl w:val="BB4A9184"/>
    <w:lvl w:ilvl="0" w:tplc="174C0672">
      <w:start w:val="1"/>
      <w:numFmt w:val="bullet"/>
      <w:lvlText w:val=""/>
      <w:lvlJc w:val="left"/>
      <w:pPr>
        <w:ind w:left="720" w:hanging="360"/>
      </w:pPr>
      <w:rPr>
        <w:rFonts w:ascii="Symbol" w:hAnsi="Symbol" w:hint="default"/>
      </w:rPr>
    </w:lvl>
    <w:lvl w:ilvl="1" w:tplc="9A065130">
      <w:start w:val="1"/>
      <w:numFmt w:val="bullet"/>
      <w:lvlText w:val=""/>
      <w:lvlJc w:val="left"/>
      <w:pPr>
        <w:ind w:left="1440" w:hanging="360"/>
      </w:pPr>
      <w:rPr>
        <w:rFonts w:ascii="Symbol" w:hAnsi="Symbol" w:hint="default"/>
      </w:rPr>
    </w:lvl>
    <w:lvl w:ilvl="2" w:tplc="16FE6D54">
      <w:start w:val="1"/>
      <w:numFmt w:val="bullet"/>
      <w:lvlText w:val=""/>
      <w:lvlJc w:val="left"/>
      <w:pPr>
        <w:ind w:left="2160" w:hanging="360"/>
      </w:pPr>
      <w:rPr>
        <w:rFonts w:ascii="Wingdings" w:hAnsi="Wingdings" w:hint="default"/>
      </w:rPr>
    </w:lvl>
    <w:lvl w:ilvl="3" w:tplc="CF20908C">
      <w:start w:val="1"/>
      <w:numFmt w:val="bullet"/>
      <w:lvlText w:val=""/>
      <w:lvlJc w:val="left"/>
      <w:pPr>
        <w:ind w:left="2880" w:hanging="360"/>
      </w:pPr>
      <w:rPr>
        <w:rFonts w:ascii="Symbol" w:hAnsi="Symbol" w:hint="default"/>
      </w:rPr>
    </w:lvl>
    <w:lvl w:ilvl="4" w:tplc="B900BFCE">
      <w:start w:val="1"/>
      <w:numFmt w:val="bullet"/>
      <w:lvlText w:val="o"/>
      <w:lvlJc w:val="left"/>
      <w:pPr>
        <w:ind w:left="3600" w:hanging="360"/>
      </w:pPr>
      <w:rPr>
        <w:rFonts w:ascii="Courier New" w:hAnsi="Courier New" w:hint="default"/>
      </w:rPr>
    </w:lvl>
    <w:lvl w:ilvl="5" w:tplc="F5F8E0A6">
      <w:start w:val="1"/>
      <w:numFmt w:val="bullet"/>
      <w:lvlText w:val=""/>
      <w:lvlJc w:val="left"/>
      <w:pPr>
        <w:ind w:left="4320" w:hanging="360"/>
      </w:pPr>
      <w:rPr>
        <w:rFonts w:ascii="Wingdings" w:hAnsi="Wingdings" w:hint="default"/>
      </w:rPr>
    </w:lvl>
    <w:lvl w:ilvl="6" w:tplc="D57802D6">
      <w:start w:val="1"/>
      <w:numFmt w:val="bullet"/>
      <w:lvlText w:val=""/>
      <w:lvlJc w:val="left"/>
      <w:pPr>
        <w:ind w:left="5040" w:hanging="360"/>
      </w:pPr>
      <w:rPr>
        <w:rFonts w:ascii="Symbol" w:hAnsi="Symbol" w:hint="default"/>
      </w:rPr>
    </w:lvl>
    <w:lvl w:ilvl="7" w:tplc="0F9C4C3C">
      <w:start w:val="1"/>
      <w:numFmt w:val="bullet"/>
      <w:lvlText w:val="o"/>
      <w:lvlJc w:val="left"/>
      <w:pPr>
        <w:ind w:left="5760" w:hanging="360"/>
      </w:pPr>
      <w:rPr>
        <w:rFonts w:ascii="Courier New" w:hAnsi="Courier New" w:hint="default"/>
      </w:rPr>
    </w:lvl>
    <w:lvl w:ilvl="8" w:tplc="1F9ADF54">
      <w:start w:val="1"/>
      <w:numFmt w:val="bullet"/>
      <w:lvlText w:val=""/>
      <w:lvlJc w:val="left"/>
      <w:pPr>
        <w:ind w:left="6480" w:hanging="360"/>
      </w:pPr>
      <w:rPr>
        <w:rFonts w:ascii="Wingdings" w:hAnsi="Wingdings" w:hint="default"/>
      </w:rPr>
    </w:lvl>
  </w:abstractNum>
  <w:abstractNum w:abstractNumId="19" w15:restartNumberingAfterBreak="0">
    <w:nsid w:val="2CF334F6"/>
    <w:multiLevelType w:val="multilevel"/>
    <w:tmpl w:val="1AFA37C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F325DC1"/>
    <w:multiLevelType w:val="multilevel"/>
    <w:tmpl w:val="1E9475F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04875EA"/>
    <w:multiLevelType w:val="hybridMultilevel"/>
    <w:tmpl w:val="DE6C75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13D2731"/>
    <w:multiLevelType w:val="hybridMultilevel"/>
    <w:tmpl w:val="E932E6A2"/>
    <w:lvl w:ilvl="0" w:tplc="2AB004E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23F67CA"/>
    <w:multiLevelType w:val="hybridMultilevel"/>
    <w:tmpl w:val="1F1CDC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2407B60"/>
    <w:multiLevelType w:val="hybridMultilevel"/>
    <w:tmpl w:val="EF005CB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3C3C0540"/>
    <w:multiLevelType w:val="hybridMultilevel"/>
    <w:tmpl w:val="2864DE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CAB2608"/>
    <w:multiLevelType w:val="hybridMultilevel"/>
    <w:tmpl w:val="88E2D69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3CF67026"/>
    <w:multiLevelType w:val="hybridMultilevel"/>
    <w:tmpl w:val="B32656FA"/>
    <w:lvl w:ilvl="0" w:tplc="108626EE">
      <w:start w:val="1"/>
      <w:numFmt w:val="decimal"/>
      <w:lvlText w:val="3.%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D8B494A"/>
    <w:multiLevelType w:val="hybridMultilevel"/>
    <w:tmpl w:val="C91CE7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DC332A9"/>
    <w:multiLevelType w:val="hybridMultilevel"/>
    <w:tmpl w:val="811237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3EA865BE"/>
    <w:multiLevelType w:val="multilevel"/>
    <w:tmpl w:val="08563E60"/>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40194F5B"/>
    <w:multiLevelType w:val="hybridMultilevel"/>
    <w:tmpl w:val="268666A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4196676C"/>
    <w:multiLevelType w:val="multilevel"/>
    <w:tmpl w:val="BFF0E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422A0DDE"/>
    <w:multiLevelType w:val="multilevel"/>
    <w:tmpl w:val="777416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2451110"/>
    <w:multiLevelType w:val="hybridMultilevel"/>
    <w:tmpl w:val="85F44D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428244FE"/>
    <w:multiLevelType w:val="hybridMultilevel"/>
    <w:tmpl w:val="1CEAC4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438176FA"/>
    <w:multiLevelType w:val="hybridMultilevel"/>
    <w:tmpl w:val="496C045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441E62F0"/>
    <w:multiLevelType w:val="hybridMultilevel"/>
    <w:tmpl w:val="9536DFC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462B35D2"/>
    <w:multiLevelType w:val="hybridMultilevel"/>
    <w:tmpl w:val="FFFFFFFF"/>
    <w:lvl w:ilvl="0" w:tplc="F870A0AE">
      <w:start w:val="1"/>
      <w:numFmt w:val="bullet"/>
      <w:lvlText w:val=""/>
      <w:lvlJc w:val="left"/>
      <w:pPr>
        <w:ind w:left="720" w:hanging="360"/>
      </w:pPr>
      <w:rPr>
        <w:rFonts w:ascii="Symbol" w:hAnsi="Symbol" w:hint="default"/>
      </w:rPr>
    </w:lvl>
    <w:lvl w:ilvl="1" w:tplc="D88612E0">
      <w:start w:val="1"/>
      <w:numFmt w:val="bullet"/>
      <w:lvlText w:val="o"/>
      <w:lvlJc w:val="left"/>
      <w:pPr>
        <w:ind w:left="1440" w:hanging="360"/>
      </w:pPr>
      <w:rPr>
        <w:rFonts w:ascii="Courier New" w:hAnsi="Courier New" w:hint="default"/>
      </w:rPr>
    </w:lvl>
    <w:lvl w:ilvl="2" w:tplc="7932DE38">
      <w:start w:val="1"/>
      <w:numFmt w:val="bullet"/>
      <w:lvlText w:val=""/>
      <w:lvlJc w:val="left"/>
      <w:pPr>
        <w:ind w:left="2160" w:hanging="360"/>
      </w:pPr>
      <w:rPr>
        <w:rFonts w:ascii="Wingdings" w:hAnsi="Wingdings" w:hint="default"/>
      </w:rPr>
    </w:lvl>
    <w:lvl w:ilvl="3" w:tplc="B08EB43C">
      <w:start w:val="1"/>
      <w:numFmt w:val="bullet"/>
      <w:lvlText w:val=""/>
      <w:lvlJc w:val="left"/>
      <w:pPr>
        <w:ind w:left="2880" w:hanging="360"/>
      </w:pPr>
      <w:rPr>
        <w:rFonts w:ascii="Symbol" w:hAnsi="Symbol" w:hint="default"/>
      </w:rPr>
    </w:lvl>
    <w:lvl w:ilvl="4" w:tplc="D0EC6474">
      <w:start w:val="1"/>
      <w:numFmt w:val="bullet"/>
      <w:lvlText w:val="o"/>
      <w:lvlJc w:val="left"/>
      <w:pPr>
        <w:ind w:left="3600" w:hanging="360"/>
      </w:pPr>
      <w:rPr>
        <w:rFonts w:ascii="Courier New" w:hAnsi="Courier New" w:hint="default"/>
      </w:rPr>
    </w:lvl>
    <w:lvl w:ilvl="5" w:tplc="3886FE08">
      <w:start w:val="1"/>
      <w:numFmt w:val="bullet"/>
      <w:lvlText w:val=""/>
      <w:lvlJc w:val="left"/>
      <w:pPr>
        <w:ind w:left="4320" w:hanging="360"/>
      </w:pPr>
      <w:rPr>
        <w:rFonts w:ascii="Wingdings" w:hAnsi="Wingdings" w:hint="default"/>
      </w:rPr>
    </w:lvl>
    <w:lvl w:ilvl="6" w:tplc="27347B4A">
      <w:start w:val="1"/>
      <w:numFmt w:val="bullet"/>
      <w:lvlText w:val=""/>
      <w:lvlJc w:val="left"/>
      <w:pPr>
        <w:ind w:left="5040" w:hanging="360"/>
      </w:pPr>
      <w:rPr>
        <w:rFonts w:ascii="Symbol" w:hAnsi="Symbol" w:hint="default"/>
      </w:rPr>
    </w:lvl>
    <w:lvl w:ilvl="7" w:tplc="36C0E1D6">
      <w:start w:val="1"/>
      <w:numFmt w:val="bullet"/>
      <w:lvlText w:val="o"/>
      <w:lvlJc w:val="left"/>
      <w:pPr>
        <w:ind w:left="5760" w:hanging="360"/>
      </w:pPr>
      <w:rPr>
        <w:rFonts w:ascii="Courier New" w:hAnsi="Courier New" w:hint="default"/>
      </w:rPr>
    </w:lvl>
    <w:lvl w:ilvl="8" w:tplc="5F800E2A">
      <w:start w:val="1"/>
      <w:numFmt w:val="bullet"/>
      <w:lvlText w:val=""/>
      <w:lvlJc w:val="left"/>
      <w:pPr>
        <w:ind w:left="6480" w:hanging="360"/>
      </w:pPr>
      <w:rPr>
        <w:rFonts w:ascii="Wingdings" w:hAnsi="Wingdings" w:hint="default"/>
      </w:rPr>
    </w:lvl>
  </w:abstractNum>
  <w:abstractNum w:abstractNumId="39" w15:restartNumberingAfterBreak="0">
    <w:nsid w:val="477A4EF8"/>
    <w:multiLevelType w:val="hybridMultilevel"/>
    <w:tmpl w:val="A71EDE1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48E821FF"/>
    <w:multiLevelType w:val="multilevel"/>
    <w:tmpl w:val="F85A417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498958F2"/>
    <w:multiLevelType w:val="multilevel"/>
    <w:tmpl w:val="EB4A018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4AE2753C"/>
    <w:multiLevelType w:val="hybridMultilevel"/>
    <w:tmpl w:val="9A2E86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4CFA5F8D"/>
    <w:multiLevelType w:val="hybridMultilevel"/>
    <w:tmpl w:val="BB7E7530"/>
    <w:lvl w:ilvl="0" w:tplc="259C4F82">
      <w:start w:val="1"/>
      <w:numFmt w:val="decimal"/>
      <w:lvlText w:val="2.%1"/>
      <w:lvlJc w:val="left"/>
      <w:pPr>
        <w:ind w:left="47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DB96675"/>
    <w:multiLevelType w:val="hybridMultilevel"/>
    <w:tmpl w:val="AB9C12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4E502B96"/>
    <w:multiLevelType w:val="hybridMultilevel"/>
    <w:tmpl w:val="93FE06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50F80C64"/>
    <w:multiLevelType w:val="hybridMultilevel"/>
    <w:tmpl w:val="FFBEAC3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 w15:restartNumberingAfterBreak="0">
    <w:nsid w:val="51560D7A"/>
    <w:multiLevelType w:val="multilevel"/>
    <w:tmpl w:val="7C2C3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519F158A"/>
    <w:multiLevelType w:val="hybridMultilevel"/>
    <w:tmpl w:val="4844B332"/>
    <w:lvl w:ilvl="0" w:tplc="AB624B6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1CD7758"/>
    <w:multiLevelType w:val="hybridMultilevel"/>
    <w:tmpl w:val="642A06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53121792"/>
    <w:multiLevelType w:val="hybridMultilevel"/>
    <w:tmpl w:val="F0BE58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1" w15:restartNumberingAfterBreak="0">
    <w:nsid w:val="532B670A"/>
    <w:multiLevelType w:val="hybridMultilevel"/>
    <w:tmpl w:val="808015A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54447B67"/>
    <w:multiLevelType w:val="hybridMultilevel"/>
    <w:tmpl w:val="E14495A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3" w15:restartNumberingAfterBreak="0">
    <w:nsid w:val="54E22C51"/>
    <w:multiLevelType w:val="hybridMultilevel"/>
    <w:tmpl w:val="255EF55E"/>
    <w:lvl w:ilvl="0" w:tplc="7C2068BA">
      <w:start w:val="1"/>
      <w:numFmt w:val="decimal"/>
      <w:lvlText w:val="1.%1"/>
      <w:lvlJc w:val="left"/>
      <w:pPr>
        <w:ind w:left="720" w:hanging="360"/>
      </w:pPr>
      <w:rPr>
        <w:rFont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5030DF0"/>
    <w:multiLevelType w:val="hybridMultilevel"/>
    <w:tmpl w:val="EB7A4CF0"/>
    <w:lvl w:ilvl="0" w:tplc="25DA8472">
      <w:start w:val="1"/>
      <w:numFmt w:val="decimal"/>
      <w:lvlText w:val="3.%1"/>
      <w:lvlJc w:val="left"/>
      <w:pPr>
        <w:ind w:left="720" w:hanging="360"/>
      </w:pPr>
      <w:rPr>
        <w:rFont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5A306C4"/>
    <w:multiLevelType w:val="hybridMultilevel"/>
    <w:tmpl w:val="901E3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5FD0844"/>
    <w:multiLevelType w:val="multilevel"/>
    <w:tmpl w:val="AC2E007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7" w15:restartNumberingAfterBreak="0">
    <w:nsid w:val="590F4E0C"/>
    <w:multiLevelType w:val="hybridMultilevel"/>
    <w:tmpl w:val="1FFA28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B051ED9"/>
    <w:multiLevelType w:val="hybridMultilevel"/>
    <w:tmpl w:val="51DA86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6003256F"/>
    <w:multiLevelType w:val="multilevel"/>
    <w:tmpl w:val="A0FC5BF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66F3357B"/>
    <w:multiLevelType w:val="multilevel"/>
    <w:tmpl w:val="C81EC448"/>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67E33028"/>
    <w:multiLevelType w:val="hybridMultilevel"/>
    <w:tmpl w:val="4574BE3C"/>
    <w:lvl w:ilvl="0" w:tplc="80140732">
      <w:start w:val="1"/>
      <w:numFmt w:val="decimal"/>
      <w:lvlText w:val="2.%1"/>
      <w:lvlJc w:val="left"/>
      <w:pPr>
        <w:ind w:left="720" w:hanging="360"/>
      </w:pPr>
      <w:rPr>
        <w:rFont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AA75D08"/>
    <w:multiLevelType w:val="multilevel"/>
    <w:tmpl w:val="769CB21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6D1C1AC3"/>
    <w:multiLevelType w:val="hybridMultilevel"/>
    <w:tmpl w:val="CABE6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DB92BAE"/>
    <w:multiLevelType w:val="hybridMultilevel"/>
    <w:tmpl w:val="BB0EAF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6DBE5B46"/>
    <w:multiLevelType w:val="hybridMultilevel"/>
    <w:tmpl w:val="B9462BA8"/>
    <w:lvl w:ilvl="0" w:tplc="0C090001">
      <w:start w:val="1"/>
      <w:numFmt w:val="bullet"/>
      <w:lvlText w:val=""/>
      <w:lvlJc w:val="left"/>
      <w:pPr>
        <w:ind w:left="360" w:hanging="360"/>
      </w:pPr>
      <w:rPr>
        <w:rFonts w:ascii="Symbol" w:hAnsi="Symbol" w:hint="default"/>
      </w:rPr>
    </w:lvl>
    <w:lvl w:ilvl="1" w:tplc="AB624B68">
      <w:numFmt w:val="bullet"/>
      <w:lvlText w:val="-"/>
      <w:lvlJc w:val="left"/>
      <w:pPr>
        <w:ind w:left="1080" w:hanging="360"/>
      </w:pPr>
      <w:rPr>
        <w:rFonts w:ascii="Calibri" w:eastAsiaTheme="minorHAnsi" w:hAnsi="Calibri" w:cs="Calibri"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6" w15:restartNumberingAfterBreak="0">
    <w:nsid w:val="6F8F2221"/>
    <w:multiLevelType w:val="hybridMultilevel"/>
    <w:tmpl w:val="1ED2C494"/>
    <w:lvl w:ilvl="0" w:tplc="AB624B68">
      <w:numFmt w:val="bullet"/>
      <w:lvlText w:val="-"/>
      <w:lvlJc w:val="left"/>
      <w:pPr>
        <w:ind w:left="360" w:hanging="360"/>
      </w:pPr>
      <w:rPr>
        <w:rFonts w:ascii="Calibri" w:eastAsiaTheme="minorHAnsi" w:hAnsi="Calibri"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7"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000000"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44546A"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68" w15:restartNumberingAfterBreak="0">
    <w:nsid w:val="712202B1"/>
    <w:multiLevelType w:val="multilevel"/>
    <w:tmpl w:val="BBF2B43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71970B95"/>
    <w:multiLevelType w:val="hybridMultilevel"/>
    <w:tmpl w:val="F10E2BAA"/>
    <w:lvl w:ilvl="0" w:tplc="A6F48E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2101956"/>
    <w:multiLevelType w:val="hybridMultilevel"/>
    <w:tmpl w:val="80D83E22"/>
    <w:lvl w:ilvl="0" w:tplc="AB624B68">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72BE4286"/>
    <w:multiLevelType w:val="hybridMultilevel"/>
    <w:tmpl w:val="8DF80A72"/>
    <w:lvl w:ilvl="0" w:tplc="F8267A4E">
      <w:start w:val="1"/>
      <w:numFmt w:val="decimal"/>
      <w:lvlText w:val="4.%1"/>
      <w:lvlJc w:val="left"/>
      <w:pPr>
        <w:ind w:left="47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55B653A"/>
    <w:multiLevelType w:val="hybridMultilevel"/>
    <w:tmpl w:val="5A5C0CB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75812895"/>
    <w:multiLevelType w:val="hybridMultilevel"/>
    <w:tmpl w:val="1D1286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75B737AF"/>
    <w:multiLevelType w:val="hybridMultilevel"/>
    <w:tmpl w:val="B43E45B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5" w15:restartNumberingAfterBreak="0">
    <w:nsid w:val="781D515F"/>
    <w:multiLevelType w:val="multilevel"/>
    <w:tmpl w:val="DCFA1AF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6" w15:restartNumberingAfterBreak="0">
    <w:nsid w:val="7839021E"/>
    <w:multiLevelType w:val="multilevel"/>
    <w:tmpl w:val="E0E09B5E"/>
    <w:name w:val="DEPIListNumbering"/>
    <w:lvl w:ilvl="0">
      <w:start w:val="1"/>
      <w:numFmt w:val="decimal"/>
      <w:lvlText w:val="%1."/>
      <w:lvlJc w:val="left"/>
      <w:pPr>
        <w:tabs>
          <w:tab w:val="num" w:pos="340"/>
        </w:tabs>
        <w:ind w:left="340" w:hanging="340"/>
      </w:pPr>
      <w:rPr>
        <w:rFonts w:hint="default"/>
        <w:color w:val="000000" w:themeColor="text1"/>
        <w:spacing w:val="0"/>
        <w:sz w:val="20"/>
      </w:rPr>
    </w:lvl>
    <w:lvl w:ilvl="1">
      <w:start w:val="1"/>
      <w:numFmt w:val="lowerLetter"/>
      <w:lvlText w:val="%2."/>
      <w:lvlJc w:val="left"/>
      <w:pPr>
        <w:tabs>
          <w:tab w:val="num" w:pos="680"/>
        </w:tabs>
        <w:ind w:left="680" w:hanging="340"/>
      </w:pPr>
      <w:rPr>
        <w:rFonts w:hint="default"/>
        <w:color w:val="000000" w:themeColor="text1"/>
        <w:spacing w:val="0"/>
        <w:sz w:val="20"/>
      </w:rPr>
    </w:lvl>
    <w:lvl w:ilvl="2">
      <w:start w:val="1"/>
      <w:numFmt w:val="lowerRoman"/>
      <w:lvlText w:val="%3."/>
      <w:lvlJc w:val="left"/>
      <w:pPr>
        <w:tabs>
          <w:tab w:val="num" w:pos="1049"/>
        </w:tabs>
        <w:ind w:left="1049" w:hanging="369"/>
      </w:pPr>
      <w:rPr>
        <w:rFonts w:hint="default"/>
        <w:color w:val="000000"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77" w15:restartNumberingAfterBreak="0">
    <w:nsid w:val="7913220E"/>
    <w:multiLevelType w:val="hybridMultilevel"/>
    <w:tmpl w:val="3998D71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8" w15:restartNumberingAfterBreak="0">
    <w:nsid w:val="7A99250C"/>
    <w:multiLevelType w:val="multilevel"/>
    <w:tmpl w:val="0DDCF89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7B2472A0"/>
    <w:multiLevelType w:val="hybridMultilevel"/>
    <w:tmpl w:val="4C52697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80" w15:restartNumberingAfterBreak="0">
    <w:nsid w:val="7E472EB1"/>
    <w:multiLevelType w:val="multilevel"/>
    <w:tmpl w:val="E07C83C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7EC40905"/>
    <w:multiLevelType w:val="hybridMultilevel"/>
    <w:tmpl w:val="6B481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7ED75E2D"/>
    <w:multiLevelType w:val="hybridMultilevel"/>
    <w:tmpl w:val="530E9B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7F54072F"/>
    <w:multiLevelType w:val="multilevel"/>
    <w:tmpl w:val="847AAD8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8"/>
  </w:num>
  <w:num w:numId="2">
    <w:abstractNumId w:val="50"/>
  </w:num>
  <w:num w:numId="3">
    <w:abstractNumId w:val="26"/>
  </w:num>
  <w:num w:numId="4">
    <w:abstractNumId w:val="37"/>
  </w:num>
  <w:num w:numId="5">
    <w:abstractNumId w:val="8"/>
  </w:num>
  <w:num w:numId="6">
    <w:abstractNumId w:val="42"/>
  </w:num>
  <w:num w:numId="7">
    <w:abstractNumId w:val="28"/>
  </w:num>
  <w:num w:numId="8">
    <w:abstractNumId w:val="53"/>
  </w:num>
  <w:num w:numId="9">
    <w:abstractNumId w:val="15"/>
  </w:num>
  <w:num w:numId="10">
    <w:abstractNumId w:val="2"/>
  </w:num>
  <w:num w:numId="11">
    <w:abstractNumId w:val="76"/>
  </w:num>
  <w:num w:numId="12">
    <w:abstractNumId w:val="61"/>
  </w:num>
  <w:num w:numId="13">
    <w:abstractNumId w:val="54"/>
  </w:num>
  <w:num w:numId="14">
    <w:abstractNumId w:val="9"/>
  </w:num>
  <w:num w:numId="15">
    <w:abstractNumId w:val="63"/>
  </w:num>
  <w:num w:numId="16">
    <w:abstractNumId w:val="48"/>
  </w:num>
  <w:num w:numId="17">
    <w:abstractNumId w:val="55"/>
  </w:num>
  <w:num w:numId="18">
    <w:abstractNumId w:val="69"/>
  </w:num>
  <w:num w:numId="19">
    <w:abstractNumId w:val="43"/>
  </w:num>
  <w:num w:numId="20">
    <w:abstractNumId w:val="27"/>
  </w:num>
  <w:num w:numId="21">
    <w:abstractNumId w:val="71"/>
  </w:num>
  <w:num w:numId="22">
    <w:abstractNumId w:val="81"/>
  </w:num>
  <w:num w:numId="23">
    <w:abstractNumId w:val="29"/>
  </w:num>
  <w:num w:numId="24">
    <w:abstractNumId w:val="0"/>
  </w:num>
  <w:num w:numId="25">
    <w:abstractNumId w:val="52"/>
  </w:num>
  <w:num w:numId="26">
    <w:abstractNumId w:val="70"/>
  </w:num>
  <w:num w:numId="27">
    <w:abstractNumId w:val="73"/>
  </w:num>
  <w:num w:numId="28">
    <w:abstractNumId w:val="6"/>
  </w:num>
  <w:num w:numId="29">
    <w:abstractNumId w:val="13"/>
  </w:num>
  <w:num w:numId="30">
    <w:abstractNumId w:val="17"/>
  </w:num>
  <w:num w:numId="31">
    <w:abstractNumId w:val="57"/>
  </w:num>
  <w:num w:numId="32">
    <w:abstractNumId w:val="16"/>
  </w:num>
  <w:num w:numId="33">
    <w:abstractNumId w:val="47"/>
  </w:num>
  <w:num w:numId="34">
    <w:abstractNumId w:val="32"/>
  </w:num>
  <w:num w:numId="35">
    <w:abstractNumId w:val="1"/>
  </w:num>
  <w:num w:numId="36">
    <w:abstractNumId w:val="64"/>
  </w:num>
  <w:num w:numId="37">
    <w:abstractNumId w:val="25"/>
  </w:num>
  <w:num w:numId="38">
    <w:abstractNumId w:val="23"/>
  </w:num>
  <w:num w:numId="39">
    <w:abstractNumId w:val="44"/>
  </w:num>
  <w:num w:numId="40">
    <w:abstractNumId w:val="56"/>
  </w:num>
  <w:num w:numId="41">
    <w:abstractNumId w:val="75"/>
  </w:num>
  <w:num w:numId="42">
    <w:abstractNumId w:val="83"/>
  </w:num>
  <w:num w:numId="43">
    <w:abstractNumId w:val="77"/>
  </w:num>
  <w:num w:numId="44">
    <w:abstractNumId w:val="58"/>
  </w:num>
  <w:num w:numId="45">
    <w:abstractNumId w:val="12"/>
  </w:num>
  <w:num w:numId="46">
    <w:abstractNumId w:val="46"/>
  </w:num>
  <w:num w:numId="47">
    <w:abstractNumId w:val="39"/>
  </w:num>
  <w:num w:numId="48">
    <w:abstractNumId w:val="4"/>
  </w:num>
  <w:num w:numId="49">
    <w:abstractNumId w:val="65"/>
  </w:num>
  <w:num w:numId="50">
    <w:abstractNumId w:val="82"/>
  </w:num>
  <w:num w:numId="51">
    <w:abstractNumId w:val="49"/>
  </w:num>
  <w:num w:numId="52">
    <w:abstractNumId w:val="11"/>
  </w:num>
  <w:num w:numId="53">
    <w:abstractNumId w:val="21"/>
  </w:num>
  <w:num w:numId="54">
    <w:abstractNumId w:val="51"/>
  </w:num>
  <w:num w:numId="55">
    <w:abstractNumId w:val="45"/>
  </w:num>
  <w:num w:numId="56">
    <w:abstractNumId w:val="22"/>
  </w:num>
  <w:num w:numId="57">
    <w:abstractNumId w:val="7"/>
  </w:num>
  <w:num w:numId="58">
    <w:abstractNumId w:val="66"/>
  </w:num>
  <w:num w:numId="59">
    <w:abstractNumId w:val="35"/>
  </w:num>
  <w:num w:numId="60">
    <w:abstractNumId w:val="3"/>
  </w:num>
  <w:num w:numId="61">
    <w:abstractNumId w:val="41"/>
  </w:num>
  <w:num w:numId="62">
    <w:abstractNumId w:val="78"/>
  </w:num>
  <w:num w:numId="63">
    <w:abstractNumId w:val="62"/>
  </w:num>
  <w:num w:numId="64">
    <w:abstractNumId w:val="19"/>
  </w:num>
  <w:num w:numId="65">
    <w:abstractNumId w:val="30"/>
  </w:num>
  <w:num w:numId="66">
    <w:abstractNumId w:val="60"/>
  </w:num>
  <w:num w:numId="67">
    <w:abstractNumId w:val="33"/>
  </w:num>
  <w:num w:numId="68">
    <w:abstractNumId w:val="68"/>
  </w:num>
  <w:num w:numId="69">
    <w:abstractNumId w:val="10"/>
  </w:num>
  <w:num w:numId="70">
    <w:abstractNumId w:val="59"/>
  </w:num>
  <w:num w:numId="71">
    <w:abstractNumId w:val="80"/>
  </w:num>
  <w:num w:numId="72">
    <w:abstractNumId w:val="20"/>
  </w:num>
  <w:num w:numId="73">
    <w:abstractNumId w:val="40"/>
  </w:num>
  <w:num w:numId="74">
    <w:abstractNumId w:val="5"/>
  </w:num>
  <w:num w:numId="75">
    <w:abstractNumId w:val="36"/>
  </w:num>
  <w:num w:numId="76">
    <w:abstractNumId w:val="72"/>
  </w:num>
  <w:num w:numId="77">
    <w:abstractNumId w:val="74"/>
  </w:num>
  <w:num w:numId="78">
    <w:abstractNumId w:val="34"/>
  </w:num>
  <w:num w:numId="79">
    <w:abstractNumId w:val="14"/>
  </w:num>
  <w:num w:numId="80">
    <w:abstractNumId w:val="31"/>
  </w:num>
  <w:num w:numId="81">
    <w:abstractNumId w:val="79"/>
  </w:num>
  <w:num w:numId="82">
    <w:abstractNumId w:val="24"/>
  </w:num>
  <w:num w:numId="83">
    <w:abstractNumId w:val="67"/>
  </w:num>
  <w:num w:numId="84">
    <w:abstractNumId w:val="38"/>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0MDYzNDAyNLWwsDA3NjRS0lEKTi0uzszPAykwqQUAxcH3YSwAAAA="/>
  </w:docVars>
  <w:rsids>
    <w:rsidRoot w:val="00EA5F8E"/>
    <w:rsid w:val="0000003A"/>
    <w:rsid w:val="00000096"/>
    <w:rsid w:val="00000124"/>
    <w:rsid w:val="0000015D"/>
    <w:rsid w:val="00000295"/>
    <w:rsid w:val="00000421"/>
    <w:rsid w:val="00000478"/>
    <w:rsid w:val="00000667"/>
    <w:rsid w:val="000007D6"/>
    <w:rsid w:val="00000824"/>
    <w:rsid w:val="0000087E"/>
    <w:rsid w:val="000009B9"/>
    <w:rsid w:val="00000AF2"/>
    <w:rsid w:val="00000E6F"/>
    <w:rsid w:val="00000EE9"/>
    <w:rsid w:val="00001218"/>
    <w:rsid w:val="00001321"/>
    <w:rsid w:val="0000141D"/>
    <w:rsid w:val="00001495"/>
    <w:rsid w:val="0000150C"/>
    <w:rsid w:val="00001717"/>
    <w:rsid w:val="00001963"/>
    <w:rsid w:val="00001A31"/>
    <w:rsid w:val="00001C2C"/>
    <w:rsid w:val="00001E3A"/>
    <w:rsid w:val="00001F6B"/>
    <w:rsid w:val="00001FC5"/>
    <w:rsid w:val="00002185"/>
    <w:rsid w:val="0000275B"/>
    <w:rsid w:val="000027B3"/>
    <w:rsid w:val="000027E9"/>
    <w:rsid w:val="0000290D"/>
    <w:rsid w:val="00002B8A"/>
    <w:rsid w:val="00002CC2"/>
    <w:rsid w:val="00002DD3"/>
    <w:rsid w:val="0000318D"/>
    <w:rsid w:val="000033E6"/>
    <w:rsid w:val="00003426"/>
    <w:rsid w:val="00003568"/>
    <w:rsid w:val="0000367C"/>
    <w:rsid w:val="000039BB"/>
    <w:rsid w:val="00003A7C"/>
    <w:rsid w:val="00003D78"/>
    <w:rsid w:val="0000407C"/>
    <w:rsid w:val="000040E8"/>
    <w:rsid w:val="00004194"/>
    <w:rsid w:val="00004343"/>
    <w:rsid w:val="00004353"/>
    <w:rsid w:val="000044E2"/>
    <w:rsid w:val="000046AE"/>
    <w:rsid w:val="000047AB"/>
    <w:rsid w:val="0000487B"/>
    <w:rsid w:val="0000498C"/>
    <w:rsid w:val="000049C7"/>
    <w:rsid w:val="00004AEF"/>
    <w:rsid w:val="00004F4A"/>
    <w:rsid w:val="0000505E"/>
    <w:rsid w:val="000050A5"/>
    <w:rsid w:val="000050CE"/>
    <w:rsid w:val="00005150"/>
    <w:rsid w:val="00005461"/>
    <w:rsid w:val="00005692"/>
    <w:rsid w:val="00005695"/>
    <w:rsid w:val="00005832"/>
    <w:rsid w:val="0000586B"/>
    <w:rsid w:val="000058DA"/>
    <w:rsid w:val="0000590E"/>
    <w:rsid w:val="00005976"/>
    <w:rsid w:val="00005C7E"/>
    <w:rsid w:val="00005C88"/>
    <w:rsid w:val="00005CD2"/>
    <w:rsid w:val="00005D7C"/>
    <w:rsid w:val="00005D82"/>
    <w:rsid w:val="00005E2D"/>
    <w:rsid w:val="00005EB8"/>
    <w:rsid w:val="000062DC"/>
    <w:rsid w:val="00006334"/>
    <w:rsid w:val="00006464"/>
    <w:rsid w:val="00006612"/>
    <w:rsid w:val="00006757"/>
    <w:rsid w:val="00006821"/>
    <w:rsid w:val="000068E7"/>
    <w:rsid w:val="0000696D"/>
    <w:rsid w:val="00006B97"/>
    <w:rsid w:val="00006BBF"/>
    <w:rsid w:val="00006C2A"/>
    <w:rsid w:val="00006D9C"/>
    <w:rsid w:val="00006DB1"/>
    <w:rsid w:val="00006EE0"/>
    <w:rsid w:val="0000720A"/>
    <w:rsid w:val="000072D5"/>
    <w:rsid w:val="00007331"/>
    <w:rsid w:val="000074A0"/>
    <w:rsid w:val="00007881"/>
    <w:rsid w:val="000079B4"/>
    <w:rsid w:val="00007B70"/>
    <w:rsid w:val="00007C7E"/>
    <w:rsid w:val="00010005"/>
    <w:rsid w:val="000102AC"/>
    <w:rsid w:val="00010519"/>
    <w:rsid w:val="00010533"/>
    <w:rsid w:val="000107A7"/>
    <w:rsid w:val="000108DE"/>
    <w:rsid w:val="00010961"/>
    <w:rsid w:val="000109A3"/>
    <w:rsid w:val="00010A92"/>
    <w:rsid w:val="00010B06"/>
    <w:rsid w:val="00010B47"/>
    <w:rsid w:val="00010D18"/>
    <w:rsid w:val="00010EBE"/>
    <w:rsid w:val="00011134"/>
    <w:rsid w:val="00011157"/>
    <w:rsid w:val="000112DF"/>
    <w:rsid w:val="0001144D"/>
    <w:rsid w:val="00011662"/>
    <w:rsid w:val="00011A97"/>
    <w:rsid w:val="00011D51"/>
    <w:rsid w:val="00011DA7"/>
    <w:rsid w:val="00011E09"/>
    <w:rsid w:val="00011E5B"/>
    <w:rsid w:val="00011F7D"/>
    <w:rsid w:val="00011FAB"/>
    <w:rsid w:val="00012015"/>
    <w:rsid w:val="0001205D"/>
    <w:rsid w:val="000120BF"/>
    <w:rsid w:val="000120FE"/>
    <w:rsid w:val="0001219D"/>
    <w:rsid w:val="000121A9"/>
    <w:rsid w:val="00012409"/>
    <w:rsid w:val="00012927"/>
    <w:rsid w:val="00012949"/>
    <w:rsid w:val="000129C6"/>
    <w:rsid w:val="00012CE1"/>
    <w:rsid w:val="00012E56"/>
    <w:rsid w:val="00012E93"/>
    <w:rsid w:val="00012F0A"/>
    <w:rsid w:val="00013006"/>
    <w:rsid w:val="0001300B"/>
    <w:rsid w:val="00013269"/>
    <w:rsid w:val="000133A3"/>
    <w:rsid w:val="00013645"/>
    <w:rsid w:val="000137B7"/>
    <w:rsid w:val="000137E1"/>
    <w:rsid w:val="0001391F"/>
    <w:rsid w:val="00013947"/>
    <w:rsid w:val="00013AEA"/>
    <w:rsid w:val="00013C53"/>
    <w:rsid w:val="00013DF1"/>
    <w:rsid w:val="00013FA0"/>
    <w:rsid w:val="000140A1"/>
    <w:rsid w:val="0001435A"/>
    <w:rsid w:val="00014381"/>
    <w:rsid w:val="00014574"/>
    <w:rsid w:val="000145B6"/>
    <w:rsid w:val="00014ABF"/>
    <w:rsid w:val="00014E18"/>
    <w:rsid w:val="00014EBD"/>
    <w:rsid w:val="000151D1"/>
    <w:rsid w:val="00015235"/>
    <w:rsid w:val="00015410"/>
    <w:rsid w:val="00015890"/>
    <w:rsid w:val="0001590F"/>
    <w:rsid w:val="0001591D"/>
    <w:rsid w:val="00015D42"/>
    <w:rsid w:val="00015EF1"/>
    <w:rsid w:val="00015FD5"/>
    <w:rsid w:val="000160B0"/>
    <w:rsid w:val="00016122"/>
    <w:rsid w:val="00016128"/>
    <w:rsid w:val="0001620B"/>
    <w:rsid w:val="0001628F"/>
    <w:rsid w:val="00016323"/>
    <w:rsid w:val="000165E1"/>
    <w:rsid w:val="00016739"/>
    <w:rsid w:val="00016770"/>
    <w:rsid w:val="00016942"/>
    <w:rsid w:val="00016AFA"/>
    <w:rsid w:val="00016C0D"/>
    <w:rsid w:val="00016D70"/>
    <w:rsid w:val="00016EFA"/>
    <w:rsid w:val="00016F67"/>
    <w:rsid w:val="00016FAA"/>
    <w:rsid w:val="0001771E"/>
    <w:rsid w:val="00017791"/>
    <w:rsid w:val="00017964"/>
    <w:rsid w:val="00017980"/>
    <w:rsid w:val="00017B45"/>
    <w:rsid w:val="00017C6A"/>
    <w:rsid w:val="00017D3A"/>
    <w:rsid w:val="00017DD2"/>
    <w:rsid w:val="00017E06"/>
    <w:rsid w:val="0002065F"/>
    <w:rsid w:val="000206A6"/>
    <w:rsid w:val="00020782"/>
    <w:rsid w:val="000207D2"/>
    <w:rsid w:val="000208B7"/>
    <w:rsid w:val="00020C65"/>
    <w:rsid w:val="00020CAD"/>
    <w:rsid w:val="00020EAA"/>
    <w:rsid w:val="00020F46"/>
    <w:rsid w:val="00020F7C"/>
    <w:rsid w:val="000212D6"/>
    <w:rsid w:val="000213E7"/>
    <w:rsid w:val="000218C5"/>
    <w:rsid w:val="00021912"/>
    <w:rsid w:val="000219BC"/>
    <w:rsid w:val="00021A8D"/>
    <w:rsid w:val="00021D22"/>
    <w:rsid w:val="00021EEF"/>
    <w:rsid w:val="0002217C"/>
    <w:rsid w:val="00022764"/>
    <w:rsid w:val="000228CC"/>
    <w:rsid w:val="000229C1"/>
    <w:rsid w:val="00022EFC"/>
    <w:rsid w:val="000230D2"/>
    <w:rsid w:val="0002315E"/>
    <w:rsid w:val="000237EC"/>
    <w:rsid w:val="0002380F"/>
    <w:rsid w:val="00023BF3"/>
    <w:rsid w:val="00023E29"/>
    <w:rsid w:val="00023E99"/>
    <w:rsid w:val="00024169"/>
    <w:rsid w:val="000241C3"/>
    <w:rsid w:val="000242BB"/>
    <w:rsid w:val="0002439D"/>
    <w:rsid w:val="00024577"/>
    <w:rsid w:val="000247BE"/>
    <w:rsid w:val="00024E52"/>
    <w:rsid w:val="00025756"/>
    <w:rsid w:val="00025790"/>
    <w:rsid w:val="0002593E"/>
    <w:rsid w:val="00025FF3"/>
    <w:rsid w:val="000260D1"/>
    <w:rsid w:val="00026271"/>
    <w:rsid w:val="000264E0"/>
    <w:rsid w:val="000265B9"/>
    <w:rsid w:val="0002689E"/>
    <w:rsid w:val="00026C8D"/>
    <w:rsid w:val="00026D94"/>
    <w:rsid w:val="00026F71"/>
    <w:rsid w:val="0002702E"/>
    <w:rsid w:val="00027087"/>
    <w:rsid w:val="00027232"/>
    <w:rsid w:val="0002728B"/>
    <w:rsid w:val="00027398"/>
    <w:rsid w:val="000274F0"/>
    <w:rsid w:val="00027516"/>
    <w:rsid w:val="00027598"/>
    <w:rsid w:val="000275FB"/>
    <w:rsid w:val="00027837"/>
    <w:rsid w:val="0002799E"/>
    <w:rsid w:val="00027E7E"/>
    <w:rsid w:val="000300C8"/>
    <w:rsid w:val="00030324"/>
    <w:rsid w:val="0003033E"/>
    <w:rsid w:val="00030365"/>
    <w:rsid w:val="000303B5"/>
    <w:rsid w:val="00030659"/>
    <w:rsid w:val="0003075E"/>
    <w:rsid w:val="000309C2"/>
    <w:rsid w:val="00030CBB"/>
    <w:rsid w:val="00030D23"/>
    <w:rsid w:val="00030D4A"/>
    <w:rsid w:val="00030E60"/>
    <w:rsid w:val="00031030"/>
    <w:rsid w:val="00031306"/>
    <w:rsid w:val="000315A3"/>
    <w:rsid w:val="000315AE"/>
    <w:rsid w:val="000315F6"/>
    <w:rsid w:val="00031647"/>
    <w:rsid w:val="000316ED"/>
    <w:rsid w:val="0003179C"/>
    <w:rsid w:val="00031C6A"/>
    <w:rsid w:val="00031E3B"/>
    <w:rsid w:val="00031E57"/>
    <w:rsid w:val="00031EC1"/>
    <w:rsid w:val="00031FBF"/>
    <w:rsid w:val="00032187"/>
    <w:rsid w:val="000321D9"/>
    <w:rsid w:val="00032500"/>
    <w:rsid w:val="000326DB"/>
    <w:rsid w:val="000327C2"/>
    <w:rsid w:val="000328F6"/>
    <w:rsid w:val="000329BC"/>
    <w:rsid w:val="00032AE1"/>
    <w:rsid w:val="00032CF5"/>
    <w:rsid w:val="00032DAA"/>
    <w:rsid w:val="00032E12"/>
    <w:rsid w:val="00033137"/>
    <w:rsid w:val="0003316B"/>
    <w:rsid w:val="0003328A"/>
    <w:rsid w:val="00033473"/>
    <w:rsid w:val="0003386B"/>
    <w:rsid w:val="000338A8"/>
    <w:rsid w:val="000339DD"/>
    <w:rsid w:val="000339FD"/>
    <w:rsid w:val="00033B79"/>
    <w:rsid w:val="00034017"/>
    <w:rsid w:val="00034305"/>
    <w:rsid w:val="0003445E"/>
    <w:rsid w:val="00034587"/>
    <w:rsid w:val="000347C3"/>
    <w:rsid w:val="00034811"/>
    <w:rsid w:val="0003491C"/>
    <w:rsid w:val="00034AE1"/>
    <w:rsid w:val="00034DD6"/>
    <w:rsid w:val="00034E45"/>
    <w:rsid w:val="00035248"/>
    <w:rsid w:val="000352F2"/>
    <w:rsid w:val="000354DB"/>
    <w:rsid w:val="000354DF"/>
    <w:rsid w:val="00035614"/>
    <w:rsid w:val="0003567E"/>
    <w:rsid w:val="000356D2"/>
    <w:rsid w:val="00035799"/>
    <w:rsid w:val="0003588C"/>
    <w:rsid w:val="00035A32"/>
    <w:rsid w:val="00035A47"/>
    <w:rsid w:val="00035EAA"/>
    <w:rsid w:val="00035EC8"/>
    <w:rsid w:val="00036186"/>
    <w:rsid w:val="000363E5"/>
    <w:rsid w:val="000363E9"/>
    <w:rsid w:val="0003655F"/>
    <w:rsid w:val="00036575"/>
    <w:rsid w:val="000366E5"/>
    <w:rsid w:val="000367F0"/>
    <w:rsid w:val="00036819"/>
    <w:rsid w:val="0003687F"/>
    <w:rsid w:val="00036992"/>
    <w:rsid w:val="00036AD6"/>
    <w:rsid w:val="00036D77"/>
    <w:rsid w:val="00036E45"/>
    <w:rsid w:val="00036ECF"/>
    <w:rsid w:val="00036F90"/>
    <w:rsid w:val="000371F0"/>
    <w:rsid w:val="00037410"/>
    <w:rsid w:val="000374CB"/>
    <w:rsid w:val="000375D5"/>
    <w:rsid w:val="0003776E"/>
    <w:rsid w:val="000377CD"/>
    <w:rsid w:val="00037A67"/>
    <w:rsid w:val="00037A8D"/>
    <w:rsid w:val="00037BEA"/>
    <w:rsid w:val="00037CD0"/>
    <w:rsid w:val="00037DE8"/>
    <w:rsid w:val="00037F0E"/>
    <w:rsid w:val="0004014E"/>
    <w:rsid w:val="000404A7"/>
    <w:rsid w:val="000404C7"/>
    <w:rsid w:val="000404D4"/>
    <w:rsid w:val="000406E6"/>
    <w:rsid w:val="00040770"/>
    <w:rsid w:val="00040855"/>
    <w:rsid w:val="000409EA"/>
    <w:rsid w:val="00040AC2"/>
    <w:rsid w:val="00040BB5"/>
    <w:rsid w:val="00040F00"/>
    <w:rsid w:val="00041079"/>
    <w:rsid w:val="00041110"/>
    <w:rsid w:val="000412FD"/>
    <w:rsid w:val="000414F6"/>
    <w:rsid w:val="00041608"/>
    <w:rsid w:val="00041624"/>
    <w:rsid w:val="000417EE"/>
    <w:rsid w:val="000418F3"/>
    <w:rsid w:val="00041B41"/>
    <w:rsid w:val="00041D8C"/>
    <w:rsid w:val="00041E7E"/>
    <w:rsid w:val="00041EF2"/>
    <w:rsid w:val="00042487"/>
    <w:rsid w:val="000428EC"/>
    <w:rsid w:val="00042A46"/>
    <w:rsid w:val="00042C2F"/>
    <w:rsid w:val="00042D2C"/>
    <w:rsid w:val="00042E1C"/>
    <w:rsid w:val="00042EEB"/>
    <w:rsid w:val="00042FC4"/>
    <w:rsid w:val="000430E5"/>
    <w:rsid w:val="0004322C"/>
    <w:rsid w:val="000432E7"/>
    <w:rsid w:val="00043317"/>
    <w:rsid w:val="000434EF"/>
    <w:rsid w:val="000434FC"/>
    <w:rsid w:val="00043ABD"/>
    <w:rsid w:val="00043BD5"/>
    <w:rsid w:val="00043C3D"/>
    <w:rsid w:val="00043DC5"/>
    <w:rsid w:val="00043E4A"/>
    <w:rsid w:val="00043ED6"/>
    <w:rsid w:val="00044026"/>
    <w:rsid w:val="000441A5"/>
    <w:rsid w:val="0004454D"/>
    <w:rsid w:val="000446FE"/>
    <w:rsid w:val="0004477C"/>
    <w:rsid w:val="000449D7"/>
    <w:rsid w:val="00044B2B"/>
    <w:rsid w:val="00044BC3"/>
    <w:rsid w:val="00044E7D"/>
    <w:rsid w:val="00044ED9"/>
    <w:rsid w:val="0004553B"/>
    <w:rsid w:val="00045957"/>
    <w:rsid w:val="000459AC"/>
    <w:rsid w:val="00045C2A"/>
    <w:rsid w:val="00045EB0"/>
    <w:rsid w:val="000462DA"/>
    <w:rsid w:val="00046606"/>
    <w:rsid w:val="00046687"/>
    <w:rsid w:val="00046770"/>
    <w:rsid w:val="0004696D"/>
    <w:rsid w:val="00046AE2"/>
    <w:rsid w:val="00046CC2"/>
    <w:rsid w:val="00046DD9"/>
    <w:rsid w:val="00046E63"/>
    <w:rsid w:val="00046F1B"/>
    <w:rsid w:val="000470EC"/>
    <w:rsid w:val="000472FD"/>
    <w:rsid w:val="00047343"/>
    <w:rsid w:val="000474FD"/>
    <w:rsid w:val="00047547"/>
    <w:rsid w:val="000475FE"/>
    <w:rsid w:val="000476D3"/>
    <w:rsid w:val="00047A23"/>
    <w:rsid w:val="00047B2D"/>
    <w:rsid w:val="00047C12"/>
    <w:rsid w:val="00047F27"/>
    <w:rsid w:val="0005005B"/>
    <w:rsid w:val="000502F2"/>
    <w:rsid w:val="00050307"/>
    <w:rsid w:val="000503E5"/>
    <w:rsid w:val="00050424"/>
    <w:rsid w:val="000504BB"/>
    <w:rsid w:val="0005059A"/>
    <w:rsid w:val="00050676"/>
    <w:rsid w:val="000509C5"/>
    <w:rsid w:val="00050E9E"/>
    <w:rsid w:val="00050EE0"/>
    <w:rsid w:val="00051060"/>
    <w:rsid w:val="000510AA"/>
    <w:rsid w:val="00051291"/>
    <w:rsid w:val="00051353"/>
    <w:rsid w:val="00051436"/>
    <w:rsid w:val="00051485"/>
    <w:rsid w:val="000514B4"/>
    <w:rsid w:val="000514EB"/>
    <w:rsid w:val="0005182F"/>
    <w:rsid w:val="00051F0E"/>
    <w:rsid w:val="00051F4D"/>
    <w:rsid w:val="00051F93"/>
    <w:rsid w:val="00052477"/>
    <w:rsid w:val="000525F6"/>
    <w:rsid w:val="0005260C"/>
    <w:rsid w:val="000527EE"/>
    <w:rsid w:val="0005290A"/>
    <w:rsid w:val="00052B06"/>
    <w:rsid w:val="00052D74"/>
    <w:rsid w:val="00052DF9"/>
    <w:rsid w:val="00053123"/>
    <w:rsid w:val="00053140"/>
    <w:rsid w:val="00053162"/>
    <w:rsid w:val="00053174"/>
    <w:rsid w:val="00053449"/>
    <w:rsid w:val="000534DB"/>
    <w:rsid w:val="00053522"/>
    <w:rsid w:val="00053825"/>
    <w:rsid w:val="00053BF7"/>
    <w:rsid w:val="00053C3C"/>
    <w:rsid w:val="00053D31"/>
    <w:rsid w:val="00053DE2"/>
    <w:rsid w:val="00053F86"/>
    <w:rsid w:val="00054019"/>
    <w:rsid w:val="0005401E"/>
    <w:rsid w:val="000545BF"/>
    <w:rsid w:val="000547B6"/>
    <w:rsid w:val="00054B3E"/>
    <w:rsid w:val="00054BFC"/>
    <w:rsid w:val="00054C3E"/>
    <w:rsid w:val="00054D03"/>
    <w:rsid w:val="00054DC1"/>
    <w:rsid w:val="00054F39"/>
    <w:rsid w:val="00054FF6"/>
    <w:rsid w:val="0005508C"/>
    <w:rsid w:val="00055122"/>
    <w:rsid w:val="000554A0"/>
    <w:rsid w:val="00055963"/>
    <w:rsid w:val="00055B12"/>
    <w:rsid w:val="00055B4B"/>
    <w:rsid w:val="00055B56"/>
    <w:rsid w:val="00055C55"/>
    <w:rsid w:val="00055DDF"/>
    <w:rsid w:val="00055E7C"/>
    <w:rsid w:val="00055ECA"/>
    <w:rsid w:val="00056442"/>
    <w:rsid w:val="00056649"/>
    <w:rsid w:val="000568A9"/>
    <w:rsid w:val="0005694C"/>
    <w:rsid w:val="00056B04"/>
    <w:rsid w:val="00056E10"/>
    <w:rsid w:val="00056E72"/>
    <w:rsid w:val="00056F3C"/>
    <w:rsid w:val="00056FBC"/>
    <w:rsid w:val="000572AD"/>
    <w:rsid w:val="0005733F"/>
    <w:rsid w:val="000578A3"/>
    <w:rsid w:val="00057935"/>
    <w:rsid w:val="00057998"/>
    <w:rsid w:val="00057A18"/>
    <w:rsid w:val="00057A84"/>
    <w:rsid w:val="00057B78"/>
    <w:rsid w:val="00057C01"/>
    <w:rsid w:val="00057C36"/>
    <w:rsid w:val="00057DBF"/>
    <w:rsid w:val="00057E05"/>
    <w:rsid w:val="0006010A"/>
    <w:rsid w:val="00060123"/>
    <w:rsid w:val="00060359"/>
    <w:rsid w:val="000604AC"/>
    <w:rsid w:val="0006069C"/>
    <w:rsid w:val="00060744"/>
    <w:rsid w:val="00060A66"/>
    <w:rsid w:val="00060AA8"/>
    <w:rsid w:val="00060EB9"/>
    <w:rsid w:val="00060FFE"/>
    <w:rsid w:val="000610D2"/>
    <w:rsid w:val="000611B5"/>
    <w:rsid w:val="0006167C"/>
    <w:rsid w:val="00061A5E"/>
    <w:rsid w:val="00061B96"/>
    <w:rsid w:val="00061C94"/>
    <w:rsid w:val="00061CE1"/>
    <w:rsid w:val="00061EF3"/>
    <w:rsid w:val="00061F46"/>
    <w:rsid w:val="00061F64"/>
    <w:rsid w:val="0006200D"/>
    <w:rsid w:val="000620A1"/>
    <w:rsid w:val="0006258A"/>
    <w:rsid w:val="0006270D"/>
    <w:rsid w:val="00062874"/>
    <w:rsid w:val="00062B81"/>
    <w:rsid w:val="00062E4B"/>
    <w:rsid w:val="00062E62"/>
    <w:rsid w:val="00062FD6"/>
    <w:rsid w:val="00063327"/>
    <w:rsid w:val="00063457"/>
    <w:rsid w:val="000634D7"/>
    <w:rsid w:val="000635E3"/>
    <w:rsid w:val="0006365C"/>
    <w:rsid w:val="00063713"/>
    <w:rsid w:val="00063758"/>
    <w:rsid w:val="00063924"/>
    <w:rsid w:val="00063937"/>
    <w:rsid w:val="00063C13"/>
    <w:rsid w:val="00063C5A"/>
    <w:rsid w:val="00063D1D"/>
    <w:rsid w:val="00064196"/>
    <w:rsid w:val="000642FD"/>
    <w:rsid w:val="0006437B"/>
    <w:rsid w:val="000643EA"/>
    <w:rsid w:val="000644BE"/>
    <w:rsid w:val="000644D0"/>
    <w:rsid w:val="0006453D"/>
    <w:rsid w:val="0006471D"/>
    <w:rsid w:val="000647E6"/>
    <w:rsid w:val="00064B0F"/>
    <w:rsid w:val="00064FC6"/>
    <w:rsid w:val="00065231"/>
    <w:rsid w:val="00065271"/>
    <w:rsid w:val="000653FA"/>
    <w:rsid w:val="000655C3"/>
    <w:rsid w:val="00065693"/>
    <w:rsid w:val="0006580F"/>
    <w:rsid w:val="000658D5"/>
    <w:rsid w:val="00065B62"/>
    <w:rsid w:val="00065FB2"/>
    <w:rsid w:val="000661D6"/>
    <w:rsid w:val="0006628F"/>
    <w:rsid w:val="000663BA"/>
    <w:rsid w:val="000664D4"/>
    <w:rsid w:val="000665B2"/>
    <w:rsid w:val="000666B5"/>
    <w:rsid w:val="00066868"/>
    <w:rsid w:val="000668EB"/>
    <w:rsid w:val="00066A05"/>
    <w:rsid w:val="00066C7F"/>
    <w:rsid w:val="00067219"/>
    <w:rsid w:val="00067324"/>
    <w:rsid w:val="0006733E"/>
    <w:rsid w:val="0006738F"/>
    <w:rsid w:val="000674CB"/>
    <w:rsid w:val="000677A9"/>
    <w:rsid w:val="0006780F"/>
    <w:rsid w:val="00067CE2"/>
    <w:rsid w:val="00067DBB"/>
    <w:rsid w:val="00067DD3"/>
    <w:rsid w:val="00067ED1"/>
    <w:rsid w:val="00067EF2"/>
    <w:rsid w:val="0007001E"/>
    <w:rsid w:val="00070322"/>
    <w:rsid w:val="000704F7"/>
    <w:rsid w:val="00070840"/>
    <w:rsid w:val="00070842"/>
    <w:rsid w:val="000709B9"/>
    <w:rsid w:val="00070A69"/>
    <w:rsid w:val="00070F8A"/>
    <w:rsid w:val="00071162"/>
    <w:rsid w:val="000714B6"/>
    <w:rsid w:val="00071538"/>
    <w:rsid w:val="000716B0"/>
    <w:rsid w:val="0007176B"/>
    <w:rsid w:val="000717BF"/>
    <w:rsid w:val="00071805"/>
    <w:rsid w:val="00071AEF"/>
    <w:rsid w:val="00071B3A"/>
    <w:rsid w:val="00071BDF"/>
    <w:rsid w:val="00071DA4"/>
    <w:rsid w:val="00071DC4"/>
    <w:rsid w:val="00071DDF"/>
    <w:rsid w:val="00071F54"/>
    <w:rsid w:val="000720AD"/>
    <w:rsid w:val="000725F5"/>
    <w:rsid w:val="000726CF"/>
    <w:rsid w:val="00072957"/>
    <w:rsid w:val="000729CD"/>
    <w:rsid w:val="00072AE8"/>
    <w:rsid w:val="00072EF3"/>
    <w:rsid w:val="00072FEC"/>
    <w:rsid w:val="0007312B"/>
    <w:rsid w:val="00073240"/>
    <w:rsid w:val="00073420"/>
    <w:rsid w:val="00073426"/>
    <w:rsid w:val="000734C1"/>
    <w:rsid w:val="00073A87"/>
    <w:rsid w:val="000743EA"/>
    <w:rsid w:val="00074584"/>
    <w:rsid w:val="000745C0"/>
    <w:rsid w:val="000746C8"/>
    <w:rsid w:val="000749F8"/>
    <w:rsid w:val="00074A66"/>
    <w:rsid w:val="00074BF5"/>
    <w:rsid w:val="00074CAF"/>
    <w:rsid w:val="00074E99"/>
    <w:rsid w:val="00075280"/>
    <w:rsid w:val="00075406"/>
    <w:rsid w:val="0007552A"/>
    <w:rsid w:val="000756FB"/>
    <w:rsid w:val="0007583D"/>
    <w:rsid w:val="00075984"/>
    <w:rsid w:val="00075B79"/>
    <w:rsid w:val="00075CB3"/>
    <w:rsid w:val="00075E60"/>
    <w:rsid w:val="00075FE8"/>
    <w:rsid w:val="000760B9"/>
    <w:rsid w:val="000762FE"/>
    <w:rsid w:val="0007647E"/>
    <w:rsid w:val="000768DC"/>
    <w:rsid w:val="000769E4"/>
    <w:rsid w:val="00076C21"/>
    <w:rsid w:val="00076C30"/>
    <w:rsid w:val="00076C85"/>
    <w:rsid w:val="00076E5D"/>
    <w:rsid w:val="00076FBC"/>
    <w:rsid w:val="000775A5"/>
    <w:rsid w:val="00077641"/>
    <w:rsid w:val="000777FF"/>
    <w:rsid w:val="00077996"/>
    <w:rsid w:val="00077C4B"/>
    <w:rsid w:val="00077CB7"/>
    <w:rsid w:val="00077DD3"/>
    <w:rsid w:val="00077DEE"/>
    <w:rsid w:val="00077F85"/>
    <w:rsid w:val="00080043"/>
    <w:rsid w:val="00080157"/>
    <w:rsid w:val="0008043C"/>
    <w:rsid w:val="00080551"/>
    <w:rsid w:val="0008084C"/>
    <w:rsid w:val="00080899"/>
    <w:rsid w:val="00080934"/>
    <w:rsid w:val="00080E4A"/>
    <w:rsid w:val="0008125D"/>
    <w:rsid w:val="000812B2"/>
    <w:rsid w:val="000814BD"/>
    <w:rsid w:val="00081533"/>
    <w:rsid w:val="000816EC"/>
    <w:rsid w:val="00081A9E"/>
    <w:rsid w:val="00081B77"/>
    <w:rsid w:val="00081CC1"/>
    <w:rsid w:val="00082416"/>
    <w:rsid w:val="00082474"/>
    <w:rsid w:val="00082604"/>
    <w:rsid w:val="00082675"/>
    <w:rsid w:val="00082861"/>
    <w:rsid w:val="00082885"/>
    <w:rsid w:val="00082890"/>
    <w:rsid w:val="000828D2"/>
    <w:rsid w:val="00082906"/>
    <w:rsid w:val="00082929"/>
    <w:rsid w:val="0008297E"/>
    <w:rsid w:val="00082B85"/>
    <w:rsid w:val="00082E15"/>
    <w:rsid w:val="00082F28"/>
    <w:rsid w:val="000830DC"/>
    <w:rsid w:val="00083213"/>
    <w:rsid w:val="00083315"/>
    <w:rsid w:val="00083351"/>
    <w:rsid w:val="00083546"/>
    <w:rsid w:val="000836F2"/>
    <w:rsid w:val="00083877"/>
    <w:rsid w:val="00083A0A"/>
    <w:rsid w:val="00083AB7"/>
    <w:rsid w:val="00083ABC"/>
    <w:rsid w:val="00083AF3"/>
    <w:rsid w:val="00083F87"/>
    <w:rsid w:val="00084059"/>
    <w:rsid w:val="0008422A"/>
    <w:rsid w:val="000842CD"/>
    <w:rsid w:val="0008444D"/>
    <w:rsid w:val="000844A3"/>
    <w:rsid w:val="000847E1"/>
    <w:rsid w:val="000849AF"/>
    <w:rsid w:val="00084A23"/>
    <w:rsid w:val="00084AD1"/>
    <w:rsid w:val="00084CA1"/>
    <w:rsid w:val="00084E08"/>
    <w:rsid w:val="00084F3E"/>
    <w:rsid w:val="00084F84"/>
    <w:rsid w:val="0008517F"/>
    <w:rsid w:val="000851B5"/>
    <w:rsid w:val="000853C2"/>
    <w:rsid w:val="000853C8"/>
    <w:rsid w:val="0008544E"/>
    <w:rsid w:val="0008549F"/>
    <w:rsid w:val="00085A46"/>
    <w:rsid w:val="00085C3F"/>
    <w:rsid w:val="00085E2C"/>
    <w:rsid w:val="00085E71"/>
    <w:rsid w:val="00085FCD"/>
    <w:rsid w:val="00086298"/>
    <w:rsid w:val="000862F5"/>
    <w:rsid w:val="00086343"/>
    <w:rsid w:val="0008648D"/>
    <w:rsid w:val="000867F1"/>
    <w:rsid w:val="0008685F"/>
    <w:rsid w:val="0008697B"/>
    <w:rsid w:val="00086AC0"/>
    <w:rsid w:val="00086CF3"/>
    <w:rsid w:val="00086D10"/>
    <w:rsid w:val="00086F70"/>
    <w:rsid w:val="00086FAC"/>
    <w:rsid w:val="00087265"/>
    <w:rsid w:val="0008745D"/>
    <w:rsid w:val="00087633"/>
    <w:rsid w:val="000876A7"/>
    <w:rsid w:val="0008780D"/>
    <w:rsid w:val="00087E4E"/>
    <w:rsid w:val="00087F26"/>
    <w:rsid w:val="000900DB"/>
    <w:rsid w:val="00090127"/>
    <w:rsid w:val="0009039C"/>
    <w:rsid w:val="0009054C"/>
    <w:rsid w:val="000907F3"/>
    <w:rsid w:val="00090821"/>
    <w:rsid w:val="00090B37"/>
    <w:rsid w:val="00090BD2"/>
    <w:rsid w:val="00091069"/>
    <w:rsid w:val="000912DF"/>
    <w:rsid w:val="0009188A"/>
    <w:rsid w:val="000919AE"/>
    <w:rsid w:val="00091B58"/>
    <w:rsid w:val="00091EBD"/>
    <w:rsid w:val="00092507"/>
    <w:rsid w:val="00092558"/>
    <w:rsid w:val="0009265C"/>
    <w:rsid w:val="00092740"/>
    <w:rsid w:val="00092759"/>
    <w:rsid w:val="000928DF"/>
    <w:rsid w:val="00092BD8"/>
    <w:rsid w:val="00092D0E"/>
    <w:rsid w:val="00093063"/>
    <w:rsid w:val="00093095"/>
    <w:rsid w:val="00093208"/>
    <w:rsid w:val="00093515"/>
    <w:rsid w:val="0009383F"/>
    <w:rsid w:val="0009385D"/>
    <w:rsid w:val="00093997"/>
    <w:rsid w:val="000939C9"/>
    <w:rsid w:val="00093CAC"/>
    <w:rsid w:val="00093D1F"/>
    <w:rsid w:val="00094343"/>
    <w:rsid w:val="00094475"/>
    <w:rsid w:val="00094719"/>
    <w:rsid w:val="000947C8"/>
    <w:rsid w:val="000948B4"/>
    <w:rsid w:val="00094911"/>
    <w:rsid w:val="00094CB3"/>
    <w:rsid w:val="00095016"/>
    <w:rsid w:val="0009504D"/>
    <w:rsid w:val="00095092"/>
    <w:rsid w:val="00095097"/>
    <w:rsid w:val="00095101"/>
    <w:rsid w:val="0009526E"/>
    <w:rsid w:val="00095475"/>
    <w:rsid w:val="0009556B"/>
    <w:rsid w:val="000955F6"/>
    <w:rsid w:val="00095921"/>
    <w:rsid w:val="00095C33"/>
    <w:rsid w:val="00095CE8"/>
    <w:rsid w:val="00095F50"/>
    <w:rsid w:val="00096199"/>
    <w:rsid w:val="000962EC"/>
    <w:rsid w:val="000963B5"/>
    <w:rsid w:val="000969D1"/>
    <w:rsid w:val="00096A1A"/>
    <w:rsid w:val="00096A95"/>
    <w:rsid w:val="00096A9E"/>
    <w:rsid w:val="00096D4D"/>
    <w:rsid w:val="00097205"/>
    <w:rsid w:val="0009734A"/>
    <w:rsid w:val="000974EC"/>
    <w:rsid w:val="0009755E"/>
    <w:rsid w:val="00097688"/>
    <w:rsid w:val="000977DB"/>
    <w:rsid w:val="00097801"/>
    <w:rsid w:val="00097AAE"/>
    <w:rsid w:val="00097B72"/>
    <w:rsid w:val="00097D2D"/>
    <w:rsid w:val="00097D8A"/>
    <w:rsid w:val="000A0091"/>
    <w:rsid w:val="000A0242"/>
    <w:rsid w:val="000A038D"/>
    <w:rsid w:val="000A07F5"/>
    <w:rsid w:val="000A0969"/>
    <w:rsid w:val="000A09F4"/>
    <w:rsid w:val="000A0A8B"/>
    <w:rsid w:val="000A0B88"/>
    <w:rsid w:val="000A0E3E"/>
    <w:rsid w:val="000A0FB9"/>
    <w:rsid w:val="000A1078"/>
    <w:rsid w:val="000A10C5"/>
    <w:rsid w:val="000A1571"/>
    <w:rsid w:val="000A15EA"/>
    <w:rsid w:val="000A17BD"/>
    <w:rsid w:val="000A17CE"/>
    <w:rsid w:val="000A1A36"/>
    <w:rsid w:val="000A1DD5"/>
    <w:rsid w:val="000A1E3D"/>
    <w:rsid w:val="000A1EB3"/>
    <w:rsid w:val="000A1EBE"/>
    <w:rsid w:val="000A22A4"/>
    <w:rsid w:val="000A2583"/>
    <w:rsid w:val="000A25FC"/>
    <w:rsid w:val="000A271D"/>
    <w:rsid w:val="000A281E"/>
    <w:rsid w:val="000A2AC7"/>
    <w:rsid w:val="000A2C2A"/>
    <w:rsid w:val="000A2F68"/>
    <w:rsid w:val="000A2FAE"/>
    <w:rsid w:val="000A303F"/>
    <w:rsid w:val="000A330B"/>
    <w:rsid w:val="000A3CF5"/>
    <w:rsid w:val="000A428C"/>
    <w:rsid w:val="000A43BC"/>
    <w:rsid w:val="000A45CB"/>
    <w:rsid w:val="000A45E2"/>
    <w:rsid w:val="000A46A6"/>
    <w:rsid w:val="000A46BD"/>
    <w:rsid w:val="000A4867"/>
    <w:rsid w:val="000A4B72"/>
    <w:rsid w:val="000A4BA9"/>
    <w:rsid w:val="000A4C0B"/>
    <w:rsid w:val="000A4C3E"/>
    <w:rsid w:val="000A4C9D"/>
    <w:rsid w:val="000A4EFF"/>
    <w:rsid w:val="000A4FA2"/>
    <w:rsid w:val="000A53DD"/>
    <w:rsid w:val="000A5452"/>
    <w:rsid w:val="000A5530"/>
    <w:rsid w:val="000A5BC4"/>
    <w:rsid w:val="000A5CBE"/>
    <w:rsid w:val="000A5EB0"/>
    <w:rsid w:val="000A5EEC"/>
    <w:rsid w:val="000A6343"/>
    <w:rsid w:val="000A643A"/>
    <w:rsid w:val="000A690A"/>
    <w:rsid w:val="000A6924"/>
    <w:rsid w:val="000A6A60"/>
    <w:rsid w:val="000A6B8D"/>
    <w:rsid w:val="000A6DA7"/>
    <w:rsid w:val="000A6EB6"/>
    <w:rsid w:val="000A6FE3"/>
    <w:rsid w:val="000A712E"/>
    <w:rsid w:val="000A743C"/>
    <w:rsid w:val="000A7577"/>
    <w:rsid w:val="000A7579"/>
    <w:rsid w:val="000A7681"/>
    <w:rsid w:val="000A781E"/>
    <w:rsid w:val="000A7991"/>
    <w:rsid w:val="000A7D9E"/>
    <w:rsid w:val="000A7ED2"/>
    <w:rsid w:val="000B00E9"/>
    <w:rsid w:val="000B0102"/>
    <w:rsid w:val="000B0354"/>
    <w:rsid w:val="000B0815"/>
    <w:rsid w:val="000B084D"/>
    <w:rsid w:val="000B092A"/>
    <w:rsid w:val="000B09C0"/>
    <w:rsid w:val="000B0AA1"/>
    <w:rsid w:val="000B0BAE"/>
    <w:rsid w:val="000B0E47"/>
    <w:rsid w:val="000B0F36"/>
    <w:rsid w:val="000B0F37"/>
    <w:rsid w:val="000B0F63"/>
    <w:rsid w:val="000B0F7E"/>
    <w:rsid w:val="000B10FD"/>
    <w:rsid w:val="000B1125"/>
    <w:rsid w:val="000B1172"/>
    <w:rsid w:val="000B118B"/>
    <w:rsid w:val="000B18D0"/>
    <w:rsid w:val="000B1921"/>
    <w:rsid w:val="000B1946"/>
    <w:rsid w:val="000B1997"/>
    <w:rsid w:val="000B1DE5"/>
    <w:rsid w:val="000B1EB8"/>
    <w:rsid w:val="000B1F33"/>
    <w:rsid w:val="000B1FFF"/>
    <w:rsid w:val="000B211F"/>
    <w:rsid w:val="000B2146"/>
    <w:rsid w:val="000B262E"/>
    <w:rsid w:val="000B295E"/>
    <w:rsid w:val="000B2A5E"/>
    <w:rsid w:val="000B2F24"/>
    <w:rsid w:val="000B380A"/>
    <w:rsid w:val="000B3827"/>
    <w:rsid w:val="000B38EF"/>
    <w:rsid w:val="000B3D23"/>
    <w:rsid w:val="000B3EC4"/>
    <w:rsid w:val="000B429C"/>
    <w:rsid w:val="000B4329"/>
    <w:rsid w:val="000B4421"/>
    <w:rsid w:val="000B445E"/>
    <w:rsid w:val="000B45DF"/>
    <w:rsid w:val="000B467D"/>
    <w:rsid w:val="000B485A"/>
    <w:rsid w:val="000B487D"/>
    <w:rsid w:val="000B48F2"/>
    <w:rsid w:val="000B492E"/>
    <w:rsid w:val="000B4A7C"/>
    <w:rsid w:val="000B4B21"/>
    <w:rsid w:val="000B4E7E"/>
    <w:rsid w:val="000B516A"/>
    <w:rsid w:val="000B523B"/>
    <w:rsid w:val="000B52EC"/>
    <w:rsid w:val="000B5305"/>
    <w:rsid w:val="000B538B"/>
    <w:rsid w:val="000B5751"/>
    <w:rsid w:val="000B5875"/>
    <w:rsid w:val="000B589B"/>
    <w:rsid w:val="000B5AC4"/>
    <w:rsid w:val="000B5B27"/>
    <w:rsid w:val="000B5C7F"/>
    <w:rsid w:val="000B5CB5"/>
    <w:rsid w:val="000B5D41"/>
    <w:rsid w:val="000B606A"/>
    <w:rsid w:val="000B630A"/>
    <w:rsid w:val="000B6607"/>
    <w:rsid w:val="000B66BD"/>
    <w:rsid w:val="000B66C2"/>
    <w:rsid w:val="000B674F"/>
    <w:rsid w:val="000B6A91"/>
    <w:rsid w:val="000B6D86"/>
    <w:rsid w:val="000B6DAC"/>
    <w:rsid w:val="000B7035"/>
    <w:rsid w:val="000B705D"/>
    <w:rsid w:val="000B7274"/>
    <w:rsid w:val="000B7331"/>
    <w:rsid w:val="000B7513"/>
    <w:rsid w:val="000B7762"/>
    <w:rsid w:val="000B79B8"/>
    <w:rsid w:val="000B7A89"/>
    <w:rsid w:val="000B7C24"/>
    <w:rsid w:val="000B7CC0"/>
    <w:rsid w:val="000C054E"/>
    <w:rsid w:val="000C0655"/>
    <w:rsid w:val="000C0B61"/>
    <w:rsid w:val="000C0F2E"/>
    <w:rsid w:val="000C0F48"/>
    <w:rsid w:val="000C0F9F"/>
    <w:rsid w:val="000C162C"/>
    <w:rsid w:val="000C1AB7"/>
    <w:rsid w:val="000C1B49"/>
    <w:rsid w:val="000C1BDD"/>
    <w:rsid w:val="000C1BFA"/>
    <w:rsid w:val="000C1C25"/>
    <w:rsid w:val="000C1F51"/>
    <w:rsid w:val="000C201C"/>
    <w:rsid w:val="000C20DD"/>
    <w:rsid w:val="000C229F"/>
    <w:rsid w:val="000C22AF"/>
    <w:rsid w:val="000C2360"/>
    <w:rsid w:val="000C2394"/>
    <w:rsid w:val="000C259A"/>
    <w:rsid w:val="000C25CA"/>
    <w:rsid w:val="000C2768"/>
    <w:rsid w:val="000C276E"/>
    <w:rsid w:val="000C2832"/>
    <w:rsid w:val="000C2944"/>
    <w:rsid w:val="000C29EF"/>
    <w:rsid w:val="000C2A8F"/>
    <w:rsid w:val="000C2B19"/>
    <w:rsid w:val="000C2B31"/>
    <w:rsid w:val="000C2B51"/>
    <w:rsid w:val="000C2D36"/>
    <w:rsid w:val="000C2E8B"/>
    <w:rsid w:val="000C31E1"/>
    <w:rsid w:val="000C322B"/>
    <w:rsid w:val="000C35AE"/>
    <w:rsid w:val="000C371C"/>
    <w:rsid w:val="000C3739"/>
    <w:rsid w:val="000C3AA9"/>
    <w:rsid w:val="000C3D2A"/>
    <w:rsid w:val="000C3D94"/>
    <w:rsid w:val="000C4242"/>
    <w:rsid w:val="000C4262"/>
    <w:rsid w:val="000C4335"/>
    <w:rsid w:val="000C433E"/>
    <w:rsid w:val="000C435B"/>
    <w:rsid w:val="000C44E0"/>
    <w:rsid w:val="000C45F3"/>
    <w:rsid w:val="000C4609"/>
    <w:rsid w:val="000C4689"/>
    <w:rsid w:val="000C4715"/>
    <w:rsid w:val="000C4802"/>
    <w:rsid w:val="000C499C"/>
    <w:rsid w:val="000C4A06"/>
    <w:rsid w:val="000C4B92"/>
    <w:rsid w:val="000C4EA2"/>
    <w:rsid w:val="000C4F40"/>
    <w:rsid w:val="000C5149"/>
    <w:rsid w:val="000C53D7"/>
    <w:rsid w:val="000C546D"/>
    <w:rsid w:val="000C54AD"/>
    <w:rsid w:val="000C54F5"/>
    <w:rsid w:val="000C5611"/>
    <w:rsid w:val="000C5861"/>
    <w:rsid w:val="000C5894"/>
    <w:rsid w:val="000C5A6A"/>
    <w:rsid w:val="000C5BB9"/>
    <w:rsid w:val="000C5D63"/>
    <w:rsid w:val="000C5D95"/>
    <w:rsid w:val="000C618C"/>
    <w:rsid w:val="000C6216"/>
    <w:rsid w:val="000C62C2"/>
    <w:rsid w:val="000C63A0"/>
    <w:rsid w:val="000C63B3"/>
    <w:rsid w:val="000C661A"/>
    <w:rsid w:val="000C6671"/>
    <w:rsid w:val="000C6AF3"/>
    <w:rsid w:val="000C6BC9"/>
    <w:rsid w:val="000C6D01"/>
    <w:rsid w:val="000C6E10"/>
    <w:rsid w:val="000C6E2F"/>
    <w:rsid w:val="000C6F91"/>
    <w:rsid w:val="000C7133"/>
    <w:rsid w:val="000C731B"/>
    <w:rsid w:val="000C74AC"/>
    <w:rsid w:val="000C7853"/>
    <w:rsid w:val="000C7A2E"/>
    <w:rsid w:val="000C7ACD"/>
    <w:rsid w:val="000C7C34"/>
    <w:rsid w:val="000C7CA5"/>
    <w:rsid w:val="000C7EC0"/>
    <w:rsid w:val="000D0131"/>
    <w:rsid w:val="000D01EB"/>
    <w:rsid w:val="000D0470"/>
    <w:rsid w:val="000D058C"/>
    <w:rsid w:val="000D06DA"/>
    <w:rsid w:val="000D08D6"/>
    <w:rsid w:val="000D0A69"/>
    <w:rsid w:val="000D0C37"/>
    <w:rsid w:val="000D0C3B"/>
    <w:rsid w:val="000D0D76"/>
    <w:rsid w:val="000D0FB0"/>
    <w:rsid w:val="000D111B"/>
    <w:rsid w:val="000D16E3"/>
    <w:rsid w:val="000D18E3"/>
    <w:rsid w:val="000D1942"/>
    <w:rsid w:val="000D1946"/>
    <w:rsid w:val="000D19F5"/>
    <w:rsid w:val="000D1EB3"/>
    <w:rsid w:val="000D2983"/>
    <w:rsid w:val="000D2A42"/>
    <w:rsid w:val="000D2B18"/>
    <w:rsid w:val="000D2C02"/>
    <w:rsid w:val="000D2C88"/>
    <w:rsid w:val="000D312A"/>
    <w:rsid w:val="000D36A5"/>
    <w:rsid w:val="000D3753"/>
    <w:rsid w:val="000D3842"/>
    <w:rsid w:val="000D3846"/>
    <w:rsid w:val="000D3CEE"/>
    <w:rsid w:val="000D3CF7"/>
    <w:rsid w:val="000D405B"/>
    <w:rsid w:val="000D411D"/>
    <w:rsid w:val="000D41E0"/>
    <w:rsid w:val="000D42A4"/>
    <w:rsid w:val="000D4539"/>
    <w:rsid w:val="000D46BB"/>
    <w:rsid w:val="000D46CC"/>
    <w:rsid w:val="000D4798"/>
    <w:rsid w:val="000D47C1"/>
    <w:rsid w:val="000D4859"/>
    <w:rsid w:val="000D4C6D"/>
    <w:rsid w:val="000D51F7"/>
    <w:rsid w:val="000D5454"/>
    <w:rsid w:val="000D5649"/>
    <w:rsid w:val="000D5824"/>
    <w:rsid w:val="000D583C"/>
    <w:rsid w:val="000D5CDC"/>
    <w:rsid w:val="000D5FDB"/>
    <w:rsid w:val="000D6166"/>
    <w:rsid w:val="000D6229"/>
    <w:rsid w:val="000D623C"/>
    <w:rsid w:val="000D624B"/>
    <w:rsid w:val="000D6295"/>
    <w:rsid w:val="000D629E"/>
    <w:rsid w:val="000D64A2"/>
    <w:rsid w:val="000D6504"/>
    <w:rsid w:val="000D6571"/>
    <w:rsid w:val="000D67B8"/>
    <w:rsid w:val="000D6B99"/>
    <w:rsid w:val="000D6CD2"/>
    <w:rsid w:val="000D6D4A"/>
    <w:rsid w:val="000D6FA7"/>
    <w:rsid w:val="000D72B4"/>
    <w:rsid w:val="000D732E"/>
    <w:rsid w:val="000D7410"/>
    <w:rsid w:val="000D754F"/>
    <w:rsid w:val="000D7749"/>
    <w:rsid w:val="000D7845"/>
    <w:rsid w:val="000D79D0"/>
    <w:rsid w:val="000D7AA0"/>
    <w:rsid w:val="000D7BC1"/>
    <w:rsid w:val="000D7C03"/>
    <w:rsid w:val="000D7DA4"/>
    <w:rsid w:val="000D7E28"/>
    <w:rsid w:val="000E0116"/>
    <w:rsid w:val="000E0177"/>
    <w:rsid w:val="000E06B5"/>
    <w:rsid w:val="000E0877"/>
    <w:rsid w:val="000E0963"/>
    <w:rsid w:val="000E09D8"/>
    <w:rsid w:val="000E0A08"/>
    <w:rsid w:val="000E0B62"/>
    <w:rsid w:val="000E0C48"/>
    <w:rsid w:val="000E0D27"/>
    <w:rsid w:val="000E0D93"/>
    <w:rsid w:val="000E0E99"/>
    <w:rsid w:val="000E1058"/>
    <w:rsid w:val="000E1076"/>
    <w:rsid w:val="000E14BD"/>
    <w:rsid w:val="000E15AE"/>
    <w:rsid w:val="000E1631"/>
    <w:rsid w:val="000E1CD1"/>
    <w:rsid w:val="000E1D9A"/>
    <w:rsid w:val="000E1F72"/>
    <w:rsid w:val="000E234E"/>
    <w:rsid w:val="000E2AB8"/>
    <w:rsid w:val="000E2D92"/>
    <w:rsid w:val="000E2E4A"/>
    <w:rsid w:val="000E3038"/>
    <w:rsid w:val="000E333F"/>
    <w:rsid w:val="000E33CE"/>
    <w:rsid w:val="000E38CA"/>
    <w:rsid w:val="000E3C79"/>
    <w:rsid w:val="000E3D23"/>
    <w:rsid w:val="000E3DD8"/>
    <w:rsid w:val="000E3FAE"/>
    <w:rsid w:val="000E4317"/>
    <w:rsid w:val="000E448E"/>
    <w:rsid w:val="000E4821"/>
    <w:rsid w:val="000E484D"/>
    <w:rsid w:val="000E4A2C"/>
    <w:rsid w:val="000E4A57"/>
    <w:rsid w:val="000E4C5A"/>
    <w:rsid w:val="000E4D13"/>
    <w:rsid w:val="000E4EA7"/>
    <w:rsid w:val="000E4F53"/>
    <w:rsid w:val="000E5331"/>
    <w:rsid w:val="000E598A"/>
    <w:rsid w:val="000E5C1E"/>
    <w:rsid w:val="000E5D39"/>
    <w:rsid w:val="000E5EC2"/>
    <w:rsid w:val="000E60A5"/>
    <w:rsid w:val="000E6361"/>
    <w:rsid w:val="000E638E"/>
    <w:rsid w:val="000E6615"/>
    <w:rsid w:val="000E661D"/>
    <w:rsid w:val="000E6C6E"/>
    <w:rsid w:val="000E7887"/>
    <w:rsid w:val="000E7954"/>
    <w:rsid w:val="000E7B0B"/>
    <w:rsid w:val="000E7DF8"/>
    <w:rsid w:val="000E7F36"/>
    <w:rsid w:val="000E7FC4"/>
    <w:rsid w:val="000F010C"/>
    <w:rsid w:val="000F0485"/>
    <w:rsid w:val="000F04F8"/>
    <w:rsid w:val="000F0524"/>
    <w:rsid w:val="000F0661"/>
    <w:rsid w:val="000F06FB"/>
    <w:rsid w:val="000F071D"/>
    <w:rsid w:val="000F07C2"/>
    <w:rsid w:val="000F090A"/>
    <w:rsid w:val="000F0FB9"/>
    <w:rsid w:val="000F1202"/>
    <w:rsid w:val="000F128E"/>
    <w:rsid w:val="000F12AA"/>
    <w:rsid w:val="000F1507"/>
    <w:rsid w:val="000F1515"/>
    <w:rsid w:val="000F151A"/>
    <w:rsid w:val="000F165D"/>
    <w:rsid w:val="000F171F"/>
    <w:rsid w:val="000F193D"/>
    <w:rsid w:val="000F19A6"/>
    <w:rsid w:val="000F19E5"/>
    <w:rsid w:val="000F1E81"/>
    <w:rsid w:val="000F1F06"/>
    <w:rsid w:val="000F2243"/>
    <w:rsid w:val="000F2274"/>
    <w:rsid w:val="000F271A"/>
    <w:rsid w:val="000F2726"/>
    <w:rsid w:val="000F2855"/>
    <w:rsid w:val="000F288A"/>
    <w:rsid w:val="000F28BA"/>
    <w:rsid w:val="000F2A0D"/>
    <w:rsid w:val="000F2BAA"/>
    <w:rsid w:val="000F2C0F"/>
    <w:rsid w:val="000F2C58"/>
    <w:rsid w:val="000F2D24"/>
    <w:rsid w:val="000F2D4A"/>
    <w:rsid w:val="000F3089"/>
    <w:rsid w:val="000F31A9"/>
    <w:rsid w:val="000F329F"/>
    <w:rsid w:val="000F360F"/>
    <w:rsid w:val="000F369F"/>
    <w:rsid w:val="000F3727"/>
    <w:rsid w:val="000F382D"/>
    <w:rsid w:val="000F388A"/>
    <w:rsid w:val="000F38DF"/>
    <w:rsid w:val="000F3AC9"/>
    <w:rsid w:val="000F3AF7"/>
    <w:rsid w:val="000F3B29"/>
    <w:rsid w:val="000F3EA7"/>
    <w:rsid w:val="000F3F1F"/>
    <w:rsid w:val="000F409B"/>
    <w:rsid w:val="000F4126"/>
    <w:rsid w:val="000F41C9"/>
    <w:rsid w:val="000F4490"/>
    <w:rsid w:val="000F4695"/>
    <w:rsid w:val="000F4967"/>
    <w:rsid w:val="000F4B37"/>
    <w:rsid w:val="000F4D8A"/>
    <w:rsid w:val="000F4E91"/>
    <w:rsid w:val="000F51A9"/>
    <w:rsid w:val="000F521D"/>
    <w:rsid w:val="000F52CF"/>
    <w:rsid w:val="000F55B2"/>
    <w:rsid w:val="000F57E4"/>
    <w:rsid w:val="000F5828"/>
    <w:rsid w:val="000F5A7A"/>
    <w:rsid w:val="000F5BAF"/>
    <w:rsid w:val="000F5BCE"/>
    <w:rsid w:val="000F5C3B"/>
    <w:rsid w:val="000F5D76"/>
    <w:rsid w:val="000F6328"/>
    <w:rsid w:val="000F6992"/>
    <w:rsid w:val="000F6BE6"/>
    <w:rsid w:val="000F6D06"/>
    <w:rsid w:val="000F6FE3"/>
    <w:rsid w:val="000F713C"/>
    <w:rsid w:val="000F719A"/>
    <w:rsid w:val="000F71BE"/>
    <w:rsid w:val="000F740D"/>
    <w:rsid w:val="000F74F2"/>
    <w:rsid w:val="000F760B"/>
    <w:rsid w:val="000F7682"/>
    <w:rsid w:val="000F7753"/>
    <w:rsid w:val="000F7856"/>
    <w:rsid w:val="000F79B9"/>
    <w:rsid w:val="000F79C9"/>
    <w:rsid w:val="000F7B8E"/>
    <w:rsid w:val="000F7C1E"/>
    <w:rsid w:val="000F7C77"/>
    <w:rsid w:val="000F7E7D"/>
    <w:rsid w:val="00100141"/>
    <w:rsid w:val="001001C2"/>
    <w:rsid w:val="00100446"/>
    <w:rsid w:val="001006EB"/>
    <w:rsid w:val="00100724"/>
    <w:rsid w:val="00100728"/>
    <w:rsid w:val="00100768"/>
    <w:rsid w:val="00100E7F"/>
    <w:rsid w:val="00100F94"/>
    <w:rsid w:val="0010112D"/>
    <w:rsid w:val="0010137A"/>
    <w:rsid w:val="0010142C"/>
    <w:rsid w:val="0010191E"/>
    <w:rsid w:val="00101CFD"/>
    <w:rsid w:val="00101D19"/>
    <w:rsid w:val="00101D97"/>
    <w:rsid w:val="00101EC4"/>
    <w:rsid w:val="00101EF4"/>
    <w:rsid w:val="0010205A"/>
    <w:rsid w:val="001029BD"/>
    <w:rsid w:val="00102CE6"/>
    <w:rsid w:val="00102D81"/>
    <w:rsid w:val="00102E58"/>
    <w:rsid w:val="00103020"/>
    <w:rsid w:val="00103293"/>
    <w:rsid w:val="00103318"/>
    <w:rsid w:val="00103396"/>
    <w:rsid w:val="001033BB"/>
    <w:rsid w:val="001033EA"/>
    <w:rsid w:val="0010383C"/>
    <w:rsid w:val="001038DB"/>
    <w:rsid w:val="001039B5"/>
    <w:rsid w:val="00103A61"/>
    <w:rsid w:val="00103A85"/>
    <w:rsid w:val="00103C7F"/>
    <w:rsid w:val="00103D5C"/>
    <w:rsid w:val="00103E67"/>
    <w:rsid w:val="00103F55"/>
    <w:rsid w:val="00104209"/>
    <w:rsid w:val="00104399"/>
    <w:rsid w:val="001043B7"/>
    <w:rsid w:val="001044DC"/>
    <w:rsid w:val="001045B4"/>
    <w:rsid w:val="0010481A"/>
    <w:rsid w:val="00104AF1"/>
    <w:rsid w:val="00104BDF"/>
    <w:rsid w:val="00104C34"/>
    <w:rsid w:val="001055B6"/>
    <w:rsid w:val="00105680"/>
    <w:rsid w:val="0010573A"/>
    <w:rsid w:val="00105792"/>
    <w:rsid w:val="001058F5"/>
    <w:rsid w:val="00105AD7"/>
    <w:rsid w:val="00105ADF"/>
    <w:rsid w:val="00105FAA"/>
    <w:rsid w:val="00106109"/>
    <w:rsid w:val="0010629C"/>
    <w:rsid w:val="00106606"/>
    <w:rsid w:val="0010698A"/>
    <w:rsid w:val="001069AD"/>
    <w:rsid w:val="00106ABF"/>
    <w:rsid w:val="00106D99"/>
    <w:rsid w:val="00106EE7"/>
    <w:rsid w:val="001071F9"/>
    <w:rsid w:val="001072D3"/>
    <w:rsid w:val="0010730F"/>
    <w:rsid w:val="00107366"/>
    <w:rsid w:val="0010758E"/>
    <w:rsid w:val="001078A5"/>
    <w:rsid w:val="001079A4"/>
    <w:rsid w:val="00107B81"/>
    <w:rsid w:val="00107BEE"/>
    <w:rsid w:val="00107E70"/>
    <w:rsid w:val="0011001A"/>
    <w:rsid w:val="001100B6"/>
    <w:rsid w:val="001100D2"/>
    <w:rsid w:val="0011053C"/>
    <w:rsid w:val="00110A60"/>
    <w:rsid w:val="00110A91"/>
    <w:rsid w:val="00110AF9"/>
    <w:rsid w:val="0011105D"/>
    <w:rsid w:val="001110BC"/>
    <w:rsid w:val="001111DD"/>
    <w:rsid w:val="00111A48"/>
    <w:rsid w:val="00111D5F"/>
    <w:rsid w:val="00111DB6"/>
    <w:rsid w:val="00111F7F"/>
    <w:rsid w:val="00112250"/>
    <w:rsid w:val="00112485"/>
    <w:rsid w:val="001124D8"/>
    <w:rsid w:val="0011263A"/>
    <w:rsid w:val="0011277D"/>
    <w:rsid w:val="00112A1D"/>
    <w:rsid w:val="00112A54"/>
    <w:rsid w:val="00112A6E"/>
    <w:rsid w:val="00112AA9"/>
    <w:rsid w:val="00112B73"/>
    <w:rsid w:val="00112FDF"/>
    <w:rsid w:val="00113287"/>
    <w:rsid w:val="00113346"/>
    <w:rsid w:val="00113508"/>
    <w:rsid w:val="001135FE"/>
    <w:rsid w:val="00113643"/>
    <w:rsid w:val="001136B0"/>
    <w:rsid w:val="001136DF"/>
    <w:rsid w:val="00113805"/>
    <w:rsid w:val="0011386D"/>
    <w:rsid w:val="00113876"/>
    <w:rsid w:val="00113945"/>
    <w:rsid w:val="0011398A"/>
    <w:rsid w:val="00113A0C"/>
    <w:rsid w:val="00113B3A"/>
    <w:rsid w:val="00114263"/>
    <w:rsid w:val="001143CA"/>
    <w:rsid w:val="0011444A"/>
    <w:rsid w:val="001147BF"/>
    <w:rsid w:val="00114BD9"/>
    <w:rsid w:val="00114D3A"/>
    <w:rsid w:val="0011517F"/>
    <w:rsid w:val="001151D7"/>
    <w:rsid w:val="001151DB"/>
    <w:rsid w:val="0011526A"/>
    <w:rsid w:val="00115379"/>
    <w:rsid w:val="0011555C"/>
    <w:rsid w:val="0011560B"/>
    <w:rsid w:val="001156CB"/>
    <w:rsid w:val="0011589C"/>
    <w:rsid w:val="00115A90"/>
    <w:rsid w:val="00115BD5"/>
    <w:rsid w:val="00115D82"/>
    <w:rsid w:val="00116044"/>
    <w:rsid w:val="00116103"/>
    <w:rsid w:val="00116174"/>
    <w:rsid w:val="001165B1"/>
    <w:rsid w:val="00116608"/>
    <w:rsid w:val="00116617"/>
    <w:rsid w:val="001166D8"/>
    <w:rsid w:val="001169D6"/>
    <w:rsid w:val="00116AC1"/>
    <w:rsid w:val="00116CB9"/>
    <w:rsid w:val="00116ED3"/>
    <w:rsid w:val="00117130"/>
    <w:rsid w:val="0011738B"/>
    <w:rsid w:val="001174B2"/>
    <w:rsid w:val="00117528"/>
    <w:rsid w:val="001176CE"/>
    <w:rsid w:val="00117749"/>
    <w:rsid w:val="00117762"/>
    <w:rsid w:val="0011793E"/>
    <w:rsid w:val="001179A7"/>
    <w:rsid w:val="00117A5A"/>
    <w:rsid w:val="00117C3B"/>
    <w:rsid w:val="001201FB"/>
    <w:rsid w:val="00120419"/>
    <w:rsid w:val="001204E5"/>
    <w:rsid w:val="00120723"/>
    <w:rsid w:val="00120794"/>
    <w:rsid w:val="0012081A"/>
    <w:rsid w:val="0012085A"/>
    <w:rsid w:val="00120C4F"/>
    <w:rsid w:val="00120FC0"/>
    <w:rsid w:val="001215C8"/>
    <w:rsid w:val="0012166B"/>
    <w:rsid w:val="001216C9"/>
    <w:rsid w:val="00121890"/>
    <w:rsid w:val="00121ACF"/>
    <w:rsid w:val="00121B3D"/>
    <w:rsid w:val="00121BB7"/>
    <w:rsid w:val="00121DF5"/>
    <w:rsid w:val="0012216A"/>
    <w:rsid w:val="001221F6"/>
    <w:rsid w:val="00122515"/>
    <w:rsid w:val="00122628"/>
    <w:rsid w:val="001226B6"/>
    <w:rsid w:val="00123020"/>
    <w:rsid w:val="001230CA"/>
    <w:rsid w:val="00123129"/>
    <w:rsid w:val="00123472"/>
    <w:rsid w:val="0012372C"/>
    <w:rsid w:val="0012374B"/>
    <w:rsid w:val="00123B03"/>
    <w:rsid w:val="00123B55"/>
    <w:rsid w:val="00123E0D"/>
    <w:rsid w:val="00123F46"/>
    <w:rsid w:val="00124114"/>
    <w:rsid w:val="0012447B"/>
    <w:rsid w:val="00124630"/>
    <w:rsid w:val="00124732"/>
    <w:rsid w:val="001247BC"/>
    <w:rsid w:val="0012487A"/>
    <w:rsid w:val="00124AFE"/>
    <w:rsid w:val="00124C56"/>
    <w:rsid w:val="00124CC4"/>
    <w:rsid w:val="00124CE2"/>
    <w:rsid w:val="00124E61"/>
    <w:rsid w:val="00124FC5"/>
    <w:rsid w:val="00124FED"/>
    <w:rsid w:val="00125155"/>
    <w:rsid w:val="00125282"/>
    <w:rsid w:val="00125530"/>
    <w:rsid w:val="0012554D"/>
    <w:rsid w:val="00125593"/>
    <w:rsid w:val="00125732"/>
    <w:rsid w:val="00125896"/>
    <w:rsid w:val="0012598A"/>
    <w:rsid w:val="00125A17"/>
    <w:rsid w:val="00126034"/>
    <w:rsid w:val="0012640D"/>
    <w:rsid w:val="0012660A"/>
    <w:rsid w:val="0012679E"/>
    <w:rsid w:val="001268C8"/>
    <w:rsid w:val="001268EE"/>
    <w:rsid w:val="00126CCD"/>
    <w:rsid w:val="00126DF9"/>
    <w:rsid w:val="00126E56"/>
    <w:rsid w:val="00126F7D"/>
    <w:rsid w:val="00126FBC"/>
    <w:rsid w:val="0012702E"/>
    <w:rsid w:val="0012707B"/>
    <w:rsid w:val="001270F7"/>
    <w:rsid w:val="001272D4"/>
    <w:rsid w:val="0012741F"/>
    <w:rsid w:val="00127920"/>
    <w:rsid w:val="00127935"/>
    <w:rsid w:val="00127B80"/>
    <w:rsid w:val="00127D13"/>
    <w:rsid w:val="00127D71"/>
    <w:rsid w:val="00127E14"/>
    <w:rsid w:val="00127EF4"/>
    <w:rsid w:val="00130074"/>
    <w:rsid w:val="00130430"/>
    <w:rsid w:val="001304EE"/>
    <w:rsid w:val="001305B4"/>
    <w:rsid w:val="00130799"/>
    <w:rsid w:val="0013090E"/>
    <w:rsid w:val="00130957"/>
    <w:rsid w:val="0013095A"/>
    <w:rsid w:val="0013097B"/>
    <w:rsid w:val="00130987"/>
    <w:rsid w:val="00130B38"/>
    <w:rsid w:val="00130BE7"/>
    <w:rsid w:val="00130D3B"/>
    <w:rsid w:val="00130D47"/>
    <w:rsid w:val="001310CD"/>
    <w:rsid w:val="001313A5"/>
    <w:rsid w:val="001313E0"/>
    <w:rsid w:val="001316DB"/>
    <w:rsid w:val="001318ED"/>
    <w:rsid w:val="001318FD"/>
    <w:rsid w:val="00131928"/>
    <w:rsid w:val="00131A57"/>
    <w:rsid w:val="00131B09"/>
    <w:rsid w:val="00131B9A"/>
    <w:rsid w:val="00131BF1"/>
    <w:rsid w:val="00131C9F"/>
    <w:rsid w:val="00131CB7"/>
    <w:rsid w:val="00131D45"/>
    <w:rsid w:val="00131DC8"/>
    <w:rsid w:val="00131E31"/>
    <w:rsid w:val="00131F02"/>
    <w:rsid w:val="00132109"/>
    <w:rsid w:val="0013210A"/>
    <w:rsid w:val="00132321"/>
    <w:rsid w:val="00132404"/>
    <w:rsid w:val="00132436"/>
    <w:rsid w:val="001325A6"/>
    <w:rsid w:val="0013276C"/>
    <w:rsid w:val="001327F8"/>
    <w:rsid w:val="00132A33"/>
    <w:rsid w:val="00133105"/>
    <w:rsid w:val="001331EB"/>
    <w:rsid w:val="00133241"/>
    <w:rsid w:val="0013334D"/>
    <w:rsid w:val="0013339F"/>
    <w:rsid w:val="00133558"/>
    <w:rsid w:val="00133617"/>
    <w:rsid w:val="0013375F"/>
    <w:rsid w:val="001338B1"/>
    <w:rsid w:val="00133C88"/>
    <w:rsid w:val="00133E26"/>
    <w:rsid w:val="00134112"/>
    <w:rsid w:val="001342BB"/>
    <w:rsid w:val="001348AE"/>
    <w:rsid w:val="001349CA"/>
    <w:rsid w:val="00134CAC"/>
    <w:rsid w:val="00134F5C"/>
    <w:rsid w:val="0013505D"/>
    <w:rsid w:val="00135214"/>
    <w:rsid w:val="001352BC"/>
    <w:rsid w:val="0013542E"/>
    <w:rsid w:val="0013553F"/>
    <w:rsid w:val="0013554C"/>
    <w:rsid w:val="00135698"/>
    <w:rsid w:val="001359AF"/>
    <w:rsid w:val="00135B2C"/>
    <w:rsid w:val="00135D02"/>
    <w:rsid w:val="00135E06"/>
    <w:rsid w:val="00136009"/>
    <w:rsid w:val="0013600C"/>
    <w:rsid w:val="001360F5"/>
    <w:rsid w:val="0013611E"/>
    <w:rsid w:val="0013614A"/>
    <w:rsid w:val="00136184"/>
    <w:rsid w:val="001361EC"/>
    <w:rsid w:val="00136263"/>
    <w:rsid w:val="001366C6"/>
    <w:rsid w:val="0013695A"/>
    <w:rsid w:val="00136C1E"/>
    <w:rsid w:val="00136CF6"/>
    <w:rsid w:val="00136D37"/>
    <w:rsid w:val="00136FE0"/>
    <w:rsid w:val="00137040"/>
    <w:rsid w:val="00137368"/>
    <w:rsid w:val="00137794"/>
    <w:rsid w:val="001378EE"/>
    <w:rsid w:val="001379A1"/>
    <w:rsid w:val="00137B31"/>
    <w:rsid w:val="00137CFE"/>
    <w:rsid w:val="00137D9E"/>
    <w:rsid w:val="00137E9D"/>
    <w:rsid w:val="00140083"/>
    <w:rsid w:val="0014015D"/>
    <w:rsid w:val="001402D3"/>
    <w:rsid w:val="0014036C"/>
    <w:rsid w:val="00140375"/>
    <w:rsid w:val="001403DF"/>
    <w:rsid w:val="00140478"/>
    <w:rsid w:val="0014067A"/>
    <w:rsid w:val="00140775"/>
    <w:rsid w:val="001407BC"/>
    <w:rsid w:val="001407F7"/>
    <w:rsid w:val="00140859"/>
    <w:rsid w:val="00140D4F"/>
    <w:rsid w:val="00140F0A"/>
    <w:rsid w:val="00140F13"/>
    <w:rsid w:val="00140F6B"/>
    <w:rsid w:val="00140FE8"/>
    <w:rsid w:val="00140FF6"/>
    <w:rsid w:val="00141073"/>
    <w:rsid w:val="001410DD"/>
    <w:rsid w:val="00141135"/>
    <w:rsid w:val="00141253"/>
    <w:rsid w:val="001415D0"/>
    <w:rsid w:val="00141662"/>
    <w:rsid w:val="0014175F"/>
    <w:rsid w:val="00141782"/>
    <w:rsid w:val="0014179F"/>
    <w:rsid w:val="001417DA"/>
    <w:rsid w:val="00141825"/>
    <w:rsid w:val="00141989"/>
    <w:rsid w:val="00141A58"/>
    <w:rsid w:val="00141AB8"/>
    <w:rsid w:val="00141B37"/>
    <w:rsid w:val="00141B62"/>
    <w:rsid w:val="00141E82"/>
    <w:rsid w:val="00141EAC"/>
    <w:rsid w:val="00142003"/>
    <w:rsid w:val="001422BD"/>
    <w:rsid w:val="001423CD"/>
    <w:rsid w:val="001423FC"/>
    <w:rsid w:val="0014244A"/>
    <w:rsid w:val="0014253A"/>
    <w:rsid w:val="00142631"/>
    <w:rsid w:val="00142893"/>
    <w:rsid w:val="00142A37"/>
    <w:rsid w:val="00142B21"/>
    <w:rsid w:val="00142D92"/>
    <w:rsid w:val="00142E65"/>
    <w:rsid w:val="00142F3D"/>
    <w:rsid w:val="001431B8"/>
    <w:rsid w:val="001433EF"/>
    <w:rsid w:val="0014365B"/>
    <w:rsid w:val="00143843"/>
    <w:rsid w:val="00143D52"/>
    <w:rsid w:val="00143E60"/>
    <w:rsid w:val="001441C2"/>
    <w:rsid w:val="001441FA"/>
    <w:rsid w:val="001444D5"/>
    <w:rsid w:val="001446CC"/>
    <w:rsid w:val="001448E3"/>
    <w:rsid w:val="00144CCF"/>
    <w:rsid w:val="00144E00"/>
    <w:rsid w:val="001450C4"/>
    <w:rsid w:val="00145503"/>
    <w:rsid w:val="00145727"/>
    <w:rsid w:val="00145830"/>
    <w:rsid w:val="00145882"/>
    <w:rsid w:val="001458BE"/>
    <w:rsid w:val="001459D2"/>
    <w:rsid w:val="00145CA9"/>
    <w:rsid w:val="00145DBC"/>
    <w:rsid w:val="00145DC2"/>
    <w:rsid w:val="00145EF8"/>
    <w:rsid w:val="001460D4"/>
    <w:rsid w:val="00146393"/>
    <w:rsid w:val="00146422"/>
    <w:rsid w:val="0014642A"/>
    <w:rsid w:val="0014673C"/>
    <w:rsid w:val="001469FA"/>
    <w:rsid w:val="00146ABB"/>
    <w:rsid w:val="00146CE0"/>
    <w:rsid w:val="00147153"/>
    <w:rsid w:val="001471A8"/>
    <w:rsid w:val="0014744C"/>
    <w:rsid w:val="001479F0"/>
    <w:rsid w:val="00147E15"/>
    <w:rsid w:val="00147F20"/>
    <w:rsid w:val="00147F85"/>
    <w:rsid w:val="00147FCB"/>
    <w:rsid w:val="001500AE"/>
    <w:rsid w:val="001500ED"/>
    <w:rsid w:val="001503F3"/>
    <w:rsid w:val="001504FA"/>
    <w:rsid w:val="00150829"/>
    <w:rsid w:val="0015086C"/>
    <w:rsid w:val="00150956"/>
    <w:rsid w:val="00150BD9"/>
    <w:rsid w:val="00150C06"/>
    <w:rsid w:val="00150E98"/>
    <w:rsid w:val="00150F76"/>
    <w:rsid w:val="0015102E"/>
    <w:rsid w:val="0015103A"/>
    <w:rsid w:val="0015130F"/>
    <w:rsid w:val="00151898"/>
    <w:rsid w:val="0015197A"/>
    <w:rsid w:val="00151D11"/>
    <w:rsid w:val="00151ED9"/>
    <w:rsid w:val="00151F2D"/>
    <w:rsid w:val="0015201B"/>
    <w:rsid w:val="001520D2"/>
    <w:rsid w:val="0015213A"/>
    <w:rsid w:val="001521F2"/>
    <w:rsid w:val="00152298"/>
    <w:rsid w:val="001523D0"/>
    <w:rsid w:val="00152605"/>
    <w:rsid w:val="001528DA"/>
    <w:rsid w:val="00152AF7"/>
    <w:rsid w:val="00152BA4"/>
    <w:rsid w:val="001535E2"/>
    <w:rsid w:val="001538EC"/>
    <w:rsid w:val="00153967"/>
    <w:rsid w:val="00153AE0"/>
    <w:rsid w:val="00153BC6"/>
    <w:rsid w:val="00153C76"/>
    <w:rsid w:val="00153CD1"/>
    <w:rsid w:val="001540E5"/>
    <w:rsid w:val="001544A4"/>
    <w:rsid w:val="001545C4"/>
    <w:rsid w:val="00154922"/>
    <w:rsid w:val="00154A07"/>
    <w:rsid w:val="00154BB6"/>
    <w:rsid w:val="00154C16"/>
    <w:rsid w:val="00154CBE"/>
    <w:rsid w:val="00154EA2"/>
    <w:rsid w:val="00154F8F"/>
    <w:rsid w:val="00154FA6"/>
    <w:rsid w:val="00155009"/>
    <w:rsid w:val="001555E8"/>
    <w:rsid w:val="00155A97"/>
    <w:rsid w:val="00155AC5"/>
    <w:rsid w:val="00155C1E"/>
    <w:rsid w:val="00155D2C"/>
    <w:rsid w:val="00156120"/>
    <w:rsid w:val="0015667E"/>
    <w:rsid w:val="00156791"/>
    <w:rsid w:val="00156A03"/>
    <w:rsid w:val="00156A76"/>
    <w:rsid w:val="00156F0E"/>
    <w:rsid w:val="00157192"/>
    <w:rsid w:val="001572FC"/>
    <w:rsid w:val="001574A9"/>
    <w:rsid w:val="001574B7"/>
    <w:rsid w:val="00157616"/>
    <w:rsid w:val="00157795"/>
    <w:rsid w:val="00157C13"/>
    <w:rsid w:val="00157C62"/>
    <w:rsid w:val="00157CB4"/>
    <w:rsid w:val="00157F12"/>
    <w:rsid w:val="00157F55"/>
    <w:rsid w:val="0016000A"/>
    <w:rsid w:val="001600EE"/>
    <w:rsid w:val="00160179"/>
    <w:rsid w:val="00160306"/>
    <w:rsid w:val="001604FC"/>
    <w:rsid w:val="001605D0"/>
    <w:rsid w:val="00160735"/>
    <w:rsid w:val="001608F0"/>
    <w:rsid w:val="00160A01"/>
    <w:rsid w:val="00160B97"/>
    <w:rsid w:val="00160F07"/>
    <w:rsid w:val="00160F73"/>
    <w:rsid w:val="00161158"/>
    <w:rsid w:val="001612B1"/>
    <w:rsid w:val="00161324"/>
    <w:rsid w:val="00161412"/>
    <w:rsid w:val="00161438"/>
    <w:rsid w:val="0016158C"/>
    <w:rsid w:val="00161799"/>
    <w:rsid w:val="00161915"/>
    <w:rsid w:val="00161923"/>
    <w:rsid w:val="00161973"/>
    <w:rsid w:val="00161DA0"/>
    <w:rsid w:val="001620E5"/>
    <w:rsid w:val="001622C7"/>
    <w:rsid w:val="0016250E"/>
    <w:rsid w:val="00162664"/>
    <w:rsid w:val="00162803"/>
    <w:rsid w:val="00162870"/>
    <w:rsid w:val="00162C06"/>
    <w:rsid w:val="00162F4C"/>
    <w:rsid w:val="00162F59"/>
    <w:rsid w:val="0016307D"/>
    <w:rsid w:val="001630CA"/>
    <w:rsid w:val="00163691"/>
    <w:rsid w:val="0016387A"/>
    <w:rsid w:val="00163A98"/>
    <w:rsid w:val="00163DC4"/>
    <w:rsid w:val="00163F19"/>
    <w:rsid w:val="00163FD2"/>
    <w:rsid w:val="001640E0"/>
    <w:rsid w:val="00164181"/>
    <w:rsid w:val="0016431E"/>
    <w:rsid w:val="00164345"/>
    <w:rsid w:val="00164415"/>
    <w:rsid w:val="00164697"/>
    <w:rsid w:val="00164776"/>
    <w:rsid w:val="001648E0"/>
    <w:rsid w:val="001649E7"/>
    <w:rsid w:val="00164A31"/>
    <w:rsid w:val="00164AD9"/>
    <w:rsid w:val="00164AE1"/>
    <w:rsid w:val="00164BAF"/>
    <w:rsid w:val="00164D7C"/>
    <w:rsid w:val="00164DCD"/>
    <w:rsid w:val="0016514F"/>
    <w:rsid w:val="001651E3"/>
    <w:rsid w:val="001654C0"/>
    <w:rsid w:val="001654F2"/>
    <w:rsid w:val="001655F9"/>
    <w:rsid w:val="001658E1"/>
    <w:rsid w:val="00165CA2"/>
    <w:rsid w:val="00165D60"/>
    <w:rsid w:val="00165DA2"/>
    <w:rsid w:val="00165E84"/>
    <w:rsid w:val="00165F63"/>
    <w:rsid w:val="0016637C"/>
    <w:rsid w:val="0016644E"/>
    <w:rsid w:val="0016667E"/>
    <w:rsid w:val="0016671F"/>
    <w:rsid w:val="00166AB6"/>
    <w:rsid w:val="00166AFF"/>
    <w:rsid w:val="00166FB8"/>
    <w:rsid w:val="001672C4"/>
    <w:rsid w:val="00167386"/>
    <w:rsid w:val="0016799A"/>
    <w:rsid w:val="00167A77"/>
    <w:rsid w:val="00167BCA"/>
    <w:rsid w:val="00167C6C"/>
    <w:rsid w:val="00167C94"/>
    <w:rsid w:val="00167E50"/>
    <w:rsid w:val="00167EA7"/>
    <w:rsid w:val="00167FAC"/>
    <w:rsid w:val="00170015"/>
    <w:rsid w:val="00170239"/>
    <w:rsid w:val="001705A0"/>
    <w:rsid w:val="0017060E"/>
    <w:rsid w:val="001706B3"/>
    <w:rsid w:val="0017073A"/>
    <w:rsid w:val="00170A7C"/>
    <w:rsid w:val="00170CEC"/>
    <w:rsid w:val="00170DBD"/>
    <w:rsid w:val="00170DF8"/>
    <w:rsid w:val="00171339"/>
    <w:rsid w:val="0017138E"/>
    <w:rsid w:val="00171487"/>
    <w:rsid w:val="00171939"/>
    <w:rsid w:val="00171B2C"/>
    <w:rsid w:val="00171D96"/>
    <w:rsid w:val="00171E35"/>
    <w:rsid w:val="00172284"/>
    <w:rsid w:val="00172363"/>
    <w:rsid w:val="0017242C"/>
    <w:rsid w:val="001726BC"/>
    <w:rsid w:val="00172761"/>
    <w:rsid w:val="0017276F"/>
    <w:rsid w:val="00172A4F"/>
    <w:rsid w:val="00172ACE"/>
    <w:rsid w:val="00172DA6"/>
    <w:rsid w:val="00172E8F"/>
    <w:rsid w:val="00172EE0"/>
    <w:rsid w:val="0017330E"/>
    <w:rsid w:val="00173580"/>
    <w:rsid w:val="001735BD"/>
    <w:rsid w:val="001735CA"/>
    <w:rsid w:val="00173690"/>
    <w:rsid w:val="00173859"/>
    <w:rsid w:val="00173869"/>
    <w:rsid w:val="0017387D"/>
    <w:rsid w:val="001739D0"/>
    <w:rsid w:val="00173A11"/>
    <w:rsid w:val="00173BCE"/>
    <w:rsid w:val="00173CF1"/>
    <w:rsid w:val="001740F9"/>
    <w:rsid w:val="0017410A"/>
    <w:rsid w:val="0017444C"/>
    <w:rsid w:val="001746C1"/>
    <w:rsid w:val="001747D7"/>
    <w:rsid w:val="001747FD"/>
    <w:rsid w:val="0017492A"/>
    <w:rsid w:val="00174A6C"/>
    <w:rsid w:val="00174B7D"/>
    <w:rsid w:val="00174CE0"/>
    <w:rsid w:val="00174E5B"/>
    <w:rsid w:val="00174EA9"/>
    <w:rsid w:val="00174FBE"/>
    <w:rsid w:val="00174FF3"/>
    <w:rsid w:val="001750D7"/>
    <w:rsid w:val="001754C4"/>
    <w:rsid w:val="0017550F"/>
    <w:rsid w:val="001755CC"/>
    <w:rsid w:val="0017563F"/>
    <w:rsid w:val="001757C5"/>
    <w:rsid w:val="00175846"/>
    <w:rsid w:val="00175E20"/>
    <w:rsid w:val="00176018"/>
    <w:rsid w:val="00176139"/>
    <w:rsid w:val="00176924"/>
    <w:rsid w:val="00176956"/>
    <w:rsid w:val="00176BB7"/>
    <w:rsid w:val="00176E4C"/>
    <w:rsid w:val="00177167"/>
    <w:rsid w:val="00177288"/>
    <w:rsid w:val="00177397"/>
    <w:rsid w:val="001773CE"/>
    <w:rsid w:val="00177518"/>
    <w:rsid w:val="0017768E"/>
    <w:rsid w:val="0017773A"/>
    <w:rsid w:val="001777F8"/>
    <w:rsid w:val="00177873"/>
    <w:rsid w:val="00177AF0"/>
    <w:rsid w:val="00177B83"/>
    <w:rsid w:val="00177C4E"/>
    <w:rsid w:val="00177CDA"/>
    <w:rsid w:val="00177E49"/>
    <w:rsid w:val="00177EE2"/>
    <w:rsid w:val="00177F63"/>
    <w:rsid w:val="001801DB"/>
    <w:rsid w:val="0018025C"/>
    <w:rsid w:val="001807CF"/>
    <w:rsid w:val="00180C08"/>
    <w:rsid w:val="00180CB7"/>
    <w:rsid w:val="00180CCB"/>
    <w:rsid w:val="00180F82"/>
    <w:rsid w:val="001810C2"/>
    <w:rsid w:val="001810D3"/>
    <w:rsid w:val="0018133E"/>
    <w:rsid w:val="0018175F"/>
    <w:rsid w:val="00181972"/>
    <w:rsid w:val="00181A47"/>
    <w:rsid w:val="00181C9D"/>
    <w:rsid w:val="00181CF3"/>
    <w:rsid w:val="00181DD2"/>
    <w:rsid w:val="00181E94"/>
    <w:rsid w:val="0018202F"/>
    <w:rsid w:val="00182100"/>
    <w:rsid w:val="00182122"/>
    <w:rsid w:val="001821BA"/>
    <w:rsid w:val="001825D9"/>
    <w:rsid w:val="00182616"/>
    <w:rsid w:val="001829F0"/>
    <w:rsid w:val="00182ADD"/>
    <w:rsid w:val="00183014"/>
    <w:rsid w:val="00183789"/>
    <w:rsid w:val="001838DC"/>
    <w:rsid w:val="001838E9"/>
    <w:rsid w:val="00183987"/>
    <w:rsid w:val="00183ABF"/>
    <w:rsid w:val="00183B81"/>
    <w:rsid w:val="00183BA2"/>
    <w:rsid w:val="00183BCF"/>
    <w:rsid w:val="00183CA6"/>
    <w:rsid w:val="00184268"/>
    <w:rsid w:val="001843CE"/>
    <w:rsid w:val="001845CC"/>
    <w:rsid w:val="0018465D"/>
    <w:rsid w:val="00184A03"/>
    <w:rsid w:val="00184C70"/>
    <w:rsid w:val="00184D67"/>
    <w:rsid w:val="00184F10"/>
    <w:rsid w:val="00184F94"/>
    <w:rsid w:val="00185004"/>
    <w:rsid w:val="00185079"/>
    <w:rsid w:val="0018520E"/>
    <w:rsid w:val="00185306"/>
    <w:rsid w:val="0018535F"/>
    <w:rsid w:val="001854D8"/>
    <w:rsid w:val="001855D5"/>
    <w:rsid w:val="001859EE"/>
    <w:rsid w:val="00185E2E"/>
    <w:rsid w:val="001860DF"/>
    <w:rsid w:val="00186175"/>
    <w:rsid w:val="00186267"/>
    <w:rsid w:val="00186318"/>
    <w:rsid w:val="001866AB"/>
    <w:rsid w:val="0018670E"/>
    <w:rsid w:val="0018673C"/>
    <w:rsid w:val="00186AAF"/>
    <w:rsid w:val="00186B34"/>
    <w:rsid w:val="00186C75"/>
    <w:rsid w:val="00186D47"/>
    <w:rsid w:val="00186DF5"/>
    <w:rsid w:val="00186E16"/>
    <w:rsid w:val="00186F1F"/>
    <w:rsid w:val="0018718A"/>
    <w:rsid w:val="001877D4"/>
    <w:rsid w:val="001878D2"/>
    <w:rsid w:val="001878DA"/>
    <w:rsid w:val="00187BAD"/>
    <w:rsid w:val="00187BCF"/>
    <w:rsid w:val="00187C20"/>
    <w:rsid w:val="00187CE7"/>
    <w:rsid w:val="00187EEE"/>
    <w:rsid w:val="00187F0E"/>
    <w:rsid w:val="001900FA"/>
    <w:rsid w:val="001902B5"/>
    <w:rsid w:val="0019075D"/>
    <w:rsid w:val="00190787"/>
    <w:rsid w:val="001907A1"/>
    <w:rsid w:val="00190807"/>
    <w:rsid w:val="001909B6"/>
    <w:rsid w:val="00190AA3"/>
    <w:rsid w:val="00190F47"/>
    <w:rsid w:val="00191284"/>
    <w:rsid w:val="00191689"/>
    <w:rsid w:val="0019172A"/>
    <w:rsid w:val="0019184E"/>
    <w:rsid w:val="00191A8D"/>
    <w:rsid w:val="00191ABC"/>
    <w:rsid w:val="00191C54"/>
    <w:rsid w:val="00191D51"/>
    <w:rsid w:val="00191FE5"/>
    <w:rsid w:val="0019204B"/>
    <w:rsid w:val="00192112"/>
    <w:rsid w:val="0019215A"/>
    <w:rsid w:val="001922E5"/>
    <w:rsid w:val="0019239A"/>
    <w:rsid w:val="001923BE"/>
    <w:rsid w:val="001923C1"/>
    <w:rsid w:val="00192644"/>
    <w:rsid w:val="00192A56"/>
    <w:rsid w:val="00192CBA"/>
    <w:rsid w:val="00192EA3"/>
    <w:rsid w:val="00192FAF"/>
    <w:rsid w:val="0019392D"/>
    <w:rsid w:val="00193B6F"/>
    <w:rsid w:val="00193B9D"/>
    <w:rsid w:val="00193EAA"/>
    <w:rsid w:val="00194002"/>
    <w:rsid w:val="001940D1"/>
    <w:rsid w:val="0019411E"/>
    <w:rsid w:val="00194264"/>
    <w:rsid w:val="00194454"/>
    <w:rsid w:val="001946E4"/>
    <w:rsid w:val="001948C9"/>
    <w:rsid w:val="001948EF"/>
    <w:rsid w:val="001949B6"/>
    <w:rsid w:val="00194BBA"/>
    <w:rsid w:val="00194BE4"/>
    <w:rsid w:val="00194CDF"/>
    <w:rsid w:val="00194E3A"/>
    <w:rsid w:val="0019504C"/>
    <w:rsid w:val="001950ED"/>
    <w:rsid w:val="001952BA"/>
    <w:rsid w:val="001953FE"/>
    <w:rsid w:val="00195426"/>
    <w:rsid w:val="00195475"/>
    <w:rsid w:val="001954E4"/>
    <w:rsid w:val="001955E2"/>
    <w:rsid w:val="0019562C"/>
    <w:rsid w:val="00195954"/>
    <w:rsid w:val="00195C29"/>
    <w:rsid w:val="00196273"/>
    <w:rsid w:val="0019644D"/>
    <w:rsid w:val="001966FD"/>
    <w:rsid w:val="00196A41"/>
    <w:rsid w:val="00196BAF"/>
    <w:rsid w:val="00196C54"/>
    <w:rsid w:val="00196C60"/>
    <w:rsid w:val="00196DBC"/>
    <w:rsid w:val="00196F12"/>
    <w:rsid w:val="001970A4"/>
    <w:rsid w:val="001970F9"/>
    <w:rsid w:val="001973EB"/>
    <w:rsid w:val="0019751E"/>
    <w:rsid w:val="0019798E"/>
    <w:rsid w:val="001979D9"/>
    <w:rsid w:val="00197A0A"/>
    <w:rsid w:val="00197A95"/>
    <w:rsid w:val="00197FF5"/>
    <w:rsid w:val="001A002E"/>
    <w:rsid w:val="001A0086"/>
    <w:rsid w:val="001A00CF"/>
    <w:rsid w:val="001A019A"/>
    <w:rsid w:val="001A0228"/>
    <w:rsid w:val="001A06B2"/>
    <w:rsid w:val="001A0843"/>
    <w:rsid w:val="001A08A8"/>
    <w:rsid w:val="001A0921"/>
    <w:rsid w:val="001A0E3E"/>
    <w:rsid w:val="001A0F89"/>
    <w:rsid w:val="001A10E2"/>
    <w:rsid w:val="001A11C1"/>
    <w:rsid w:val="001A16EF"/>
    <w:rsid w:val="001A17AA"/>
    <w:rsid w:val="001A1873"/>
    <w:rsid w:val="001A187C"/>
    <w:rsid w:val="001A189B"/>
    <w:rsid w:val="001A1A09"/>
    <w:rsid w:val="001A1B46"/>
    <w:rsid w:val="001A1CB8"/>
    <w:rsid w:val="001A1D05"/>
    <w:rsid w:val="001A1E11"/>
    <w:rsid w:val="001A1F9F"/>
    <w:rsid w:val="001A2280"/>
    <w:rsid w:val="001A228C"/>
    <w:rsid w:val="001A23EA"/>
    <w:rsid w:val="001A26E9"/>
    <w:rsid w:val="001A2798"/>
    <w:rsid w:val="001A2A98"/>
    <w:rsid w:val="001A2D90"/>
    <w:rsid w:val="001A2EA5"/>
    <w:rsid w:val="001A2EB4"/>
    <w:rsid w:val="001A2EB9"/>
    <w:rsid w:val="001A3A82"/>
    <w:rsid w:val="001A3C38"/>
    <w:rsid w:val="001A400D"/>
    <w:rsid w:val="001A44C6"/>
    <w:rsid w:val="001A47F8"/>
    <w:rsid w:val="001A485B"/>
    <w:rsid w:val="001A489E"/>
    <w:rsid w:val="001A48E4"/>
    <w:rsid w:val="001A49BC"/>
    <w:rsid w:val="001A4C02"/>
    <w:rsid w:val="001A4C25"/>
    <w:rsid w:val="001A4D8E"/>
    <w:rsid w:val="001A4F78"/>
    <w:rsid w:val="001A509A"/>
    <w:rsid w:val="001A553D"/>
    <w:rsid w:val="001A5674"/>
    <w:rsid w:val="001A591B"/>
    <w:rsid w:val="001A5942"/>
    <w:rsid w:val="001A5B64"/>
    <w:rsid w:val="001A5C71"/>
    <w:rsid w:val="001A5D29"/>
    <w:rsid w:val="001A5DF1"/>
    <w:rsid w:val="001A5E9B"/>
    <w:rsid w:val="001A60A7"/>
    <w:rsid w:val="001A630B"/>
    <w:rsid w:val="001A639E"/>
    <w:rsid w:val="001A63B2"/>
    <w:rsid w:val="001A6474"/>
    <w:rsid w:val="001A658E"/>
    <w:rsid w:val="001A6654"/>
    <w:rsid w:val="001A6701"/>
    <w:rsid w:val="001A673F"/>
    <w:rsid w:val="001A6BA4"/>
    <w:rsid w:val="001A6E0D"/>
    <w:rsid w:val="001A6E56"/>
    <w:rsid w:val="001A7092"/>
    <w:rsid w:val="001A73F1"/>
    <w:rsid w:val="001A7401"/>
    <w:rsid w:val="001A7571"/>
    <w:rsid w:val="001A75E2"/>
    <w:rsid w:val="001A7764"/>
    <w:rsid w:val="001A794B"/>
    <w:rsid w:val="001A7994"/>
    <w:rsid w:val="001A7B3B"/>
    <w:rsid w:val="001A7CF7"/>
    <w:rsid w:val="001A7EE8"/>
    <w:rsid w:val="001A7FF8"/>
    <w:rsid w:val="001B00B8"/>
    <w:rsid w:val="001B0171"/>
    <w:rsid w:val="001B038B"/>
    <w:rsid w:val="001B0570"/>
    <w:rsid w:val="001B058E"/>
    <w:rsid w:val="001B0599"/>
    <w:rsid w:val="001B0672"/>
    <w:rsid w:val="001B0735"/>
    <w:rsid w:val="001B0980"/>
    <w:rsid w:val="001B09E0"/>
    <w:rsid w:val="001B0A38"/>
    <w:rsid w:val="001B0A44"/>
    <w:rsid w:val="001B0B8F"/>
    <w:rsid w:val="001B0C6F"/>
    <w:rsid w:val="001B0D3A"/>
    <w:rsid w:val="001B0D4C"/>
    <w:rsid w:val="001B115A"/>
    <w:rsid w:val="001B1184"/>
    <w:rsid w:val="001B121D"/>
    <w:rsid w:val="001B1391"/>
    <w:rsid w:val="001B151A"/>
    <w:rsid w:val="001B1534"/>
    <w:rsid w:val="001B155F"/>
    <w:rsid w:val="001B159F"/>
    <w:rsid w:val="001B15AB"/>
    <w:rsid w:val="001B16E1"/>
    <w:rsid w:val="001B1738"/>
    <w:rsid w:val="001B179E"/>
    <w:rsid w:val="001B189C"/>
    <w:rsid w:val="001B18E1"/>
    <w:rsid w:val="001B18F4"/>
    <w:rsid w:val="001B1904"/>
    <w:rsid w:val="001B1935"/>
    <w:rsid w:val="001B1AA3"/>
    <w:rsid w:val="001B1DFA"/>
    <w:rsid w:val="001B1F36"/>
    <w:rsid w:val="001B2047"/>
    <w:rsid w:val="001B2142"/>
    <w:rsid w:val="001B22D0"/>
    <w:rsid w:val="001B2420"/>
    <w:rsid w:val="001B24C8"/>
    <w:rsid w:val="001B24E1"/>
    <w:rsid w:val="001B258E"/>
    <w:rsid w:val="001B2595"/>
    <w:rsid w:val="001B2666"/>
    <w:rsid w:val="001B289A"/>
    <w:rsid w:val="001B2974"/>
    <w:rsid w:val="001B2A06"/>
    <w:rsid w:val="001B2A40"/>
    <w:rsid w:val="001B2A5D"/>
    <w:rsid w:val="001B2B6B"/>
    <w:rsid w:val="001B2BFB"/>
    <w:rsid w:val="001B2D2A"/>
    <w:rsid w:val="001B2DF6"/>
    <w:rsid w:val="001B2E59"/>
    <w:rsid w:val="001B2E70"/>
    <w:rsid w:val="001B2E82"/>
    <w:rsid w:val="001B2F15"/>
    <w:rsid w:val="001B3176"/>
    <w:rsid w:val="001B32D7"/>
    <w:rsid w:val="001B33F0"/>
    <w:rsid w:val="001B36CC"/>
    <w:rsid w:val="001B370D"/>
    <w:rsid w:val="001B3AE9"/>
    <w:rsid w:val="001B3B33"/>
    <w:rsid w:val="001B3B6B"/>
    <w:rsid w:val="001B3CDC"/>
    <w:rsid w:val="001B41DD"/>
    <w:rsid w:val="001B4622"/>
    <w:rsid w:val="001B4736"/>
    <w:rsid w:val="001B47C7"/>
    <w:rsid w:val="001B486C"/>
    <w:rsid w:val="001B4979"/>
    <w:rsid w:val="001B499C"/>
    <w:rsid w:val="001B4B23"/>
    <w:rsid w:val="001B4E56"/>
    <w:rsid w:val="001B5110"/>
    <w:rsid w:val="001B5354"/>
    <w:rsid w:val="001B5380"/>
    <w:rsid w:val="001B54DA"/>
    <w:rsid w:val="001B55CE"/>
    <w:rsid w:val="001B55EF"/>
    <w:rsid w:val="001B5764"/>
    <w:rsid w:val="001B5783"/>
    <w:rsid w:val="001B59E4"/>
    <w:rsid w:val="001B5C88"/>
    <w:rsid w:val="001B5E0E"/>
    <w:rsid w:val="001B5F3D"/>
    <w:rsid w:val="001B5F5C"/>
    <w:rsid w:val="001B5FB6"/>
    <w:rsid w:val="001B616E"/>
    <w:rsid w:val="001B6200"/>
    <w:rsid w:val="001B634F"/>
    <w:rsid w:val="001B63AD"/>
    <w:rsid w:val="001B6538"/>
    <w:rsid w:val="001B66BB"/>
    <w:rsid w:val="001B68CA"/>
    <w:rsid w:val="001B697F"/>
    <w:rsid w:val="001B6D68"/>
    <w:rsid w:val="001B6F75"/>
    <w:rsid w:val="001B72B4"/>
    <w:rsid w:val="001B777F"/>
    <w:rsid w:val="001B7887"/>
    <w:rsid w:val="001B7A07"/>
    <w:rsid w:val="001B7B37"/>
    <w:rsid w:val="001B7D6F"/>
    <w:rsid w:val="001B7E95"/>
    <w:rsid w:val="001B7FD3"/>
    <w:rsid w:val="001C018A"/>
    <w:rsid w:val="001C0395"/>
    <w:rsid w:val="001C05F2"/>
    <w:rsid w:val="001C0709"/>
    <w:rsid w:val="001C0A75"/>
    <w:rsid w:val="001C0B8B"/>
    <w:rsid w:val="001C0DEC"/>
    <w:rsid w:val="001C0E5C"/>
    <w:rsid w:val="001C1119"/>
    <w:rsid w:val="001C1197"/>
    <w:rsid w:val="001C139B"/>
    <w:rsid w:val="001C14E7"/>
    <w:rsid w:val="001C156C"/>
    <w:rsid w:val="001C1573"/>
    <w:rsid w:val="001C16F0"/>
    <w:rsid w:val="001C1747"/>
    <w:rsid w:val="001C1854"/>
    <w:rsid w:val="001C1B31"/>
    <w:rsid w:val="001C1F7A"/>
    <w:rsid w:val="001C1F81"/>
    <w:rsid w:val="001C1FAB"/>
    <w:rsid w:val="001C20AF"/>
    <w:rsid w:val="001C2238"/>
    <w:rsid w:val="001C253B"/>
    <w:rsid w:val="001C28B1"/>
    <w:rsid w:val="001C28DD"/>
    <w:rsid w:val="001C2988"/>
    <w:rsid w:val="001C2B22"/>
    <w:rsid w:val="001C2C34"/>
    <w:rsid w:val="001C2D5B"/>
    <w:rsid w:val="001C2E85"/>
    <w:rsid w:val="001C3022"/>
    <w:rsid w:val="001C3088"/>
    <w:rsid w:val="001C3312"/>
    <w:rsid w:val="001C352E"/>
    <w:rsid w:val="001C36C5"/>
    <w:rsid w:val="001C36CC"/>
    <w:rsid w:val="001C3862"/>
    <w:rsid w:val="001C38BF"/>
    <w:rsid w:val="001C38F9"/>
    <w:rsid w:val="001C3968"/>
    <w:rsid w:val="001C3D21"/>
    <w:rsid w:val="001C4098"/>
    <w:rsid w:val="001C4121"/>
    <w:rsid w:val="001C42C4"/>
    <w:rsid w:val="001C4371"/>
    <w:rsid w:val="001C475A"/>
    <w:rsid w:val="001C48DE"/>
    <w:rsid w:val="001C4B73"/>
    <w:rsid w:val="001C4CF3"/>
    <w:rsid w:val="001C4E2F"/>
    <w:rsid w:val="001C4EF5"/>
    <w:rsid w:val="001C4FE8"/>
    <w:rsid w:val="001C50B2"/>
    <w:rsid w:val="001C5146"/>
    <w:rsid w:val="001C5290"/>
    <w:rsid w:val="001C538C"/>
    <w:rsid w:val="001C53DC"/>
    <w:rsid w:val="001C552F"/>
    <w:rsid w:val="001C5543"/>
    <w:rsid w:val="001C5583"/>
    <w:rsid w:val="001C57D6"/>
    <w:rsid w:val="001C59D5"/>
    <w:rsid w:val="001C5B5D"/>
    <w:rsid w:val="001C5BD2"/>
    <w:rsid w:val="001C5C1D"/>
    <w:rsid w:val="001C5E7D"/>
    <w:rsid w:val="001C606D"/>
    <w:rsid w:val="001C62ED"/>
    <w:rsid w:val="001C641D"/>
    <w:rsid w:val="001C6A55"/>
    <w:rsid w:val="001C6A8B"/>
    <w:rsid w:val="001C6B6F"/>
    <w:rsid w:val="001C6B75"/>
    <w:rsid w:val="001C6BAF"/>
    <w:rsid w:val="001C6BDB"/>
    <w:rsid w:val="001C6C67"/>
    <w:rsid w:val="001C6F98"/>
    <w:rsid w:val="001C70E9"/>
    <w:rsid w:val="001C71B5"/>
    <w:rsid w:val="001C730E"/>
    <w:rsid w:val="001C73D8"/>
    <w:rsid w:val="001C745C"/>
    <w:rsid w:val="001C768C"/>
    <w:rsid w:val="001C7843"/>
    <w:rsid w:val="001C785B"/>
    <w:rsid w:val="001C7F8B"/>
    <w:rsid w:val="001C7FE8"/>
    <w:rsid w:val="001D0082"/>
    <w:rsid w:val="001D0094"/>
    <w:rsid w:val="001D0125"/>
    <w:rsid w:val="001D014A"/>
    <w:rsid w:val="001D0192"/>
    <w:rsid w:val="001D03E7"/>
    <w:rsid w:val="001D053E"/>
    <w:rsid w:val="001D06F5"/>
    <w:rsid w:val="001D07AD"/>
    <w:rsid w:val="001D0B94"/>
    <w:rsid w:val="001D0C27"/>
    <w:rsid w:val="001D0CA3"/>
    <w:rsid w:val="001D0DD4"/>
    <w:rsid w:val="001D0F5E"/>
    <w:rsid w:val="001D1108"/>
    <w:rsid w:val="001D164F"/>
    <w:rsid w:val="001D1667"/>
    <w:rsid w:val="001D1737"/>
    <w:rsid w:val="001D1BFE"/>
    <w:rsid w:val="001D1CE2"/>
    <w:rsid w:val="001D1F21"/>
    <w:rsid w:val="001D2151"/>
    <w:rsid w:val="001D2467"/>
    <w:rsid w:val="001D26D5"/>
    <w:rsid w:val="001D280C"/>
    <w:rsid w:val="001D2934"/>
    <w:rsid w:val="001D298A"/>
    <w:rsid w:val="001D2A11"/>
    <w:rsid w:val="001D2A2B"/>
    <w:rsid w:val="001D2A6F"/>
    <w:rsid w:val="001D2B82"/>
    <w:rsid w:val="001D2DC8"/>
    <w:rsid w:val="001D2F8B"/>
    <w:rsid w:val="001D31D8"/>
    <w:rsid w:val="001D333D"/>
    <w:rsid w:val="001D3673"/>
    <w:rsid w:val="001D3726"/>
    <w:rsid w:val="001D3896"/>
    <w:rsid w:val="001D3954"/>
    <w:rsid w:val="001D39EB"/>
    <w:rsid w:val="001D3C5B"/>
    <w:rsid w:val="001D3D52"/>
    <w:rsid w:val="001D3E3A"/>
    <w:rsid w:val="001D3EE3"/>
    <w:rsid w:val="001D403F"/>
    <w:rsid w:val="001D404F"/>
    <w:rsid w:val="001D40C2"/>
    <w:rsid w:val="001D4175"/>
    <w:rsid w:val="001D4205"/>
    <w:rsid w:val="001D4226"/>
    <w:rsid w:val="001D4454"/>
    <w:rsid w:val="001D4734"/>
    <w:rsid w:val="001D49C5"/>
    <w:rsid w:val="001D4B2F"/>
    <w:rsid w:val="001D5028"/>
    <w:rsid w:val="001D5321"/>
    <w:rsid w:val="001D592F"/>
    <w:rsid w:val="001D59DF"/>
    <w:rsid w:val="001D5B2C"/>
    <w:rsid w:val="001D5B6E"/>
    <w:rsid w:val="001D5B89"/>
    <w:rsid w:val="001D5DEF"/>
    <w:rsid w:val="001D5DF1"/>
    <w:rsid w:val="001D5E7C"/>
    <w:rsid w:val="001D5EF0"/>
    <w:rsid w:val="001D604B"/>
    <w:rsid w:val="001D60E2"/>
    <w:rsid w:val="001D624D"/>
    <w:rsid w:val="001D64AE"/>
    <w:rsid w:val="001D650E"/>
    <w:rsid w:val="001D67E0"/>
    <w:rsid w:val="001D685C"/>
    <w:rsid w:val="001D6A9C"/>
    <w:rsid w:val="001D6DAA"/>
    <w:rsid w:val="001D6E14"/>
    <w:rsid w:val="001D6FE5"/>
    <w:rsid w:val="001D7084"/>
    <w:rsid w:val="001D735B"/>
    <w:rsid w:val="001D76EB"/>
    <w:rsid w:val="001D7838"/>
    <w:rsid w:val="001D7849"/>
    <w:rsid w:val="001D7D53"/>
    <w:rsid w:val="001E0120"/>
    <w:rsid w:val="001E0555"/>
    <w:rsid w:val="001E05A9"/>
    <w:rsid w:val="001E05D9"/>
    <w:rsid w:val="001E06B8"/>
    <w:rsid w:val="001E0726"/>
    <w:rsid w:val="001E0946"/>
    <w:rsid w:val="001E099F"/>
    <w:rsid w:val="001E0F50"/>
    <w:rsid w:val="001E0FC7"/>
    <w:rsid w:val="001E106F"/>
    <w:rsid w:val="001E1832"/>
    <w:rsid w:val="001E1E63"/>
    <w:rsid w:val="001E20AF"/>
    <w:rsid w:val="001E213E"/>
    <w:rsid w:val="001E21B9"/>
    <w:rsid w:val="001E21E6"/>
    <w:rsid w:val="001E2260"/>
    <w:rsid w:val="001E2299"/>
    <w:rsid w:val="001E2453"/>
    <w:rsid w:val="001E2477"/>
    <w:rsid w:val="001E2718"/>
    <w:rsid w:val="001E2883"/>
    <w:rsid w:val="001E28E6"/>
    <w:rsid w:val="001E2902"/>
    <w:rsid w:val="001E2B15"/>
    <w:rsid w:val="001E2B8E"/>
    <w:rsid w:val="001E2BF3"/>
    <w:rsid w:val="001E2D8C"/>
    <w:rsid w:val="001E2EBA"/>
    <w:rsid w:val="001E2EBE"/>
    <w:rsid w:val="001E2EEE"/>
    <w:rsid w:val="001E2F83"/>
    <w:rsid w:val="001E2FA6"/>
    <w:rsid w:val="001E3086"/>
    <w:rsid w:val="001E332A"/>
    <w:rsid w:val="001E3A23"/>
    <w:rsid w:val="001E3B92"/>
    <w:rsid w:val="001E3C96"/>
    <w:rsid w:val="001E3EAD"/>
    <w:rsid w:val="001E43C4"/>
    <w:rsid w:val="001E44EC"/>
    <w:rsid w:val="001E4516"/>
    <w:rsid w:val="001E4C91"/>
    <w:rsid w:val="001E4CB6"/>
    <w:rsid w:val="001E4F7D"/>
    <w:rsid w:val="001E4FDE"/>
    <w:rsid w:val="001E53B0"/>
    <w:rsid w:val="001E567D"/>
    <w:rsid w:val="001E5702"/>
    <w:rsid w:val="001E5831"/>
    <w:rsid w:val="001E5861"/>
    <w:rsid w:val="001E5984"/>
    <w:rsid w:val="001E59E8"/>
    <w:rsid w:val="001E5B2B"/>
    <w:rsid w:val="001E5B46"/>
    <w:rsid w:val="001E5D0E"/>
    <w:rsid w:val="001E5F76"/>
    <w:rsid w:val="001E616D"/>
    <w:rsid w:val="001E622F"/>
    <w:rsid w:val="001E6613"/>
    <w:rsid w:val="001E6839"/>
    <w:rsid w:val="001E692B"/>
    <w:rsid w:val="001E69E6"/>
    <w:rsid w:val="001E6A2D"/>
    <w:rsid w:val="001E6A4F"/>
    <w:rsid w:val="001E6AF3"/>
    <w:rsid w:val="001E6BB7"/>
    <w:rsid w:val="001E6BBB"/>
    <w:rsid w:val="001E6D93"/>
    <w:rsid w:val="001E6F02"/>
    <w:rsid w:val="001E6FFB"/>
    <w:rsid w:val="001E7068"/>
    <w:rsid w:val="001E708A"/>
    <w:rsid w:val="001E70AD"/>
    <w:rsid w:val="001E71B0"/>
    <w:rsid w:val="001E723C"/>
    <w:rsid w:val="001E724A"/>
    <w:rsid w:val="001E7280"/>
    <w:rsid w:val="001E73A9"/>
    <w:rsid w:val="001E7500"/>
    <w:rsid w:val="001E76EB"/>
    <w:rsid w:val="001E7C14"/>
    <w:rsid w:val="001E7CE8"/>
    <w:rsid w:val="001E7D9A"/>
    <w:rsid w:val="001F0117"/>
    <w:rsid w:val="001F02EA"/>
    <w:rsid w:val="001F03D0"/>
    <w:rsid w:val="001F0414"/>
    <w:rsid w:val="001F06DF"/>
    <w:rsid w:val="001F0778"/>
    <w:rsid w:val="001F0780"/>
    <w:rsid w:val="001F0835"/>
    <w:rsid w:val="001F09DA"/>
    <w:rsid w:val="001F0A0C"/>
    <w:rsid w:val="001F0A38"/>
    <w:rsid w:val="001F0B49"/>
    <w:rsid w:val="001F0B94"/>
    <w:rsid w:val="001F0DE8"/>
    <w:rsid w:val="001F0FC7"/>
    <w:rsid w:val="001F125C"/>
    <w:rsid w:val="001F1704"/>
    <w:rsid w:val="001F184E"/>
    <w:rsid w:val="001F19B9"/>
    <w:rsid w:val="001F1CE9"/>
    <w:rsid w:val="001F1CFA"/>
    <w:rsid w:val="001F1E75"/>
    <w:rsid w:val="001F1EAE"/>
    <w:rsid w:val="001F2051"/>
    <w:rsid w:val="001F234C"/>
    <w:rsid w:val="001F23A3"/>
    <w:rsid w:val="001F2405"/>
    <w:rsid w:val="001F245E"/>
    <w:rsid w:val="001F26E6"/>
    <w:rsid w:val="001F2732"/>
    <w:rsid w:val="001F2B3F"/>
    <w:rsid w:val="001F2E35"/>
    <w:rsid w:val="001F2EE0"/>
    <w:rsid w:val="001F2FD7"/>
    <w:rsid w:val="001F30C5"/>
    <w:rsid w:val="001F32DB"/>
    <w:rsid w:val="001F3442"/>
    <w:rsid w:val="001F3A4F"/>
    <w:rsid w:val="001F3B4C"/>
    <w:rsid w:val="001F3EA3"/>
    <w:rsid w:val="001F4226"/>
    <w:rsid w:val="001F440E"/>
    <w:rsid w:val="001F48E6"/>
    <w:rsid w:val="001F499B"/>
    <w:rsid w:val="001F4A0F"/>
    <w:rsid w:val="001F4B83"/>
    <w:rsid w:val="001F4E5D"/>
    <w:rsid w:val="001F4F1B"/>
    <w:rsid w:val="001F5632"/>
    <w:rsid w:val="001F57AC"/>
    <w:rsid w:val="001F5B59"/>
    <w:rsid w:val="001F5B8B"/>
    <w:rsid w:val="001F5CD9"/>
    <w:rsid w:val="001F5F93"/>
    <w:rsid w:val="001F61E9"/>
    <w:rsid w:val="001F6366"/>
    <w:rsid w:val="001F678D"/>
    <w:rsid w:val="001F68D5"/>
    <w:rsid w:val="001F6BB6"/>
    <w:rsid w:val="001F6CB3"/>
    <w:rsid w:val="001F6D86"/>
    <w:rsid w:val="001F6E46"/>
    <w:rsid w:val="001F6F94"/>
    <w:rsid w:val="001F6FFF"/>
    <w:rsid w:val="001F7559"/>
    <w:rsid w:val="001F7BB2"/>
    <w:rsid w:val="002001C1"/>
    <w:rsid w:val="00200275"/>
    <w:rsid w:val="00200299"/>
    <w:rsid w:val="00200582"/>
    <w:rsid w:val="00200746"/>
    <w:rsid w:val="0020077B"/>
    <w:rsid w:val="00200A60"/>
    <w:rsid w:val="00200D05"/>
    <w:rsid w:val="00201736"/>
    <w:rsid w:val="0020191B"/>
    <w:rsid w:val="00201C4A"/>
    <w:rsid w:val="00202143"/>
    <w:rsid w:val="002024CA"/>
    <w:rsid w:val="0020253B"/>
    <w:rsid w:val="0020271E"/>
    <w:rsid w:val="002029A4"/>
    <w:rsid w:val="00202D41"/>
    <w:rsid w:val="00202EFA"/>
    <w:rsid w:val="00202F65"/>
    <w:rsid w:val="00202FFE"/>
    <w:rsid w:val="0020317F"/>
    <w:rsid w:val="002036EA"/>
    <w:rsid w:val="002036F5"/>
    <w:rsid w:val="00203A6F"/>
    <w:rsid w:val="00203A98"/>
    <w:rsid w:val="00203C71"/>
    <w:rsid w:val="00203CAB"/>
    <w:rsid w:val="00203E84"/>
    <w:rsid w:val="00204377"/>
    <w:rsid w:val="002045FD"/>
    <w:rsid w:val="00204926"/>
    <w:rsid w:val="00204A7B"/>
    <w:rsid w:val="00204B05"/>
    <w:rsid w:val="00204CC0"/>
    <w:rsid w:val="00204DA8"/>
    <w:rsid w:val="00204E38"/>
    <w:rsid w:val="00204E4C"/>
    <w:rsid w:val="00204F9B"/>
    <w:rsid w:val="00205219"/>
    <w:rsid w:val="0020547C"/>
    <w:rsid w:val="002054F8"/>
    <w:rsid w:val="0020556B"/>
    <w:rsid w:val="00205650"/>
    <w:rsid w:val="0020573C"/>
    <w:rsid w:val="002058EE"/>
    <w:rsid w:val="00205CA4"/>
    <w:rsid w:val="00205E70"/>
    <w:rsid w:val="00205F00"/>
    <w:rsid w:val="00205FE4"/>
    <w:rsid w:val="0020603C"/>
    <w:rsid w:val="0020607B"/>
    <w:rsid w:val="002060B9"/>
    <w:rsid w:val="002060DC"/>
    <w:rsid w:val="002062FD"/>
    <w:rsid w:val="00206453"/>
    <w:rsid w:val="0020650C"/>
    <w:rsid w:val="00206522"/>
    <w:rsid w:val="0020664E"/>
    <w:rsid w:val="0020687C"/>
    <w:rsid w:val="0020689E"/>
    <w:rsid w:val="002068D1"/>
    <w:rsid w:val="002068FF"/>
    <w:rsid w:val="0020690A"/>
    <w:rsid w:val="0020690E"/>
    <w:rsid w:val="00206A06"/>
    <w:rsid w:val="00206B0B"/>
    <w:rsid w:val="00206DBC"/>
    <w:rsid w:val="0020701B"/>
    <w:rsid w:val="00207070"/>
    <w:rsid w:val="00207072"/>
    <w:rsid w:val="00207094"/>
    <w:rsid w:val="002073C4"/>
    <w:rsid w:val="00207440"/>
    <w:rsid w:val="00207693"/>
    <w:rsid w:val="002076DA"/>
    <w:rsid w:val="002077D7"/>
    <w:rsid w:val="00207828"/>
    <w:rsid w:val="00207901"/>
    <w:rsid w:val="00207969"/>
    <w:rsid w:val="00207CC9"/>
    <w:rsid w:val="00207EE9"/>
    <w:rsid w:val="0021008E"/>
    <w:rsid w:val="00210376"/>
    <w:rsid w:val="002103C7"/>
    <w:rsid w:val="002103E2"/>
    <w:rsid w:val="002106FB"/>
    <w:rsid w:val="0021087E"/>
    <w:rsid w:val="002108EF"/>
    <w:rsid w:val="00210C20"/>
    <w:rsid w:val="00210D1C"/>
    <w:rsid w:val="0021159B"/>
    <w:rsid w:val="00211839"/>
    <w:rsid w:val="0021183B"/>
    <w:rsid w:val="0021189D"/>
    <w:rsid w:val="002118C5"/>
    <w:rsid w:val="002119C9"/>
    <w:rsid w:val="00211B70"/>
    <w:rsid w:val="00211DB0"/>
    <w:rsid w:val="00211DB7"/>
    <w:rsid w:val="00211DF9"/>
    <w:rsid w:val="00211FB1"/>
    <w:rsid w:val="00212105"/>
    <w:rsid w:val="002121C4"/>
    <w:rsid w:val="00212422"/>
    <w:rsid w:val="002124C0"/>
    <w:rsid w:val="0021250B"/>
    <w:rsid w:val="002125FD"/>
    <w:rsid w:val="002126F5"/>
    <w:rsid w:val="0021291C"/>
    <w:rsid w:val="00212A19"/>
    <w:rsid w:val="00212BCE"/>
    <w:rsid w:val="00212D5D"/>
    <w:rsid w:val="00212D80"/>
    <w:rsid w:val="00212DC1"/>
    <w:rsid w:val="0021300D"/>
    <w:rsid w:val="002131F5"/>
    <w:rsid w:val="0021348A"/>
    <w:rsid w:val="00213525"/>
    <w:rsid w:val="00213539"/>
    <w:rsid w:val="002136AD"/>
    <w:rsid w:val="002136F9"/>
    <w:rsid w:val="00213C3F"/>
    <w:rsid w:val="00213CD3"/>
    <w:rsid w:val="00213D6C"/>
    <w:rsid w:val="00213D70"/>
    <w:rsid w:val="00213E00"/>
    <w:rsid w:val="00213FBF"/>
    <w:rsid w:val="0021419E"/>
    <w:rsid w:val="002141B7"/>
    <w:rsid w:val="00214219"/>
    <w:rsid w:val="002146A2"/>
    <w:rsid w:val="002146D7"/>
    <w:rsid w:val="00214802"/>
    <w:rsid w:val="002148F1"/>
    <w:rsid w:val="0021490B"/>
    <w:rsid w:val="00214996"/>
    <w:rsid w:val="00214A94"/>
    <w:rsid w:val="00214A99"/>
    <w:rsid w:val="00214A9C"/>
    <w:rsid w:val="00214BC3"/>
    <w:rsid w:val="00214DB3"/>
    <w:rsid w:val="00214F81"/>
    <w:rsid w:val="00214F8D"/>
    <w:rsid w:val="0021511D"/>
    <w:rsid w:val="00215121"/>
    <w:rsid w:val="00215136"/>
    <w:rsid w:val="0021550F"/>
    <w:rsid w:val="00215608"/>
    <w:rsid w:val="002158B7"/>
    <w:rsid w:val="00215979"/>
    <w:rsid w:val="00215A8F"/>
    <w:rsid w:val="00215B6F"/>
    <w:rsid w:val="00215C0D"/>
    <w:rsid w:val="002161D5"/>
    <w:rsid w:val="002161E1"/>
    <w:rsid w:val="002161F3"/>
    <w:rsid w:val="002163BE"/>
    <w:rsid w:val="0021647E"/>
    <w:rsid w:val="002164CA"/>
    <w:rsid w:val="00216698"/>
    <w:rsid w:val="002166FD"/>
    <w:rsid w:val="002167C7"/>
    <w:rsid w:val="00216CBE"/>
    <w:rsid w:val="00216E8F"/>
    <w:rsid w:val="00216F2B"/>
    <w:rsid w:val="0021700B"/>
    <w:rsid w:val="0021705C"/>
    <w:rsid w:val="002170ED"/>
    <w:rsid w:val="0021710D"/>
    <w:rsid w:val="002171B6"/>
    <w:rsid w:val="002174D2"/>
    <w:rsid w:val="002176EE"/>
    <w:rsid w:val="00217B08"/>
    <w:rsid w:val="00217E3E"/>
    <w:rsid w:val="00220551"/>
    <w:rsid w:val="0022059B"/>
    <w:rsid w:val="00220748"/>
    <w:rsid w:val="00220902"/>
    <w:rsid w:val="00220A5B"/>
    <w:rsid w:val="00220B23"/>
    <w:rsid w:val="00220B5C"/>
    <w:rsid w:val="00220C86"/>
    <w:rsid w:val="00221028"/>
    <w:rsid w:val="002212BB"/>
    <w:rsid w:val="002212C5"/>
    <w:rsid w:val="002213A0"/>
    <w:rsid w:val="002213FA"/>
    <w:rsid w:val="0022147B"/>
    <w:rsid w:val="0022164C"/>
    <w:rsid w:val="002218F8"/>
    <w:rsid w:val="00221915"/>
    <w:rsid w:val="0022192D"/>
    <w:rsid w:val="00221AC6"/>
    <w:rsid w:val="00221C6B"/>
    <w:rsid w:val="00221D68"/>
    <w:rsid w:val="00221DED"/>
    <w:rsid w:val="00222025"/>
    <w:rsid w:val="0022214E"/>
    <w:rsid w:val="002221D7"/>
    <w:rsid w:val="00222201"/>
    <w:rsid w:val="0022232B"/>
    <w:rsid w:val="00222626"/>
    <w:rsid w:val="00222922"/>
    <w:rsid w:val="00222A2A"/>
    <w:rsid w:val="00222DB5"/>
    <w:rsid w:val="00222E8C"/>
    <w:rsid w:val="00222F85"/>
    <w:rsid w:val="00223479"/>
    <w:rsid w:val="002238E4"/>
    <w:rsid w:val="002239B6"/>
    <w:rsid w:val="00223AC1"/>
    <w:rsid w:val="00223D35"/>
    <w:rsid w:val="002243D3"/>
    <w:rsid w:val="00224563"/>
    <w:rsid w:val="00224605"/>
    <w:rsid w:val="00224722"/>
    <w:rsid w:val="00224895"/>
    <w:rsid w:val="002248BF"/>
    <w:rsid w:val="0022490B"/>
    <w:rsid w:val="00224993"/>
    <w:rsid w:val="002249CA"/>
    <w:rsid w:val="00224B76"/>
    <w:rsid w:val="002251CF"/>
    <w:rsid w:val="002251FD"/>
    <w:rsid w:val="0022528B"/>
    <w:rsid w:val="0022568B"/>
    <w:rsid w:val="002257A3"/>
    <w:rsid w:val="0022581A"/>
    <w:rsid w:val="00225846"/>
    <w:rsid w:val="00225979"/>
    <w:rsid w:val="00225A8A"/>
    <w:rsid w:val="00225C7A"/>
    <w:rsid w:val="00226083"/>
    <w:rsid w:val="002260E2"/>
    <w:rsid w:val="002261FC"/>
    <w:rsid w:val="00226200"/>
    <w:rsid w:val="00226502"/>
    <w:rsid w:val="0022659E"/>
    <w:rsid w:val="002265FE"/>
    <w:rsid w:val="0022695B"/>
    <w:rsid w:val="00226974"/>
    <w:rsid w:val="00226AA6"/>
    <w:rsid w:val="00226B76"/>
    <w:rsid w:val="00226CC4"/>
    <w:rsid w:val="00226DDF"/>
    <w:rsid w:val="00226E0E"/>
    <w:rsid w:val="00226EBC"/>
    <w:rsid w:val="00226FF6"/>
    <w:rsid w:val="00227006"/>
    <w:rsid w:val="002272E4"/>
    <w:rsid w:val="0022773E"/>
    <w:rsid w:val="002279B8"/>
    <w:rsid w:val="00227B63"/>
    <w:rsid w:val="00227C82"/>
    <w:rsid w:val="00227D1A"/>
    <w:rsid w:val="00227DF5"/>
    <w:rsid w:val="00227E93"/>
    <w:rsid w:val="002301D6"/>
    <w:rsid w:val="00230336"/>
    <w:rsid w:val="00230350"/>
    <w:rsid w:val="002303CD"/>
    <w:rsid w:val="002303FB"/>
    <w:rsid w:val="00230479"/>
    <w:rsid w:val="00230536"/>
    <w:rsid w:val="002305F4"/>
    <w:rsid w:val="0023060A"/>
    <w:rsid w:val="00230637"/>
    <w:rsid w:val="002307F1"/>
    <w:rsid w:val="00230CC2"/>
    <w:rsid w:val="00230E1E"/>
    <w:rsid w:val="002311B2"/>
    <w:rsid w:val="00231258"/>
    <w:rsid w:val="00231427"/>
    <w:rsid w:val="002318CE"/>
    <w:rsid w:val="00231A2C"/>
    <w:rsid w:val="00231A92"/>
    <w:rsid w:val="00231BB2"/>
    <w:rsid w:val="00231FD1"/>
    <w:rsid w:val="0023202B"/>
    <w:rsid w:val="00232298"/>
    <w:rsid w:val="002322AA"/>
    <w:rsid w:val="002322C3"/>
    <w:rsid w:val="002323A4"/>
    <w:rsid w:val="0023241C"/>
    <w:rsid w:val="00232478"/>
    <w:rsid w:val="00232735"/>
    <w:rsid w:val="00232785"/>
    <w:rsid w:val="002327B9"/>
    <w:rsid w:val="002327EE"/>
    <w:rsid w:val="00232A47"/>
    <w:rsid w:val="00232C2D"/>
    <w:rsid w:val="00232D6C"/>
    <w:rsid w:val="00232E5A"/>
    <w:rsid w:val="00232F26"/>
    <w:rsid w:val="00233078"/>
    <w:rsid w:val="002332B2"/>
    <w:rsid w:val="00233300"/>
    <w:rsid w:val="0023349A"/>
    <w:rsid w:val="00233542"/>
    <w:rsid w:val="0023363E"/>
    <w:rsid w:val="0023395F"/>
    <w:rsid w:val="00233B1B"/>
    <w:rsid w:val="00233DA2"/>
    <w:rsid w:val="00233FDF"/>
    <w:rsid w:val="002340FE"/>
    <w:rsid w:val="0023457C"/>
    <w:rsid w:val="00234675"/>
    <w:rsid w:val="00234888"/>
    <w:rsid w:val="00234B5A"/>
    <w:rsid w:val="00234BFB"/>
    <w:rsid w:val="00234DE6"/>
    <w:rsid w:val="00234E8C"/>
    <w:rsid w:val="0023530E"/>
    <w:rsid w:val="002353A3"/>
    <w:rsid w:val="002353FB"/>
    <w:rsid w:val="0023540B"/>
    <w:rsid w:val="00235594"/>
    <w:rsid w:val="002355F0"/>
    <w:rsid w:val="002355FC"/>
    <w:rsid w:val="0023585E"/>
    <w:rsid w:val="002359D8"/>
    <w:rsid w:val="00235A2F"/>
    <w:rsid w:val="00235B81"/>
    <w:rsid w:val="002361BC"/>
    <w:rsid w:val="0023622E"/>
    <w:rsid w:val="00236717"/>
    <w:rsid w:val="00236750"/>
    <w:rsid w:val="0023681D"/>
    <w:rsid w:val="00236BB4"/>
    <w:rsid w:val="0023702B"/>
    <w:rsid w:val="002371F1"/>
    <w:rsid w:val="00237212"/>
    <w:rsid w:val="002372FE"/>
    <w:rsid w:val="00237418"/>
    <w:rsid w:val="00237471"/>
    <w:rsid w:val="00237475"/>
    <w:rsid w:val="00237A60"/>
    <w:rsid w:val="00237B50"/>
    <w:rsid w:val="00237C08"/>
    <w:rsid w:val="00237D94"/>
    <w:rsid w:val="00237FC6"/>
    <w:rsid w:val="00240092"/>
    <w:rsid w:val="00240097"/>
    <w:rsid w:val="002403B6"/>
    <w:rsid w:val="002407B7"/>
    <w:rsid w:val="00240AD2"/>
    <w:rsid w:val="00240D0D"/>
    <w:rsid w:val="00241044"/>
    <w:rsid w:val="0024108D"/>
    <w:rsid w:val="002410DE"/>
    <w:rsid w:val="0024128F"/>
    <w:rsid w:val="00241379"/>
    <w:rsid w:val="00241517"/>
    <w:rsid w:val="00241764"/>
    <w:rsid w:val="0024193E"/>
    <w:rsid w:val="002419DC"/>
    <w:rsid w:val="00241C84"/>
    <w:rsid w:val="00241D7C"/>
    <w:rsid w:val="00242014"/>
    <w:rsid w:val="00242018"/>
    <w:rsid w:val="00242245"/>
    <w:rsid w:val="0024267D"/>
    <w:rsid w:val="00242692"/>
    <w:rsid w:val="00242729"/>
    <w:rsid w:val="002428BA"/>
    <w:rsid w:val="00242974"/>
    <w:rsid w:val="0024298D"/>
    <w:rsid w:val="00242E66"/>
    <w:rsid w:val="00242FE4"/>
    <w:rsid w:val="00243170"/>
    <w:rsid w:val="00243369"/>
    <w:rsid w:val="00243598"/>
    <w:rsid w:val="00243688"/>
    <w:rsid w:val="00243B0F"/>
    <w:rsid w:val="00243C30"/>
    <w:rsid w:val="00243C91"/>
    <w:rsid w:val="00243D66"/>
    <w:rsid w:val="00244357"/>
    <w:rsid w:val="0024480C"/>
    <w:rsid w:val="00244A0F"/>
    <w:rsid w:val="00244D97"/>
    <w:rsid w:val="00244E1B"/>
    <w:rsid w:val="00244E77"/>
    <w:rsid w:val="00245071"/>
    <w:rsid w:val="002452A4"/>
    <w:rsid w:val="0024558D"/>
    <w:rsid w:val="0024561E"/>
    <w:rsid w:val="002457BB"/>
    <w:rsid w:val="00245B92"/>
    <w:rsid w:val="00245CA6"/>
    <w:rsid w:val="00245E19"/>
    <w:rsid w:val="0024628D"/>
    <w:rsid w:val="002462BE"/>
    <w:rsid w:val="002462CC"/>
    <w:rsid w:val="0024648A"/>
    <w:rsid w:val="0024648D"/>
    <w:rsid w:val="002464D7"/>
    <w:rsid w:val="00246515"/>
    <w:rsid w:val="00246539"/>
    <w:rsid w:val="00246555"/>
    <w:rsid w:val="002465F0"/>
    <w:rsid w:val="0024673F"/>
    <w:rsid w:val="002467D3"/>
    <w:rsid w:val="002468A7"/>
    <w:rsid w:val="00246C18"/>
    <w:rsid w:val="00246F02"/>
    <w:rsid w:val="00246F50"/>
    <w:rsid w:val="00247308"/>
    <w:rsid w:val="00247786"/>
    <w:rsid w:val="0024779F"/>
    <w:rsid w:val="00247925"/>
    <w:rsid w:val="00247956"/>
    <w:rsid w:val="00247C2C"/>
    <w:rsid w:val="00247D93"/>
    <w:rsid w:val="00247F65"/>
    <w:rsid w:val="00247F96"/>
    <w:rsid w:val="00247FE6"/>
    <w:rsid w:val="002501B0"/>
    <w:rsid w:val="00250295"/>
    <w:rsid w:val="002504CB"/>
    <w:rsid w:val="00250543"/>
    <w:rsid w:val="00250547"/>
    <w:rsid w:val="002505D3"/>
    <w:rsid w:val="0025072F"/>
    <w:rsid w:val="00250B82"/>
    <w:rsid w:val="00250CF8"/>
    <w:rsid w:val="00250E11"/>
    <w:rsid w:val="00250F21"/>
    <w:rsid w:val="002510AF"/>
    <w:rsid w:val="00251263"/>
    <w:rsid w:val="002514D2"/>
    <w:rsid w:val="0025168E"/>
    <w:rsid w:val="002516FB"/>
    <w:rsid w:val="002517A2"/>
    <w:rsid w:val="002517FF"/>
    <w:rsid w:val="002519B5"/>
    <w:rsid w:val="00251AB3"/>
    <w:rsid w:val="00251BBC"/>
    <w:rsid w:val="00251C0D"/>
    <w:rsid w:val="00251C2A"/>
    <w:rsid w:val="00251C93"/>
    <w:rsid w:val="00251CF3"/>
    <w:rsid w:val="00251D17"/>
    <w:rsid w:val="00252022"/>
    <w:rsid w:val="00252116"/>
    <w:rsid w:val="002521FE"/>
    <w:rsid w:val="00252506"/>
    <w:rsid w:val="00252611"/>
    <w:rsid w:val="0025268D"/>
    <w:rsid w:val="0025280A"/>
    <w:rsid w:val="002528E4"/>
    <w:rsid w:val="002529D6"/>
    <w:rsid w:val="00252B34"/>
    <w:rsid w:val="00252B67"/>
    <w:rsid w:val="00252C21"/>
    <w:rsid w:val="00252C5C"/>
    <w:rsid w:val="00252EF0"/>
    <w:rsid w:val="00253047"/>
    <w:rsid w:val="0025305E"/>
    <w:rsid w:val="0025322F"/>
    <w:rsid w:val="00253733"/>
    <w:rsid w:val="00253780"/>
    <w:rsid w:val="00253BB0"/>
    <w:rsid w:val="00253EB3"/>
    <w:rsid w:val="00254110"/>
    <w:rsid w:val="00254303"/>
    <w:rsid w:val="00254694"/>
    <w:rsid w:val="002546B3"/>
    <w:rsid w:val="002546DF"/>
    <w:rsid w:val="002546E7"/>
    <w:rsid w:val="002548EE"/>
    <w:rsid w:val="00254D38"/>
    <w:rsid w:val="00254D46"/>
    <w:rsid w:val="00255287"/>
    <w:rsid w:val="00255651"/>
    <w:rsid w:val="0025572F"/>
    <w:rsid w:val="00255743"/>
    <w:rsid w:val="002557B2"/>
    <w:rsid w:val="00255889"/>
    <w:rsid w:val="00255B5B"/>
    <w:rsid w:val="00255E22"/>
    <w:rsid w:val="00255E31"/>
    <w:rsid w:val="00255EF4"/>
    <w:rsid w:val="00256284"/>
    <w:rsid w:val="002562B9"/>
    <w:rsid w:val="002562CB"/>
    <w:rsid w:val="00256355"/>
    <w:rsid w:val="00256619"/>
    <w:rsid w:val="00256732"/>
    <w:rsid w:val="002567AE"/>
    <w:rsid w:val="00256B8F"/>
    <w:rsid w:val="00256D03"/>
    <w:rsid w:val="002570A7"/>
    <w:rsid w:val="002570E1"/>
    <w:rsid w:val="0025715E"/>
    <w:rsid w:val="002572D4"/>
    <w:rsid w:val="002573A7"/>
    <w:rsid w:val="002574FC"/>
    <w:rsid w:val="00257729"/>
    <w:rsid w:val="0025772D"/>
    <w:rsid w:val="002579F7"/>
    <w:rsid w:val="00257BFD"/>
    <w:rsid w:val="00257CCC"/>
    <w:rsid w:val="00257DC4"/>
    <w:rsid w:val="00257F53"/>
    <w:rsid w:val="00260504"/>
    <w:rsid w:val="002607B2"/>
    <w:rsid w:val="00260B32"/>
    <w:rsid w:val="00260CB9"/>
    <w:rsid w:val="00260CC9"/>
    <w:rsid w:val="00260F11"/>
    <w:rsid w:val="002613F0"/>
    <w:rsid w:val="00261417"/>
    <w:rsid w:val="0026147D"/>
    <w:rsid w:val="00261B89"/>
    <w:rsid w:val="00261F7D"/>
    <w:rsid w:val="00262152"/>
    <w:rsid w:val="00262564"/>
    <w:rsid w:val="00262870"/>
    <w:rsid w:val="0026307C"/>
    <w:rsid w:val="00263141"/>
    <w:rsid w:val="00263157"/>
    <w:rsid w:val="00263499"/>
    <w:rsid w:val="002634F5"/>
    <w:rsid w:val="002635BF"/>
    <w:rsid w:val="00263682"/>
    <w:rsid w:val="002639E5"/>
    <w:rsid w:val="00263A3D"/>
    <w:rsid w:val="00263A85"/>
    <w:rsid w:val="00263C6E"/>
    <w:rsid w:val="00263C97"/>
    <w:rsid w:val="00263F1D"/>
    <w:rsid w:val="0026434D"/>
    <w:rsid w:val="002644A5"/>
    <w:rsid w:val="00264596"/>
    <w:rsid w:val="0026486E"/>
    <w:rsid w:val="00264A9B"/>
    <w:rsid w:val="00264E7F"/>
    <w:rsid w:val="00264F45"/>
    <w:rsid w:val="00264F94"/>
    <w:rsid w:val="00264FA9"/>
    <w:rsid w:val="00264FC8"/>
    <w:rsid w:val="0026501A"/>
    <w:rsid w:val="00265035"/>
    <w:rsid w:val="002650A5"/>
    <w:rsid w:val="00265563"/>
    <w:rsid w:val="00265596"/>
    <w:rsid w:val="002657EF"/>
    <w:rsid w:val="00265A3D"/>
    <w:rsid w:val="00265B44"/>
    <w:rsid w:val="00265BB3"/>
    <w:rsid w:val="00265C4A"/>
    <w:rsid w:val="00265CB6"/>
    <w:rsid w:val="00265D5F"/>
    <w:rsid w:val="00265E03"/>
    <w:rsid w:val="00265F54"/>
    <w:rsid w:val="00265FE6"/>
    <w:rsid w:val="00266027"/>
    <w:rsid w:val="002661C4"/>
    <w:rsid w:val="002662D4"/>
    <w:rsid w:val="002662F3"/>
    <w:rsid w:val="00266411"/>
    <w:rsid w:val="00266428"/>
    <w:rsid w:val="002665F7"/>
    <w:rsid w:val="00266610"/>
    <w:rsid w:val="00266716"/>
    <w:rsid w:val="0026675F"/>
    <w:rsid w:val="00266B86"/>
    <w:rsid w:val="00266C9D"/>
    <w:rsid w:val="00266E56"/>
    <w:rsid w:val="00267015"/>
    <w:rsid w:val="002671CD"/>
    <w:rsid w:val="00267224"/>
    <w:rsid w:val="00267563"/>
    <w:rsid w:val="002676E2"/>
    <w:rsid w:val="00267795"/>
    <w:rsid w:val="00267981"/>
    <w:rsid w:val="002679F8"/>
    <w:rsid w:val="00267A52"/>
    <w:rsid w:val="00267A5F"/>
    <w:rsid w:val="00267CCB"/>
    <w:rsid w:val="00267F11"/>
    <w:rsid w:val="00267FC4"/>
    <w:rsid w:val="002702CC"/>
    <w:rsid w:val="002702DC"/>
    <w:rsid w:val="0027030B"/>
    <w:rsid w:val="0027030D"/>
    <w:rsid w:val="00270709"/>
    <w:rsid w:val="00270827"/>
    <w:rsid w:val="00270C16"/>
    <w:rsid w:val="00270C68"/>
    <w:rsid w:val="00270E7B"/>
    <w:rsid w:val="00270F40"/>
    <w:rsid w:val="002711D7"/>
    <w:rsid w:val="0027179B"/>
    <w:rsid w:val="0027183C"/>
    <w:rsid w:val="002719AA"/>
    <w:rsid w:val="00271B5E"/>
    <w:rsid w:val="00271B9A"/>
    <w:rsid w:val="00271CEC"/>
    <w:rsid w:val="00271DFA"/>
    <w:rsid w:val="00271E1A"/>
    <w:rsid w:val="00271FA6"/>
    <w:rsid w:val="00272003"/>
    <w:rsid w:val="00272175"/>
    <w:rsid w:val="00272203"/>
    <w:rsid w:val="002723E8"/>
    <w:rsid w:val="002724B2"/>
    <w:rsid w:val="00272587"/>
    <w:rsid w:val="002728A2"/>
    <w:rsid w:val="00272A6B"/>
    <w:rsid w:val="00272D5C"/>
    <w:rsid w:val="00272EFB"/>
    <w:rsid w:val="00272F44"/>
    <w:rsid w:val="00273266"/>
    <w:rsid w:val="00273277"/>
    <w:rsid w:val="0027350B"/>
    <w:rsid w:val="0027373E"/>
    <w:rsid w:val="00273843"/>
    <w:rsid w:val="00273A1E"/>
    <w:rsid w:val="00273BCA"/>
    <w:rsid w:val="00273CB5"/>
    <w:rsid w:val="00273CCB"/>
    <w:rsid w:val="00273CF3"/>
    <w:rsid w:val="00273D5A"/>
    <w:rsid w:val="00273D78"/>
    <w:rsid w:val="00273D88"/>
    <w:rsid w:val="002744B8"/>
    <w:rsid w:val="00274AE4"/>
    <w:rsid w:val="00274B5C"/>
    <w:rsid w:val="00274C1B"/>
    <w:rsid w:val="00274C6C"/>
    <w:rsid w:val="00274DC2"/>
    <w:rsid w:val="00274FA5"/>
    <w:rsid w:val="00275163"/>
    <w:rsid w:val="002751D3"/>
    <w:rsid w:val="00275222"/>
    <w:rsid w:val="00275984"/>
    <w:rsid w:val="00275BA2"/>
    <w:rsid w:val="00275C45"/>
    <w:rsid w:val="00275D61"/>
    <w:rsid w:val="00276039"/>
    <w:rsid w:val="002761FA"/>
    <w:rsid w:val="0027624A"/>
    <w:rsid w:val="00276336"/>
    <w:rsid w:val="0027648A"/>
    <w:rsid w:val="002764DD"/>
    <w:rsid w:val="0027680B"/>
    <w:rsid w:val="00276CD5"/>
    <w:rsid w:val="00276FDA"/>
    <w:rsid w:val="0027715D"/>
    <w:rsid w:val="00277394"/>
    <w:rsid w:val="00277533"/>
    <w:rsid w:val="0027764B"/>
    <w:rsid w:val="002776EC"/>
    <w:rsid w:val="00277744"/>
    <w:rsid w:val="00277780"/>
    <w:rsid w:val="002777F1"/>
    <w:rsid w:val="00277A9F"/>
    <w:rsid w:val="00277DA0"/>
    <w:rsid w:val="00277F23"/>
    <w:rsid w:val="0028011E"/>
    <w:rsid w:val="002803C4"/>
    <w:rsid w:val="0028053D"/>
    <w:rsid w:val="002805BF"/>
    <w:rsid w:val="002806A3"/>
    <w:rsid w:val="002806AA"/>
    <w:rsid w:val="00280789"/>
    <w:rsid w:val="002808BF"/>
    <w:rsid w:val="002809F6"/>
    <w:rsid w:val="00280D1A"/>
    <w:rsid w:val="00280D81"/>
    <w:rsid w:val="00280F46"/>
    <w:rsid w:val="00281073"/>
    <w:rsid w:val="002810A6"/>
    <w:rsid w:val="00281212"/>
    <w:rsid w:val="00281314"/>
    <w:rsid w:val="002815A1"/>
    <w:rsid w:val="002815E1"/>
    <w:rsid w:val="002816F2"/>
    <w:rsid w:val="002817D2"/>
    <w:rsid w:val="00281802"/>
    <w:rsid w:val="002818F5"/>
    <w:rsid w:val="00281EB2"/>
    <w:rsid w:val="00281EEA"/>
    <w:rsid w:val="00282129"/>
    <w:rsid w:val="00282262"/>
    <w:rsid w:val="002823C6"/>
    <w:rsid w:val="002825EE"/>
    <w:rsid w:val="0028265F"/>
    <w:rsid w:val="00282AE9"/>
    <w:rsid w:val="00282E23"/>
    <w:rsid w:val="00282FAD"/>
    <w:rsid w:val="002830E7"/>
    <w:rsid w:val="00283102"/>
    <w:rsid w:val="00283228"/>
    <w:rsid w:val="00283438"/>
    <w:rsid w:val="00283456"/>
    <w:rsid w:val="00283670"/>
    <w:rsid w:val="00283804"/>
    <w:rsid w:val="0028394A"/>
    <w:rsid w:val="0028404E"/>
    <w:rsid w:val="00284114"/>
    <w:rsid w:val="0028433E"/>
    <w:rsid w:val="00284780"/>
    <w:rsid w:val="00284B57"/>
    <w:rsid w:val="00284B5E"/>
    <w:rsid w:val="00284D64"/>
    <w:rsid w:val="00284D6F"/>
    <w:rsid w:val="00284E2A"/>
    <w:rsid w:val="00285848"/>
    <w:rsid w:val="00285931"/>
    <w:rsid w:val="002860A7"/>
    <w:rsid w:val="00286268"/>
    <w:rsid w:val="002863DB"/>
    <w:rsid w:val="00286451"/>
    <w:rsid w:val="00286669"/>
    <w:rsid w:val="00286816"/>
    <w:rsid w:val="00286AA7"/>
    <w:rsid w:val="00286B1A"/>
    <w:rsid w:val="00286BFC"/>
    <w:rsid w:val="00286C6C"/>
    <w:rsid w:val="00286F62"/>
    <w:rsid w:val="00286FFC"/>
    <w:rsid w:val="0028728D"/>
    <w:rsid w:val="0028753E"/>
    <w:rsid w:val="00290364"/>
    <w:rsid w:val="00290474"/>
    <w:rsid w:val="002905CC"/>
    <w:rsid w:val="00290748"/>
    <w:rsid w:val="00290BDB"/>
    <w:rsid w:val="00290C36"/>
    <w:rsid w:val="00290C47"/>
    <w:rsid w:val="00290D29"/>
    <w:rsid w:val="00290FEA"/>
    <w:rsid w:val="0029112E"/>
    <w:rsid w:val="00291135"/>
    <w:rsid w:val="0029123B"/>
    <w:rsid w:val="0029143C"/>
    <w:rsid w:val="00291525"/>
    <w:rsid w:val="002915C0"/>
    <w:rsid w:val="0029186B"/>
    <w:rsid w:val="00291AE5"/>
    <w:rsid w:val="00291BAA"/>
    <w:rsid w:val="00291BAC"/>
    <w:rsid w:val="00291C24"/>
    <w:rsid w:val="00291DA1"/>
    <w:rsid w:val="00291E04"/>
    <w:rsid w:val="00291E08"/>
    <w:rsid w:val="00291E77"/>
    <w:rsid w:val="00291FD5"/>
    <w:rsid w:val="00291FD6"/>
    <w:rsid w:val="00292041"/>
    <w:rsid w:val="00292047"/>
    <w:rsid w:val="002920C1"/>
    <w:rsid w:val="002920EE"/>
    <w:rsid w:val="00292360"/>
    <w:rsid w:val="00292508"/>
    <w:rsid w:val="00292A0E"/>
    <w:rsid w:val="00292A96"/>
    <w:rsid w:val="00292C57"/>
    <w:rsid w:val="00292C7B"/>
    <w:rsid w:val="00292C8F"/>
    <w:rsid w:val="00292D0A"/>
    <w:rsid w:val="00292F0D"/>
    <w:rsid w:val="00292F6E"/>
    <w:rsid w:val="00292FB4"/>
    <w:rsid w:val="002938EC"/>
    <w:rsid w:val="00293D65"/>
    <w:rsid w:val="00294166"/>
    <w:rsid w:val="00294377"/>
    <w:rsid w:val="00294552"/>
    <w:rsid w:val="00294C6B"/>
    <w:rsid w:val="00294C83"/>
    <w:rsid w:val="00294EF3"/>
    <w:rsid w:val="00295039"/>
    <w:rsid w:val="00295047"/>
    <w:rsid w:val="00295380"/>
    <w:rsid w:val="00295579"/>
    <w:rsid w:val="00295B4A"/>
    <w:rsid w:val="00295B64"/>
    <w:rsid w:val="00295CE2"/>
    <w:rsid w:val="00295E62"/>
    <w:rsid w:val="00295ED4"/>
    <w:rsid w:val="002960B1"/>
    <w:rsid w:val="0029625D"/>
    <w:rsid w:val="002962B9"/>
    <w:rsid w:val="002965A1"/>
    <w:rsid w:val="002966AE"/>
    <w:rsid w:val="00296A17"/>
    <w:rsid w:val="00296C15"/>
    <w:rsid w:val="00296DC0"/>
    <w:rsid w:val="00296F42"/>
    <w:rsid w:val="00296FC3"/>
    <w:rsid w:val="00297019"/>
    <w:rsid w:val="002970BD"/>
    <w:rsid w:val="00297360"/>
    <w:rsid w:val="00297375"/>
    <w:rsid w:val="00297515"/>
    <w:rsid w:val="00297916"/>
    <w:rsid w:val="00297C05"/>
    <w:rsid w:val="00297CBE"/>
    <w:rsid w:val="00297E8E"/>
    <w:rsid w:val="00297FA0"/>
    <w:rsid w:val="002A011F"/>
    <w:rsid w:val="002A0241"/>
    <w:rsid w:val="002A0B31"/>
    <w:rsid w:val="002A0C2E"/>
    <w:rsid w:val="002A0E32"/>
    <w:rsid w:val="002A0EBC"/>
    <w:rsid w:val="002A1003"/>
    <w:rsid w:val="002A10D3"/>
    <w:rsid w:val="002A1213"/>
    <w:rsid w:val="002A1424"/>
    <w:rsid w:val="002A143B"/>
    <w:rsid w:val="002A14F1"/>
    <w:rsid w:val="002A160C"/>
    <w:rsid w:val="002A169D"/>
    <w:rsid w:val="002A16D1"/>
    <w:rsid w:val="002A17F5"/>
    <w:rsid w:val="002A190D"/>
    <w:rsid w:val="002A1BC4"/>
    <w:rsid w:val="002A1D5E"/>
    <w:rsid w:val="002A20B4"/>
    <w:rsid w:val="002A2422"/>
    <w:rsid w:val="002A2423"/>
    <w:rsid w:val="002A24F5"/>
    <w:rsid w:val="002A2577"/>
    <w:rsid w:val="002A25B4"/>
    <w:rsid w:val="002A2658"/>
    <w:rsid w:val="002A275D"/>
    <w:rsid w:val="002A27B6"/>
    <w:rsid w:val="002A2931"/>
    <w:rsid w:val="002A2994"/>
    <w:rsid w:val="002A2C03"/>
    <w:rsid w:val="002A2DEE"/>
    <w:rsid w:val="002A326B"/>
    <w:rsid w:val="002A330B"/>
    <w:rsid w:val="002A3314"/>
    <w:rsid w:val="002A3358"/>
    <w:rsid w:val="002A37CA"/>
    <w:rsid w:val="002A38D5"/>
    <w:rsid w:val="002A3B2B"/>
    <w:rsid w:val="002A3F7D"/>
    <w:rsid w:val="002A3FEC"/>
    <w:rsid w:val="002A4144"/>
    <w:rsid w:val="002A4159"/>
    <w:rsid w:val="002A4652"/>
    <w:rsid w:val="002A4AA1"/>
    <w:rsid w:val="002A4C34"/>
    <w:rsid w:val="002A4CB0"/>
    <w:rsid w:val="002A4CC4"/>
    <w:rsid w:val="002A4E61"/>
    <w:rsid w:val="002A4F61"/>
    <w:rsid w:val="002A4FDB"/>
    <w:rsid w:val="002A4FFD"/>
    <w:rsid w:val="002A5115"/>
    <w:rsid w:val="002A51EF"/>
    <w:rsid w:val="002A531D"/>
    <w:rsid w:val="002A536C"/>
    <w:rsid w:val="002A57C3"/>
    <w:rsid w:val="002A582F"/>
    <w:rsid w:val="002A5A98"/>
    <w:rsid w:val="002A5B47"/>
    <w:rsid w:val="002A5B72"/>
    <w:rsid w:val="002A5D13"/>
    <w:rsid w:val="002A5DF7"/>
    <w:rsid w:val="002A5E9D"/>
    <w:rsid w:val="002A5F68"/>
    <w:rsid w:val="002A63DE"/>
    <w:rsid w:val="002A6687"/>
    <w:rsid w:val="002A6804"/>
    <w:rsid w:val="002A680D"/>
    <w:rsid w:val="002A6825"/>
    <w:rsid w:val="002A6BB6"/>
    <w:rsid w:val="002A6C29"/>
    <w:rsid w:val="002A6CC9"/>
    <w:rsid w:val="002A6D7F"/>
    <w:rsid w:val="002A6D9E"/>
    <w:rsid w:val="002A6F5B"/>
    <w:rsid w:val="002A7099"/>
    <w:rsid w:val="002A70A1"/>
    <w:rsid w:val="002A70BA"/>
    <w:rsid w:val="002A7362"/>
    <w:rsid w:val="002A7531"/>
    <w:rsid w:val="002A75C0"/>
    <w:rsid w:val="002A76AD"/>
    <w:rsid w:val="002A774B"/>
    <w:rsid w:val="002A777A"/>
    <w:rsid w:val="002A7A1B"/>
    <w:rsid w:val="002A7D0C"/>
    <w:rsid w:val="002A7E40"/>
    <w:rsid w:val="002A7FA4"/>
    <w:rsid w:val="002B0005"/>
    <w:rsid w:val="002B0096"/>
    <w:rsid w:val="002B019B"/>
    <w:rsid w:val="002B0237"/>
    <w:rsid w:val="002B05FF"/>
    <w:rsid w:val="002B0889"/>
    <w:rsid w:val="002B09DB"/>
    <w:rsid w:val="002B0A74"/>
    <w:rsid w:val="002B0C56"/>
    <w:rsid w:val="002B0C60"/>
    <w:rsid w:val="002B0D19"/>
    <w:rsid w:val="002B0D22"/>
    <w:rsid w:val="002B0EA3"/>
    <w:rsid w:val="002B10BD"/>
    <w:rsid w:val="002B1354"/>
    <w:rsid w:val="002B135B"/>
    <w:rsid w:val="002B144D"/>
    <w:rsid w:val="002B14C6"/>
    <w:rsid w:val="002B1901"/>
    <w:rsid w:val="002B1985"/>
    <w:rsid w:val="002B1B03"/>
    <w:rsid w:val="002B1B73"/>
    <w:rsid w:val="002B1BBF"/>
    <w:rsid w:val="002B1C73"/>
    <w:rsid w:val="002B1F7F"/>
    <w:rsid w:val="002B1FDA"/>
    <w:rsid w:val="002B1FE6"/>
    <w:rsid w:val="002B22E0"/>
    <w:rsid w:val="002B2473"/>
    <w:rsid w:val="002B24A4"/>
    <w:rsid w:val="002B27CB"/>
    <w:rsid w:val="002B3359"/>
    <w:rsid w:val="002B33AC"/>
    <w:rsid w:val="002B385B"/>
    <w:rsid w:val="002B3902"/>
    <w:rsid w:val="002B39E2"/>
    <w:rsid w:val="002B3ACC"/>
    <w:rsid w:val="002B40BB"/>
    <w:rsid w:val="002B4244"/>
    <w:rsid w:val="002B45AA"/>
    <w:rsid w:val="002B4717"/>
    <w:rsid w:val="002B4B5B"/>
    <w:rsid w:val="002B4F0A"/>
    <w:rsid w:val="002B5140"/>
    <w:rsid w:val="002B550F"/>
    <w:rsid w:val="002B553C"/>
    <w:rsid w:val="002B56AD"/>
    <w:rsid w:val="002B5903"/>
    <w:rsid w:val="002B5A74"/>
    <w:rsid w:val="002B5B24"/>
    <w:rsid w:val="002B5CE1"/>
    <w:rsid w:val="002B65C7"/>
    <w:rsid w:val="002B6673"/>
    <w:rsid w:val="002B6779"/>
    <w:rsid w:val="002B6B52"/>
    <w:rsid w:val="002B6BEA"/>
    <w:rsid w:val="002B6C29"/>
    <w:rsid w:val="002B6CD1"/>
    <w:rsid w:val="002B6EEE"/>
    <w:rsid w:val="002B75EA"/>
    <w:rsid w:val="002B77F1"/>
    <w:rsid w:val="002B7829"/>
    <w:rsid w:val="002B799D"/>
    <w:rsid w:val="002B7C50"/>
    <w:rsid w:val="002B7CAC"/>
    <w:rsid w:val="002B7D90"/>
    <w:rsid w:val="002C0112"/>
    <w:rsid w:val="002C01D6"/>
    <w:rsid w:val="002C0380"/>
    <w:rsid w:val="002C05D8"/>
    <w:rsid w:val="002C0617"/>
    <w:rsid w:val="002C0929"/>
    <w:rsid w:val="002C0C6A"/>
    <w:rsid w:val="002C0D2A"/>
    <w:rsid w:val="002C0EBA"/>
    <w:rsid w:val="002C10A3"/>
    <w:rsid w:val="002C125C"/>
    <w:rsid w:val="002C1653"/>
    <w:rsid w:val="002C1656"/>
    <w:rsid w:val="002C16F6"/>
    <w:rsid w:val="002C17CB"/>
    <w:rsid w:val="002C1829"/>
    <w:rsid w:val="002C191A"/>
    <w:rsid w:val="002C1A5A"/>
    <w:rsid w:val="002C1B28"/>
    <w:rsid w:val="002C1CD4"/>
    <w:rsid w:val="002C2017"/>
    <w:rsid w:val="002C2292"/>
    <w:rsid w:val="002C2323"/>
    <w:rsid w:val="002C2AF9"/>
    <w:rsid w:val="002C2BA0"/>
    <w:rsid w:val="002C2D9B"/>
    <w:rsid w:val="002C31B4"/>
    <w:rsid w:val="002C3200"/>
    <w:rsid w:val="002C3220"/>
    <w:rsid w:val="002C33B8"/>
    <w:rsid w:val="002C33DE"/>
    <w:rsid w:val="002C37F6"/>
    <w:rsid w:val="002C385C"/>
    <w:rsid w:val="002C3D3D"/>
    <w:rsid w:val="002C3E05"/>
    <w:rsid w:val="002C3F5A"/>
    <w:rsid w:val="002C3F79"/>
    <w:rsid w:val="002C4142"/>
    <w:rsid w:val="002C432B"/>
    <w:rsid w:val="002C43B6"/>
    <w:rsid w:val="002C457F"/>
    <w:rsid w:val="002C459B"/>
    <w:rsid w:val="002C463F"/>
    <w:rsid w:val="002C479B"/>
    <w:rsid w:val="002C4832"/>
    <w:rsid w:val="002C4A40"/>
    <w:rsid w:val="002C4CC5"/>
    <w:rsid w:val="002C4E2C"/>
    <w:rsid w:val="002C4EF1"/>
    <w:rsid w:val="002C5099"/>
    <w:rsid w:val="002C535F"/>
    <w:rsid w:val="002C536D"/>
    <w:rsid w:val="002C5526"/>
    <w:rsid w:val="002C5600"/>
    <w:rsid w:val="002C5632"/>
    <w:rsid w:val="002C563C"/>
    <w:rsid w:val="002C565C"/>
    <w:rsid w:val="002C5678"/>
    <w:rsid w:val="002C56E2"/>
    <w:rsid w:val="002C57B1"/>
    <w:rsid w:val="002C58DE"/>
    <w:rsid w:val="002C5989"/>
    <w:rsid w:val="002C5BFB"/>
    <w:rsid w:val="002C5CAC"/>
    <w:rsid w:val="002C5D89"/>
    <w:rsid w:val="002C5E0F"/>
    <w:rsid w:val="002C5F3B"/>
    <w:rsid w:val="002C6190"/>
    <w:rsid w:val="002C62FF"/>
    <w:rsid w:val="002C632C"/>
    <w:rsid w:val="002C63A2"/>
    <w:rsid w:val="002C66AC"/>
    <w:rsid w:val="002C67BB"/>
    <w:rsid w:val="002C696E"/>
    <w:rsid w:val="002C697A"/>
    <w:rsid w:val="002C6CE2"/>
    <w:rsid w:val="002C6DCB"/>
    <w:rsid w:val="002C6F5E"/>
    <w:rsid w:val="002C70A4"/>
    <w:rsid w:val="002C716E"/>
    <w:rsid w:val="002C717E"/>
    <w:rsid w:val="002C74C3"/>
    <w:rsid w:val="002C7541"/>
    <w:rsid w:val="002C7573"/>
    <w:rsid w:val="002C7671"/>
    <w:rsid w:val="002C797B"/>
    <w:rsid w:val="002C7A23"/>
    <w:rsid w:val="002C7A26"/>
    <w:rsid w:val="002C7AB5"/>
    <w:rsid w:val="002C7CF1"/>
    <w:rsid w:val="002C7D3A"/>
    <w:rsid w:val="002C7E47"/>
    <w:rsid w:val="002C7F58"/>
    <w:rsid w:val="002D0001"/>
    <w:rsid w:val="002D003C"/>
    <w:rsid w:val="002D006E"/>
    <w:rsid w:val="002D00A7"/>
    <w:rsid w:val="002D00BB"/>
    <w:rsid w:val="002D0278"/>
    <w:rsid w:val="002D05F0"/>
    <w:rsid w:val="002D0669"/>
    <w:rsid w:val="002D0781"/>
    <w:rsid w:val="002D0831"/>
    <w:rsid w:val="002D0B97"/>
    <w:rsid w:val="002D0C92"/>
    <w:rsid w:val="002D0E5D"/>
    <w:rsid w:val="002D10D3"/>
    <w:rsid w:val="002D13D2"/>
    <w:rsid w:val="002D1586"/>
    <w:rsid w:val="002D1613"/>
    <w:rsid w:val="002D18E8"/>
    <w:rsid w:val="002D19A0"/>
    <w:rsid w:val="002D19F4"/>
    <w:rsid w:val="002D1AD1"/>
    <w:rsid w:val="002D1EA5"/>
    <w:rsid w:val="002D20A7"/>
    <w:rsid w:val="002D219C"/>
    <w:rsid w:val="002D2406"/>
    <w:rsid w:val="002D25BE"/>
    <w:rsid w:val="002D2814"/>
    <w:rsid w:val="002D2896"/>
    <w:rsid w:val="002D293F"/>
    <w:rsid w:val="002D2C22"/>
    <w:rsid w:val="002D2DA6"/>
    <w:rsid w:val="002D2E23"/>
    <w:rsid w:val="002D2E47"/>
    <w:rsid w:val="002D2F1F"/>
    <w:rsid w:val="002D3536"/>
    <w:rsid w:val="002D3607"/>
    <w:rsid w:val="002D3628"/>
    <w:rsid w:val="002D3669"/>
    <w:rsid w:val="002D36D2"/>
    <w:rsid w:val="002D370F"/>
    <w:rsid w:val="002D393F"/>
    <w:rsid w:val="002D3A46"/>
    <w:rsid w:val="002D3D1C"/>
    <w:rsid w:val="002D3D6E"/>
    <w:rsid w:val="002D3DCA"/>
    <w:rsid w:val="002D41C9"/>
    <w:rsid w:val="002D4615"/>
    <w:rsid w:val="002D462C"/>
    <w:rsid w:val="002D472F"/>
    <w:rsid w:val="002D4893"/>
    <w:rsid w:val="002D4AC3"/>
    <w:rsid w:val="002D4E2B"/>
    <w:rsid w:val="002D4FD7"/>
    <w:rsid w:val="002D50BC"/>
    <w:rsid w:val="002D5125"/>
    <w:rsid w:val="002D5379"/>
    <w:rsid w:val="002D545A"/>
    <w:rsid w:val="002D564E"/>
    <w:rsid w:val="002D5773"/>
    <w:rsid w:val="002D58A1"/>
    <w:rsid w:val="002D5922"/>
    <w:rsid w:val="002D59BA"/>
    <w:rsid w:val="002D59C1"/>
    <w:rsid w:val="002D5BDA"/>
    <w:rsid w:val="002D5E55"/>
    <w:rsid w:val="002D5EF9"/>
    <w:rsid w:val="002D5F56"/>
    <w:rsid w:val="002D5FC5"/>
    <w:rsid w:val="002D5FCB"/>
    <w:rsid w:val="002D61A1"/>
    <w:rsid w:val="002D61DA"/>
    <w:rsid w:val="002D61E0"/>
    <w:rsid w:val="002D6327"/>
    <w:rsid w:val="002D6599"/>
    <w:rsid w:val="002D65D6"/>
    <w:rsid w:val="002D6639"/>
    <w:rsid w:val="002D6BAE"/>
    <w:rsid w:val="002D6F36"/>
    <w:rsid w:val="002D6F6A"/>
    <w:rsid w:val="002D730A"/>
    <w:rsid w:val="002D74FA"/>
    <w:rsid w:val="002D7506"/>
    <w:rsid w:val="002D7517"/>
    <w:rsid w:val="002D753D"/>
    <w:rsid w:val="002D757E"/>
    <w:rsid w:val="002D7677"/>
    <w:rsid w:val="002D7976"/>
    <w:rsid w:val="002D7B94"/>
    <w:rsid w:val="002D7CDB"/>
    <w:rsid w:val="002D7DDE"/>
    <w:rsid w:val="002D7DEE"/>
    <w:rsid w:val="002E017E"/>
    <w:rsid w:val="002E0454"/>
    <w:rsid w:val="002E04BB"/>
    <w:rsid w:val="002E0670"/>
    <w:rsid w:val="002E0703"/>
    <w:rsid w:val="002E0758"/>
    <w:rsid w:val="002E0A3F"/>
    <w:rsid w:val="002E0AF3"/>
    <w:rsid w:val="002E0BBD"/>
    <w:rsid w:val="002E0C45"/>
    <w:rsid w:val="002E0D4D"/>
    <w:rsid w:val="002E0E4F"/>
    <w:rsid w:val="002E102F"/>
    <w:rsid w:val="002E1076"/>
    <w:rsid w:val="002E13E4"/>
    <w:rsid w:val="002E13FF"/>
    <w:rsid w:val="002E181F"/>
    <w:rsid w:val="002E1868"/>
    <w:rsid w:val="002E192C"/>
    <w:rsid w:val="002E196B"/>
    <w:rsid w:val="002E1A41"/>
    <w:rsid w:val="002E1B63"/>
    <w:rsid w:val="002E1C61"/>
    <w:rsid w:val="002E1C80"/>
    <w:rsid w:val="002E1D5F"/>
    <w:rsid w:val="002E2061"/>
    <w:rsid w:val="002E207F"/>
    <w:rsid w:val="002E20F9"/>
    <w:rsid w:val="002E238A"/>
    <w:rsid w:val="002E2500"/>
    <w:rsid w:val="002E26D9"/>
    <w:rsid w:val="002E2981"/>
    <w:rsid w:val="002E2F31"/>
    <w:rsid w:val="002E2F7A"/>
    <w:rsid w:val="002E3046"/>
    <w:rsid w:val="002E321D"/>
    <w:rsid w:val="002E350A"/>
    <w:rsid w:val="002E3583"/>
    <w:rsid w:val="002E3B52"/>
    <w:rsid w:val="002E3BE4"/>
    <w:rsid w:val="002E3C4C"/>
    <w:rsid w:val="002E3C7E"/>
    <w:rsid w:val="002E3DA9"/>
    <w:rsid w:val="002E3E8F"/>
    <w:rsid w:val="002E3E92"/>
    <w:rsid w:val="002E4267"/>
    <w:rsid w:val="002E43AD"/>
    <w:rsid w:val="002E4492"/>
    <w:rsid w:val="002E464F"/>
    <w:rsid w:val="002E468A"/>
    <w:rsid w:val="002E47C8"/>
    <w:rsid w:val="002E4945"/>
    <w:rsid w:val="002E49ED"/>
    <w:rsid w:val="002E4AC7"/>
    <w:rsid w:val="002E504B"/>
    <w:rsid w:val="002E510E"/>
    <w:rsid w:val="002E525D"/>
    <w:rsid w:val="002E534F"/>
    <w:rsid w:val="002E555A"/>
    <w:rsid w:val="002E5FAB"/>
    <w:rsid w:val="002E63E6"/>
    <w:rsid w:val="002E640C"/>
    <w:rsid w:val="002E653D"/>
    <w:rsid w:val="002E67B3"/>
    <w:rsid w:val="002E69AD"/>
    <w:rsid w:val="002E69AE"/>
    <w:rsid w:val="002E6AEE"/>
    <w:rsid w:val="002E6B75"/>
    <w:rsid w:val="002E6BE7"/>
    <w:rsid w:val="002E6CAC"/>
    <w:rsid w:val="002E703C"/>
    <w:rsid w:val="002E72E7"/>
    <w:rsid w:val="002E730B"/>
    <w:rsid w:val="002E73C9"/>
    <w:rsid w:val="002E754E"/>
    <w:rsid w:val="002E78A1"/>
    <w:rsid w:val="002E7985"/>
    <w:rsid w:val="002E7FC6"/>
    <w:rsid w:val="002F0221"/>
    <w:rsid w:val="002F0298"/>
    <w:rsid w:val="002F02E3"/>
    <w:rsid w:val="002F0311"/>
    <w:rsid w:val="002F0350"/>
    <w:rsid w:val="002F04C4"/>
    <w:rsid w:val="002F05C5"/>
    <w:rsid w:val="002F088C"/>
    <w:rsid w:val="002F089A"/>
    <w:rsid w:val="002F0A35"/>
    <w:rsid w:val="002F0A52"/>
    <w:rsid w:val="002F0B0A"/>
    <w:rsid w:val="002F0D72"/>
    <w:rsid w:val="002F0D98"/>
    <w:rsid w:val="002F117D"/>
    <w:rsid w:val="002F14EA"/>
    <w:rsid w:val="002F15A8"/>
    <w:rsid w:val="002F15E4"/>
    <w:rsid w:val="002F1636"/>
    <w:rsid w:val="002F17AD"/>
    <w:rsid w:val="002F1904"/>
    <w:rsid w:val="002F1927"/>
    <w:rsid w:val="002F1991"/>
    <w:rsid w:val="002F1BF2"/>
    <w:rsid w:val="002F1CF1"/>
    <w:rsid w:val="002F1DDB"/>
    <w:rsid w:val="002F1F4B"/>
    <w:rsid w:val="002F1F67"/>
    <w:rsid w:val="002F1FB9"/>
    <w:rsid w:val="002F209B"/>
    <w:rsid w:val="002F20D3"/>
    <w:rsid w:val="002F2127"/>
    <w:rsid w:val="002F221C"/>
    <w:rsid w:val="002F22F6"/>
    <w:rsid w:val="002F24EA"/>
    <w:rsid w:val="002F2594"/>
    <w:rsid w:val="002F25D1"/>
    <w:rsid w:val="002F2684"/>
    <w:rsid w:val="002F29E5"/>
    <w:rsid w:val="002F2B36"/>
    <w:rsid w:val="002F2B84"/>
    <w:rsid w:val="002F310B"/>
    <w:rsid w:val="002F3169"/>
    <w:rsid w:val="002F32E1"/>
    <w:rsid w:val="002F33C9"/>
    <w:rsid w:val="002F3519"/>
    <w:rsid w:val="002F35A9"/>
    <w:rsid w:val="002F35ED"/>
    <w:rsid w:val="002F3629"/>
    <w:rsid w:val="002F3764"/>
    <w:rsid w:val="002F39CB"/>
    <w:rsid w:val="002F3A99"/>
    <w:rsid w:val="002F3BED"/>
    <w:rsid w:val="002F3D28"/>
    <w:rsid w:val="002F3E14"/>
    <w:rsid w:val="002F3EBA"/>
    <w:rsid w:val="002F4416"/>
    <w:rsid w:val="002F460C"/>
    <w:rsid w:val="002F4627"/>
    <w:rsid w:val="002F496C"/>
    <w:rsid w:val="002F4A8B"/>
    <w:rsid w:val="002F4C56"/>
    <w:rsid w:val="002F4E7E"/>
    <w:rsid w:val="002F5115"/>
    <w:rsid w:val="002F5241"/>
    <w:rsid w:val="002F53A6"/>
    <w:rsid w:val="002F547B"/>
    <w:rsid w:val="002F55DD"/>
    <w:rsid w:val="002F567F"/>
    <w:rsid w:val="002F5827"/>
    <w:rsid w:val="002F5BAA"/>
    <w:rsid w:val="002F5DC5"/>
    <w:rsid w:val="002F6172"/>
    <w:rsid w:val="002F639F"/>
    <w:rsid w:val="002F63A1"/>
    <w:rsid w:val="002F6545"/>
    <w:rsid w:val="002F6580"/>
    <w:rsid w:val="002F6A09"/>
    <w:rsid w:val="002F6AA4"/>
    <w:rsid w:val="002F6C71"/>
    <w:rsid w:val="002F6DE7"/>
    <w:rsid w:val="002F6E6A"/>
    <w:rsid w:val="002F6EB3"/>
    <w:rsid w:val="002F6FAC"/>
    <w:rsid w:val="002F7049"/>
    <w:rsid w:val="002F71B6"/>
    <w:rsid w:val="002F7238"/>
    <w:rsid w:val="002F756D"/>
    <w:rsid w:val="002F76A4"/>
    <w:rsid w:val="002F7803"/>
    <w:rsid w:val="002F7822"/>
    <w:rsid w:val="002F784F"/>
    <w:rsid w:val="002F7923"/>
    <w:rsid w:val="002F796F"/>
    <w:rsid w:val="002F7A20"/>
    <w:rsid w:val="002F7C77"/>
    <w:rsid w:val="002F7EFC"/>
    <w:rsid w:val="0030007D"/>
    <w:rsid w:val="003001F6"/>
    <w:rsid w:val="0030037A"/>
    <w:rsid w:val="003003C8"/>
    <w:rsid w:val="0030051E"/>
    <w:rsid w:val="003009B9"/>
    <w:rsid w:val="00300D64"/>
    <w:rsid w:val="00300E49"/>
    <w:rsid w:val="00301394"/>
    <w:rsid w:val="0030145B"/>
    <w:rsid w:val="0030145F"/>
    <w:rsid w:val="00301484"/>
    <w:rsid w:val="0030157F"/>
    <w:rsid w:val="00301A94"/>
    <w:rsid w:val="00301B29"/>
    <w:rsid w:val="00301D50"/>
    <w:rsid w:val="00301E46"/>
    <w:rsid w:val="00302372"/>
    <w:rsid w:val="0030248D"/>
    <w:rsid w:val="00302574"/>
    <w:rsid w:val="003025DF"/>
    <w:rsid w:val="003026C3"/>
    <w:rsid w:val="00302B4C"/>
    <w:rsid w:val="00302FBF"/>
    <w:rsid w:val="0030325D"/>
    <w:rsid w:val="003033A9"/>
    <w:rsid w:val="00303528"/>
    <w:rsid w:val="00303587"/>
    <w:rsid w:val="003035A5"/>
    <w:rsid w:val="003036BE"/>
    <w:rsid w:val="003037A2"/>
    <w:rsid w:val="00303A27"/>
    <w:rsid w:val="00303A7D"/>
    <w:rsid w:val="00303A84"/>
    <w:rsid w:val="00303AD3"/>
    <w:rsid w:val="00304013"/>
    <w:rsid w:val="0030426E"/>
    <w:rsid w:val="003042B5"/>
    <w:rsid w:val="00304329"/>
    <w:rsid w:val="003043A3"/>
    <w:rsid w:val="00304496"/>
    <w:rsid w:val="0030468E"/>
    <w:rsid w:val="00304766"/>
    <w:rsid w:val="00304829"/>
    <w:rsid w:val="00304892"/>
    <w:rsid w:val="003048E3"/>
    <w:rsid w:val="00304B3D"/>
    <w:rsid w:val="00304BCD"/>
    <w:rsid w:val="00304CB1"/>
    <w:rsid w:val="00304EE3"/>
    <w:rsid w:val="00304F0F"/>
    <w:rsid w:val="003051E0"/>
    <w:rsid w:val="003052FE"/>
    <w:rsid w:val="00305352"/>
    <w:rsid w:val="0030536F"/>
    <w:rsid w:val="00305370"/>
    <w:rsid w:val="00305485"/>
    <w:rsid w:val="003055E6"/>
    <w:rsid w:val="00305798"/>
    <w:rsid w:val="00305D2D"/>
    <w:rsid w:val="00306096"/>
    <w:rsid w:val="00306101"/>
    <w:rsid w:val="003061F2"/>
    <w:rsid w:val="00306223"/>
    <w:rsid w:val="0030622A"/>
    <w:rsid w:val="003063C7"/>
    <w:rsid w:val="003064A3"/>
    <w:rsid w:val="003064FE"/>
    <w:rsid w:val="0030667E"/>
    <w:rsid w:val="003068CC"/>
    <w:rsid w:val="00306A57"/>
    <w:rsid w:val="00306AAA"/>
    <w:rsid w:val="00306B22"/>
    <w:rsid w:val="00306C26"/>
    <w:rsid w:val="00306F1A"/>
    <w:rsid w:val="00307005"/>
    <w:rsid w:val="00307128"/>
    <w:rsid w:val="003071C0"/>
    <w:rsid w:val="003071F2"/>
    <w:rsid w:val="003073CC"/>
    <w:rsid w:val="003075E4"/>
    <w:rsid w:val="003075ED"/>
    <w:rsid w:val="003076EB"/>
    <w:rsid w:val="00307A8C"/>
    <w:rsid w:val="00307DCD"/>
    <w:rsid w:val="00310136"/>
    <w:rsid w:val="003101D7"/>
    <w:rsid w:val="0031020E"/>
    <w:rsid w:val="0031038B"/>
    <w:rsid w:val="00310676"/>
    <w:rsid w:val="003108D3"/>
    <w:rsid w:val="00310AAA"/>
    <w:rsid w:val="00310B2F"/>
    <w:rsid w:val="00310B44"/>
    <w:rsid w:val="00310EA0"/>
    <w:rsid w:val="003112FE"/>
    <w:rsid w:val="0031155D"/>
    <w:rsid w:val="003115E6"/>
    <w:rsid w:val="00311937"/>
    <w:rsid w:val="00311B4F"/>
    <w:rsid w:val="00312032"/>
    <w:rsid w:val="0031233F"/>
    <w:rsid w:val="00312A37"/>
    <w:rsid w:val="00312A9B"/>
    <w:rsid w:val="00312CE6"/>
    <w:rsid w:val="00312D1C"/>
    <w:rsid w:val="00312ED2"/>
    <w:rsid w:val="00313152"/>
    <w:rsid w:val="00313600"/>
    <w:rsid w:val="00313846"/>
    <w:rsid w:val="00313C05"/>
    <w:rsid w:val="00313C65"/>
    <w:rsid w:val="00313D00"/>
    <w:rsid w:val="00313D58"/>
    <w:rsid w:val="0031426C"/>
    <w:rsid w:val="003142E6"/>
    <w:rsid w:val="003148F9"/>
    <w:rsid w:val="00314C1F"/>
    <w:rsid w:val="00314E90"/>
    <w:rsid w:val="00314F0D"/>
    <w:rsid w:val="003151FC"/>
    <w:rsid w:val="0031530E"/>
    <w:rsid w:val="00315331"/>
    <w:rsid w:val="00315599"/>
    <w:rsid w:val="00315ACA"/>
    <w:rsid w:val="00315D8B"/>
    <w:rsid w:val="00315EAF"/>
    <w:rsid w:val="00315F2F"/>
    <w:rsid w:val="00315FEB"/>
    <w:rsid w:val="00316099"/>
    <w:rsid w:val="00316772"/>
    <w:rsid w:val="00316775"/>
    <w:rsid w:val="003167FB"/>
    <w:rsid w:val="003168F4"/>
    <w:rsid w:val="00316947"/>
    <w:rsid w:val="003169B5"/>
    <w:rsid w:val="003169BB"/>
    <w:rsid w:val="00316AFD"/>
    <w:rsid w:val="00316B71"/>
    <w:rsid w:val="00316BDB"/>
    <w:rsid w:val="00316E8B"/>
    <w:rsid w:val="00316EEC"/>
    <w:rsid w:val="00316F86"/>
    <w:rsid w:val="00317090"/>
    <w:rsid w:val="00317196"/>
    <w:rsid w:val="00317285"/>
    <w:rsid w:val="003173F8"/>
    <w:rsid w:val="003174E5"/>
    <w:rsid w:val="003175AA"/>
    <w:rsid w:val="00317709"/>
    <w:rsid w:val="00317720"/>
    <w:rsid w:val="00317738"/>
    <w:rsid w:val="003177C7"/>
    <w:rsid w:val="003178F0"/>
    <w:rsid w:val="003179B7"/>
    <w:rsid w:val="00317A48"/>
    <w:rsid w:val="00317C83"/>
    <w:rsid w:val="00317CBB"/>
    <w:rsid w:val="00317E75"/>
    <w:rsid w:val="00320006"/>
    <w:rsid w:val="003202F8"/>
    <w:rsid w:val="00320400"/>
    <w:rsid w:val="0032044D"/>
    <w:rsid w:val="00320626"/>
    <w:rsid w:val="003206F4"/>
    <w:rsid w:val="003208F6"/>
    <w:rsid w:val="00320A29"/>
    <w:rsid w:val="00320A8C"/>
    <w:rsid w:val="00320B08"/>
    <w:rsid w:val="00320E9C"/>
    <w:rsid w:val="00320F74"/>
    <w:rsid w:val="00321047"/>
    <w:rsid w:val="00321212"/>
    <w:rsid w:val="00321465"/>
    <w:rsid w:val="00321502"/>
    <w:rsid w:val="003215D7"/>
    <w:rsid w:val="003216A6"/>
    <w:rsid w:val="0032180E"/>
    <w:rsid w:val="003218CF"/>
    <w:rsid w:val="003219AF"/>
    <w:rsid w:val="00321DB7"/>
    <w:rsid w:val="00321F97"/>
    <w:rsid w:val="003220B7"/>
    <w:rsid w:val="003220F9"/>
    <w:rsid w:val="00322415"/>
    <w:rsid w:val="00322438"/>
    <w:rsid w:val="003225D7"/>
    <w:rsid w:val="00322692"/>
    <w:rsid w:val="003227C7"/>
    <w:rsid w:val="003227FB"/>
    <w:rsid w:val="003228A3"/>
    <w:rsid w:val="003228F2"/>
    <w:rsid w:val="00322A5E"/>
    <w:rsid w:val="00322DB4"/>
    <w:rsid w:val="00323017"/>
    <w:rsid w:val="00323488"/>
    <w:rsid w:val="0032349F"/>
    <w:rsid w:val="00323699"/>
    <w:rsid w:val="003238FF"/>
    <w:rsid w:val="00323A9A"/>
    <w:rsid w:val="00323B8D"/>
    <w:rsid w:val="00323BC1"/>
    <w:rsid w:val="00323BFC"/>
    <w:rsid w:val="00323CAB"/>
    <w:rsid w:val="00323D44"/>
    <w:rsid w:val="00323E90"/>
    <w:rsid w:val="00323FAC"/>
    <w:rsid w:val="003243F6"/>
    <w:rsid w:val="0032447D"/>
    <w:rsid w:val="0032457E"/>
    <w:rsid w:val="00324B36"/>
    <w:rsid w:val="00324BB5"/>
    <w:rsid w:val="00324BCD"/>
    <w:rsid w:val="00324C3C"/>
    <w:rsid w:val="00324E15"/>
    <w:rsid w:val="00324E2D"/>
    <w:rsid w:val="00324EFD"/>
    <w:rsid w:val="003255FF"/>
    <w:rsid w:val="00325694"/>
    <w:rsid w:val="0032571D"/>
    <w:rsid w:val="0032573A"/>
    <w:rsid w:val="0032579D"/>
    <w:rsid w:val="003257AB"/>
    <w:rsid w:val="003258DB"/>
    <w:rsid w:val="0032593F"/>
    <w:rsid w:val="00325B12"/>
    <w:rsid w:val="00325C31"/>
    <w:rsid w:val="00325C5D"/>
    <w:rsid w:val="00325D4D"/>
    <w:rsid w:val="00325F11"/>
    <w:rsid w:val="0032611E"/>
    <w:rsid w:val="003261AA"/>
    <w:rsid w:val="00326284"/>
    <w:rsid w:val="003264D2"/>
    <w:rsid w:val="003266D1"/>
    <w:rsid w:val="00326BA4"/>
    <w:rsid w:val="00326C4D"/>
    <w:rsid w:val="00326D5E"/>
    <w:rsid w:val="00327199"/>
    <w:rsid w:val="0032728E"/>
    <w:rsid w:val="00327343"/>
    <w:rsid w:val="00327370"/>
    <w:rsid w:val="003274B4"/>
    <w:rsid w:val="003275BE"/>
    <w:rsid w:val="00327601"/>
    <w:rsid w:val="003277CB"/>
    <w:rsid w:val="003279DA"/>
    <w:rsid w:val="00327BD7"/>
    <w:rsid w:val="00330144"/>
    <w:rsid w:val="003302A6"/>
    <w:rsid w:val="00330574"/>
    <w:rsid w:val="003307C4"/>
    <w:rsid w:val="00330826"/>
    <w:rsid w:val="0033084C"/>
    <w:rsid w:val="00330C13"/>
    <w:rsid w:val="00330C3F"/>
    <w:rsid w:val="00330EBA"/>
    <w:rsid w:val="003310B4"/>
    <w:rsid w:val="003310D4"/>
    <w:rsid w:val="00331152"/>
    <w:rsid w:val="0033152E"/>
    <w:rsid w:val="00331584"/>
    <w:rsid w:val="00331799"/>
    <w:rsid w:val="003317D7"/>
    <w:rsid w:val="003317E0"/>
    <w:rsid w:val="003319BA"/>
    <w:rsid w:val="00331ACB"/>
    <w:rsid w:val="00331AE4"/>
    <w:rsid w:val="00331B85"/>
    <w:rsid w:val="00331F2E"/>
    <w:rsid w:val="003321EB"/>
    <w:rsid w:val="0033221A"/>
    <w:rsid w:val="0033246E"/>
    <w:rsid w:val="00332589"/>
    <w:rsid w:val="003325AF"/>
    <w:rsid w:val="00332925"/>
    <w:rsid w:val="00332BB5"/>
    <w:rsid w:val="00332C52"/>
    <w:rsid w:val="00332D59"/>
    <w:rsid w:val="00332DA7"/>
    <w:rsid w:val="00332ED2"/>
    <w:rsid w:val="00333054"/>
    <w:rsid w:val="0033327C"/>
    <w:rsid w:val="0033351E"/>
    <w:rsid w:val="003335FB"/>
    <w:rsid w:val="00333B06"/>
    <w:rsid w:val="00333BE1"/>
    <w:rsid w:val="00333CC4"/>
    <w:rsid w:val="0033402C"/>
    <w:rsid w:val="00334220"/>
    <w:rsid w:val="0033426B"/>
    <w:rsid w:val="00334340"/>
    <w:rsid w:val="0033457C"/>
    <w:rsid w:val="003346F9"/>
    <w:rsid w:val="0033482E"/>
    <w:rsid w:val="003348BB"/>
    <w:rsid w:val="003348F9"/>
    <w:rsid w:val="00334AC0"/>
    <w:rsid w:val="00335607"/>
    <w:rsid w:val="00335681"/>
    <w:rsid w:val="00335C0F"/>
    <w:rsid w:val="00335C98"/>
    <w:rsid w:val="00335E58"/>
    <w:rsid w:val="00335EB1"/>
    <w:rsid w:val="0033606D"/>
    <w:rsid w:val="00336355"/>
    <w:rsid w:val="003364A4"/>
    <w:rsid w:val="00336530"/>
    <w:rsid w:val="00336825"/>
    <w:rsid w:val="00336893"/>
    <w:rsid w:val="00336B4C"/>
    <w:rsid w:val="00336D8D"/>
    <w:rsid w:val="00336EF9"/>
    <w:rsid w:val="00337248"/>
    <w:rsid w:val="00337314"/>
    <w:rsid w:val="00337599"/>
    <w:rsid w:val="0033761B"/>
    <w:rsid w:val="003376E5"/>
    <w:rsid w:val="00337817"/>
    <w:rsid w:val="0033781F"/>
    <w:rsid w:val="00337899"/>
    <w:rsid w:val="00337934"/>
    <w:rsid w:val="00337A04"/>
    <w:rsid w:val="00337B3C"/>
    <w:rsid w:val="00337B87"/>
    <w:rsid w:val="00337B92"/>
    <w:rsid w:val="00337C8D"/>
    <w:rsid w:val="00340195"/>
    <w:rsid w:val="003401A4"/>
    <w:rsid w:val="003402D8"/>
    <w:rsid w:val="0034045A"/>
    <w:rsid w:val="00340495"/>
    <w:rsid w:val="003404DE"/>
    <w:rsid w:val="00340597"/>
    <w:rsid w:val="003407C4"/>
    <w:rsid w:val="00340A7F"/>
    <w:rsid w:val="00340CEA"/>
    <w:rsid w:val="00340E1D"/>
    <w:rsid w:val="0034111B"/>
    <w:rsid w:val="00341175"/>
    <w:rsid w:val="0034128E"/>
    <w:rsid w:val="003412CD"/>
    <w:rsid w:val="00341309"/>
    <w:rsid w:val="00341468"/>
    <w:rsid w:val="003414B8"/>
    <w:rsid w:val="0034160B"/>
    <w:rsid w:val="00341858"/>
    <w:rsid w:val="0034190E"/>
    <w:rsid w:val="00341BD7"/>
    <w:rsid w:val="00341D24"/>
    <w:rsid w:val="00341DE3"/>
    <w:rsid w:val="00341E5B"/>
    <w:rsid w:val="00341F14"/>
    <w:rsid w:val="00341F7E"/>
    <w:rsid w:val="003421F3"/>
    <w:rsid w:val="0034232F"/>
    <w:rsid w:val="00342727"/>
    <w:rsid w:val="003427DD"/>
    <w:rsid w:val="0034299D"/>
    <w:rsid w:val="00342A21"/>
    <w:rsid w:val="003430F4"/>
    <w:rsid w:val="00343181"/>
    <w:rsid w:val="003434A2"/>
    <w:rsid w:val="00343602"/>
    <w:rsid w:val="00343634"/>
    <w:rsid w:val="00343769"/>
    <w:rsid w:val="00343906"/>
    <w:rsid w:val="003439EC"/>
    <w:rsid w:val="00343A35"/>
    <w:rsid w:val="00343B22"/>
    <w:rsid w:val="00343BA9"/>
    <w:rsid w:val="00343CE5"/>
    <w:rsid w:val="00344026"/>
    <w:rsid w:val="0034407A"/>
    <w:rsid w:val="00344130"/>
    <w:rsid w:val="0034433F"/>
    <w:rsid w:val="003443C4"/>
    <w:rsid w:val="003445CF"/>
    <w:rsid w:val="003447A4"/>
    <w:rsid w:val="003447B3"/>
    <w:rsid w:val="00344817"/>
    <w:rsid w:val="00344B13"/>
    <w:rsid w:val="0034504F"/>
    <w:rsid w:val="00345250"/>
    <w:rsid w:val="00345362"/>
    <w:rsid w:val="003453B7"/>
    <w:rsid w:val="0034581B"/>
    <w:rsid w:val="00345B01"/>
    <w:rsid w:val="00345BD3"/>
    <w:rsid w:val="00345D57"/>
    <w:rsid w:val="00345E98"/>
    <w:rsid w:val="00345EF7"/>
    <w:rsid w:val="00345F33"/>
    <w:rsid w:val="00345F99"/>
    <w:rsid w:val="003461E6"/>
    <w:rsid w:val="0034625E"/>
    <w:rsid w:val="00346319"/>
    <w:rsid w:val="003463A0"/>
    <w:rsid w:val="003464CF"/>
    <w:rsid w:val="0034651C"/>
    <w:rsid w:val="0034670C"/>
    <w:rsid w:val="0034673C"/>
    <w:rsid w:val="00346789"/>
    <w:rsid w:val="003468FE"/>
    <w:rsid w:val="0034697C"/>
    <w:rsid w:val="00346AD0"/>
    <w:rsid w:val="00346D69"/>
    <w:rsid w:val="00346E40"/>
    <w:rsid w:val="0034719F"/>
    <w:rsid w:val="0034727B"/>
    <w:rsid w:val="0034727F"/>
    <w:rsid w:val="00347698"/>
    <w:rsid w:val="0034773B"/>
    <w:rsid w:val="00347755"/>
    <w:rsid w:val="00347773"/>
    <w:rsid w:val="00347E00"/>
    <w:rsid w:val="00347EE5"/>
    <w:rsid w:val="00350059"/>
    <w:rsid w:val="00350464"/>
    <w:rsid w:val="0035049E"/>
    <w:rsid w:val="00350582"/>
    <w:rsid w:val="0035075E"/>
    <w:rsid w:val="003507CF"/>
    <w:rsid w:val="00350849"/>
    <w:rsid w:val="00350BC6"/>
    <w:rsid w:val="00350C82"/>
    <w:rsid w:val="00350DF1"/>
    <w:rsid w:val="00350E03"/>
    <w:rsid w:val="00350E19"/>
    <w:rsid w:val="003514AD"/>
    <w:rsid w:val="003514B8"/>
    <w:rsid w:val="00351645"/>
    <w:rsid w:val="0035186F"/>
    <w:rsid w:val="00351BB9"/>
    <w:rsid w:val="00351C3B"/>
    <w:rsid w:val="00351C80"/>
    <w:rsid w:val="00351D57"/>
    <w:rsid w:val="00351DC2"/>
    <w:rsid w:val="00352090"/>
    <w:rsid w:val="003520ED"/>
    <w:rsid w:val="00352209"/>
    <w:rsid w:val="003523A6"/>
    <w:rsid w:val="0035245D"/>
    <w:rsid w:val="003526E7"/>
    <w:rsid w:val="00352861"/>
    <w:rsid w:val="00352A36"/>
    <w:rsid w:val="00352B3C"/>
    <w:rsid w:val="00352B87"/>
    <w:rsid w:val="00352C20"/>
    <w:rsid w:val="00352CED"/>
    <w:rsid w:val="003530E3"/>
    <w:rsid w:val="003530FE"/>
    <w:rsid w:val="0035336A"/>
    <w:rsid w:val="00353463"/>
    <w:rsid w:val="00353479"/>
    <w:rsid w:val="0035350C"/>
    <w:rsid w:val="00353931"/>
    <w:rsid w:val="00353964"/>
    <w:rsid w:val="00353BC9"/>
    <w:rsid w:val="00353C6C"/>
    <w:rsid w:val="00353CEB"/>
    <w:rsid w:val="00353D34"/>
    <w:rsid w:val="00353D49"/>
    <w:rsid w:val="00353E1E"/>
    <w:rsid w:val="003544F2"/>
    <w:rsid w:val="00354667"/>
    <w:rsid w:val="003549C0"/>
    <w:rsid w:val="00354BAB"/>
    <w:rsid w:val="00354F8F"/>
    <w:rsid w:val="00355259"/>
    <w:rsid w:val="00355311"/>
    <w:rsid w:val="0035537F"/>
    <w:rsid w:val="00355501"/>
    <w:rsid w:val="003555FE"/>
    <w:rsid w:val="00355642"/>
    <w:rsid w:val="003556CE"/>
    <w:rsid w:val="0035580C"/>
    <w:rsid w:val="0035591C"/>
    <w:rsid w:val="003559E5"/>
    <w:rsid w:val="00355B81"/>
    <w:rsid w:val="00355C71"/>
    <w:rsid w:val="00355D3E"/>
    <w:rsid w:val="00355F0E"/>
    <w:rsid w:val="0035607C"/>
    <w:rsid w:val="003560D6"/>
    <w:rsid w:val="00356438"/>
    <w:rsid w:val="00356715"/>
    <w:rsid w:val="0035674D"/>
    <w:rsid w:val="003569D2"/>
    <w:rsid w:val="00356B06"/>
    <w:rsid w:val="00356BD7"/>
    <w:rsid w:val="00356D52"/>
    <w:rsid w:val="00357307"/>
    <w:rsid w:val="003574A8"/>
    <w:rsid w:val="00357807"/>
    <w:rsid w:val="003579C5"/>
    <w:rsid w:val="00357A7B"/>
    <w:rsid w:val="00357B42"/>
    <w:rsid w:val="00357D78"/>
    <w:rsid w:val="00357E88"/>
    <w:rsid w:val="00360101"/>
    <w:rsid w:val="00360142"/>
    <w:rsid w:val="003602AB"/>
    <w:rsid w:val="003602CD"/>
    <w:rsid w:val="00360378"/>
    <w:rsid w:val="003603F9"/>
    <w:rsid w:val="00360412"/>
    <w:rsid w:val="00360423"/>
    <w:rsid w:val="00360A8D"/>
    <w:rsid w:val="00360D69"/>
    <w:rsid w:val="00360EB7"/>
    <w:rsid w:val="00360F07"/>
    <w:rsid w:val="00361248"/>
    <w:rsid w:val="00361590"/>
    <w:rsid w:val="003615F4"/>
    <w:rsid w:val="00361968"/>
    <w:rsid w:val="00361A4E"/>
    <w:rsid w:val="00361AE2"/>
    <w:rsid w:val="00361B29"/>
    <w:rsid w:val="00361B9F"/>
    <w:rsid w:val="00361C25"/>
    <w:rsid w:val="00361D4B"/>
    <w:rsid w:val="003621AC"/>
    <w:rsid w:val="00362740"/>
    <w:rsid w:val="003629D7"/>
    <w:rsid w:val="00362C42"/>
    <w:rsid w:val="00362C4D"/>
    <w:rsid w:val="00362D8B"/>
    <w:rsid w:val="0036307C"/>
    <w:rsid w:val="00363098"/>
    <w:rsid w:val="003634ED"/>
    <w:rsid w:val="00363519"/>
    <w:rsid w:val="00363715"/>
    <w:rsid w:val="00363A99"/>
    <w:rsid w:val="00363F19"/>
    <w:rsid w:val="00363F81"/>
    <w:rsid w:val="00363FED"/>
    <w:rsid w:val="0036400C"/>
    <w:rsid w:val="00364260"/>
    <w:rsid w:val="00364840"/>
    <w:rsid w:val="00364909"/>
    <w:rsid w:val="00364AE5"/>
    <w:rsid w:val="00364B58"/>
    <w:rsid w:val="00364C06"/>
    <w:rsid w:val="00364D25"/>
    <w:rsid w:val="00364E97"/>
    <w:rsid w:val="00365058"/>
    <w:rsid w:val="00365092"/>
    <w:rsid w:val="00365741"/>
    <w:rsid w:val="00365765"/>
    <w:rsid w:val="003657B4"/>
    <w:rsid w:val="00365A77"/>
    <w:rsid w:val="00365AC8"/>
    <w:rsid w:val="00365C4E"/>
    <w:rsid w:val="00365E8D"/>
    <w:rsid w:val="00366193"/>
    <w:rsid w:val="00366231"/>
    <w:rsid w:val="00366584"/>
    <w:rsid w:val="00366649"/>
    <w:rsid w:val="0036668D"/>
    <w:rsid w:val="00366945"/>
    <w:rsid w:val="00366E19"/>
    <w:rsid w:val="00367087"/>
    <w:rsid w:val="003671F7"/>
    <w:rsid w:val="00367243"/>
    <w:rsid w:val="003672E6"/>
    <w:rsid w:val="003676DB"/>
    <w:rsid w:val="003676EF"/>
    <w:rsid w:val="00367712"/>
    <w:rsid w:val="0036781B"/>
    <w:rsid w:val="00367837"/>
    <w:rsid w:val="0036798D"/>
    <w:rsid w:val="00367A00"/>
    <w:rsid w:val="00367A7C"/>
    <w:rsid w:val="00367AFB"/>
    <w:rsid w:val="00367B87"/>
    <w:rsid w:val="00367C57"/>
    <w:rsid w:val="00367C97"/>
    <w:rsid w:val="00367D12"/>
    <w:rsid w:val="00367D32"/>
    <w:rsid w:val="00367E7C"/>
    <w:rsid w:val="00367EAE"/>
    <w:rsid w:val="003700A5"/>
    <w:rsid w:val="0037041C"/>
    <w:rsid w:val="003709A2"/>
    <w:rsid w:val="00370C8C"/>
    <w:rsid w:val="00370CEB"/>
    <w:rsid w:val="00370FD1"/>
    <w:rsid w:val="00370FD4"/>
    <w:rsid w:val="00370FF4"/>
    <w:rsid w:val="003713E1"/>
    <w:rsid w:val="003717FC"/>
    <w:rsid w:val="00371809"/>
    <w:rsid w:val="0037193B"/>
    <w:rsid w:val="00371A81"/>
    <w:rsid w:val="00371E40"/>
    <w:rsid w:val="00371E65"/>
    <w:rsid w:val="00371E6E"/>
    <w:rsid w:val="00372553"/>
    <w:rsid w:val="003728A8"/>
    <w:rsid w:val="00372AC4"/>
    <w:rsid w:val="00372ADE"/>
    <w:rsid w:val="00372D81"/>
    <w:rsid w:val="00372E40"/>
    <w:rsid w:val="00372F5B"/>
    <w:rsid w:val="003730B7"/>
    <w:rsid w:val="003731E4"/>
    <w:rsid w:val="003732C7"/>
    <w:rsid w:val="003733AA"/>
    <w:rsid w:val="003736CE"/>
    <w:rsid w:val="003738A7"/>
    <w:rsid w:val="003739B6"/>
    <w:rsid w:val="00373A09"/>
    <w:rsid w:val="00373AB0"/>
    <w:rsid w:val="00373B17"/>
    <w:rsid w:val="00373E26"/>
    <w:rsid w:val="00373E4E"/>
    <w:rsid w:val="00373E57"/>
    <w:rsid w:val="00373FA6"/>
    <w:rsid w:val="0037406F"/>
    <w:rsid w:val="00374320"/>
    <w:rsid w:val="003748C7"/>
    <w:rsid w:val="00374A0A"/>
    <w:rsid w:val="00374AFE"/>
    <w:rsid w:val="00374B80"/>
    <w:rsid w:val="00374DEA"/>
    <w:rsid w:val="00374E24"/>
    <w:rsid w:val="00374E9A"/>
    <w:rsid w:val="0037504B"/>
    <w:rsid w:val="00375066"/>
    <w:rsid w:val="0037530A"/>
    <w:rsid w:val="0037556D"/>
    <w:rsid w:val="003756EA"/>
    <w:rsid w:val="0037596C"/>
    <w:rsid w:val="003759DE"/>
    <w:rsid w:val="003759EB"/>
    <w:rsid w:val="00375AAF"/>
    <w:rsid w:val="00375AC9"/>
    <w:rsid w:val="00375AD6"/>
    <w:rsid w:val="00375B65"/>
    <w:rsid w:val="00375BE7"/>
    <w:rsid w:val="00375C5F"/>
    <w:rsid w:val="00375DB7"/>
    <w:rsid w:val="00375E90"/>
    <w:rsid w:val="00375EA0"/>
    <w:rsid w:val="00375F2E"/>
    <w:rsid w:val="003762BF"/>
    <w:rsid w:val="003762EA"/>
    <w:rsid w:val="003764DD"/>
    <w:rsid w:val="003765DB"/>
    <w:rsid w:val="00376706"/>
    <w:rsid w:val="00376A95"/>
    <w:rsid w:val="00376BF5"/>
    <w:rsid w:val="00376C85"/>
    <w:rsid w:val="00376F83"/>
    <w:rsid w:val="00376FBF"/>
    <w:rsid w:val="00377041"/>
    <w:rsid w:val="00377116"/>
    <w:rsid w:val="00377142"/>
    <w:rsid w:val="003772BD"/>
    <w:rsid w:val="003773B4"/>
    <w:rsid w:val="00377449"/>
    <w:rsid w:val="0037760A"/>
    <w:rsid w:val="00377692"/>
    <w:rsid w:val="003776BF"/>
    <w:rsid w:val="003777DF"/>
    <w:rsid w:val="003779D8"/>
    <w:rsid w:val="00377B0B"/>
    <w:rsid w:val="00377BEE"/>
    <w:rsid w:val="00377C3E"/>
    <w:rsid w:val="0038006D"/>
    <w:rsid w:val="003800BC"/>
    <w:rsid w:val="003802EE"/>
    <w:rsid w:val="0038032E"/>
    <w:rsid w:val="003805F8"/>
    <w:rsid w:val="0038072C"/>
    <w:rsid w:val="00380904"/>
    <w:rsid w:val="00380A02"/>
    <w:rsid w:val="00380A8E"/>
    <w:rsid w:val="00380AA0"/>
    <w:rsid w:val="00380B2C"/>
    <w:rsid w:val="00380E98"/>
    <w:rsid w:val="003810BE"/>
    <w:rsid w:val="003811D5"/>
    <w:rsid w:val="003813A8"/>
    <w:rsid w:val="0038172D"/>
    <w:rsid w:val="00381735"/>
    <w:rsid w:val="00381782"/>
    <w:rsid w:val="003817FE"/>
    <w:rsid w:val="0038181B"/>
    <w:rsid w:val="003819DA"/>
    <w:rsid w:val="00381B0C"/>
    <w:rsid w:val="00381C61"/>
    <w:rsid w:val="00381F07"/>
    <w:rsid w:val="0038226A"/>
    <w:rsid w:val="00382359"/>
    <w:rsid w:val="00382533"/>
    <w:rsid w:val="003829B1"/>
    <w:rsid w:val="00382ADE"/>
    <w:rsid w:val="00382D3C"/>
    <w:rsid w:val="00382DC4"/>
    <w:rsid w:val="00382DC5"/>
    <w:rsid w:val="00382E61"/>
    <w:rsid w:val="00382E94"/>
    <w:rsid w:val="00383228"/>
    <w:rsid w:val="00383314"/>
    <w:rsid w:val="003833BF"/>
    <w:rsid w:val="0038344A"/>
    <w:rsid w:val="003837DE"/>
    <w:rsid w:val="003837F2"/>
    <w:rsid w:val="00383913"/>
    <w:rsid w:val="003839BB"/>
    <w:rsid w:val="00383A65"/>
    <w:rsid w:val="00383A6F"/>
    <w:rsid w:val="00383A88"/>
    <w:rsid w:val="00383AB3"/>
    <w:rsid w:val="003844F0"/>
    <w:rsid w:val="0038483E"/>
    <w:rsid w:val="00384A4A"/>
    <w:rsid w:val="00384AAC"/>
    <w:rsid w:val="00384AFD"/>
    <w:rsid w:val="00384F32"/>
    <w:rsid w:val="00384F86"/>
    <w:rsid w:val="0038532F"/>
    <w:rsid w:val="003853BF"/>
    <w:rsid w:val="00385405"/>
    <w:rsid w:val="00385975"/>
    <w:rsid w:val="00385E02"/>
    <w:rsid w:val="003860BE"/>
    <w:rsid w:val="003860D1"/>
    <w:rsid w:val="00386414"/>
    <w:rsid w:val="0038645A"/>
    <w:rsid w:val="003866AC"/>
    <w:rsid w:val="003866AF"/>
    <w:rsid w:val="00386701"/>
    <w:rsid w:val="00386871"/>
    <w:rsid w:val="00386891"/>
    <w:rsid w:val="00386982"/>
    <w:rsid w:val="00386990"/>
    <w:rsid w:val="00386D68"/>
    <w:rsid w:val="00386F98"/>
    <w:rsid w:val="0038709C"/>
    <w:rsid w:val="00387234"/>
    <w:rsid w:val="00387276"/>
    <w:rsid w:val="003873A4"/>
    <w:rsid w:val="003875A4"/>
    <w:rsid w:val="003878C2"/>
    <w:rsid w:val="003879D8"/>
    <w:rsid w:val="00387C29"/>
    <w:rsid w:val="00387C80"/>
    <w:rsid w:val="00387C9F"/>
    <w:rsid w:val="00387DC3"/>
    <w:rsid w:val="00387FB2"/>
    <w:rsid w:val="003901BD"/>
    <w:rsid w:val="003904B4"/>
    <w:rsid w:val="00390689"/>
    <w:rsid w:val="003907B4"/>
    <w:rsid w:val="0039081E"/>
    <w:rsid w:val="003908A8"/>
    <w:rsid w:val="00390B9E"/>
    <w:rsid w:val="00390C98"/>
    <w:rsid w:val="00390E05"/>
    <w:rsid w:val="00390FEB"/>
    <w:rsid w:val="00391005"/>
    <w:rsid w:val="003912FA"/>
    <w:rsid w:val="0039138B"/>
    <w:rsid w:val="00391468"/>
    <w:rsid w:val="003915B4"/>
    <w:rsid w:val="00391A1C"/>
    <w:rsid w:val="00391D9E"/>
    <w:rsid w:val="00392088"/>
    <w:rsid w:val="003921DA"/>
    <w:rsid w:val="00392217"/>
    <w:rsid w:val="0039224E"/>
    <w:rsid w:val="0039229C"/>
    <w:rsid w:val="003922C2"/>
    <w:rsid w:val="0039297A"/>
    <w:rsid w:val="00392B04"/>
    <w:rsid w:val="00392E76"/>
    <w:rsid w:val="00392FD0"/>
    <w:rsid w:val="00393182"/>
    <w:rsid w:val="003936DC"/>
    <w:rsid w:val="00393837"/>
    <w:rsid w:val="00393A47"/>
    <w:rsid w:val="00393B24"/>
    <w:rsid w:val="00393C22"/>
    <w:rsid w:val="00393EC8"/>
    <w:rsid w:val="0039429B"/>
    <w:rsid w:val="003947A4"/>
    <w:rsid w:val="003948C1"/>
    <w:rsid w:val="00394B57"/>
    <w:rsid w:val="00394BCC"/>
    <w:rsid w:val="00394CEB"/>
    <w:rsid w:val="00394CF7"/>
    <w:rsid w:val="00394E2B"/>
    <w:rsid w:val="00395231"/>
    <w:rsid w:val="00395293"/>
    <w:rsid w:val="0039554B"/>
    <w:rsid w:val="00395715"/>
    <w:rsid w:val="0039574E"/>
    <w:rsid w:val="00395769"/>
    <w:rsid w:val="00395B01"/>
    <w:rsid w:val="00395DEE"/>
    <w:rsid w:val="00395F60"/>
    <w:rsid w:val="00396402"/>
    <w:rsid w:val="003965CD"/>
    <w:rsid w:val="003967C9"/>
    <w:rsid w:val="0039687C"/>
    <w:rsid w:val="003968A5"/>
    <w:rsid w:val="00396B5D"/>
    <w:rsid w:val="00396FD5"/>
    <w:rsid w:val="0039703A"/>
    <w:rsid w:val="00397141"/>
    <w:rsid w:val="003971C9"/>
    <w:rsid w:val="003972CB"/>
    <w:rsid w:val="00397507"/>
    <w:rsid w:val="0039750E"/>
    <w:rsid w:val="003979FC"/>
    <w:rsid w:val="00397AB1"/>
    <w:rsid w:val="00397BDA"/>
    <w:rsid w:val="00397CB7"/>
    <w:rsid w:val="00397CBB"/>
    <w:rsid w:val="00397E7A"/>
    <w:rsid w:val="003A002E"/>
    <w:rsid w:val="003A00AB"/>
    <w:rsid w:val="003A01CB"/>
    <w:rsid w:val="003A0220"/>
    <w:rsid w:val="003A02EB"/>
    <w:rsid w:val="003A03FE"/>
    <w:rsid w:val="003A056F"/>
    <w:rsid w:val="003A05D1"/>
    <w:rsid w:val="003A0645"/>
    <w:rsid w:val="003A0831"/>
    <w:rsid w:val="003A08F3"/>
    <w:rsid w:val="003A0CC7"/>
    <w:rsid w:val="003A0CEA"/>
    <w:rsid w:val="003A0E49"/>
    <w:rsid w:val="003A0F8B"/>
    <w:rsid w:val="003A124F"/>
    <w:rsid w:val="003A12DD"/>
    <w:rsid w:val="003A134F"/>
    <w:rsid w:val="003A16A8"/>
    <w:rsid w:val="003A170D"/>
    <w:rsid w:val="003A19F9"/>
    <w:rsid w:val="003A1A4F"/>
    <w:rsid w:val="003A1EE8"/>
    <w:rsid w:val="003A207B"/>
    <w:rsid w:val="003A217D"/>
    <w:rsid w:val="003A2439"/>
    <w:rsid w:val="003A24CE"/>
    <w:rsid w:val="003A2A4D"/>
    <w:rsid w:val="003A2C51"/>
    <w:rsid w:val="003A2FC1"/>
    <w:rsid w:val="003A305A"/>
    <w:rsid w:val="003A31A3"/>
    <w:rsid w:val="003A32D4"/>
    <w:rsid w:val="003A3325"/>
    <w:rsid w:val="003A332F"/>
    <w:rsid w:val="003A33D7"/>
    <w:rsid w:val="003A3444"/>
    <w:rsid w:val="003A38F9"/>
    <w:rsid w:val="003A3920"/>
    <w:rsid w:val="003A3A10"/>
    <w:rsid w:val="003A3B78"/>
    <w:rsid w:val="003A3BB3"/>
    <w:rsid w:val="003A3DCD"/>
    <w:rsid w:val="003A3EE0"/>
    <w:rsid w:val="003A3EEF"/>
    <w:rsid w:val="003A3F4F"/>
    <w:rsid w:val="003A3F52"/>
    <w:rsid w:val="003A3F9D"/>
    <w:rsid w:val="003A4106"/>
    <w:rsid w:val="003A4379"/>
    <w:rsid w:val="003A4456"/>
    <w:rsid w:val="003A458F"/>
    <w:rsid w:val="003A4892"/>
    <w:rsid w:val="003A4B83"/>
    <w:rsid w:val="003A4BC6"/>
    <w:rsid w:val="003A4F05"/>
    <w:rsid w:val="003A4F82"/>
    <w:rsid w:val="003A4FA2"/>
    <w:rsid w:val="003A51ED"/>
    <w:rsid w:val="003A5272"/>
    <w:rsid w:val="003A53C0"/>
    <w:rsid w:val="003A5422"/>
    <w:rsid w:val="003A5500"/>
    <w:rsid w:val="003A598E"/>
    <w:rsid w:val="003A5A03"/>
    <w:rsid w:val="003A5E86"/>
    <w:rsid w:val="003A645A"/>
    <w:rsid w:val="003A65D1"/>
    <w:rsid w:val="003A67AC"/>
    <w:rsid w:val="003A680C"/>
    <w:rsid w:val="003A6980"/>
    <w:rsid w:val="003A6AC4"/>
    <w:rsid w:val="003A6E2D"/>
    <w:rsid w:val="003A6F26"/>
    <w:rsid w:val="003A6F6A"/>
    <w:rsid w:val="003A6F9C"/>
    <w:rsid w:val="003A6FDC"/>
    <w:rsid w:val="003A723A"/>
    <w:rsid w:val="003A7557"/>
    <w:rsid w:val="003A7588"/>
    <w:rsid w:val="003A75D4"/>
    <w:rsid w:val="003A7711"/>
    <w:rsid w:val="003A7724"/>
    <w:rsid w:val="003A7750"/>
    <w:rsid w:val="003A79E0"/>
    <w:rsid w:val="003A7AD8"/>
    <w:rsid w:val="003A7D17"/>
    <w:rsid w:val="003A7E50"/>
    <w:rsid w:val="003A7E52"/>
    <w:rsid w:val="003A7ECA"/>
    <w:rsid w:val="003B00B4"/>
    <w:rsid w:val="003B0169"/>
    <w:rsid w:val="003B01FB"/>
    <w:rsid w:val="003B02A1"/>
    <w:rsid w:val="003B032E"/>
    <w:rsid w:val="003B042D"/>
    <w:rsid w:val="003B08F4"/>
    <w:rsid w:val="003B0B23"/>
    <w:rsid w:val="003B0BA3"/>
    <w:rsid w:val="003B0BED"/>
    <w:rsid w:val="003B0D4B"/>
    <w:rsid w:val="003B1071"/>
    <w:rsid w:val="003B12A1"/>
    <w:rsid w:val="003B138A"/>
    <w:rsid w:val="003B1592"/>
    <w:rsid w:val="003B169E"/>
    <w:rsid w:val="003B16A9"/>
    <w:rsid w:val="003B176C"/>
    <w:rsid w:val="003B186C"/>
    <w:rsid w:val="003B18AB"/>
    <w:rsid w:val="003B190E"/>
    <w:rsid w:val="003B1986"/>
    <w:rsid w:val="003B1AEF"/>
    <w:rsid w:val="003B1C44"/>
    <w:rsid w:val="003B1CC7"/>
    <w:rsid w:val="003B1E0E"/>
    <w:rsid w:val="003B1E30"/>
    <w:rsid w:val="003B209B"/>
    <w:rsid w:val="003B21C7"/>
    <w:rsid w:val="003B23AD"/>
    <w:rsid w:val="003B25AB"/>
    <w:rsid w:val="003B27EB"/>
    <w:rsid w:val="003B2AC7"/>
    <w:rsid w:val="003B2BE6"/>
    <w:rsid w:val="003B2DDB"/>
    <w:rsid w:val="003B2F88"/>
    <w:rsid w:val="003B2FF1"/>
    <w:rsid w:val="003B3047"/>
    <w:rsid w:val="003B320F"/>
    <w:rsid w:val="003B3267"/>
    <w:rsid w:val="003B32F0"/>
    <w:rsid w:val="003B339B"/>
    <w:rsid w:val="003B345E"/>
    <w:rsid w:val="003B3477"/>
    <w:rsid w:val="003B34BA"/>
    <w:rsid w:val="003B34EF"/>
    <w:rsid w:val="003B3802"/>
    <w:rsid w:val="003B3823"/>
    <w:rsid w:val="003B3C16"/>
    <w:rsid w:val="003B3E1D"/>
    <w:rsid w:val="003B3FF3"/>
    <w:rsid w:val="003B4295"/>
    <w:rsid w:val="003B429D"/>
    <w:rsid w:val="003B4415"/>
    <w:rsid w:val="003B44F3"/>
    <w:rsid w:val="003B4890"/>
    <w:rsid w:val="003B48F0"/>
    <w:rsid w:val="003B49AC"/>
    <w:rsid w:val="003B4B54"/>
    <w:rsid w:val="003B4C5D"/>
    <w:rsid w:val="003B4DA1"/>
    <w:rsid w:val="003B4F1D"/>
    <w:rsid w:val="003B4F69"/>
    <w:rsid w:val="003B505A"/>
    <w:rsid w:val="003B506D"/>
    <w:rsid w:val="003B5085"/>
    <w:rsid w:val="003B577D"/>
    <w:rsid w:val="003B5787"/>
    <w:rsid w:val="003B593D"/>
    <w:rsid w:val="003B595C"/>
    <w:rsid w:val="003B5B5E"/>
    <w:rsid w:val="003B5EDF"/>
    <w:rsid w:val="003B656C"/>
    <w:rsid w:val="003B6723"/>
    <w:rsid w:val="003B6976"/>
    <w:rsid w:val="003B6B1A"/>
    <w:rsid w:val="003B6C1E"/>
    <w:rsid w:val="003B6E82"/>
    <w:rsid w:val="003B6EC1"/>
    <w:rsid w:val="003B7305"/>
    <w:rsid w:val="003B780C"/>
    <w:rsid w:val="003B7B43"/>
    <w:rsid w:val="003B7BC2"/>
    <w:rsid w:val="003B7D6F"/>
    <w:rsid w:val="003C01E8"/>
    <w:rsid w:val="003C0284"/>
    <w:rsid w:val="003C029F"/>
    <w:rsid w:val="003C0320"/>
    <w:rsid w:val="003C06EF"/>
    <w:rsid w:val="003C06F3"/>
    <w:rsid w:val="003C0BB4"/>
    <w:rsid w:val="003C0DB9"/>
    <w:rsid w:val="003C0FB3"/>
    <w:rsid w:val="003C14DB"/>
    <w:rsid w:val="003C158D"/>
    <w:rsid w:val="003C15E8"/>
    <w:rsid w:val="003C16DB"/>
    <w:rsid w:val="003C16DE"/>
    <w:rsid w:val="003C1951"/>
    <w:rsid w:val="003C1CE6"/>
    <w:rsid w:val="003C1F72"/>
    <w:rsid w:val="003C1FBC"/>
    <w:rsid w:val="003C21F2"/>
    <w:rsid w:val="003C2255"/>
    <w:rsid w:val="003C22E2"/>
    <w:rsid w:val="003C2488"/>
    <w:rsid w:val="003C252D"/>
    <w:rsid w:val="003C261D"/>
    <w:rsid w:val="003C26A8"/>
    <w:rsid w:val="003C276B"/>
    <w:rsid w:val="003C2774"/>
    <w:rsid w:val="003C2995"/>
    <w:rsid w:val="003C29AC"/>
    <w:rsid w:val="003C2F7B"/>
    <w:rsid w:val="003C3076"/>
    <w:rsid w:val="003C34DD"/>
    <w:rsid w:val="003C37E2"/>
    <w:rsid w:val="003C37FB"/>
    <w:rsid w:val="003C3B50"/>
    <w:rsid w:val="003C3C74"/>
    <w:rsid w:val="003C3CEA"/>
    <w:rsid w:val="003C3CF4"/>
    <w:rsid w:val="003C4328"/>
    <w:rsid w:val="003C437A"/>
    <w:rsid w:val="003C4A40"/>
    <w:rsid w:val="003C4B26"/>
    <w:rsid w:val="003C4DB9"/>
    <w:rsid w:val="003C4E17"/>
    <w:rsid w:val="003C5031"/>
    <w:rsid w:val="003C516A"/>
    <w:rsid w:val="003C51FC"/>
    <w:rsid w:val="003C540B"/>
    <w:rsid w:val="003C5416"/>
    <w:rsid w:val="003C5436"/>
    <w:rsid w:val="003C5542"/>
    <w:rsid w:val="003C5551"/>
    <w:rsid w:val="003C5987"/>
    <w:rsid w:val="003C5A72"/>
    <w:rsid w:val="003C5A93"/>
    <w:rsid w:val="003C5AF1"/>
    <w:rsid w:val="003C5B9C"/>
    <w:rsid w:val="003C5C58"/>
    <w:rsid w:val="003C5CB2"/>
    <w:rsid w:val="003C5EFC"/>
    <w:rsid w:val="003C5FFB"/>
    <w:rsid w:val="003C61B7"/>
    <w:rsid w:val="003C6651"/>
    <w:rsid w:val="003C6668"/>
    <w:rsid w:val="003C6A29"/>
    <w:rsid w:val="003C6A83"/>
    <w:rsid w:val="003C6B39"/>
    <w:rsid w:val="003C727F"/>
    <w:rsid w:val="003C73BC"/>
    <w:rsid w:val="003C76BD"/>
    <w:rsid w:val="003C76FE"/>
    <w:rsid w:val="003C7988"/>
    <w:rsid w:val="003C7B1E"/>
    <w:rsid w:val="003C7D47"/>
    <w:rsid w:val="003C7D84"/>
    <w:rsid w:val="003C7F33"/>
    <w:rsid w:val="003C7F62"/>
    <w:rsid w:val="003C7F7A"/>
    <w:rsid w:val="003D052A"/>
    <w:rsid w:val="003D0736"/>
    <w:rsid w:val="003D09A6"/>
    <w:rsid w:val="003D0AA3"/>
    <w:rsid w:val="003D0AFD"/>
    <w:rsid w:val="003D0C06"/>
    <w:rsid w:val="003D0C2D"/>
    <w:rsid w:val="003D0DEF"/>
    <w:rsid w:val="003D0DFF"/>
    <w:rsid w:val="003D1166"/>
    <w:rsid w:val="003D1187"/>
    <w:rsid w:val="003D130D"/>
    <w:rsid w:val="003D1458"/>
    <w:rsid w:val="003D145E"/>
    <w:rsid w:val="003D1494"/>
    <w:rsid w:val="003D14D8"/>
    <w:rsid w:val="003D15D8"/>
    <w:rsid w:val="003D16EF"/>
    <w:rsid w:val="003D1912"/>
    <w:rsid w:val="003D1AF4"/>
    <w:rsid w:val="003D1BC4"/>
    <w:rsid w:val="003D1C96"/>
    <w:rsid w:val="003D1CBF"/>
    <w:rsid w:val="003D1D0F"/>
    <w:rsid w:val="003D1E22"/>
    <w:rsid w:val="003D1FD7"/>
    <w:rsid w:val="003D2155"/>
    <w:rsid w:val="003D2215"/>
    <w:rsid w:val="003D22AA"/>
    <w:rsid w:val="003D22C5"/>
    <w:rsid w:val="003D22E0"/>
    <w:rsid w:val="003D249E"/>
    <w:rsid w:val="003D24E1"/>
    <w:rsid w:val="003D2713"/>
    <w:rsid w:val="003D2737"/>
    <w:rsid w:val="003D2801"/>
    <w:rsid w:val="003D2893"/>
    <w:rsid w:val="003D29CE"/>
    <w:rsid w:val="003D2A62"/>
    <w:rsid w:val="003D2BA5"/>
    <w:rsid w:val="003D30D4"/>
    <w:rsid w:val="003D3151"/>
    <w:rsid w:val="003D31F1"/>
    <w:rsid w:val="003D3275"/>
    <w:rsid w:val="003D33DD"/>
    <w:rsid w:val="003D3401"/>
    <w:rsid w:val="003D3592"/>
    <w:rsid w:val="003D385B"/>
    <w:rsid w:val="003D3C38"/>
    <w:rsid w:val="003D3C48"/>
    <w:rsid w:val="003D3C69"/>
    <w:rsid w:val="003D3CD3"/>
    <w:rsid w:val="003D3E1A"/>
    <w:rsid w:val="003D3F7C"/>
    <w:rsid w:val="003D3FE3"/>
    <w:rsid w:val="003D4005"/>
    <w:rsid w:val="003D41E4"/>
    <w:rsid w:val="003D42E1"/>
    <w:rsid w:val="003D43A8"/>
    <w:rsid w:val="003D4423"/>
    <w:rsid w:val="003D4590"/>
    <w:rsid w:val="003D469C"/>
    <w:rsid w:val="003D469F"/>
    <w:rsid w:val="003D46C7"/>
    <w:rsid w:val="003D4A07"/>
    <w:rsid w:val="003D4A28"/>
    <w:rsid w:val="003D4A76"/>
    <w:rsid w:val="003D4B01"/>
    <w:rsid w:val="003D4FDE"/>
    <w:rsid w:val="003D5047"/>
    <w:rsid w:val="003D50B8"/>
    <w:rsid w:val="003D51A4"/>
    <w:rsid w:val="003D5416"/>
    <w:rsid w:val="003D5836"/>
    <w:rsid w:val="003D5C4B"/>
    <w:rsid w:val="003D5C6B"/>
    <w:rsid w:val="003D5EED"/>
    <w:rsid w:val="003D5EF8"/>
    <w:rsid w:val="003D5F44"/>
    <w:rsid w:val="003D5FCF"/>
    <w:rsid w:val="003D6189"/>
    <w:rsid w:val="003D62F2"/>
    <w:rsid w:val="003D6457"/>
    <w:rsid w:val="003D6871"/>
    <w:rsid w:val="003D68D2"/>
    <w:rsid w:val="003D6981"/>
    <w:rsid w:val="003D6A74"/>
    <w:rsid w:val="003D6B55"/>
    <w:rsid w:val="003D6BC0"/>
    <w:rsid w:val="003D6D2E"/>
    <w:rsid w:val="003D6D9F"/>
    <w:rsid w:val="003D6DE0"/>
    <w:rsid w:val="003D6F94"/>
    <w:rsid w:val="003D6F99"/>
    <w:rsid w:val="003D70B0"/>
    <w:rsid w:val="003D70DD"/>
    <w:rsid w:val="003D7215"/>
    <w:rsid w:val="003D72E4"/>
    <w:rsid w:val="003D75B2"/>
    <w:rsid w:val="003D75B8"/>
    <w:rsid w:val="003D75CC"/>
    <w:rsid w:val="003D76F5"/>
    <w:rsid w:val="003D797D"/>
    <w:rsid w:val="003D7BAE"/>
    <w:rsid w:val="003D7D78"/>
    <w:rsid w:val="003E0272"/>
    <w:rsid w:val="003E0294"/>
    <w:rsid w:val="003E02C2"/>
    <w:rsid w:val="003E05E8"/>
    <w:rsid w:val="003E0694"/>
    <w:rsid w:val="003E08F8"/>
    <w:rsid w:val="003E0B1B"/>
    <w:rsid w:val="003E0B86"/>
    <w:rsid w:val="003E0BB0"/>
    <w:rsid w:val="003E0DB2"/>
    <w:rsid w:val="003E0F9A"/>
    <w:rsid w:val="003E0FF8"/>
    <w:rsid w:val="003E1208"/>
    <w:rsid w:val="003E1411"/>
    <w:rsid w:val="003E1507"/>
    <w:rsid w:val="003E1547"/>
    <w:rsid w:val="003E155D"/>
    <w:rsid w:val="003E17F5"/>
    <w:rsid w:val="003E183A"/>
    <w:rsid w:val="003E1CB2"/>
    <w:rsid w:val="003E1D31"/>
    <w:rsid w:val="003E1F66"/>
    <w:rsid w:val="003E20A7"/>
    <w:rsid w:val="003E23BD"/>
    <w:rsid w:val="003E23D7"/>
    <w:rsid w:val="003E24F2"/>
    <w:rsid w:val="003E2586"/>
    <w:rsid w:val="003E290F"/>
    <w:rsid w:val="003E2C26"/>
    <w:rsid w:val="003E2D0C"/>
    <w:rsid w:val="003E32DF"/>
    <w:rsid w:val="003E335A"/>
    <w:rsid w:val="003E340C"/>
    <w:rsid w:val="003E344B"/>
    <w:rsid w:val="003E34B0"/>
    <w:rsid w:val="003E3548"/>
    <w:rsid w:val="003E37AA"/>
    <w:rsid w:val="003E39AA"/>
    <w:rsid w:val="003E3DE4"/>
    <w:rsid w:val="003E3F31"/>
    <w:rsid w:val="003E40C3"/>
    <w:rsid w:val="003E441D"/>
    <w:rsid w:val="003E45CF"/>
    <w:rsid w:val="003E46B9"/>
    <w:rsid w:val="003E4740"/>
    <w:rsid w:val="003E48E8"/>
    <w:rsid w:val="003E492B"/>
    <w:rsid w:val="003E4987"/>
    <w:rsid w:val="003E4A0D"/>
    <w:rsid w:val="003E4AF6"/>
    <w:rsid w:val="003E4B90"/>
    <w:rsid w:val="003E4BDB"/>
    <w:rsid w:val="003E4C0E"/>
    <w:rsid w:val="003E4D91"/>
    <w:rsid w:val="003E5073"/>
    <w:rsid w:val="003E51B6"/>
    <w:rsid w:val="003E52BF"/>
    <w:rsid w:val="003E5365"/>
    <w:rsid w:val="003E53B3"/>
    <w:rsid w:val="003E558D"/>
    <w:rsid w:val="003E5591"/>
    <w:rsid w:val="003E56F9"/>
    <w:rsid w:val="003E594B"/>
    <w:rsid w:val="003E5991"/>
    <w:rsid w:val="003E59E6"/>
    <w:rsid w:val="003E5D20"/>
    <w:rsid w:val="003E5DDD"/>
    <w:rsid w:val="003E61C3"/>
    <w:rsid w:val="003E6207"/>
    <w:rsid w:val="003E6340"/>
    <w:rsid w:val="003E6539"/>
    <w:rsid w:val="003E66A1"/>
    <w:rsid w:val="003E6BBA"/>
    <w:rsid w:val="003E6CC2"/>
    <w:rsid w:val="003E6E7E"/>
    <w:rsid w:val="003E6F88"/>
    <w:rsid w:val="003E722B"/>
    <w:rsid w:val="003E7296"/>
    <w:rsid w:val="003E7330"/>
    <w:rsid w:val="003E7444"/>
    <w:rsid w:val="003E79CB"/>
    <w:rsid w:val="003E79CD"/>
    <w:rsid w:val="003E7F33"/>
    <w:rsid w:val="003F0078"/>
    <w:rsid w:val="003F0128"/>
    <w:rsid w:val="003F03DF"/>
    <w:rsid w:val="003F04C5"/>
    <w:rsid w:val="003F0729"/>
    <w:rsid w:val="003F0804"/>
    <w:rsid w:val="003F092C"/>
    <w:rsid w:val="003F096F"/>
    <w:rsid w:val="003F0D70"/>
    <w:rsid w:val="003F0DF2"/>
    <w:rsid w:val="003F0EBE"/>
    <w:rsid w:val="003F1089"/>
    <w:rsid w:val="003F114F"/>
    <w:rsid w:val="003F11E1"/>
    <w:rsid w:val="003F15C0"/>
    <w:rsid w:val="003F191A"/>
    <w:rsid w:val="003F1DAC"/>
    <w:rsid w:val="003F1E06"/>
    <w:rsid w:val="003F1E92"/>
    <w:rsid w:val="003F1F64"/>
    <w:rsid w:val="003F1F9E"/>
    <w:rsid w:val="003F2199"/>
    <w:rsid w:val="003F2267"/>
    <w:rsid w:val="003F23EF"/>
    <w:rsid w:val="003F24CA"/>
    <w:rsid w:val="003F2550"/>
    <w:rsid w:val="003F25F3"/>
    <w:rsid w:val="003F27BF"/>
    <w:rsid w:val="003F2BDD"/>
    <w:rsid w:val="003F2C40"/>
    <w:rsid w:val="003F2E56"/>
    <w:rsid w:val="003F3202"/>
    <w:rsid w:val="003F3481"/>
    <w:rsid w:val="003F34C9"/>
    <w:rsid w:val="003F3501"/>
    <w:rsid w:val="003F35B5"/>
    <w:rsid w:val="003F3BA7"/>
    <w:rsid w:val="003F3BD8"/>
    <w:rsid w:val="003F3C11"/>
    <w:rsid w:val="003F3C2C"/>
    <w:rsid w:val="003F3CF3"/>
    <w:rsid w:val="003F3ED4"/>
    <w:rsid w:val="003F44BE"/>
    <w:rsid w:val="003F45E8"/>
    <w:rsid w:val="003F479A"/>
    <w:rsid w:val="003F479E"/>
    <w:rsid w:val="003F48B5"/>
    <w:rsid w:val="003F4938"/>
    <w:rsid w:val="003F4958"/>
    <w:rsid w:val="003F497B"/>
    <w:rsid w:val="003F4AB8"/>
    <w:rsid w:val="003F4B27"/>
    <w:rsid w:val="003F4B95"/>
    <w:rsid w:val="003F4C3D"/>
    <w:rsid w:val="003F4EA0"/>
    <w:rsid w:val="003F4FBF"/>
    <w:rsid w:val="003F542A"/>
    <w:rsid w:val="003F5583"/>
    <w:rsid w:val="003F5679"/>
    <w:rsid w:val="003F56DE"/>
    <w:rsid w:val="003F5871"/>
    <w:rsid w:val="003F5881"/>
    <w:rsid w:val="003F5AA6"/>
    <w:rsid w:val="003F5B2A"/>
    <w:rsid w:val="003F5B86"/>
    <w:rsid w:val="003F5BF5"/>
    <w:rsid w:val="003F5EFE"/>
    <w:rsid w:val="003F616F"/>
    <w:rsid w:val="003F6179"/>
    <w:rsid w:val="003F628F"/>
    <w:rsid w:val="003F64EC"/>
    <w:rsid w:val="003F6540"/>
    <w:rsid w:val="003F6D1B"/>
    <w:rsid w:val="003F6DAB"/>
    <w:rsid w:val="003F6E47"/>
    <w:rsid w:val="003F72BF"/>
    <w:rsid w:val="003F73C8"/>
    <w:rsid w:val="003F75A9"/>
    <w:rsid w:val="003F785A"/>
    <w:rsid w:val="003F7C8A"/>
    <w:rsid w:val="003F7E8B"/>
    <w:rsid w:val="00400086"/>
    <w:rsid w:val="00400181"/>
    <w:rsid w:val="004005E9"/>
    <w:rsid w:val="00400805"/>
    <w:rsid w:val="004008E1"/>
    <w:rsid w:val="00400923"/>
    <w:rsid w:val="004009BA"/>
    <w:rsid w:val="00400B24"/>
    <w:rsid w:val="00400B2D"/>
    <w:rsid w:val="00400CDD"/>
    <w:rsid w:val="00400D4A"/>
    <w:rsid w:val="0040102C"/>
    <w:rsid w:val="004011F2"/>
    <w:rsid w:val="0040121C"/>
    <w:rsid w:val="00401353"/>
    <w:rsid w:val="0040167F"/>
    <w:rsid w:val="004016C5"/>
    <w:rsid w:val="00401E56"/>
    <w:rsid w:val="00401F8A"/>
    <w:rsid w:val="004022EC"/>
    <w:rsid w:val="0040235A"/>
    <w:rsid w:val="004024CF"/>
    <w:rsid w:val="0040296F"/>
    <w:rsid w:val="00402AA5"/>
    <w:rsid w:val="00402B34"/>
    <w:rsid w:val="00402EE1"/>
    <w:rsid w:val="00402EFD"/>
    <w:rsid w:val="00403092"/>
    <w:rsid w:val="00403229"/>
    <w:rsid w:val="00403479"/>
    <w:rsid w:val="004034CE"/>
    <w:rsid w:val="0040354D"/>
    <w:rsid w:val="004035E2"/>
    <w:rsid w:val="0040366D"/>
    <w:rsid w:val="004039E4"/>
    <w:rsid w:val="00403A94"/>
    <w:rsid w:val="00403D9B"/>
    <w:rsid w:val="00403ED1"/>
    <w:rsid w:val="00403F80"/>
    <w:rsid w:val="00403FA5"/>
    <w:rsid w:val="0040456D"/>
    <w:rsid w:val="004049D7"/>
    <w:rsid w:val="00404B07"/>
    <w:rsid w:val="00404B26"/>
    <w:rsid w:val="00405096"/>
    <w:rsid w:val="0040514B"/>
    <w:rsid w:val="00405192"/>
    <w:rsid w:val="004052B0"/>
    <w:rsid w:val="00405438"/>
    <w:rsid w:val="00405597"/>
    <w:rsid w:val="004058C4"/>
    <w:rsid w:val="00405938"/>
    <w:rsid w:val="0040594C"/>
    <w:rsid w:val="00405A6F"/>
    <w:rsid w:val="00405BF0"/>
    <w:rsid w:val="00405C0C"/>
    <w:rsid w:val="00405CBB"/>
    <w:rsid w:val="00405E72"/>
    <w:rsid w:val="00405E8C"/>
    <w:rsid w:val="00405EBC"/>
    <w:rsid w:val="0040605E"/>
    <w:rsid w:val="004060EF"/>
    <w:rsid w:val="00406160"/>
    <w:rsid w:val="0040617B"/>
    <w:rsid w:val="004061C9"/>
    <w:rsid w:val="0040635A"/>
    <w:rsid w:val="00406453"/>
    <w:rsid w:val="004066BA"/>
    <w:rsid w:val="004067B4"/>
    <w:rsid w:val="00406A36"/>
    <w:rsid w:val="00406AF7"/>
    <w:rsid w:val="00406E18"/>
    <w:rsid w:val="00407282"/>
    <w:rsid w:val="0040728D"/>
    <w:rsid w:val="00407530"/>
    <w:rsid w:val="00407AA9"/>
    <w:rsid w:val="00407AE7"/>
    <w:rsid w:val="00407CA3"/>
    <w:rsid w:val="00407DCE"/>
    <w:rsid w:val="00407FC5"/>
    <w:rsid w:val="00410164"/>
    <w:rsid w:val="0041040F"/>
    <w:rsid w:val="0041077D"/>
    <w:rsid w:val="00410995"/>
    <w:rsid w:val="004109A8"/>
    <w:rsid w:val="00410A05"/>
    <w:rsid w:val="00410B3C"/>
    <w:rsid w:val="00410B5C"/>
    <w:rsid w:val="00410C2E"/>
    <w:rsid w:val="00410C77"/>
    <w:rsid w:val="00410D06"/>
    <w:rsid w:val="0041113C"/>
    <w:rsid w:val="00411358"/>
    <w:rsid w:val="004115B9"/>
    <w:rsid w:val="004116C4"/>
    <w:rsid w:val="00411987"/>
    <w:rsid w:val="00411AF6"/>
    <w:rsid w:val="00411E17"/>
    <w:rsid w:val="00411E59"/>
    <w:rsid w:val="00411EC5"/>
    <w:rsid w:val="0041212B"/>
    <w:rsid w:val="00412318"/>
    <w:rsid w:val="004125CB"/>
    <w:rsid w:val="00412A72"/>
    <w:rsid w:val="00412C61"/>
    <w:rsid w:val="0041302A"/>
    <w:rsid w:val="004132BB"/>
    <w:rsid w:val="004134CA"/>
    <w:rsid w:val="004136A2"/>
    <w:rsid w:val="004136D1"/>
    <w:rsid w:val="00413ADD"/>
    <w:rsid w:val="00413B4F"/>
    <w:rsid w:val="00413D98"/>
    <w:rsid w:val="00413DFE"/>
    <w:rsid w:val="00413F60"/>
    <w:rsid w:val="004142F7"/>
    <w:rsid w:val="004144D8"/>
    <w:rsid w:val="00414703"/>
    <w:rsid w:val="00414791"/>
    <w:rsid w:val="004148D9"/>
    <w:rsid w:val="00414A45"/>
    <w:rsid w:val="00414CFB"/>
    <w:rsid w:val="00415051"/>
    <w:rsid w:val="00415095"/>
    <w:rsid w:val="0041511A"/>
    <w:rsid w:val="0041518B"/>
    <w:rsid w:val="00415191"/>
    <w:rsid w:val="004151CC"/>
    <w:rsid w:val="004151D3"/>
    <w:rsid w:val="004152B0"/>
    <w:rsid w:val="00415509"/>
    <w:rsid w:val="0041555C"/>
    <w:rsid w:val="004155E6"/>
    <w:rsid w:val="004156C6"/>
    <w:rsid w:val="0041579B"/>
    <w:rsid w:val="0041594E"/>
    <w:rsid w:val="00415A27"/>
    <w:rsid w:val="00415B33"/>
    <w:rsid w:val="00415C6C"/>
    <w:rsid w:val="00415CDE"/>
    <w:rsid w:val="00415D76"/>
    <w:rsid w:val="00415E2C"/>
    <w:rsid w:val="00415EEE"/>
    <w:rsid w:val="00415FAB"/>
    <w:rsid w:val="0041606A"/>
    <w:rsid w:val="0041644E"/>
    <w:rsid w:val="0041644F"/>
    <w:rsid w:val="0041661E"/>
    <w:rsid w:val="00416D5E"/>
    <w:rsid w:val="00416DB8"/>
    <w:rsid w:val="00416EF5"/>
    <w:rsid w:val="00417025"/>
    <w:rsid w:val="004171DD"/>
    <w:rsid w:val="0041729C"/>
    <w:rsid w:val="0041763B"/>
    <w:rsid w:val="0041773B"/>
    <w:rsid w:val="004177B8"/>
    <w:rsid w:val="00417880"/>
    <w:rsid w:val="004178C6"/>
    <w:rsid w:val="004178D6"/>
    <w:rsid w:val="00417D83"/>
    <w:rsid w:val="004200BF"/>
    <w:rsid w:val="004201ED"/>
    <w:rsid w:val="0042020A"/>
    <w:rsid w:val="00420320"/>
    <w:rsid w:val="00420470"/>
    <w:rsid w:val="004205A4"/>
    <w:rsid w:val="004206C7"/>
    <w:rsid w:val="004206D3"/>
    <w:rsid w:val="00420A82"/>
    <w:rsid w:val="00420AFB"/>
    <w:rsid w:val="00420BF9"/>
    <w:rsid w:val="00421027"/>
    <w:rsid w:val="004211D7"/>
    <w:rsid w:val="00421230"/>
    <w:rsid w:val="004213B7"/>
    <w:rsid w:val="0042153D"/>
    <w:rsid w:val="00421551"/>
    <w:rsid w:val="00421596"/>
    <w:rsid w:val="004215B5"/>
    <w:rsid w:val="00421806"/>
    <w:rsid w:val="00421A19"/>
    <w:rsid w:val="0042200A"/>
    <w:rsid w:val="0042228D"/>
    <w:rsid w:val="00422326"/>
    <w:rsid w:val="00422703"/>
    <w:rsid w:val="00422810"/>
    <w:rsid w:val="0042289B"/>
    <w:rsid w:val="00422BFB"/>
    <w:rsid w:val="00422E12"/>
    <w:rsid w:val="00422EF0"/>
    <w:rsid w:val="00422F24"/>
    <w:rsid w:val="00422F95"/>
    <w:rsid w:val="00422FFC"/>
    <w:rsid w:val="004236D5"/>
    <w:rsid w:val="0042376C"/>
    <w:rsid w:val="00423868"/>
    <w:rsid w:val="004238F8"/>
    <w:rsid w:val="00423AE2"/>
    <w:rsid w:val="00423D50"/>
    <w:rsid w:val="0042425D"/>
    <w:rsid w:val="004243F1"/>
    <w:rsid w:val="00424438"/>
    <w:rsid w:val="004245BE"/>
    <w:rsid w:val="004245E3"/>
    <w:rsid w:val="00424BA7"/>
    <w:rsid w:val="00424DA3"/>
    <w:rsid w:val="00424DD7"/>
    <w:rsid w:val="00424E97"/>
    <w:rsid w:val="004251A1"/>
    <w:rsid w:val="0042540F"/>
    <w:rsid w:val="004256AB"/>
    <w:rsid w:val="00425808"/>
    <w:rsid w:val="004258A0"/>
    <w:rsid w:val="00425BE4"/>
    <w:rsid w:val="00425C20"/>
    <w:rsid w:val="00425C24"/>
    <w:rsid w:val="00425DBC"/>
    <w:rsid w:val="00426000"/>
    <w:rsid w:val="004261C5"/>
    <w:rsid w:val="0042626A"/>
    <w:rsid w:val="0042628E"/>
    <w:rsid w:val="00426517"/>
    <w:rsid w:val="004267AF"/>
    <w:rsid w:val="00426817"/>
    <w:rsid w:val="00426914"/>
    <w:rsid w:val="00426B53"/>
    <w:rsid w:val="00426E3E"/>
    <w:rsid w:val="00427197"/>
    <w:rsid w:val="00427686"/>
    <w:rsid w:val="0042768D"/>
    <w:rsid w:val="0042770C"/>
    <w:rsid w:val="0042776B"/>
    <w:rsid w:val="004279F5"/>
    <w:rsid w:val="00427A29"/>
    <w:rsid w:val="00427AC6"/>
    <w:rsid w:val="00427AD1"/>
    <w:rsid w:val="00427BA8"/>
    <w:rsid w:val="00427C7A"/>
    <w:rsid w:val="00427D70"/>
    <w:rsid w:val="00427E56"/>
    <w:rsid w:val="00427EE4"/>
    <w:rsid w:val="00430286"/>
    <w:rsid w:val="004304A3"/>
    <w:rsid w:val="004306D2"/>
    <w:rsid w:val="00430737"/>
    <w:rsid w:val="00430A9A"/>
    <w:rsid w:val="00430B4C"/>
    <w:rsid w:val="00430BDD"/>
    <w:rsid w:val="00430D98"/>
    <w:rsid w:val="00430DAD"/>
    <w:rsid w:val="00431067"/>
    <w:rsid w:val="0043109F"/>
    <w:rsid w:val="004311BB"/>
    <w:rsid w:val="00431270"/>
    <w:rsid w:val="004313E8"/>
    <w:rsid w:val="0043161D"/>
    <w:rsid w:val="004317DF"/>
    <w:rsid w:val="00431873"/>
    <w:rsid w:val="00431907"/>
    <w:rsid w:val="00431BF4"/>
    <w:rsid w:val="00431DF3"/>
    <w:rsid w:val="00431E9E"/>
    <w:rsid w:val="00432011"/>
    <w:rsid w:val="00432045"/>
    <w:rsid w:val="004320E3"/>
    <w:rsid w:val="004321AB"/>
    <w:rsid w:val="00432858"/>
    <w:rsid w:val="00432890"/>
    <w:rsid w:val="00432CD3"/>
    <w:rsid w:val="00432D1F"/>
    <w:rsid w:val="00432E9F"/>
    <w:rsid w:val="00432EBB"/>
    <w:rsid w:val="00433054"/>
    <w:rsid w:val="00433125"/>
    <w:rsid w:val="004331A5"/>
    <w:rsid w:val="00433425"/>
    <w:rsid w:val="00433779"/>
    <w:rsid w:val="00433A96"/>
    <w:rsid w:val="00433B7F"/>
    <w:rsid w:val="00433C13"/>
    <w:rsid w:val="00433CE4"/>
    <w:rsid w:val="00434006"/>
    <w:rsid w:val="00434125"/>
    <w:rsid w:val="00434217"/>
    <w:rsid w:val="004344AF"/>
    <w:rsid w:val="00434738"/>
    <w:rsid w:val="004348CA"/>
    <w:rsid w:val="004349B3"/>
    <w:rsid w:val="00434A02"/>
    <w:rsid w:val="00434A0F"/>
    <w:rsid w:val="00434AD6"/>
    <w:rsid w:val="00434C53"/>
    <w:rsid w:val="00434D86"/>
    <w:rsid w:val="004352CA"/>
    <w:rsid w:val="0043544F"/>
    <w:rsid w:val="00435501"/>
    <w:rsid w:val="0043598E"/>
    <w:rsid w:val="00435A96"/>
    <w:rsid w:val="00435BAF"/>
    <w:rsid w:val="00435C96"/>
    <w:rsid w:val="00435D1D"/>
    <w:rsid w:val="00435D3F"/>
    <w:rsid w:val="00435E8F"/>
    <w:rsid w:val="00435ED9"/>
    <w:rsid w:val="0043613D"/>
    <w:rsid w:val="004362A1"/>
    <w:rsid w:val="004363E7"/>
    <w:rsid w:val="004365B9"/>
    <w:rsid w:val="00436645"/>
    <w:rsid w:val="00436D39"/>
    <w:rsid w:val="00436D3A"/>
    <w:rsid w:val="00437034"/>
    <w:rsid w:val="0043740E"/>
    <w:rsid w:val="004375D3"/>
    <w:rsid w:val="00437960"/>
    <w:rsid w:val="00437B4E"/>
    <w:rsid w:val="00437C1A"/>
    <w:rsid w:val="00437C7A"/>
    <w:rsid w:val="00437D3F"/>
    <w:rsid w:val="00437D82"/>
    <w:rsid w:val="00437EB3"/>
    <w:rsid w:val="00437ECA"/>
    <w:rsid w:val="00437F46"/>
    <w:rsid w:val="0044017B"/>
    <w:rsid w:val="00440447"/>
    <w:rsid w:val="0044066D"/>
    <w:rsid w:val="0044097A"/>
    <w:rsid w:val="00440BA7"/>
    <w:rsid w:val="00440F85"/>
    <w:rsid w:val="00441110"/>
    <w:rsid w:val="0044118F"/>
    <w:rsid w:val="0044154D"/>
    <w:rsid w:val="00441632"/>
    <w:rsid w:val="00441851"/>
    <w:rsid w:val="00441960"/>
    <w:rsid w:val="004419B8"/>
    <w:rsid w:val="00441AFB"/>
    <w:rsid w:val="00441D35"/>
    <w:rsid w:val="00441EBD"/>
    <w:rsid w:val="00441EC6"/>
    <w:rsid w:val="004423A0"/>
    <w:rsid w:val="0044247C"/>
    <w:rsid w:val="0044260B"/>
    <w:rsid w:val="00442686"/>
    <w:rsid w:val="00442701"/>
    <w:rsid w:val="0044271E"/>
    <w:rsid w:val="00442854"/>
    <w:rsid w:val="0044292A"/>
    <w:rsid w:val="0044296C"/>
    <w:rsid w:val="00442DB9"/>
    <w:rsid w:val="00442E34"/>
    <w:rsid w:val="00442E44"/>
    <w:rsid w:val="004431AE"/>
    <w:rsid w:val="004433E5"/>
    <w:rsid w:val="00443AE3"/>
    <w:rsid w:val="00443B5F"/>
    <w:rsid w:val="00443C11"/>
    <w:rsid w:val="00443C9F"/>
    <w:rsid w:val="00443F12"/>
    <w:rsid w:val="0044415B"/>
    <w:rsid w:val="004443D8"/>
    <w:rsid w:val="00444519"/>
    <w:rsid w:val="00444524"/>
    <w:rsid w:val="0044489C"/>
    <w:rsid w:val="004448DD"/>
    <w:rsid w:val="00444A16"/>
    <w:rsid w:val="00444A42"/>
    <w:rsid w:val="00444B61"/>
    <w:rsid w:val="00444E2A"/>
    <w:rsid w:val="00445141"/>
    <w:rsid w:val="00445336"/>
    <w:rsid w:val="0044560E"/>
    <w:rsid w:val="0044580A"/>
    <w:rsid w:val="004458E4"/>
    <w:rsid w:val="0044599F"/>
    <w:rsid w:val="004459E9"/>
    <w:rsid w:val="00445A2E"/>
    <w:rsid w:val="00445A69"/>
    <w:rsid w:val="00445D6C"/>
    <w:rsid w:val="00445F7C"/>
    <w:rsid w:val="00446249"/>
    <w:rsid w:val="004462EC"/>
    <w:rsid w:val="00446576"/>
    <w:rsid w:val="0044664E"/>
    <w:rsid w:val="004466D8"/>
    <w:rsid w:val="00446910"/>
    <w:rsid w:val="00446967"/>
    <w:rsid w:val="00446E71"/>
    <w:rsid w:val="00447085"/>
    <w:rsid w:val="00447224"/>
    <w:rsid w:val="00447282"/>
    <w:rsid w:val="00447349"/>
    <w:rsid w:val="00447376"/>
    <w:rsid w:val="004475A9"/>
    <w:rsid w:val="0044777C"/>
    <w:rsid w:val="004477C2"/>
    <w:rsid w:val="00447931"/>
    <w:rsid w:val="00447A76"/>
    <w:rsid w:val="00447B1E"/>
    <w:rsid w:val="00447B9D"/>
    <w:rsid w:val="00447C83"/>
    <w:rsid w:val="00450049"/>
    <w:rsid w:val="00450099"/>
    <w:rsid w:val="0045013E"/>
    <w:rsid w:val="004501EE"/>
    <w:rsid w:val="00450205"/>
    <w:rsid w:val="004502A9"/>
    <w:rsid w:val="0045036C"/>
    <w:rsid w:val="00450518"/>
    <w:rsid w:val="004505F2"/>
    <w:rsid w:val="00450782"/>
    <w:rsid w:val="00450791"/>
    <w:rsid w:val="004507B0"/>
    <w:rsid w:val="00450806"/>
    <w:rsid w:val="00450AB2"/>
    <w:rsid w:val="00450AD1"/>
    <w:rsid w:val="00450AD4"/>
    <w:rsid w:val="00450F97"/>
    <w:rsid w:val="00451092"/>
    <w:rsid w:val="004510F5"/>
    <w:rsid w:val="00451333"/>
    <w:rsid w:val="0045144C"/>
    <w:rsid w:val="004514F5"/>
    <w:rsid w:val="004515D8"/>
    <w:rsid w:val="00451961"/>
    <w:rsid w:val="004519C8"/>
    <w:rsid w:val="004519D6"/>
    <w:rsid w:val="00451B55"/>
    <w:rsid w:val="00451DA8"/>
    <w:rsid w:val="00451E73"/>
    <w:rsid w:val="00451F00"/>
    <w:rsid w:val="00451FFE"/>
    <w:rsid w:val="004520F4"/>
    <w:rsid w:val="004521A7"/>
    <w:rsid w:val="00452200"/>
    <w:rsid w:val="0045235C"/>
    <w:rsid w:val="0045250A"/>
    <w:rsid w:val="0045262A"/>
    <w:rsid w:val="00452DF6"/>
    <w:rsid w:val="00453052"/>
    <w:rsid w:val="00453071"/>
    <w:rsid w:val="0045307B"/>
    <w:rsid w:val="004530DC"/>
    <w:rsid w:val="00453277"/>
    <w:rsid w:val="0045330C"/>
    <w:rsid w:val="00453374"/>
    <w:rsid w:val="0045347D"/>
    <w:rsid w:val="004534B7"/>
    <w:rsid w:val="00453558"/>
    <w:rsid w:val="00453641"/>
    <w:rsid w:val="0045371D"/>
    <w:rsid w:val="00453895"/>
    <w:rsid w:val="00453ADC"/>
    <w:rsid w:val="00453BF3"/>
    <w:rsid w:val="00453C31"/>
    <w:rsid w:val="00453C79"/>
    <w:rsid w:val="00453D24"/>
    <w:rsid w:val="00453ECE"/>
    <w:rsid w:val="00453F0C"/>
    <w:rsid w:val="004540C6"/>
    <w:rsid w:val="004540DF"/>
    <w:rsid w:val="004541BD"/>
    <w:rsid w:val="00454349"/>
    <w:rsid w:val="004545C4"/>
    <w:rsid w:val="004545ED"/>
    <w:rsid w:val="00454A72"/>
    <w:rsid w:val="00454A87"/>
    <w:rsid w:val="00454AE1"/>
    <w:rsid w:val="00454BF7"/>
    <w:rsid w:val="00454D4C"/>
    <w:rsid w:val="00454ECA"/>
    <w:rsid w:val="004551CE"/>
    <w:rsid w:val="0045529B"/>
    <w:rsid w:val="004554B8"/>
    <w:rsid w:val="0045581D"/>
    <w:rsid w:val="0045587C"/>
    <w:rsid w:val="004558EE"/>
    <w:rsid w:val="00455B0E"/>
    <w:rsid w:val="00455B28"/>
    <w:rsid w:val="00455B7B"/>
    <w:rsid w:val="0045610A"/>
    <w:rsid w:val="0045611B"/>
    <w:rsid w:val="0045636C"/>
    <w:rsid w:val="004563C0"/>
    <w:rsid w:val="004565A1"/>
    <w:rsid w:val="00456695"/>
    <w:rsid w:val="0045671F"/>
    <w:rsid w:val="004567D0"/>
    <w:rsid w:val="0045689C"/>
    <w:rsid w:val="00456913"/>
    <w:rsid w:val="00456C04"/>
    <w:rsid w:val="00456F8D"/>
    <w:rsid w:val="00457099"/>
    <w:rsid w:val="004570E2"/>
    <w:rsid w:val="00457140"/>
    <w:rsid w:val="0045727D"/>
    <w:rsid w:val="00457348"/>
    <w:rsid w:val="00457410"/>
    <w:rsid w:val="00457431"/>
    <w:rsid w:val="00457448"/>
    <w:rsid w:val="00457726"/>
    <w:rsid w:val="00457B56"/>
    <w:rsid w:val="00457C95"/>
    <w:rsid w:val="00457D40"/>
    <w:rsid w:val="00460224"/>
    <w:rsid w:val="0046024D"/>
    <w:rsid w:val="004602C6"/>
    <w:rsid w:val="004602CC"/>
    <w:rsid w:val="0046046F"/>
    <w:rsid w:val="00460582"/>
    <w:rsid w:val="004605E6"/>
    <w:rsid w:val="0046072B"/>
    <w:rsid w:val="00460821"/>
    <w:rsid w:val="004609E5"/>
    <w:rsid w:val="00460DCC"/>
    <w:rsid w:val="00460E9A"/>
    <w:rsid w:val="004610C5"/>
    <w:rsid w:val="00461285"/>
    <w:rsid w:val="00461479"/>
    <w:rsid w:val="0046148F"/>
    <w:rsid w:val="004614E7"/>
    <w:rsid w:val="004615DA"/>
    <w:rsid w:val="0046161E"/>
    <w:rsid w:val="004619F1"/>
    <w:rsid w:val="00461BD4"/>
    <w:rsid w:val="00461DE5"/>
    <w:rsid w:val="00461E86"/>
    <w:rsid w:val="00461ECC"/>
    <w:rsid w:val="00461F2A"/>
    <w:rsid w:val="00462176"/>
    <w:rsid w:val="004623D1"/>
    <w:rsid w:val="00462597"/>
    <w:rsid w:val="00462754"/>
    <w:rsid w:val="00462777"/>
    <w:rsid w:val="00462E60"/>
    <w:rsid w:val="00462EE8"/>
    <w:rsid w:val="00462F6C"/>
    <w:rsid w:val="00462FC2"/>
    <w:rsid w:val="0046314A"/>
    <w:rsid w:val="0046322B"/>
    <w:rsid w:val="004632A8"/>
    <w:rsid w:val="004634C9"/>
    <w:rsid w:val="004637DE"/>
    <w:rsid w:val="00463B6F"/>
    <w:rsid w:val="00463CDC"/>
    <w:rsid w:val="00463E2E"/>
    <w:rsid w:val="00463E2F"/>
    <w:rsid w:val="00463ED1"/>
    <w:rsid w:val="00463EE0"/>
    <w:rsid w:val="00463F1F"/>
    <w:rsid w:val="004640EB"/>
    <w:rsid w:val="0046410A"/>
    <w:rsid w:val="00464113"/>
    <w:rsid w:val="00464165"/>
    <w:rsid w:val="004643B2"/>
    <w:rsid w:val="00464926"/>
    <w:rsid w:val="00464C57"/>
    <w:rsid w:val="004652E6"/>
    <w:rsid w:val="004655BF"/>
    <w:rsid w:val="00465653"/>
    <w:rsid w:val="004657E9"/>
    <w:rsid w:val="0046594E"/>
    <w:rsid w:val="00465AAD"/>
    <w:rsid w:val="00465B19"/>
    <w:rsid w:val="00465BD5"/>
    <w:rsid w:val="00465D6D"/>
    <w:rsid w:val="00465E0C"/>
    <w:rsid w:val="00465F85"/>
    <w:rsid w:val="00465FC0"/>
    <w:rsid w:val="0046611C"/>
    <w:rsid w:val="0046617E"/>
    <w:rsid w:val="00466264"/>
    <w:rsid w:val="00466295"/>
    <w:rsid w:val="00466395"/>
    <w:rsid w:val="00466488"/>
    <w:rsid w:val="00466510"/>
    <w:rsid w:val="0046668F"/>
    <w:rsid w:val="00466B04"/>
    <w:rsid w:val="00466BC9"/>
    <w:rsid w:val="00466C3F"/>
    <w:rsid w:val="004670F0"/>
    <w:rsid w:val="0046736E"/>
    <w:rsid w:val="004673AD"/>
    <w:rsid w:val="004675A9"/>
    <w:rsid w:val="00467709"/>
    <w:rsid w:val="004678D9"/>
    <w:rsid w:val="004679A8"/>
    <w:rsid w:val="00467A72"/>
    <w:rsid w:val="00467CA1"/>
    <w:rsid w:val="00467D3E"/>
    <w:rsid w:val="00467D96"/>
    <w:rsid w:val="00467E8E"/>
    <w:rsid w:val="004700E2"/>
    <w:rsid w:val="004704A8"/>
    <w:rsid w:val="004706B4"/>
    <w:rsid w:val="0047085F"/>
    <w:rsid w:val="004709CF"/>
    <w:rsid w:val="00470B28"/>
    <w:rsid w:val="00470CEC"/>
    <w:rsid w:val="00470E5C"/>
    <w:rsid w:val="004710D7"/>
    <w:rsid w:val="00471105"/>
    <w:rsid w:val="0047111A"/>
    <w:rsid w:val="00471257"/>
    <w:rsid w:val="004716C6"/>
    <w:rsid w:val="0047172C"/>
    <w:rsid w:val="00471952"/>
    <w:rsid w:val="00471DA5"/>
    <w:rsid w:val="00471EA5"/>
    <w:rsid w:val="004722CA"/>
    <w:rsid w:val="0047235B"/>
    <w:rsid w:val="00472481"/>
    <w:rsid w:val="0047266E"/>
    <w:rsid w:val="004726F3"/>
    <w:rsid w:val="00472916"/>
    <w:rsid w:val="00472955"/>
    <w:rsid w:val="00472A17"/>
    <w:rsid w:val="00472B69"/>
    <w:rsid w:val="00472B8F"/>
    <w:rsid w:val="00472C26"/>
    <w:rsid w:val="00472DDB"/>
    <w:rsid w:val="004732AE"/>
    <w:rsid w:val="004732CB"/>
    <w:rsid w:val="00473386"/>
    <w:rsid w:val="00473510"/>
    <w:rsid w:val="0047353A"/>
    <w:rsid w:val="004737DE"/>
    <w:rsid w:val="00473895"/>
    <w:rsid w:val="00473CA7"/>
    <w:rsid w:val="00473FC1"/>
    <w:rsid w:val="004746B5"/>
    <w:rsid w:val="00474799"/>
    <w:rsid w:val="00474AFA"/>
    <w:rsid w:val="00474B3A"/>
    <w:rsid w:val="00474C04"/>
    <w:rsid w:val="00474D39"/>
    <w:rsid w:val="00474F30"/>
    <w:rsid w:val="00474F83"/>
    <w:rsid w:val="0047504C"/>
    <w:rsid w:val="00475501"/>
    <w:rsid w:val="0047552D"/>
    <w:rsid w:val="0047575D"/>
    <w:rsid w:val="0047583E"/>
    <w:rsid w:val="004758F7"/>
    <w:rsid w:val="00475949"/>
    <w:rsid w:val="00475A6F"/>
    <w:rsid w:val="00475B23"/>
    <w:rsid w:val="00475B4D"/>
    <w:rsid w:val="00475C58"/>
    <w:rsid w:val="00475D61"/>
    <w:rsid w:val="00475E55"/>
    <w:rsid w:val="00475F6C"/>
    <w:rsid w:val="00475FEE"/>
    <w:rsid w:val="004760E1"/>
    <w:rsid w:val="00476222"/>
    <w:rsid w:val="0047641D"/>
    <w:rsid w:val="00476850"/>
    <w:rsid w:val="00476AE9"/>
    <w:rsid w:val="00476FF5"/>
    <w:rsid w:val="00477151"/>
    <w:rsid w:val="00477A76"/>
    <w:rsid w:val="00477A96"/>
    <w:rsid w:val="00477AAB"/>
    <w:rsid w:val="00477AF0"/>
    <w:rsid w:val="00477BC8"/>
    <w:rsid w:val="00477F7B"/>
    <w:rsid w:val="0048006B"/>
    <w:rsid w:val="00480362"/>
    <w:rsid w:val="004803B6"/>
    <w:rsid w:val="0048057B"/>
    <w:rsid w:val="00480621"/>
    <w:rsid w:val="004806B1"/>
    <w:rsid w:val="00480747"/>
    <w:rsid w:val="00480AD8"/>
    <w:rsid w:val="00480B02"/>
    <w:rsid w:val="00480C26"/>
    <w:rsid w:val="00480D62"/>
    <w:rsid w:val="00480D89"/>
    <w:rsid w:val="00480E8B"/>
    <w:rsid w:val="00481146"/>
    <w:rsid w:val="00481230"/>
    <w:rsid w:val="00481709"/>
    <w:rsid w:val="0048181F"/>
    <w:rsid w:val="00481AF0"/>
    <w:rsid w:val="00481B41"/>
    <w:rsid w:val="00481BF7"/>
    <w:rsid w:val="00481C75"/>
    <w:rsid w:val="00481D94"/>
    <w:rsid w:val="00481F7F"/>
    <w:rsid w:val="00482062"/>
    <w:rsid w:val="00482063"/>
    <w:rsid w:val="004821A2"/>
    <w:rsid w:val="004825DA"/>
    <w:rsid w:val="00482C63"/>
    <w:rsid w:val="00482E76"/>
    <w:rsid w:val="0048327F"/>
    <w:rsid w:val="00483288"/>
    <w:rsid w:val="00483332"/>
    <w:rsid w:val="00483653"/>
    <w:rsid w:val="004836CF"/>
    <w:rsid w:val="004837E7"/>
    <w:rsid w:val="004838A0"/>
    <w:rsid w:val="00483989"/>
    <w:rsid w:val="00483A25"/>
    <w:rsid w:val="00483A71"/>
    <w:rsid w:val="00483C86"/>
    <w:rsid w:val="00483DFD"/>
    <w:rsid w:val="00483E7E"/>
    <w:rsid w:val="0048428A"/>
    <w:rsid w:val="004842F1"/>
    <w:rsid w:val="004846BB"/>
    <w:rsid w:val="00484785"/>
    <w:rsid w:val="00484860"/>
    <w:rsid w:val="00484D91"/>
    <w:rsid w:val="00485077"/>
    <w:rsid w:val="00485112"/>
    <w:rsid w:val="00485346"/>
    <w:rsid w:val="00485776"/>
    <w:rsid w:val="00485848"/>
    <w:rsid w:val="00485E7E"/>
    <w:rsid w:val="004862F1"/>
    <w:rsid w:val="00486370"/>
    <w:rsid w:val="004865A2"/>
    <w:rsid w:val="0048665C"/>
    <w:rsid w:val="00486857"/>
    <w:rsid w:val="00486BA0"/>
    <w:rsid w:val="00486CA0"/>
    <w:rsid w:val="00486D17"/>
    <w:rsid w:val="00486DA0"/>
    <w:rsid w:val="00486EB5"/>
    <w:rsid w:val="00486EC7"/>
    <w:rsid w:val="00486F7E"/>
    <w:rsid w:val="00486FD9"/>
    <w:rsid w:val="004871A2"/>
    <w:rsid w:val="0048722E"/>
    <w:rsid w:val="00487363"/>
    <w:rsid w:val="004874AF"/>
    <w:rsid w:val="004875AD"/>
    <w:rsid w:val="0048761A"/>
    <w:rsid w:val="00487832"/>
    <w:rsid w:val="00487E92"/>
    <w:rsid w:val="00487F97"/>
    <w:rsid w:val="00487FD6"/>
    <w:rsid w:val="00490034"/>
    <w:rsid w:val="004900E0"/>
    <w:rsid w:val="00490440"/>
    <w:rsid w:val="00490610"/>
    <w:rsid w:val="00490639"/>
    <w:rsid w:val="0049077A"/>
    <w:rsid w:val="00490964"/>
    <w:rsid w:val="00490B7A"/>
    <w:rsid w:val="00490D07"/>
    <w:rsid w:val="00490D6C"/>
    <w:rsid w:val="00490F6E"/>
    <w:rsid w:val="00490F8C"/>
    <w:rsid w:val="00490F9E"/>
    <w:rsid w:val="00490FDB"/>
    <w:rsid w:val="00491110"/>
    <w:rsid w:val="00491165"/>
    <w:rsid w:val="00491398"/>
    <w:rsid w:val="00491687"/>
    <w:rsid w:val="00491767"/>
    <w:rsid w:val="004917F9"/>
    <w:rsid w:val="0049187F"/>
    <w:rsid w:val="00491C00"/>
    <w:rsid w:val="00491CEA"/>
    <w:rsid w:val="00491DE7"/>
    <w:rsid w:val="00491F39"/>
    <w:rsid w:val="004920FC"/>
    <w:rsid w:val="00492180"/>
    <w:rsid w:val="0049223D"/>
    <w:rsid w:val="004924AB"/>
    <w:rsid w:val="00492783"/>
    <w:rsid w:val="004927C1"/>
    <w:rsid w:val="00492825"/>
    <w:rsid w:val="00493016"/>
    <w:rsid w:val="0049311C"/>
    <w:rsid w:val="004932A6"/>
    <w:rsid w:val="00493401"/>
    <w:rsid w:val="00493485"/>
    <w:rsid w:val="0049355F"/>
    <w:rsid w:val="004937EC"/>
    <w:rsid w:val="0049392F"/>
    <w:rsid w:val="00493991"/>
    <w:rsid w:val="00493BCD"/>
    <w:rsid w:val="00493C23"/>
    <w:rsid w:val="00493CE0"/>
    <w:rsid w:val="00493D27"/>
    <w:rsid w:val="00494083"/>
    <w:rsid w:val="004941D5"/>
    <w:rsid w:val="0049423E"/>
    <w:rsid w:val="0049425C"/>
    <w:rsid w:val="0049457A"/>
    <w:rsid w:val="00494B21"/>
    <w:rsid w:val="00494BAB"/>
    <w:rsid w:val="00495101"/>
    <w:rsid w:val="004951B2"/>
    <w:rsid w:val="00495227"/>
    <w:rsid w:val="004952C6"/>
    <w:rsid w:val="004956AE"/>
    <w:rsid w:val="004957A0"/>
    <w:rsid w:val="00495C85"/>
    <w:rsid w:val="00495C8F"/>
    <w:rsid w:val="00495D59"/>
    <w:rsid w:val="00495D7C"/>
    <w:rsid w:val="00495DA1"/>
    <w:rsid w:val="0049601E"/>
    <w:rsid w:val="004960C6"/>
    <w:rsid w:val="004962C2"/>
    <w:rsid w:val="004965BE"/>
    <w:rsid w:val="00496887"/>
    <w:rsid w:val="00496A28"/>
    <w:rsid w:val="00496BA6"/>
    <w:rsid w:val="00496E19"/>
    <w:rsid w:val="00497034"/>
    <w:rsid w:val="0049709C"/>
    <w:rsid w:val="00497221"/>
    <w:rsid w:val="004974F7"/>
    <w:rsid w:val="004975B9"/>
    <w:rsid w:val="0049764C"/>
    <w:rsid w:val="00497736"/>
    <w:rsid w:val="00497972"/>
    <w:rsid w:val="00497ADE"/>
    <w:rsid w:val="00497B68"/>
    <w:rsid w:val="00497BE8"/>
    <w:rsid w:val="00497E09"/>
    <w:rsid w:val="004A021B"/>
    <w:rsid w:val="004A022A"/>
    <w:rsid w:val="004A03CE"/>
    <w:rsid w:val="004A0491"/>
    <w:rsid w:val="004A04BF"/>
    <w:rsid w:val="004A079D"/>
    <w:rsid w:val="004A093F"/>
    <w:rsid w:val="004A0ACA"/>
    <w:rsid w:val="004A0C74"/>
    <w:rsid w:val="004A0CC1"/>
    <w:rsid w:val="004A1018"/>
    <w:rsid w:val="004A11C0"/>
    <w:rsid w:val="004A11ED"/>
    <w:rsid w:val="004A157F"/>
    <w:rsid w:val="004A15E4"/>
    <w:rsid w:val="004A1695"/>
    <w:rsid w:val="004A186D"/>
    <w:rsid w:val="004A188B"/>
    <w:rsid w:val="004A1901"/>
    <w:rsid w:val="004A1926"/>
    <w:rsid w:val="004A1BBC"/>
    <w:rsid w:val="004A1BFD"/>
    <w:rsid w:val="004A1D9F"/>
    <w:rsid w:val="004A20A6"/>
    <w:rsid w:val="004A22FE"/>
    <w:rsid w:val="004A25B6"/>
    <w:rsid w:val="004A25D1"/>
    <w:rsid w:val="004A2619"/>
    <w:rsid w:val="004A266A"/>
    <w:rsid w:val="004A273F"/>
    <w:rsid w:val="004A27B3"/>
    <w:rsid w:val="004A2921"/>
    <w:rsid w:val="004A2A33"/>
    <w:rsid w:val="004A2BE1"/>
    <w:rsid w:val="004A316D"/>
    <w:rsid w:val="004A3777"/>
    <w:rsid w:val="004A37E4"/>
    <w:rsid w:val="004A39BB"/>
    <w:rsid w:val="004A3A24"/>
    <w:rsid w:val="004A3B52"/>
    <w:rsid w:val="004A3C42"/>
    <w:rsid w:val="004A3D15"/>
    <w:rsid w:val="004A3D1C"/>
    <w:rsid w:val="004A3D53"/>
    <w:rsid w:val="004A408A"/>
    <w:rsid w:val="004A457E"/>
    <w:rsid w:val="004A4808"/>
    <w:rsid w:val="004A4881"/>
    <w:rsid w:val="004A4B65"/>
    <w:rsid w:val="004A4C1B"/>
    <w:rsid w:val="004A4C38"/>
    <w:rsid w:val="004A4C3C"/>
    <w:rsid w:val="004A4C5A"/>
    <w:rsid w:val="004A4D61"/>
    <w:rsid w:val="004A4E6F"/>
    <w:rsid w:val="004A4EDA"/>
    <w:rsid w:val="004A4F52"/>
    <w:rsid w:val="004A5186"/>
    <w:rsid w:val="004A5250"/>
    <w:rsid w:val="004A52B3"/>
    <w:rsid w:val="004A5803"/>
    <w:rsid w:val="004A59F4"/>
    <w:rsid w:val="004A5A85"/>
    <w:rsid w:val="004A5B4D"/>
    <w:rsid w:val="004A5CFA"/>
    <w:rsid w:val="004A5FA9"/>
    <w:rsid w:val="004A64F6"/>
    <w:rsid w:val="004A66B0"/>
    <w:rsid w:val="004A687C"/>
    <w:rsid w:val="004A6B5A"/>
    <w:rsid w:val="004A7096"/>
    <w:rsid w:val="004A7108"/>
    <w:rsid w:val="004A7142"/>
    <w:rsid w:val="004A721F"/>
    <w:rsid w:val="004A722C"/>
    <w:rsid w:val="004A72A6"/>
    <w:rsid w:val="004A7345"/>
    <w:rsid w:val="004A7398"/>
    <w:rsid w:val="004A73E2"/>
    <w:rsid w:val="004A744B"/>
    <w:rsid w:val="004A789B"/>
    <w:rsid w:val="004A7AB5"/>
    <w:rsid w:val="004A7AFE"/>
    <w:rsid w:val="004A7F9B"/>
    <w:rsid w:val="004B005A"/>
    <w:rsid w:val="004B0361"/>
    <w:rsid w:val="004B05DD"/>
    <w:rsid w:val="004B067D"/>
    <w:rsid w:val="004B0699"/>
    <w:rsid w:val="004B06B5"/>
    <w:rsid w:val="004B0747"/>
    <w:rsid w:val="004B076B"/>
    <w:rsid w:val="004B0846"/>
    <w:rsid w:val="004B091E"/>
    <w:rsid w:val="004B09D1"/>
    <w:rsid w:val="004B0A58"/>
    <w:rsid w:val="004B0AE8"/>
    <w:rsid w:val="004B0F78"/>
    <w:rsid w:val="004B105A"/>
    <w:rsid w:val="004B125E"/>
    <w:rsid w:val="004B129E"/>
    <w:rsid w:val="004B13E9"/>
    <w:rsid w:val="004B14D1"/>
    <w:rsid w:val="004B15C6"/>
    <w:rsid w:val="004B17DC"/>
    <w:rsid w:val="004B18F9"/>
    <w:rsid w:val="004B194F"/>
    <w:rsid w:val="004B1B40"/>
    <w:rsid w:val="004B1C2F"/>
    <w:rsid w:val="004B1D02"/>
    <w:rsid w:val="004B1DE4"/>
    <w:rsid w:val="004B1E63"/>
    <w:rsid w:val="004B1E72"/>
    <w:rsid w:val="004B24A4"/>
    <w:rsid w:val="004B24C5"/>
    <w:rsid w:val="004B252B"/>
    <w:rsid w:val="004B27CC"/>
    <w:rsid w:val="004B29CB"/>
    <w:rsid w:val="004B2AA5"/>
    <w:rsid w:val="004B2EA1"/>
    <w:rsid w:val="004B2F4E"/>
    <w:rsid w:val="004B355F"/>
    <w:rsid w:val="004B3693"/>
    <w:rsid w:val="004B3AA6"/>
    <w:rsid w:val="004B4107"/>
    <w:rsid w:val="004B4117"/>
    <w:rsid w:val="004B41EE"/>
    <w:rsid w:val="004B42D2"/>
    <w:rsid w:val="004B43CF"/>
    <w:rsid w:val="004B446C"/>
    <w:rsid w:val="004B448D"/>
    <w:rsid w:val="004B4617"/>
    <w:rsid w:val="004B479F"/>
    <w:rsid w:val="004B4875"/>
    <w:rsid w:val="004B490D"/>
    <w:rsid w:val="004B4AA6"/>
    <w:rsid w:val="004B4F0B"/>
    <w:rsid w:val="004B501C"/>
    <w:rsid w:val="004B54E9"/>
    <w:rsid w:val="004B5551"/>
    <w:rsid w:val="004B56FE"/>
    <w:rsid w:val="004B5AC3"/>
    <w:rsid w:val="004B5C28"/>
    <w:rsid w:val="004B5C2F"/>
    <w:rsid w:val="004B5FAE"/>
    <w:rsid w:val="004B600B"/>
    <w:rsid w:val="004B6169"/>
    <w:rsid w:val="004B6180"/>
    <w:rsid w:val="004B61D3"/>
    <w:rsid w:val="004B6582"/>
    <w:rsid w:val="004B6617"/>
    <w:rsid w:val="004B6C79"/>
    <w:rsid w:val="004B6E50"/>
    <w:rsid w:val="004B6FA3"/>
    <w:rsid w:val="004B7151"/>
    <w:rsid w:val="004B73BA"/>
    <w:rsid w:val="004B76B0"/>
    <w:rsid w:val="004B77C8"/>
    <w:rsid w:val="004B7F1F"/>
    <w:rsid w:val="004B7F51"/>
    <w:rsid w:val="004C019B"/>
    <w:rsid w:val="004C0272"/>
    <w:rsid w:val="004C02D7"/>
    <w:rsid w:val="004C0388"/>
    <w:rsid w:val="004C03E5"/>
    <w:rsid w:val="004C043D"/>
    <w:rsid w:val="004C0522"/>
    <w:rsid w:val="004C059E"/>
    <w:rsid w:val="004C066C"/>
    <w:rsid w:val="004C067C"/>
    <w:rsid w:val="004C083F"/>
    <w:rsid w:val="004C0AE1"/>
    <w:rsid w:val="004C0BFA"/>
    <w:rsid w:val="004C0C9A"/>
    <w:rsid w:val="004C0D07"/>
    <w:rsid w:val="004C0D0A"/>
    <w:rsid w:val="004C0F2D"/>
    <w:rsid w:val="004C11A9"/>
    <w:rsid w:val="004C1251"/>
    <w:rsid w:val="004C12DC"/>
    <w:rsid w:val="004C12E6"/>
    <w:rsid w:val="004C1652"/>
    <w:rsid w:val="004C1786"/>
    <w:rsid w:val="004C186B"/>
    <w:rsid w:val="004C186D"/>
    <w:rsid w:val="004C191C"/>
    <w:rsid w:val="004C199B"/>
    <w:rsid w:val="004C1BBE"/>
    <w:rsid w:val="004C1CAE"/>
    <w:rsid w:val="004C1CB1"/>
    <w:rsid w:val="004C1D9B"/>
    <w:rsid w:val="004C1FE1"/>
    <w:rsid w:val="004C2273"/>
    <w:rsid w:val="004C2293"/>
    <w:rsid w:val="004C24E1"/>
    <w:rsid w:val="004C264E"/>
    <w:rsid w:val="004C272F"/>
    <w:rsid w:val="004C27E0"/>
    <w:rsid w:val="004C2855"/>
    <w:rsid w:val="004C2A57"/>
    <w:rsid w:val="004C2AC8"/>
    <w:rsid w:val="004C2AFE"/>
    <w:rsid w:val="004C2E01"/>
    <w:rsid w:val="004C2EE2"/>
    <w:rsid w:val="004C310F"/>
    <w:rsid w:val="004C3237"/>
    <w:rsid w:val="004C3254"/>
    <w:rsid w:val="004C329E"/>
    <w:rsid w:val="004C3393"/>
    <w:rsid w:val="004C33C1"/>
    <w:rsid w:val="004C3443"/>
    <w:rsid w:val="004C347A"/>
    <w:rsid w:val="004C37BB"/>
    <w:rsid w:val="004C382E"/>
    <w:rsid w:val="004C390A"/>
    <w:rsid w:val="004C3AC8"/>
    <w:rsid w:val="004C3B36"/>
    <w:rsid w:val="004C3C16"/>
    <w:rsid w:val="004C3C2F"/>
    <w:rsid w:val="004C3C7B"/>
    <w:rsid w:val="004C4193"/>
    <w:rsid w:val="004C419C"/>
    <w:rsid w:val="004C41BF"/>
    <w:rsid w:val="004C42C6"/>
    <w:rsid w:val="004C43AF"/>
    <w:rsid w:val="004C4552"/>
    <w:rsid w:val="004C4604"/>
    <w:rsid w:val="004C46D0"/>
    <w:rsid w:val="004C46E0"/>
    <w:rsid w:val="004C4712"/>
    <w:rsid w:val="004C4A4E"/>
    <w:rsid w:val="004C4ED7"/>
    <w:rsid w:val="004C504E"/>
    <w:rsid w:val="004C5064"/>
    <w:rsid w:val="004C51EF"/>
    <w:rsid w:val="004C55C7"/>
    <w:rsid w:val="004C56CF"/>
    <w:rsid w:val="004C5748"/>
    <w:rsid w:val="004C57F9"/>
    <w:rsid w:val="004C58E3"/>
    <w:rsid w:val="004C5BAC"/>
    <w:rsid w:val="004C5D8E"/>
    <w:rsid w:val="004C5DF4"/>
    <w:rsid w:val="004C5EF9"/>
    <w:rsid w:val="004C62F8"/>
    <w:rsid w:val="004C66AF"/>
    <w:rsid w:val="004C66E2"/>
    <w:rsid w:val="004C67C8"/>
    <w:rsid w:val="004C6B25"/>
    <w:rsid w:val="004C6C74"/>
    <w:rsid w:val="004C6D7E"/>
    <w:rsid w:val="004C6DDE"/>
    <w:rsid w:val="004C71E2"/>
    <w:rsid w:val="004C7209"/>
    <w:rsid w:val="004C747B"/>
    <w:rsid w:val="004C762E"/>
    <w:rsid w:val="004C762F"/>
    <w:rsid w:val="004C7731"/>
    <w:rsid w:val="004C7883"/>
    <w:rsid w:val="004C7D40"/>
    <w:rsid w:val="004C7FCA"/>
    <w:rsid w:val="004D0236"/>
    <w:rsid w:val="004D02F4"/>
    <w:rsid w:val="004D0381"/>
    <w:rsid w:val="004D0445"/>
    <w:rsid w:val="004D0616"/>
    <w:rsid w:val="004D067C"/>
    <w:rsid w:val="004D07F3"/>
    <w:rsid w:val="004D08C5"/>
    <w:rsid w:val="004D091A"/>
    <w:rsid w:val="004D0A88"/>
    <w:rsid w:val="004D0C63"/>
    <w:rsid w:val="004D0D83"/>
    <w:rsid w:val="004D0EFB"/>
    <w:rsid w:val="004D0F3D"/>
    <w:rsid w:val="004D0F60"/>
    <w:rsid w:val="004D10E9"/>
    <w:rsid w:val="004D11A3"/>
    <w:rsid w:val="004D11C1"/>
    <w:rsid w:val="004D1210"/>
    <w:rsid w:val="004D1324"/>
    <w:rsid w:val="004D13B3"/>
    <w:rsid w:val="004D145C"/>
    <w:rsid w:val="004D158A"/>
    <w:rsid w:val="004D1793"/>
    <w:rsid w:val="004D1ACA"/>
    <w:rsid w:val="004D1ECF"/>
    <w:rsid w:val="004D2340"/>
    <w:rsid w:val="004D2347"/>
    <w:rsid w:val="004D25D5"/>
    <w:rsid w:val="004D2D05"/>
    <w:rsid w:val="004D2D19"/>
    <w:rsid w:val="004D2D9C"/>
    <w:rsid w:val="004D2E27"/>
    <w:rsid w:val="004D3078"/>
    <w:rsid w:val="004D329E"/>
    <w:rsid w:val="004D3566"/>
    <w:rsid w:val="004D3769"/>
    <w:rsid w:val="004D39FB"/>
    <w:rsid w:val="004D3C28"/>
    <w:rsid w:val="004D3EE0"/>
    <w:rsid w:val="004D3FD3"/>
    <w:rsid w:val="004D406B"/>
    <w:rsid w:val="004D42AE"/>
    <w:rsid w:val="004D4314"/>
    <w:rsid w:val="004D43FA"/>
    <w:rsid w:val="004D442D"/>
    <w:rsid w:val="004D4523"/>
    <w:rsid w:val="004D46DC"/>
    <w:rsid w:val="004D4876"/>
    <w:rsid w:val="004D4922"/>
    <w:rsid w:val="004D49B9"/>
    <w:rsid w:val="004D4C20"/>
    <w:rsid w:val="004D4CBE"/>
    <w:rsid w:val="004D4FA1"/>
    <w:rsid w:val="004D5040"/>
    <w:rsid w:val="004D52A1"/>
    <w:rsid w:val="004D52AD"/>
    <w:rsid w:val="004D535F"/>
    <w:rsid w:val="004D53AC"/>
    <w:rsid w:val="004D558F"/>
    <w:rsid w:val="004D55FD"/>
    <w:rsid w:val="004D56B1"/>
    <w:rsid w:val="004D56EF"/>
    <w:rsid w:val="004D58F8"/>
    <w:rsid w:val="004D5A53"/>
    <w:rsid w:val="004D5E6E"/>
    <w:rsid w:val="004D5ECE"/>
    <w:rsid w:val="004D5FE6"/>
    <w:rsid w:val="004D601A"/>
    <w:rsid w:val="004D6031"/>
    <w:rsid w:val="004D641A"/>
    <w:rsid w:val="004D65E6"/>
    <w:rsid w:val="004D681F"/>
    <w:rsid w:val="004D69AF"/>
    <w:rsid w:val="004D6CDA"/>
    <w:rsid w:val="004D6CE5"/>
    <w:rsid w:val="004D6DA7"/>
    <w:rsid w:val="004D70B7"/>
    <w:rsid w:val="004D7474"/>
    <w:rsid w:val="004D76A0"/>
    <w:rsid w:val="004D76DE"/>
    <w:rsid w:val="004D77B5"/>
    <w:rsid w:val="004D792B"/>
    <w:rsid w:val="004D796D"/>
    <w:rsid w:val="004D7B6E"/>
    <w:rsid w:val="004D7CC6"/>
    <w:rsid w:val="004D7D20"/>
    <w:rsid w:val="004D7D54"/>
    <w:rsid w:val="004E0133"/>
    <w:rsid w:val="004E02F5"/>
    <w:rsid w:val="004E03CE"/>
    <w:rsid w:val="004E055E"/>
    <w:rsid w:val="004E0578"/>
    <w:rsid w:val="004E06B2"/>
    <w:rsid w:val="004E06B7"/>
    <w:rsid w:val="004E0844"/>
    <w:rsid w:val="004E08F7"/>
    <w:rsid w:val="004E0CF2"/>
    <w:rsid w:val="004E0D7E"/>
    <w:rsid w:val="004E0F15"/>
    <w:rsid w:val="004E0FCC"/>
    <w:rsid w:val="004E1017"/>
    <w:rsid w:val="004E106B"/>
    <w:rsid w:val="004E10EB"/>
    <w:rsid w:val="004E14F8"/>
    <w:rsid w:val="004E17A4"/>
    <w:rsid w:val="004E1A82"/>
    <w:rsid w:val="004E1D3E"/>
    <w:rsid w:val="004E1E2C"/>
    <w:rsid w:val="004E1F98"/>
    <w:rsid w:val="004E229C"/>
    <w:rsid w:val="004E22D6"/>
    <w:rsid w:val="004E2320"/>
    <w:rsid w:val="004E2361"/>
    <w:rsid w:val="004E23CA"/>
    <w:rsid w:val="004E24BC"/>
    <w:rsid w:val="004E2507"/>
    <w:rsid w:val="004E295E"/>
    <w:rsid w:val="004E2A3A"/>
    <w:rsid w:val="004E2B71"/>
    <w:rsid w:val="004E2BA9"/>
    <w:rsid w:val="004E2DE0"/>
    <w:rsid w:val="004E2E3E"/>
    <w:rsid w:val="004E2ED9"/>
    <w:rsid w:val="004E300E"/>
    <w:rsid w:val="004E302A"/>
    <w:rsid w:val="004E317B"/>
    <w:rsid w:val="004E329A"/>
    <w:rsid w:val="004E329C"/>
    <w:rsid w:val="004E34D6"/>
    <w:rsid w:val="004E3BC6"/>
    <w:rsid w:val="004E3ED3"/>
    <w:rsid w:val="004E441C"/>
    <w:rsid w:val="004E4557"/>
    <w:rsid w:val="004E460B"/>
    <w:rsid w:val="004E4872"/>
    <w:rsid w:val="004E4B02"/>
    <w:rsid w:val="004E4EE8"/>
    <w:rsid w:val="004E4F88"/>
    <w:rsid w:val="004E50D1"/>
    <w:rsid w:val="004E51C1"/>
    <w:rsid w:val="004E52D3"/>
    <w:rsid w:val="004E53B9"/>
    <w:rsid w:val="004E53DF"/>
    <w:rsid w:val="004E5424"/>
    <w:rsid w:val="004E54AA"/>
    <w:rsid w:val="004E5542"/>
    <w:rsid w:val="004E56B1"/>
    <w:rsid w:val="004E56F8"/>
    <w:rsid w:val="004E58C4"/>
    <w:rsid w:val="004E611E"/>
    <w:rsid w:val="004E6421"/>
    <w:rsid w:val="004E64D1"/>
    <w:rsid w:val="004E6752"/>
    <w:rsid w:val="004E68E3"/>
    <w:rsid w:val="004E6957"/>
    <w:rsid w:val="004E6A32"/>
    <w:rsid w:val="004E6F81"/>
    <w:rsid w:val="004E7052"/>
    <w:rsid w:val="004E7297"/>
    <w:rsid w:val="004E75D3"/>
    <w:rsid w:val="004E7831"/>
    <w:rsid w:val="004E798B"/>
    <w:rsid w:val="004E7AE0"/>
    <w:rsid w:val="004F009C"/>
    <w:rsid w:val="004F06B7"/>
    <w:rsid w:val="004F06BE"/>
    <w:rsid w:val="004F07A6"/>
    <w:rsid w:val="004F08F3"/>
    <w:rsid w:val="004F0A3E"/>
    <w:rsid w:val="004F0B26"/>
    <w:rsid w:val="004F0BCD"/>
    <w:rsid w:val="004F0C56"/>
    <w:rsid w:val="004F0D09"/>
    <w:rsid w:val="004F0D93"/>
    <w:rsid w:val="004F0F28"/>
    <w:rsid w:val="004F103A"/>
    <w:rsid w:val="004F10D8"/>
    <w:rsid w:val="004F1654"/>
    <w:rsid w:val="004F16A4"/>
    <w:rsid w:val="004F1728"/>
    <w:rsid w:val="004F17E4"/>
    <w:rsid w:val="004F1CB6"/>
    <w:rsid w:val="004F1D93"/>
    <w:rsid w:val="004F1DE6"/>
    <w:rsid w:val="004F1E4C"/>
    <w:rsid w:val="004F20DE"/>
    <w:rsid w:val="004F248B"/>
    <w:rsid w:val="004F24D6"/>
    <w:rsid w:val="004F2651"/>
    <w:rsid w:val="004F2757"/>
    <w:rsid w:val="004F2870"/>
    <w:rsid w:val="004F2E7D"/>
    <w:rsid w:val="004F2E8E"/>
    <w:rsid w:val="004F2EF0"/>
    <w:rsid w:val="004F30FB"/>
    <w:rsid w:val="004F3165"/>
    <w:rsid w:val="004F336C"/>
    <w:rsid w:val="004F3725"/>
    <w:rsid w:val="004F3739"/>
    <w:rsid w:val="004F3801"/>
    <w:rsid w:val="004F385B"/>
    <w:rsid w:val="004F396B"/>
    <w:rsid w:val="004F3A5C"/>
    <w:rsid w:val="004F3B46"/>
    <w:rsid w:val="004F3C35"/>
    <w:rsid w:val="004F3C79"/>
    <w:rsid w:val="004F3C95"/>
    <w:rsid w:val="004F3E8D"/>
    <w:rsid w:val="004F3FC1"/>
    <w:rsid w:val="004F4132"/>
    <w:rsid w:val="004F41D8"/>
    <w:rsid w:val="004F42D3"/>
    <w:rsid w:val="004F4369"/>
    <w:rsid w:val="004F461D"/>
    <w:rsid w:val="004F470E"/>
    <w:rsid w:val="004F475E"/>
    <w:rsid w:val="004F4A08"/>
    <w:rsid w:val="004F4AC1"/>
    <w:rsid w:val="004F4BD6"/>
    <w:rsid w:val="004F4EC0"/>
    <w:rsid w:val="004F4FC2"/>
    <w:rsid w:val="004F5132"/>
    <w:rsid w:val="004F55FC"/>
    <w:rsid w:val="004F56A7"/>
    <w:rsid w:val="004F57CE"/>
    <w:rsid w:val="004F5B8D"/>
    <w:rsid w:val="004F5C43"/>
    <w:rsid w:val="004F5CA8"/>
    <w:rsid w:val="004F5D77"/>
    <w:rsid w:val="004F60E1"/>
    <w:rsid w:val="004F627F"/>
    <w:rsid w:val="004F64C8"/>
    <w:rsid w:val="004F652B"/>
    <w:rsid w:val="004F654D"/>
    <w:rsid w:val="004F65EC"/>
    <w:rsid w:val="004F691C"/>
    <w:rsid w:val="004F6ADE"/>
    <w:rsid w:val="004F6FF8"/>
    <w:rsid w:val="004F70DD"/>
    <w:rsid w:val="004F70EC"/>
    <w:rsid w:val="004F7116"/>
    <w:rsid w:val="004F7120"/>
    <w:rsid w:val="004F7157"/>
    <w:rsid w:val="004F71F1"/>
    <w:rsid w:val="004F7213"/>
    <w:rsid w:val="004F736F"/>
    <w:rsid w:val="004F741E"/>
    <w:rsid w:val="004F76E8"/>
    <w:rsid w:val="004F7747"/>
    <w:rsid w:val="004F7756"/>
    <w:rsid w:val="004F77BC"/>
    <w:rsid w:val="004F77F4"/>
    <w:rsid w:val="004F7A3C"/>
    <w:rsid w:val="004F7B95"/>
    <w:rsid w:val="004F7F9C"/>
    <w:rsid w:val="005000D8"/>
    <w:rsid w:val="005002B2"/>
    <w:rsid w:val="005005FA"/>
    <w:rsid w:val="005005FC"/>
    <w:rsid w:val="0050063C"/>
    <w:rsid w:val="0050064C"/>
    <w:rsid w:val="0050065F"/>
    <w:rsid w:val="00500754"/>
    <w:rsid w:val="0050084D"/>
    <w:rsid w:val="00500A9F"/>
    <w:rsid w:val="00500DB0"/>
    <w:rsid w:val="00500E00"/>
    <w:rsid w:val="00500F36"/>
    <w:rsid w:val="005010B2"/>
    <w:rsid w:val="00501163"/>
    <w:rsid w:val="005011CA"/>
    <w:rsid w:val="005014DF"/>
    <w:rsid w:val="0050163A"/>
    <w:rsid w:val="005016AE"/>
    <w:rsid w:val="0050178D"/>
    <w:rsid w:val="00501A40"/>
    <w:rsid w:val="00501B10"/>
    <w:rsid w:val="00501B15"/>
    <w:rsid w:val="00501D42"/>
    <w:rsid w:val="00501E4C"/>
    <w:rsid w:val="00501FAA"/>
    <w:rsid w:val="005023FB"/>
    <w:rsid w:val="0050254B"/>
    <w:rsid w:val="00502621"/>
    <w:rsid w:val="00502E01"/>
    <w:rsid w:val="00502E71"/>
    <w:rsid w:val="00502ED3"/>
    <w:rsid w:val="00502F17"/>
    <w:rsid w:val="00502FD7"/>
    <w:rsid w:val="005030DC"/>
    <w:rsid w:val="005031ED"/>
    <w:rsid w:val="00503262"/>
    <w:rsid w:val="00503344"/>
    <w:rsid w:val="0050334D"/>
    <w:rsid w:val="0050385F"/>
    <w:rsid w:val="00503A80"/>
    <w:rsid w:val="00503E85"/>
    <w:rsid w:val="00504304"/>
    <w:rsid w:val="005043CF"/>
    <w:rsid w:val="0050453F"/>
    <w:rsid w:val="005045BC"/>
    <w:rsid w:val="00504768"/>
    <w:rsid w:val="005047B2"/>
    <w:rsid w:val="0050493A"/>
    <w:rsid w:val="0050493F"/>
    <w:rsid w:val="00504AE0"/>
    <w:rsid w:val="00504BF3"/>
    <w:rsid w:val="00504C28"/>
    <w:rsid w:val="00504CBB"/>
    <w:rsid w:val="005050C4"/>
    <w:rsid w:val="0050541C"/>
    <w:rsid w:val="00505509"/>
    <w:rsid w:val="005056CE"/>
    <w:rsid w:val="0050589B"/>
    <w:rsid w:val="005059AA"/>
    <w:rsid w:val="00505BB5"/>
    <w:rsid w:val="00505C6E"/>
    <w:rsid w:val="00505CBB"/>
    <w:rsid w:val="00505EAB"/>
    <w:rsid w:val="00505FC0"/>
    <w:rsid w:val="00506071"/>
    <w:rsid w:val="0050635C"/>
    <w:rsid w:val="005063C5"/>
    <w:rsid w:val="00506537"/>
    <w:rsid w:val="00506572"/>
    <w:rsid w:val="0050668D"/>
    <w:rsid w:val="005069CE"/>
    <w:rsid w:val="00506A70"/>
    <w:rsid w:val="00506DF1"/>
    <w:rsid w:val="00507128"/>
    <w:rsid w:val="005071BB"/>
    <w:rsid w:val="00507448"/>
    <w:rsid w:val="0050752F"/>
    <w:rsid w:val="00507596"/>
    <w:rsid w:val="005076C7"/>
    <w:rsid w:val="00507759"/>
    <w:rsid w:val="00507763"/>
    <w:rsid w:val="005077DC"/>
    <w:rsid w:val="00507872"/>
    <w:rsid w:val="00507A12"/>
    <w:rsid w:val="00507CA9"/>
    <w:rsid w:val="00507D3D"/>
    <w:rsid w:val="00507DF8"/>
    <w:rsid w:val="00507E4E"/>
    <w:rsid w:val="00507E68"/>
    <w:rsid w:val="00507F17"/>
    <w:rsid w:val="00507F7A"/>
    <w:rsid w:val="005100CB"/>
    <w:rsid w:val="005100E7"/>
    <w:rsid w:val="00510128"/>
    <w:rsid w:val="00510202"/>
    <w:rsid w:val="00510308"/>
    <w:rsid w:val="00510363"/>
    <w:rsid w:val="0051043B"/>
    <w:rsid w:val="00510452"/>
    <w:rsid w:val="00510491"/>
    <w:rsid w:val="005105FA"/>
    <w:rsid w:val="00510696"/>
    <w:rsid w:val="00510862"/>
    <w:rsid w:val="00510999"/>
    <w:rsid w:val="00510D51"/>
    <w:rsid w:val="00510E54"/>
    <w:rsid w:val="00510F70"/>
    <w:rsid w:val="005110D0"/>
    <w:rsid w:val="005111E5"/>
    <w:rsid w:val="005111F5"/>
    <w:rsid w:val="005112C5"/>
    <w:rsid w:val="00511321"/>
    <w:rsid w:val="0051163A"/>
    <w:rsid w:val="00511740"/>
    <w:rsid w:val="00511770"/>
    <w:rsid w:val="00511798"/>
    <w:rsid w:val="005118D9"/>
    <w:rsid w:val="00511D00"/>
    <w:rsid w:val="00511DBF"/>
    <w:rsid w:val="00511E54"/>
    <w:rsid w:val="00511F10"/>
    <w:rsid w:val="00511F36"/>
    <w:rsid w:val="00511F7B"/>
    <w:rsid w:val="0051201E"/>
    <w:rsid w:val="005120A0"/>
    <w:rsid w:val="005121C5"/>
    <w:rsid w:val="005125E5"/>
    <w:rsid w:val="005126A8"/>
    <w:rsid w:val="0051279A"/>
    <w:rsid w:val="00512942"/>
    <w:rsid w:val="005129E5"/>
    <w:rsid w:val="00512A2D"/>
    <w:rsid w:val="00512D27"/>
    <w:rsid w:val="00512D5B"/>
    <w:rsid w:val="00512E85"/>
    <w:rsid w:val="00512F04"/>
    <w:rsid w:val="00513041"/>
    <w:rsid w:val="00513350"/>
    <w:rsid w:val="005133B6"/>
    <w:rsid w:val="005133BB"/>
    <w:rsid w:val="00513893"/>
    <w:rsid w:val="00513946"/>
    <w:rsid w:val="005139D3"/>
    <w:rsid w:val="00513C40"/>
    <w:rsid w:val="00513C4C"/>
    <w:rsid w:val="00513CBA"/>
    <w:rsid w:val="005141D3"/>
    <w:rsid w:val="00514250"/>
    <w:rsid w:val="00514553"/>
    <w:rsid w:val="0051456C"/>
    <w:rsid w:val="005146A5"/>
    <w:rsid w:val="00514946"/>
    <w:rsid w:val="00514B3A"/>
    <w:rsid w:val="00514CAC"/>
    <w:rsid w:val="00514DDB"/>
    <w:rsid w:val="00514E59"/>
    <w:rsid w:val="0051502A"/>
    <w:rsid w:val="005150FE"/>
    <w:rsid w:val="0051512A"/>
    <w:rsid w:val="0051543B"/>
    <w:rsid w:val="0051549A"/>
    <w:rsid w:val="00515517"/>
    <w:rsid w:val="00515849"/>
    <w:rsid w:val="0051593E"/>
    <w:rsid w:val="00515B11"/>
    <w:rsid w:val="0051605C"/>
    <w:rsid w:val="00516209"/>
    <w:rsid w:val="005162DD"/>
    <w:rsid w:val="0051630C"/>
    <w:rsid w:val="00516995"/>
    <w:rsid w:val="00516D44"/>
    <w:rsid w:val="00516FDC"/>
    <w:rsid w:val="00517190"/>
    <w:rsid w:val="00517422"/>
    <w:rsid w:val="005179C6"/>
    <w:rsid w:val="00517A62"/>
    <w:rsid w:val="00517A85"/>
    <w:rsid w:val="00517C03"/>
    <w:rsid w:val="00517D30"/>
    <w:rsid w:val="00520186"/>
    <w:rsid w:val="00520260"/>
    <w:rsid w:val="005203D1"/>
    <w:rsid w:val="00520464"/>
    <w:rsid w:val="0052047A"/>
    <w:rsid w:val="005204B7"/>
    <w:rsid w:val="005205F6"/>
    <w:rsid w:val="005206A9"/>
    <w:rsid w:val="005206E7"/>
    <w:rsid w:val="00520735"/>
    <w:rsid w:val="005209C1"/>
    <w:rsid w:val="00520A2C"/>
    <w:rsid w:val="00520C2E"/>
    <w:rsid w:val="00520CFC"/>
    <w:rsid w:val="00520DE9"/>
    <w:rsid w:val="00520FEA"/>
    <w:rsid w:val="005211A5"/>
    <w:rsid w:val="0052124B"/>
    <w:rsid w:val="00521463"/>
    <w:rsid w:val="0052163A"/>
    <w:rsid w:val="00521872"/>
    <w:rsid w:val="00521998"/>
    <w:rsid w:val="00521CB7"/>
    <w:rsid w:val="00521E05"/>
    <w:rsid w:val="00521F89"/>
    <w:rsid w:val="00521F97"/>
    <w:rsid w:val="005226D8"/>
    <w:rsid w:val="00522766"/>
    <w:rsid w:val="00522825"/>
    <w:rsid w:val="00522A40"/>
    <w:rsid w:val="00522B50"/>
    <w:rsid w:val="00522BAB"/>
    <w:rsid w:val="00522DEE"/>
    <w:rsid w:val="00522F65"/>
    <w:rsid w:val="00523009"/>
    <w:rsid w:val="0052312F"/>
    <w:rsid w:val="005231CB"/>
    <w:rsid w:val="00523240"/>
    <w:rsid w:val="0052328E"/>
    <w:rsid w:val="00523315"/>
    <w:rsid w:val="005237A6"/>
    <w:rsid w:val="005237F4"/>
    <w:rsid w:val="005239BF"/>
    <w:rsid w:val="00523A40"/>
    <w:rsid w:val="00523A68"/>
    <w:rsid w:val="00523D98"/>
    <w:rsid w:val="00523EB6"/>
    <w:rsid w:val="00524100"/>
    <w:rsid w:val="00524122"/>
    <w:rsid w:val="00524318"/>
    <w:rsid w:val="0052444F"/>
    <w:rsid w:val="00524524"/>
    <w:rsid w:val="005245FC"/>
    <w:rsid w:val="00524857"/>
    <w:rsid w:val="00524BFD"/>
    <w:rsid w:val="005253C6"/>
    <w:rsid w:val="005253C9"/>
    <w:rsid w:val="00525582"/>
    <w:rsid w:val="005255DA"/>
    <w:rsid w:val="00525643"/>
    <w:rsid w:val="00525662"/>
    <w:rsid w:val="00525669"/>
    <w:rsid w:val="005257C3"/>
    <w:rsid w:val="00525973"/>
    <w:rsid w:val="00525B01"/>
    <w:rsid w:val="00525D24"/>
    <w:rsid w:val="00525D33"/>
    <w:rsid w:val="00525D54"/>
    <w:rsid w:val="00525DC7"/>
    <w:rsid w:val="00526030"/>
    <w:rsid w:val="00526045"/>
    <w:rsid w:val="005262D1"/>
    <w:rsid w:val="005263AA"/>
    <w:rsid w:val="0052665E"/>
    <w:rsid w:val="005267CE"/>
    <w:rsid w:val="00526901"/>
    <w:rsid w:val="00526986"/>
    <w:rsid w:val="00526C51"/>
    <w:rsid w:val="00526DD0"/>
    <w:rsid w:val="00526F33"/>
    <w:rsid w:val="00527011"/>
    <w:rsid w:val="0052702E"/>
    <w:rsid w:val="005270D6"/>
    <w:rsid w:val="005270D7"/>
    <w:rsid w:val="005273DD"/>
    <w:rsid w:val="00530025"/>
    <w:rsid w:val="00530128"/>
    <w:rsid w:val="0053036E"/>
    <w:rsid w:val="005304FD"/>
    <w:rsid w:val="005307A0"/>
    <w:rsid w:val="00530971"/>
    <w:rsid w:val="00530D8C"/>
    <w:rsid w:val="00530DB1"/>
    <w:rsid w:val="00530EC8"/>
    <w:rsid w:val="00531084"/>
    <w:rsid w:val="005310E8"/>
    <w:rsid w:val="005314E7"/>
    <w:rsid w:val="00531686"/>
    <w:rsid w:val="005318F7"/>
    <w:rsid w:val="005319E4"/>
    <w:rsid w:val="00531A06"/>
    <w:rsid w:val="00531CE5"/>
    <w:rsid w:val="00531CEA"/>
    <w:rsid w:val="00531FF5"/>
    <w:rsid w:val="00532100"/>
    <w:rsid w:val="005322A4"/>
    <w:rsid w:val="005322AC"/>
    <w:rsid w:val="005323F3"/>
    <w:rsid w:val="0053241B"/>
    <w:rsid w:val="0053259C"/>
    <w:rsid w:val="0053264B"/>
    <w:rsid w:val="00532CDD"/>
    <w:rsid w:val="00532D94"/>
    <w:rsid w:val="00532DF3"/>
    <w:rsid w:val="00532F4A"/>
    <w:rsid w:val="00533322"/>
    <w:rsid w:val="00533632"/>
    <w:rsid w:val="0053366D"/>
    <w:rsid w:val="00533870"/>
    <w:rsid w:val="005338B7"/>
    <w:rsid w:val="00533A69"/>
    <w:rsid w:val="00533AEF"/>
    <w:rsid w:val="00533F8C"/>
    <w:rsid w:val="00534096"/>
    <w:rsid w:val="00534305"/>
    <w:rsid w:val="00534759"/>
    <w:rsid w:val="00534848"/>
    <w:rsid w:val="00534C3E"/>
    <w:rsid w:val="00534D06"/>
    <w:rsid w:val="00534D40"/>
    <w:rsid w:val="00534F20"/>
    <w:rsid w:val="00534FA5"/>
    <w:rsid w:val="00535005"/>
    <w:rsid w:val="00535011"/>
    <w:rsid w:val="00535218"/>
    <w:rsid w:val="005359E4"/>
    <w:rsid w:val="00535BCB"/>
    <w:rsid w:val="00535CE8"/>
    <w:rsid w:val="00535D80"/>
    <w:rsid w:val="005360E1"/>
    <w:rsid w:val="0053611A"/>
    <w:rsid w:val="005362E7"/>
    <w:rsid w:val="0053635C"/>
    <w:rsid w:val="005366C8"/>
    <w:rsid w:val="005366E9"/>
    <w:rsid w:val="00536776"/>
    <w:rsid w:val="00536A83"/>
    <w:rsid w:val="00536AA3"/>
    <w:rsid w:val="00536BB8"/>
    <w:rsid w:val="00536E5A"/>
    <w:rsid w:val="00536E92"/>
    <w:rsid w:val="00536EA6"/>
    <w:rsid w:val="00537060"/>
    <w:rsid w:val="00537354"/>
    <w:rsid w:val="00537923"/>
    <w:rsid w:val="00537951"/>
    <w:rsid w:val="005379BC"/>
    <w:rsid w:val="00537A78"/>
    <w:rsid w:val="00537AC0"/>
    <w:rsid w:val="00537AFF"/>
    <w:rsid w:val="00537B58"/>
    <w:rsid w:val="00537C1B"/>
    <w:rsid w:val="00537C48"/>
    <w:rsid w:val="00537D58"/>
    <w:rsid w:val="00537F39"/>
    <w:rsid w:val="005400EB"/>
    <w:rsid w:val="00540388"/>
    <w:rsid w:val="005404BC"/>
    <w:rsid w:val="00540798"/>
    <w:rsid w:val="005409BF"/>
    <w:rsid w:val="00540C5B"/>
    <w:rsid w:val="00540D40"/>
    <w:rsid w:val="00540DBD"/>
    <w:rsid w:val="00540EE2"/>
    <w:rsid w:val="00541034"/>
    <w:rsid w:val="005410FD"/>
    <w:rsid w:val="0054111A"/>
    <w:rsid w:val="005413DC"/>
    <w:rsid w:val="0054150F"/>
    <w:rsid w:val="00541968"/>
    <w:rsid w:val="00541AD9"/>
    <w:rsid w:val="00541B22"/>
    <w:rsid w:val="00541C2D"/>
    <w:rsid w:val="00541CD0"/>
    <w:rsid w:val="00541E99"/>
    <w:rsid w:val="00541EF8"/>
    <w:rsid w:val="005420CA"/>
    <w:rsid w:val="005420EF"/>
    <w:rsid w:val="0054215B"/>
    <w:rsid w:val="00542175"/>
    <w:rsid w:val="00542249"/>
    <w:rsid w:val="0054235A"/>
    <w:rsid w:val="00542775"/>
    <w:rsid w:val="00542982"/>
    <w:rsid w:val="00542AAB"/>
    <w:rsid w:val="00542D45"/>
    <w:rsid w:val="005432DA"/>
    <w:rsid w:val="00543301"/>
    <w:rsid w:val="00543342"/>
    <w:rsid w:val="005433C6"/>
    <w:rsid w:val="00543497"/>
    <w:rsid w:val="00543743"/>
    <w:rsid w:val="005438EC"/>
    <w:rsid w:val="0054395E"/>
    <w:rsid w:val="005439F0"/>
    <w:rsid w:val="00543B0E"/>
    <w:rsid w:val="00543C66"/>
    <w:rsid w:val="00543F92"/>
    <w:rsid w:val="0054404C"/>
    <w:rsid w:val="005442A1"/>
    <w:rsid w:val="005442DE"/>
    <w:rsid w:val="00544523"/>
    <w:rsid w:val="005445DB"/>
    <w:rsid w:val="00544653"/>
    <w:rsid w:val="00544668"/>
    <w:rsid w:val="00544B91"/>
    <w:rsid w:val="00544BA6"/>
    <w:rsid w:val="00544BFC"/>
    <w:rsid w:val="00544E41"/>
    <w:rsid w:val="00544E61"/>
    <w:rsid w:val="00544F24"/>
    <w:rsid w:val="00544F29"/>
    <w:rsid w:val="00544FAE"/>
    <w:rsid w:val="00545023"/>
    <w:rsid w:val="005451E0"/>
    <w:rsid w:val="0054589E"/>
    <w:rsid w:val="00545931"/>
    <w:rsid w:val="005459BA"/>
    <w:rsid w:val="00545AEA"/>
    <w:rsid w:val="00545D75"/>
    <w:rsid w:val="00545E43"/>
    <w:rsid w:val="00545F93"/>
    <w:rsid w:val="00546053"/>
    <w:rsid w:val="0054631D"/>
    <w:rsid w:val="005467B3"/>
    <w:rsid w:val="005468A9"/>
    <w:rsid w:val="00546973"/>
    <w:rsid w:val="0054697F"/>
    <w:rsid w:val="005469DC"/>
    <w:rsid w:val="00546C55"/>
    <w:rsid w:val="00546E95"/>
    <w:rsid w:val="00546F54"/>
    <w:rsid w:val="00547067"/>
    <w:rsid w:val="005476CD"/>
    <w:rsid w:val="005476F2"/>
    <w:rsid w:val="0054780F"/>
    <w:rsid w:val="00547999"/>
    <w:rsid w:val="00547C0B"/>
    <w:rsid w:val="00547EE3"/>
    <w:rsid w:val="00550001"/>
    <w:rsid w:val="005502F8"/>
    <w:rsid w:val="0055045E"/>
    <w:rsid w:val="00550A11"/>
    <w:rsid w:val="00551088"/>
    <w:rsid w:val="005510CD"/>
    <w:rsid w:val="00551162"/>
    <w:rsid w:val="005512E6"/>
    <w:rsid w:val="0055133D"/>
    <w:rsid w:val="0055147B"/>
    <w:rsid w:val="00551799"/>
    <w:rsid w:val="00551BE9"/>
    <w:rsid w:val="00551EF2"/>
    <w:rsid w:val="00552473"/>
    <w:rsid w:val="005526E8"/>
    <w:rsid w:val="00552877"/>
    <w:rsid w:val="00552A9A"/>
    <w:rsid w:val="00552C11"/>
    <w:rsid w:val="00552C41"/>
    <w:rsid w:val="005531D6"/>
    <w:rsid w:val="005532FF"/>
    <w:rsid w:val="00553332"/>
    <w:rsid w:val="005533A9"/>
    <w:rsid w:val="005534AA"/>
    <w:rsid w:val="00553546"/>
    <w:rsid w:val="00553866"/>
    <w:rsid w:val="00553AC7"/>
    <w:rsid w:val="00553BE6"/>
    <w:rsid w:val="00553CC6"/>
    <w:rsid w:val="00553DD5"/>
    <w:rsid w:val="0055431B"/>
    <w:rsid w:val="0055445A"/>
    <w:rsid w:val="00554B1B"/>
    <w:rsid w:val="00554BB7"/>
    <w:rsid w:val="00554BB8"/>
    <w:rsid w:val="00554C1A"/>
    <w:rsid w:val="00554D73"/>
    <w:rsid w:val="00554F55"/>
    <w:rsid w:val="0055515B"/>
    <w:rsid w:val="005551BB"/>
    <w:rsid w:val="00555365"/>
    <w:rsid w:val="00555617"/>
    <w:rsid w:val="005556B7"/>
    <w:rsid w:val="00555922"/>
    <w:rsid w:val="005559D2"/>
    <w:rsid w:val="00555A6B"/>
    <w:rsid w:val="00555C59"/>
    <w:rsid w:val="00555D54"/>
    <w:rsid w:val="00555E13"/>
    <w:rsid w:val="00555FE7"/>
    <w:rsid w:val="00556112"/>
    <w:rsid w:val="0055619D"/>
    <w:rsid w:val="00556235"/>
    <w:rsid w:val="00556494"/>
    <w:rsid w:val="005564CA"/>
    <w:rsid w:val="00556749"/>
    <w:rsid w:val="00556B0F"/>
    <w:rsid w:val="00556B12"/>
    <w:rsid w:val="00556E95"/>
    <w:rsid w:val="0055706F"/>
    <w:rsid w:val="005572CC"/>
    <w:rsid w:val="005573E2"/>
    <w:rsid w:val="00557985"/>
    <w:rsid w:val="00557997"/>
    <w:rsid w:val="00557A21"/>
    <w:rsid w:val="00557A97"/>
    <w:rsid w:val="005601FC"/>
    <w:rsid w:val="00560384"/>
    <w:rsid w:val="00560477"/>
    <w:rsid w:val="00560536"/>
    <w:rsid w:val="005606DC"/>
    <w:rsid w:val="0056083A"/>
    <w:rsid w:val="00560982"/>
    <w:rsid w:val="00560B21"/>
    <w:rsid w:val="00560BD5"/>
    <w:rsid w:val="00560C1D"/>
    <w:rsid w:val="00560E1F"/>
    <w:rsid w:val="00561017"/>
    <w:rsid w:val="0056112A"/>
    <w:rsid w:val="00561219"/>
    <w:rsid w:val="00561255"/>
    <w:rsid w:val="00561419"/>
    <w:rsid w:val="005614DD"/>
    <w:rsid w:val="0056182E"/>
    <w:rsid w:val="00561866"/>
    <w:rsid w:val="005618BD"/>
    <w:rsid w:val="00561B4E"/>
    <w:rsid w:val="00561B7C"/>
    <w:rsid w:val="00561CA3"/>
    <w:rsid w:val="00561DB3"/>
    <w:rsid w:val="00561E2C"/>
    <w:rsid w:val="0056216A"/>
    <w:rsid w:val="005621B9"/>
    <w:rsid w:val="005624FB"/>
    <w:rsid w:val="00562595"/>
    <w:rsid w:val="005625E1"/>
    <w:rsid w:val="00562847"/>
    <w:rsid w:val="005628B8"/>
    <w:rsid w:val="00562944"/>
    <w:rsid w:val="005629C6"/>
    <w:rsid w:val="00562A1B"/>
    <w:rsid w:val="00562BA5"/>
    <w:rsid w:val="00562CA1"/>
    <w:rsid w:val="00562CF0"/>
    <w:rsid w:val="005630B4"/>
    <w:rsid w:val="005630BB"/>
    <w:rsid w:val="00563105"/>
    <w:rsid w:val="0056325E"/>
    <w:rsid w:val="0056335A"/>
    <w:rsid w:val="005636C0"/>
    <w:rsid w:val="00563782"/>
    <w:rsid w:val="0056378E"/>
    <w:rsid w:val="005638F7"/>
    <w:rsid w:val="00563912"/>
    <w:rsid w:val="00563B69"/>
    <w:rsid w:val="00563DF4"/>
    <w:rsid w:val="00563E90"/>
    <w:rsid w:val="00563FA9"/>
    <w:rsid w:val="0056405D"/>
    <w:rsid w:val="00564193"/>
    <w:rsid w:val="00564645"/>
    <w:rsid w:val="005647D9"/>
    <w:rsid w:val="00564E73"/>
    <w:rsid w:val="00564EDD"/>
    <w:rsid w:val="00565385"/>
    <w:rsid w:val="005653DD"/>
    <w:rsid w:val="005654C3"/>
    <w:rsid w:val="0056557D"/>
    <w:rsid w:val="00565A9D"/>
    <w:rsid w:val="00565B03"/>
    <w:rsid w:val="00565EB7"/>
    <w:rsid w:val="00566101"/>
    <w:rsid w:val="00566371"/>
    <w:rsid w:val="00566783"/>
    <w:rsid w:val="005668AD"/>
    <w:rsid w:val="00566B79"/>
    <w:rsid w:val="0056700C"/>
    <w:rsid w:val="0056728A"/>
    <w:rsid w:val="005672B5"/>
    <w:rsid w:val="005674A5"/>
    <w:rsid w:val="00567791"/>
    <w:rsid w:val="00567828"/>
    <w:rsid w:val="00567934"/>
    <w:rsid w:val="00567AE9"/>
    <w:rsid w:val="00567C0C"/>
    <w:rsid w:val="00567C2B"/>
    <w:rsid w:val="00567C66"/>
    <w:rsid w:val="00567EEF"/>
    <w:rsid w:val="00570070"/>
    <w:rsid w:val="005701D6"/>
    <w:rsid w:val="005705A3"/>
    <w:rsid w:val="005705E3"/>
    <w:rsid w:val="00570720"/>
    <w:rsid w:val="00570864"/>
    <w:rsid w:val="00570B23"/>
    <w:rsid w:val="00570D52"/>
    <w:rsid w:val="00570E81"/>
    <w:rsid w:val="00571021"/>
    <w:rsid w:val="0057118C"/>
    <w:rsid w:val="00571201"/>
    <w:rsid w:val="00571225"/>
    <w:rsid w:val="005712CF"/>
    <w:rsid w:val="005712EA"/>
    <w:rsid w:val="00571550"/>
    <w:rsid w:val="0057156C"/>
    <w:rsid w:val="0057168D"/>
    <w:rsid w:val="0057169B"/>
    <w:rsid w:val="00571954"/>
    <w:rsid w:val="00571996"/>
    <w:rsid w:val="00571AD1"/>
    <w:rsid w:val="00571B15"/>
    <w:rsid w:val="00571C01"/>
    <w:rsid w:val="00571CBE"/>
    <w:rsid w:val="00571D1F"/>
    <w:rsid w:val="00571FDB"/>
    <w:rsid w:val="00572229"/>
    <w:rsid w:val="00572402"/>
    <w:rsid w:val="00572406"/>
    <w:rsid w:val="0057250B"/>
    <w:rsid w:val="005726CB"/>
    <w:rsid w:val="00572924"/>
    <w:rsid w:val="005729A9"/>
    <w:rsid w:val="00572A17"/>
    <w:rsid w:val="00572A72"/>
    <w:rsid w:val="00572BC9"/>
    <w:rsid w:val="00572BCB"/>
    <w:rsid w:val="00572C8C"/>
    <w:rsid w:val="00573243"/>
    <w:rsid w:val="0057329F"/>
    <w:rsid w:val="005734FC"/>
    <w:rsid w:val="005736D1"/>
    <w:rsid w:val="00573B48"/>
    <w:rsid w:val="00573BDD"/>
    <w:rsid w:val="00573C14"/>
    <w:rsid w:val="00573E8F"/>
    <w:rsid w:val="00573F8B"/>
    <w:rsid w:val="00574124"/>
    <w:rsid w:val="005741D4"/>
    <w:rsid w:val="005742B6"/>
    <w:rsid w:val="005743A2"/>
    <w:rsid w:val="00574460"/>
    <w:rsid w:val="00574503"/>
    <w:rsid w:val="00574597"/>
    <w:rsid w:val="00574748"/>
    <w:rsid w:val="0057485F"/>
    <w:rsid w:val="005748EF"/>
    <w:rsid w:val="0057492F"/>
    <w:rsid w:val="0057493C"/>
    <w:rsid w:val="00574A23"/>
    <w:rsid w:val="00574C75"/>
    <w:rsid w:val="00575340"/>
    <w:rsid w:val="00575501"/>
    <w:rsid w:val="00575805"/>
    <w:rsid w:val="0057598E"/>
    <w:rsid w:val="00575B55"/>
    <w:rsid w:val="00575B7F"/>
    <w:rsid w:val="00575D2A"/>
    <w:rsid w:val="005760FA"/>
    <w:rsid w:val="005767FA"/>
    <w:rsid w:val="00576939"/>
    <w:rsid w:val="005769F9"/>
    <w:rsid w:val="0057706A"/>
    <w:rsid w:val="005770C6"/>
    <w:rsid w:val="00577174"/>
    <w:rsid w:val="005771EE"/>
    <w:rsid w:val="00577333"/>
    <w:rsid w:val="00577573"/>
    <w:rsid w:val="00577671"/>
    <w:rsid w:val="005776AE"/>
    <w:rsid w:val="00577B8A"/>
    <w:rsid w:val="00577BB2"/>
    <w:rsid w:val="00577BED"/>
    <w:rsid w:val="00577C38"/>
    <w:rsid w:val="00577CB3"/>
    <w:rsid w:val="00580085"/>
    <w:rsid w:val="005800C5"/>
    <w:rsid w:val="005801B5"/>
    <w:rsid w:val="005802B6"/>
    <w:rsid w:val="00580875"/>
    <w:rsid w:val="00580926"/>
    <w:rsid w:val="00580BCE"/>
    <w:rsid w:val="005814D8"/>
    <w:rsid w:val="005815E6"/>
    <w:rsid w:val="00581658"/>
    <w:rsid w:val="005817D0"/>
    <w:rsid w:val="00581B1D"/>
    <w:rsid w:val="00581B85"/>
    <w:rsid w:val="00581DD0"/>
    <w:rsid w:val="00582106"/>
    <w:rsid w:val="00582313"/>
    <w:rsid w:val="0058237B"/>
    <w:rsid w:val="00582420"/>
    <w:rsid w:val="005824D8"/>
    <w:rsid w:val="005825AB"/>
    <w:rsid w:val="0058264D"/>
    <w:rsid w:val="0058267D"/>
    <w:rsid w:val="005828C9"/>
    <w:rsid w:val="0058290A"/>
    <w:rsid w:val="00582BDD"/>
    <w:rsid w:val="00582CAC"/>
    <w:rsid w:val="0058306C"/>
    <w:rsid w:val="005835C6"/>
    <w:rsid w:val="00583833"/>
    <w:rsid w:val="00583882"/>
    <w:rsid w:val="00583969"/>
    <w:rsid w:val="00583B0E"/>
    <w:rsid w:val="00583C1C"/>
    <w:rsid w:val="00583DC5"/>
    <w:rsid w:val="00583DF9"/>
    <w:rsid w:val="00584096"/>
    <w:rsid w:val="005840EC"/>
    <w:rsid w:val="005847D3"/>
    <w:rsid w:val="00584858"/>
    <w:rsid w:val="00584ABF"/>
    <w:rsid w:val="00584BA7"/>
    <w:rsid w:val="00584BB7"/>
    <w:rsid w:val="0058507A"/>
    <w:rsid w:val="005850CA"/>
    <w:rsid w:val="0058525A"/>
    <w:rsid w:val="0058549D"/>
    <w:rsid w:val="0058590E"/>
    <w:rsid w:val="00585DC0"/>
    <w:rsid w:val="00585F2E"/>
    <w:rsid w:val="0058628A"/>
    <w:rsid w:val="005862C6"/>
    <w:rsid w:val="0058632B"/>
    <w:rsid w:val="005864FD"/>
    <w:rsid w:val="0058661A"/>
    <w:rsid w:val="005866BF"/>
    <w:rsid w:val="00586771"/>
    <w:rsid w:val="005868E5"/>
    <w:rsid w:val="00586DD1"/>
    <w:rsid w:val="00586E01"/>
    <w:rsid w:val="00587795"/>
    <w:rsid w:val="0058783F"/>
    <w:rsid w:val="00587C58"/>
    <w:rsid w:val="00587CB5"/>
    <w:rsid w:val="00587E66"/>
    <w:rsid w:val="00590042"/>
    <w:rsid w:val="005901FC"/>
    <w:rsid w:val="005904D1"/>
    <w:rsid w:val="005906DF"/>
    <w:rsid w:val="005907A2"/>
    <w:rsid w:val="005909DA"/>
    <w:rsid w:val="00590A2D"/>
    <w:rsid w:val="00590B0C"/>
    <w:rsid w:val="00591250"/>
    <w:rsid w:val="005912E3"/>
    <w:rsid w:val="00591386"/>
    <w:rsid w:val="005916EB"/>
    <w:rsid w:val="0059178A"/>
    <w:rsid w:val="00591B98"/>
    <w:rsid w:val="00591D2C"/>
    <w:rsid w:val="00591D35"/>
    <w:rsid w:val="00591D54"/>
    <w:rsid w:val="00592181"/>
    <w:rsid w:val="00592195"/>
    <w:rsid w:val="005923D0"/>
    <w:rsid w:val="0059245C"/>
    <w:rsid w:val="0059262E"/>
    <w:rsid w:val="00592732"/>
    <w:rsid w:val="00592B07"/>
    <w:rsid w:val="00592CF0"/>
    <w:rsid w:val="00592CFE"/>
    <w:rsid w:val="00592E0C"/>
    <w:rsid w:val="00592E66"/>
    <w:rsid w:val="00592F1F"/>
    <w:rsid w:val="0059333A"/>
    <w:rsid w:val="005933BC"/>
    <w:rsid w:val="005933FC"/>
    <w:rsid w:val="005937CA"/>
    <w:rsid w:val="005937FB"/>
    <w:rsid w:val="00593855"/>
    <w:rsid w:val="00593B86"/>
    <w:rsid w:val="00593C16"/>
    <w:rsid w:val="00593C18"/>
    <w:rsid w:val="00593E0F"/>
    <w:rsid w:val="00593E5F"/>
    <w:rsid w:val="00593F90"/>
    <w:rsid w:val="00594018"/>
    <w:rsid w:val="00594273"/>
    <w:rsid w:val="005943DE"/>
    <w:rsid w:val="00594410"/>
    <w:rsid w:val="00594808"/>
    <w:rsid w:val="00594865"/>
    <w:rsid w:val="005948DD"/>
    <w:rsid w:val="00594A34"/>
    <w:rsid w:val="00594A92"/>
    <w:rsid w:val="00594A9E"/>
    <w:rsid w:val="00594C80"/>
    <w:rsid w:val="00594EE3"/>
    <w:rsid w:val="00595120"/>
    <w:rsid w:val="005952A1"/>
    <w:rsid w:val="005953A8"/>
    <w:rsid w:val="005953D2"/>
    <w:rsid w:val="00595550"/>
    <w:rsid w:val="005956D9"/>
    <w:rsid w:val="00595828"/>
    <w:rsid w:val="00595905"/>
    <w:rsid w:val="005959C5"/>
    <w:rsid w:val="005959F2"/>
    <w:rsid w:val="00595B53"/>
    <w:rsid w:val="00595CC4"/>
    <w:rsid w:val="00595D89"/>
    <w:rsid w:val="00595FA6"/>
    <w:rsid w:val="00595FD5"/>
    <w:rsid w:val="0059620B"/>
    <w:rsid w:val="0059663D"/>
    <w:rsid w:val="005966BB"/>
    <w:rsid w:val="00596903"/>
    <w:rsid w:val="00596B3A"/>
    <w:rsid w:val="00596B8D"/>
    <w:rsid w:val="00596D5E"/>
    <w:rsid w:val="00596DCD"/>
    <w:rsid w:val="00596FD2"/>
    <w:rsid w:val="00597016"/>
    <w:rsid w:val="005972E3"/>
    <w:rsid w:val="0059734D"/>
    <w:rsid w:val="0059763D"/>
    <w:rsid w:val="00597743"/>
    <w:rsid w:val="00597BE6"/>
    <w:rsid w:val="00597C70"/>
    <w:rsid w:val="005A009C"/>
    <w:rsid w:val="005A01A4"/>
    <w:rsid w:val="005A029F"/>
    <w:rsid w:val="005A03A3"/>
    <w:rsid w:val="005A0461"/>
    <w:rsid w:val="005A0752"/>
    <w:rsid w:val="005A08A8"/>
    <w:rsid w:val="005A098E"/>
    <w:rsid w:val="005A0A3C"/>
    <w:rsid w:val="005A0CE1"/>
    <w:rsid w:val="005A0DE3"/>
    <w:rsid w:val="005A10E8"/>
    <w:rsid w:val="005A12E8"/>
    <w:rsid w:val="005A1443"/>
    <w:rsid w:val="005A15D2"/>
    <w:rsid w:val="005A16EA"/>
    <w:rsid w:val="005A17CC"/>
    <w:rsid w:val="005A18C5"/>
    <w:rsid w:val="005A1B52"/>
    <w:rsid w:val="005A1B8C"/>
    <w:rsid w:val="005A1C2B"/>
    <w:rsid w:val="005A1C7A"/>
    <w:rsid w:val="005A1D39"/>
    <w:rsid w:val="005A1E28"/>
    <w:rsid w:val="005A1E88"/>
    <w:rsid w:val="005A205C"/>
    <w:rsid w:val="005A2139"/>
    <w:rsid w:val="005A2146"/>
    <w:rsid w:val="005A2153"/>
    <w:rsid w:val="005A2706"/>
    <w:rsid w:val="005A272D"/>
    <w:rsid w:val="005A2748"/>
    <w:rsid w:val="005A2787"/>
    <w:rsid w:val="005A2846"/>
    <w:rsid w:val="005A2A3F"/>
    <w:rsid w:val="005A2AD4"/>
    <w:rsid w:val="005A2DC2"/>
    <w:rsid w:val="005A2E08"/>
    <w:rsid w:val="005A2FA2"/>
    <w:rsid w:val="005A3025"/>
    <w:rsid w:val="005A3091"/>
    <w:rsid w:val="005A3206"/>
    <w:rsid w:val="005A332A"/>
    <w:rsid w:val="005A335D"/>
    <w:rsid w:val="005A338F"/>
    <w:rsid w:val="005A354F"/>
    <w:rsid w:val="005A37D3"/>
    <w:rsid w:val="005A38B1"/>
    <w:rsid w:val="005A3A4E"/>
    <w:rsid w:val="005A3A71"/>
    <w:rsid w:val="005A3D0A"/>
    <w:rsid w:val="005A3E2E"/>
    <w:rsid w:val="005A3E64"/>
    <w:rsid w:val="005A421D"/>
    <w:rsid w:val="005A432D"/>
    <w:rsid w:val="005A46AD"/>
    <w:rsid w:val="005A48E5"/>
    <w:rsid w:val="005A4914"/>
    <w:rsid w:val="005A4A73"/>
    <w:rsid w:val="005A4E3D"/>
    <w:rsid w:val="005A5157"/>
    <w:rsid w:val="005A5172"/>
    <w:rsid w:val="005A5627"/>
    <w:rsid w:val="005A56ED"/>
    <w:rsid w:val="005A57EF"/>
    <w:rsid w:val="005A5C41"/>
    <w:rsid w:val="005A5E64"/>
    <w:rsid w:val="005A5FA0"/>
    <w:rsid w:val="005A6006"/>
    <w:rsid w:val="005A614B"/>
    <w:rsid w:val="005A61B5"/>
    <w:rsid w:val="005A647C"/>
    <w:rsid w:val="005A64EA"/>
    <w:rsid w:val="005A6656"/>
    <w:rsid w:val="005A6667"/>
    <w:rsid w:val="005A6670"/>
    <w:rsid w:val="005A69C3"/>
    <w:rsid w:val="005A6AC4"/>
    <w:rsid w:val="005A6DA3"/>
    <w:rsid w:val="005A6EF3"/>
    <w:rsid w:val="005A75B4"/>
    <w:rsid w:val="005A7668"/>
    <w:rsid w:val="005A77DF"/>
    <w:rsid w:val="005A78F3"/>
    <w:rsid w:val="005A7BE3"/>
    <w:rsid w:val="005A7C6B"/>
    <w:rsid w:val="005A7C84"/>
    <w:rsid w:val="005A7D33"/>
    <w:rsid w:val="005A7EF5"/>
    <w:rsid w:val="005B02D6"/>
    <w:rsid w:val="005B03BD"/>
    <w:rsid w:val="005B041A"/>
    <w:rsid w:val="005B047D"/>
    <w:rsid w:val="005B051E"/>
    <w:rsid w:val="005B0828"/>
    <w:rsid w:val="005B0A35"/>
    <w:rsid w:val="005B0B21"/>
    <w:rsid w:val="005B0BDB"/>
    <w:rsid w:val="005B0CD6"/>
    <w:rsid w:val="005B0FAF"/>
    <w:rsid w:val="005B154D"/>
    <w:rsid w:val="005B15F0"/>
    <w:rsid w:val="005B1691"/>
    <w:rsid w:val="005B16C2"/>
    <w:rsid w:val="005B181A"/>
    <w:rsid w:val="005B1AC1"/>
    <w:rsid w:val="005B1BE5"/>
    <w:rsid w:val="005B1CB1"/>
    <w:rsid w:val="005B1CBA"/>
    <w:rsid w:val="005B1CFE"/>
    <w:rsid w:val="005B1FE3"/>
    <w:rsid w:val="005B21B1"/>
    <w:rsid w:val="005B2356"/>
    <w:rsid w:val="005B23B7"/>
    <w:rsid w:val="005B23E2"/>
    <w:rsid w:val="005B240C"/>
    <w:rsid w:val="005B24CF"/>
    <w:rsid w:val="005B2ADB"/>
    <w:rsid w:val="005B2B35"/>
    <w:rsid w:val="005B2C90"/>
    <w:rsid w:val="005B2CDE"/>
    <w:rsid w:val="005B2E55"/>
    <w:rsid w:val="005B2EC3"/>
    <w:rsid w:val="005B2FF4"/>
    <w:rsid w:val="005B303A"/>
    <w:rsid w:val="005B30B5"/>
    <w:rsid w:val="005B332D"/>
    <w:rsid w:val="005B3345"/>
    <w:rsid w:val="005B336D"/>
    <w:rsid w:val="005B345F"/>
    <w:rsid w:val="005B3501"/>
    <w:rsid w:val="005B3620"/>
    <w:rsid w:val="005B3A2E"/>
    <w:rsid w:val="005B3CC1"/>
    <w:rsid w:val="005B3DDD"/>
    <w:rsid w:val="005B4145"/>
    <w:rsid w:val="005B4467"/>
    <w:rsid w:val="005B44D3"/>
    <w:rsid w:val="005B467A"/>
    <w:rsid w:val="005B46D7"/>
    <w:rsid w:val="005B4866"/>
    <w:rsid w:val="005B4889"/>
    <w:rsid w:val="005B4A7D"/>
    <w:rsid w:val="005B4C29"/>
    <w:rsid w:val="005B4CDE"/>
    <w:rsid w:val="005B4CE1"/>
    <w:rsid w:val="005B4D00"/>
    <w:rsid w:val="005B4E8F"/>
    <w:rsid w:val="005B4FA1"/>
    <w:rsid w:val="005B55BA"/>
    <w:rsid w:val="005B59CD"/>
    <w:rsid w:val="005B59ED"/>
    <w:rsid w:val="005B5EE6"/>
    <w:rsid w:val="005B5FE2"/>
    <w:rsid w:val="005B5FEA"/>
    <w:rsid w:val="005B657D"/>
    <w:rsid w:val="005B6911"/>
    <w:rsid w:val="005B6B35"/>
    <w:rsid w:val="005B6DBF"/>
    <w:rsid w:val="005B6F00"/>
    <w:rsid w:val="005B72EF"/>
    <w:rsid w:val="005B7413"/>
    <w:rsid w:val="005B7596"/>
    <w:rsid w:val="005B7B76"/>
    <w:rsid w:val="005B7D8D"/>
    <w:rsid w:val="005B7E18"/>
    <w:rsid w:val="005B7E78"/>
    <w:rsid w:val="005B7E9C"/>
    <w:rsid w:val="005C008F"/>
    <w:rsid w:val="005C0549"/>
    <w:rsid w:val="005C0AA1"/>
    <w:rsid w:val="005C0B63"/>
    <w:rsid w:val="005C0C91"/>
    <w:rsid w:val="005C1094"/>
    <w:rsid w:val="005C1508"/>
    <w:rsid w:val="005C164C"/>
    <w:rsid w:val="005C17DC"/>
    <w:rsid w:val="005C1914"/>
    <w:rsid w:val="005C1BA2"/>
    <w:rsid w:val="005C1BCB"/>
    <w:rsid w:val="005C1EE6"/>
    <w:rsid w:val="005C1F27"/>
    <w:rsid w:val="005C2018"/>
    <w:rsid w:val="005C225C"/>
    <w:rsid w:val="005C2345"/>
    <w:rsid w:val="005C2406"/>
    <w:rsid w:val="005C28A8"/>
    <w:rsid w:val="005C29BB"/>
    <w:rsid w:val="005C2BE2"/>
    <w:rsid w:val="005C2E48"/>
    <w:rsid w:val="005C2E7C"/>
    <w:rsid w:val="005C3044"/>
    <w:rsid w:val="005C3680"/>
    <w:rsid w:val="005C369C"/>
    <w:rsid w:val="005C370A"/>
    <w:rsid w:val="005C39A2"/>
    <w:rsid w:val="005C3AA8"/>
    <w:rsid w:val="005C3AC7"/>
    <w:rsid w:val="005C3E83"/>
    <w:rsid w:val="005C3FDC"/>
    <w:rsid w:val="005C4596"/>
    <w:rsid w:val="005C4775"/>
    <w:rsid w:val="005C4B00"/>
    <w:rsid w:val="005C4F29"/>
    <w:rsid w:val="005C5128"/>
    <w:rsid w:val="005C5171"/>
    <w:rsid w:val="005C52E8"/>
    <w:rsid w:val="005C5819"/>
    <w:rsid w:val="005C5B20"/>
    <w:rsid w:val="005C5E0E"/>
    <w:rsid w:val="005C5E9F"/>
    <w:rsid w:val="005C603C"/>
    <w:rsid w:val="005C61DD"/>
    <w:rsid w:val="005C64A0"/>
    <w:rsid w:val="005C6501"/>
    <w:rsid w:val="005C6A71"/>
    <w:rsid w:val="005C6A93"/>
    <w:rsid w:val="005C6E5A"/>
    <w:rsid w:val="005C6F75"/>
    <w:rsid w:val="005C7132"/>
    <w:rsid w:val="005C73B7"/>
    <w:rsid w:val="005C74D7"/>
    <w:rsid w:val="005C772C"/>
    <w:rsid w:val="005C778B"/>
    <w:rsid w:val="005C7A8F"/>
    <w:rsid w:val="005C7B5F"/>
    <w:rsid w:val="005C7C65"/>
    <w:rsid w:val="005C7CBC"/>
    <w:rsid w:val="005D00E5"/>
    <w:rsid w:val="005D0842"/>
    <w:rsid w:val="005D0984"/>
    <w:rsid w:val="005D0AF3"/>
    <w:rsid w:val="005D10F8"/>
    <w:rsid w:val="005D1121"/>
    <w:rsid w:val="005D1261"/>
    <w:rsid w:val="005D1351"/>
    <w:rsid w:val="005D13A7"/>
    <w:rsid w:val="005D149D"/>
    <w:rsid w:val="005D16B9"/>
    <w:rsid w:val="005D178B"/>
    <w:rsid w:val="005D1D2C"/>
    <w:rsid w:val="005D1D65"/>
    <w:rsid w:val="005D1F84"/>
    <w:rsid w:val="005D1FBE"/>
    <w:rsid w:val="005D253A"/>
    <w:rsid w:val="005D2587"/>
    <w:rsid w:val="005D2646"/>
    <w:rsid w:val="005D29C4"/>
    <w:rsid w:val="005D29D6"/>
    <w:rsid w:val="005D2BA5"/>
    <w:rsid w:val="005D2BBF"/>
    <w:rsid w:val="005D2C89"/>
    <w:rsid w:val="005D2D76"/>
    <w:rsid w:val="005D2F8D"/>
    <w:rsid w:val="005D3027"/>
    <w:rsid w:val="005D3096"/>
    <w:rsid w:val="005D34D9"/>
    <w:rsid w:val="005D3544"/>
    <w:rsid w:val="005D360D"/>
    <w:rsid w:val="005D36E2"/>
    <w:rsid w:val="005D38DB"/>
    <w:rsid w:val="005D3990"/>
    <w:rsid w:val="005D3A2F"/>
    <w:rsid w:val="005D3A85"/>
    <w:rsid w:val="005D3AA0"/>
    <w:rsid w:val="005D3AD6"/>
    <w:rsid w:val="005D3C1D"/>
    <w:rsid w:val="005D3C94"/>
    <w:rsid w:val="005D3D37"/>
    <w:rsid w:val="005D3E1D"/>
    <w:rsid w:val="005D4152"/>
    <w:rsid w:val="005D4175"/>
    <w:rsid w:val="005D42E8"/>
    <w:rsid w:val="005D4380"/>
    <w:rsid w:val="005D450B"/>
    <w:rsid w:val="005D47D9"/>
    <w:rsid w:val="005D4B3A"/>
    <w:rsid w:val="005D4B99"/>
    <w:rsid w:val="005D4F34"/>
    <w:rsid w:val="005D5016"/>
    <w:rsid w:val="005D5077"/>
    <w:rsid w:val="005D55E6"/>
    <w:rsid w:val="005D5A01"/>
    <w:rsid w:val="005D5A22"/>
    <w:rsid w:val="005D5D64"/>
    <w:rsid w:val="005D5DA4"/>
    <w:rsid w:val="005D5EAB"/>
    <w:rsid w:val="005D5EED"/>
    <w:rsid w:val="005D6098"/>
    <w:rsid w:val="005D645C"/>
    <w:rsid w:val="005D661C"/>
    <w:rsid w:val="005D67A4"/>
    <w:rsid w:val="005D67AE"/>
    <w:rsid w:val="005D68D3"/>
    <w:rsid w:val="005D69B1"/>
    <w:rsid w:val="005D6B5D"/>
    <w:rsid w:val="005D6CF9"/>
    <w:rsid w:val="005D6EA5"/>
    <w:rsid w:val="005D701E"/>
    <w:rsid w:val="005D7076"/>
    <w:rsid w:val="005D7511"/>
    <w:rsid w:val="005D787D"/>
    <w:rsid w:val="005D7D6A"/>
    <w:rsid w:val="005D7DCE"/>
    <w:rsid w:val="005D7E44"/>
    <w:rsid w:val="005E049A"/>
    <w:rsid w:val="005E0558"/>
    <w:rsid w:val="005E055D"/>
    <w:rsid w:val="005E05CB"/>
    <w:rsid w:val="005E0767"/>
    <w:rsid w:val="005E096D"/>
    <w:rsid w:val="005E0DA0"/>
    <w:rsid w:val="005E0E39"/>
    <w:rsid w:val="005E0E6D"/>
    <w:rsid w:val="005E0F01"/>
    <w:rsid w:val="005E106C"/>
    <w:rsid w:val="005E11D2"/>
    <w:rsid w:val="005E13D2"/>
    <w:rsid w:val="005E145A"/>
    <w:rsid w:val="005E150B"/>
    <w:rsid w:val="005E1670"/>
    <w:rsid w:val="005E1675"/>
    <w:rsid w:val="005E17BC"/>
    <w:rsid w:val="005E1F8A"/>
    <w:rsid w:val="005E1FBE"/>
    <w:rsid w:val="005E2397"/>
    <w:rsid w:val="005E2443"/>
    <w:rsid w:val="005E27BC"/>
    <w:rsid w:val="005E2861"/>
    <w:rsid w:val="005E286D"/>
    <w:rsid w:val="005E2EBE"/>
    <w:rsid w:val="005E2F68"/>
    <w:rsid w:val="005E3029"/>
    <w:rsid w:val="005E31A1"/>
    <w:rsid w:val="005E3283"/>
    <w:rsid w:val="005E3541"/>
    <w:rsid w:val="005E365A"/>
    <w:rsid w:val="005E36AB"/>
    <w:rsid w:val="005E385E"/>
    <w:rsid w:val="005E3C93"/>
    <w:rsid w:val="005E3F39"/>
    <w:rsid w:val="005E44E4"/>
    <w:rsid w:val="005E44F9"/>
    <w:rsid w:val="005E4560"/>
    <w:rsid w:val="005E456E"/>
    <w:rsid w:val="005E4963"/>
    <w:rsid w:val="005E4A9A"/>
    <w:rsid w:val="005E4C6A"/>
    <w:rsid w:val="005E4E07"/>
    <w:rsid w:val="005E4F6A"/>
    <w:rsid w:val="005E50E3"/>
    <w:rsid w:val="005E5150"/>
    <w:rsid w:val="005E5215"/>
    <w:rsid w:val="005E527C"/>
    <w:rsid w:val="005E5283"/>
    <w:rsid w:val="005E5329"/>
    <w:rsid w:val="005E53A9"/>
    <w:rsid w:val="005E53DA"/>
    <w:rsid w:val="005E53E1"/>
    <w:rsid w:val="005E548C"/>
    <w:rsid w:val="005E5605"/>
    <w:rsid w:val="005E560A"/>
    <w:rsid w:val="005E56B2"/>
    <w:rsid w:val="005E587C"/>
    <w:rsid w:val="005E58A7"/>
    <w:rsid w:val="005E5A05"/>
    <w:rsid w:val="005E5B78"/>
    <w:rsid w:val="005E5BF9"/>
    <w:rsid w:val="005E5C9A"/>
    <w:rsid w:val="005E5F28"/>
    <w:rsid w:val="005E5F89"/>
    <w:rsid w:val="005E6268"/>
    <w:rsid w:val="005E6469"/>
    <w:rsid w:val="005E65DA"/>
    <w:rsid w:val="005E69F6"/>
    <w:rsid w:val="005E6A72"/>
    <w:rsid w:val="005E6B58"/>
    <w:rsid w:val="005E6C6C"/>
    <w:rsid w:val="005E6DA3"/>
    <w:rsid w:val="005E6ECB"/>
    <w:rsid w:val="005E70DF"/>
    <w:rsid w:val="005E71B3"/>
    <w:rsid w:val="005E7396"/>
    <w:rsid w:val="005E7696"/>
    <w:rsid w:val="005E769B"/>
    <w:rsid w:val="005E79C8"/>
    <w:rsid w:val="005E7C1E"/>
    <w:rsid w:val="005E7ED0"/>
    <w:rsid w:val="005E7F1F"/>
    <w:rsid w:val="005E7F2A"/>
    <w:rsid w:val="005E7FCF"/>
    <w:rsid w:val="005F0055"/>
    <w:rsid w:val="005F009E"/>
    <w:rsid w:val="005F039C"/>
    <w:rsid w:val="005F053D"/>
    <w:rsid w:val="005F06F2"/>
    <w:rsid w:val="005F0994"/>
    <w:rsid w:val="005F0BF1"/>
    <w:rsid w:val="005F0CAD"/>
    <w:rsid w:val="005F0E4E"/>
    <w:rsid w:val="005F0F45"/>
    <w:rsid w:val="005F1330"/>
    <w:rsid w:val="005F1417"/>
    <w:rsid w:val="005F16E6"/>
    <w:rsid w:val="005F1D1E"/>
    <w:rsid w:val="005F1E16"/>
    <w:rsid w:val="005F2541"/>
    <w:rsid w:val="005F2BB5"/>
    <w:rsid w:val="005F2D05"/>
    <w:rsid w:val="005F2E32"/>
    <w:rsid w:val="005F2E63"/>
    <w:rsid w:val="005F3025"/>
    <w:rsid w:val="005F36DF"/>
    <w:rsid w:val="005F36E3"/>
    <w:rsid w:val="005F3711"/>
    <w:rsid w:val="005F377D"/>
    <w:rsid w:val="005F37E0"/>
    <w:rsid w:val="005F38DA"/>
    <w:rsid w:val="005F3AC4"/>
    <w:rsid w:val="005F3B7B"/>
    <w:rsid w:val="005F3D9C"/>
    <w:rsid w:val="005F3E4C"/>
    <w:rsid w:val="005F3E5C"/>
    <w:rsid w:val="005F411D"/>
    <w:rsid w:val="005F420A"/>
    <w:rsid w:val="005F445A"/>
    <w:rsid w:val="005F44D3"/>
    <w:rsid w:val="005F4523"/>
    <w:rsid w:val="005F4849"/>
    <w:rsid w:val="005F4A36"/>
    <w:rsid w:val="005F4B66"/>
    <w:rsid w:val="005F4C3F"/>
    <w:rsid w:val="005F4CB1"/>
    <w:rsid w:val="005F4E21"/>
    <w:rsid w:val="005F4F2B"/>
    <w:rsid w:val="005F4FD4"/>
    <w:rsid w:val="005F5286"/>
    <w:rsid w:val="005F52D5"/>
    <w:rsid w:val="005F53C9"/>
    <w:rsid w:val="005F53CE"/>
    <w:rsid w:val="005F541A"/>
    <w:rsid w:val="005F5548"/>
    <w:rsid w:val="005F5635"/>
    <w:rsid w:val="005F5756"/>
    <w:rsid w:val="005F577B"/>
    <w:rsid w:val="005F58EA"/>
    <w:rsid w:val="005F5CD3"/>
    <w:rsid w:val="005F5CD7"/>
    <w:rsid w:val="005F609C"/>
    <w:rsid w:val="005F6364"/>
    <w:rsid w:val="005F65A1"/>
    <w:rsid w:val="005F6723"/>
    <w:rsid w:val="005F67A6"/>
    <w:rsid w:val="005F6BD6"/>
    <w:rsid w:val="005F71C9"/>
    <w:rsid w:val="005F721D"/>
    <w:rsid w:val="005F7228"/>
    <w:rsid w:val="005F73ED"/>
    <w:rsid w:val="005F746F"/>
    <w:rsid w:val="005F7500"/>
    <w:rsid w:val="005F778E"/>
    <w:rsid w:val="005F7B24"/>
    <w:rsid w:val="005F7CF9"/>
    <w:rsid w:val="005F7D01"/>
    <w:rsid w:val="005F7E14"/>
    <w:rsid w:val="005F7EFE"/>
    <w:rsid w:val="00600130"/>
    <w:rsid w:val="006003C6"/>
    <w:rsid w:val="0060067E"/>
    <w:rsid w:val="0060083E"/>
    <w:rsid w:val="00600946"/>
    <w:rsid w:val="00600B1E"/>
    <w:rsid w:val="00600B71"/>
    <w:rsid w:val="00600D55"/>
    <w:rsid w:val="00600DAD"/>
    <w:rsid w:val="00600EC6"/>
    <w:rsid w:val="0060101D"/>
    <w:rsid w:val="00601172"/>
    <w:rsid w:val="006013AA"/>
    <w:rsid w:val="0060143A"/>
    <w:rsid w:val="00601682"/>
    <w:rsid w:val="00601895"/>
    <w:rsid w:val="00601896"/>
    <w:rsid w:val="006018EB"/>
    <w:rsid w:val="00601ECB"/>
    <w:rsid w:val="006023DA"/>
    <w:rsid w:val="0060260F"/>
    <w:rsid w:val="0060272B"/>
    <w:rsid w:val="00602A2D"/>
    <w:rsid w:val="00602E10"/>
    <w:rsid w:val="00602EFA"/>
    <w:rsid w:val="0060304E"/>
    <w:rsid w:val="00603165"/>
    <w:rsid w:val="006032F0"/>
    <w:rsid w:val="00603367"/>
    <w:rsid w:val="00603620"/>
    <w:rsid w:val="0060363B"/>
    <w:rsid w:val="00603674"/>
    <w:rsid w:val="00603796"/>
    <w:rsid w:val="00603920"/>
    <w:rsid w:val="00603B84"/>
    <w:rsid w:val="00603C36"/>
    <w:rsid w:val="00604049"/>
    <w:rsid w:val="006043B1"/>
    <w:rsid w:val="00604616"/>
    <w:rsid w:val="00604A6C"/>
    <w:rsid w:val="00604B2E"/>
    <w:rsid w:val="00604C36"/>
    <w:rsid w:val="00604C3A"/>
    <w:rsid w:val="00604F4E"/>
    <w:rsid w:val="006051C2"/>
    <w:rsid w:val="00605335"/>
    <w:rsid w:val="0060566E"/>
    <w:rsid w:val="00605BDF"/>
    <w:rsid w:val="00605D1C"/>
    <w:rsid w:val="00605D2F"/>
    <w:rsid w:val="00605F3F"/>
    <w:rsid w:val="006060FC"/>
    <w:rsid w:val="006067C7"/>
    <w:rsid w:val="00606857"/>
    <w:rsid w:val="00606933"/>
    <w:rsid w:val="00606A06"/>
    <w:rsid w:val="00606AA9"/>
    <w:rsid w:val="00606AB8"/>
    <w:rsid w:val="00606B1E"/>
    <w:rsid w:val="00606BDB"/>
    <w:rsid w:val="00606BDC"/>
    <w:rsid w:val="00606C03"/>
    <w:rsid w:val="0060734F"/>
    <w:rsid w:val="00607350"/>
    <w:rsid w:val="006073C2"/>
    <w:rsid w:val="0060751F"/>
    <w:rsid w:val="00607916"/>
    <w:rsid w:val="0060796A"/>
    <w:rsid w:val="00607D39"/>
    <w:rsid w:val="00607E26"/>
    <w:rsid w:val="00607EA7"/>
    <w:rsid w:val="0061001D"/>
    <w:rsid w:val="0061025C"/>
    <w:rsid w:val="00610297"/>
    <w:rsid w:val="0061034C"/>
    <w:rsid w:val="006103F9"/>
    <w:rsid w:val="00610502"/>
    <w:rsid w:val="00610619"/>
    <w:rsid w:val="006107B1"/>
    <w:rsid w:val="00610834"/>
    <w:rsid w:val="00610CBB"/>
    <w:rsid w:val="00610E9E"/>
    <w:rsid w:val="00610F98"/>
    <w:rsid w:val="00610FB5"/>
    <w:rsid w:val="00611032"/>
    <w:rsid w:val="006110C8"/>
    <w:rsid w:val="0061160E"/>
    <w:rsid w:val="00611699"/>
    <w:rsid w:val="00611715"/>
    <w:rsid w:val="00611BB2"/>
    <w:rsid w:val="00611C0C"/>
    <w:rsid w:val="00611DD5"/>
    <w:rsid w:val="00611F12"/>
    <w:rsid w:val="00612661"/>
    <w:rsid w:val="0061270B"/>
    <w:rsid w:val="0061274C"/>
    <w:rsid w:val="00612787"/>
    <w:rsid w:val="00612865"/>
    <w:rsid w:val="006129B4"/>
    <w:rsid w:val="006129BF"/>
    <w:rsid w:val="006129EC"/>
    <w:rsid w:val="00612A96"/>
    <w:rsid w:val="00612C91"/>
    <w:rsid w:val="00612EA2"/>
    <w:rsid w:val="00612F21"/>
    <w:rsid w:val="00613185"/>
    <w:rsid w:val="0061347A"/>
    <w:rsid w:val="0061358B"/>
    <w:rsid w:val="006136E1"/>
    <w:rsid w:val="00613857"/>
    <w:rsid w:val="0061389D"/>
    <w:rsid w:val="00613B12"/>
    <w:rsid w:val="00613B1E"/>
    <w:rsid w:val="006140BF"/>
    <w:rsid w:val="006140FF"/>
    <w:rsid w:val="00614107"/>
    <w:rsid w:val="0061428A"/>
    <w:rsid w:val="00614A1B"/>
    <w:rsid w:val="00614A41"/>
    <w:rsid w:val="00614B6C"/>
    <w:rsid w:val="00614BCF"/>
    <w:rsid w:val="00615050"/>
    <w:rsid w:val="00615061"/>
    <w:rsid w:val="00615712"/>
    <w:rsid w:val="00615846"/>
    <w:rsid w:val="006158AA"/>
    <w:rsid w:val="00615B52"/>
    <w:rsid w:val="00615C43"/>
    <w:rsid w:val="00615CA9"/>
    <w:rsid w:val="00615DC9"/>
    <w:rsid w:val="00615ED9"/>
    <w:rsid w:val="00615F23"/>
    <w:rsid w:val="006163B5"/>
    <w:rsid w:val="006163FE"/>
    <w:rsid w:val="00616511"/>
    <w:rsid w:val="0061679F"/>
    <w:rsid w:val="006169E3"/>
    <w:rsid w:val="00616B68"/>
    <w:rsid w:val="00616BD3"/>
    <w:rsid w:val="00616BF1"/>
    <w:rsid w:val="00616C4F"/>
    <w:rsid w:val="00616D62"/>
    <w:rsid w:val="00616EBD"/>
    <w:rsid w:val="00616EE3"/>
    <w:rsid w:val="00616FF1"/>
    <w:rsid w:val="00617164"/>
    <w:rsid w:val="0061723C"/>
    <w:rsid w:val="00617649"/>
    <w:rsid w:val="006176BE"/>
    <w:rsid w:val="00617C31"/>
    <w:rsid w:val="00617C89"/>
    <w:rsid w:val="00617DBE"/>
    <w:rsid w:val="00617EC3"/>
    <w:rsid w:val="00617EFE"/>
    <w:rsid w:val="00617F47"/>
    <w:rsid w:val="00620021"/>
    <w:rsid w:val="006201B5"/>
    <w:rsid w:val="00620661"/>
    <w:rsid w:val="006207B7"/>
    <w:rsid w:val="006208AF"/>
    <w:rsid w:val="00620AEC"/>
    <w:rsid w:val="00620CA9"/>
    <w:rsid w:val="00620CBB"/>
    <w:rsid w:val="00620CE3"/>
    <w:rsid w:val="00620F3B"/>
    <w:rsid w:val="00620F7B"/>
    <w:rsid w:val="00621146"/>
    <w:rsid w:val="006213F1"/>
    <w:rsid w:val="00621CB3"/>
    <w:rsid w:val="00621F3C"/>
    <w:rsid w:val="00622330"/>
    <w:rsid w:val="00622401"/>
    <w:rsid w:val="006225D8"/>
    <w:rsid w:val="00622726"/>
    <w:rsid w:val="006227AB"/>
    <w:rsid w:val="0062281F"/>
    <w:rsid w:val="00622A72"/>
    <w:rsid w:val="0062306B"/>
    <w:rsid w:val="006231BB"/>
    <w:rsid w:val="00623240"/>
    <w:rsid w:val="0062345B"/>
    <w:rsid w:val="00623470"/>
    <w:rsid w:val="00623557"/>
    <w:rsid w:val="006235CB"/>
    <w:rsid w:val="0062360E"/>
    <w:rsid w:val="00623AAD"/>
    <w:rsid w:val="00623B58"/>
    <w:rsid w:val="006242F3"/>
    <w:rsid w:val="006242FF"/>
    <w:rsid w:val="0062430F"/>
    <w:rsid w:val="00624637"/>
    <w:rsid w:val="00624747"/>
    <w:rsid w:val="006249F0"/>
    <w:rsid w:val="00624B66"/>
    <w:rsid w:val="00624F5F"/>
    <w:rsid w:val="006250B5"/>
    <w:rsid w:val="0062516F"/>
    <w:rsid w:val="006251B2"/>
    <w:rsid w:val="006252AB"/>
    <w:rsid w:val="0062542F"/>
    <w:rsid w:val="00625661"/>
    <w:rsid w:val="00625757"/>
    <w:rsid w:val="00625B62"/>
    <w:rsid w:val="00625C6E"/>
    <w:rsid w:val="00625E29"/>
    <w:rsid w:val="00625F27"/>
    <w:rsid w:val="00626008"/>
    <w:rsid w:val="00626031"/>
    <w:rsid w:val="006263A8"/>
    <w:rsid w:val="00626650"/>
    <w:rsid w:val="006266B4"/>
    <w:rsid w:val="00626DEE"/>
    <w:rsid w:val="00626E34"/>
    <w:rsid w:val="00626E9D"/>
    <w:rsid w:val="00627092"/>
    <w:rsid w:val="006272E4"/>
    <w:rsid w:val="006278C7"/>
    <w:rsid w:val="00627997"/>
    <w:rsid w:val="00627D1F"/>
    <w:rsid w:val="00627D45"/>
    <w:rsid w:val="00627DB0"/>
    <w:rsid w:val="00627EBA"/>
    <w:rsid w:val="00630538"/>
    <w:rsid w:val="006305FD"/>
    <w:rsid w:val="006307B4"/>
    <w:rsid w:val="00630AF7"/>
    <w:rsid w:val="00630B27"/>
    <w:rsid w:val="00630BAB"/>
    <w:rsid w:val="00630ED5"/>
    <w:rsid w:val="0063103D"/>
    <w:rsid w:val="00631322"/>
    <w:rsid w:val="00631450"/>
    <w:rsid w:val="006314DE"/>
    <w:rsid w:val="00631548"/>
    <w:rsid w:val="0063169B"/>
    <w:rsid w:val="006318C4"/>
    <w:rsid w:val="00631D1D"/>
    <w:rsid w:val="00631E13"/>
    <w:rsid w:val="006321B5"/>
    <w:rsid w:val="006322F9"/>
    <w:rsid w:val="006323EF"/>
    <w:rsid w:val="006324DC"/>
    <w:rsid w:val="0063255E"/>
    <w:rsid w:val="006326CE"/>
    <w:rsid w:val="006327FA"/>
    <w:rsid w:val="00632A4A"/>
    <w:rsid w:val="00632A9D"/>
    <w:rsid w:val="00632AF5"/>
    <w:rsid w:val="00632BAA"/>
    <w:rsid w:val="00632BBB"/>
    <w:rsid w:val="00632C0D"/>
    <w:rsid w:val="00632CAB"/>
    <w:rsid w:val="00632D89"/>
    <w:rsid w:val="00632EAE"/>
    <w:rsid w:val="00632F60"/>
    <w:rsid w:val="0063314F"/>
    <w:rsid w:val="00633340"/>
    <w:rsid w:val="0063356D"/>
    <w:rsid w:val="006335D3"/>
    <w:rsid w:val="006335F6"/>
    <w:rsid w:val="006337C3"/>
    <w:rsid w:val="006339E7"/>
    <w:rsid w:val="00633CEE"/>
    <w:rsid w:val="00633D9D"/>
    <w:rsid w:val="00633EA3"/>
    <w:rsid w:val="00633F68"/>
    <w:rsid w:val="00633F6E"/>
    <w:rsid w:val="00634261"/>
    <w:rsid w:val="006345D5"/>
    <w:rsid w:val="00634A11"/>
    <w:rsid w:val="00634BAA"/>
    <w:rsid w:val="00634BFD"/>
    <w:rsid w:val="00634DCB"/>
    <w:rsid w:val="00634DF6"/>
    <w:rsid w:val="00634EB9"/>
    <w:rsid w:val="00635081"/>
    <w:rsid w:val="006350E1"/>
    <w:rsid w:val="00635704"/>
    <w:rsid w:val="00635818"/>
    <w:rsid w:val="00635D74"/>
    <w:rsid w:val="00635DE8"/>
    <w:rsid w:val="00635DEA"/>
    <w:rsid w:val="00635EA1"/>
    <w:rsid w:val="00636264"/>
    <w:rsid w:val="006362C4"/>
    <w:rsid w:val="006362D4"/>
    <w:rsid w:val="006364F5"/>
    <w:rsid w:val="006367C2"/>
    <w:rsid w:val="006369F6"/>
    <w:rsid w:val="00636AF8"/>
    <w:rsid w:val="00636C40"/>
    <w:rsid w:val="00636D1F"/>
    <w:rsid w:val="006372AC"/>
    <w:rsid w:val="00637451"/>
    <w:rsid w:val="00637880"/>
    <w:rsid w:val="00637926"/>
    <w:rsid w:val="00637A4C"/>
    <w:rsid w:val="00637A5A"/>
    <w:rsid w:val="00637D7D"/>
    <w:rsid w:val="00637D9A"/>
    <w:rsid w:val="00637DB0"/>
    <w:rsid w:val="00640010"/>
    <w:rsid w:val="00640061"/>
    <w:rsid w:val="00640155"/>
    <w:rsid w:val="00640194"/>
    <w:rsid w:val="006401C0"/>
    <w:rsid w:val="0064031F"/>
    <w:rsid w:val="00640474"/>
    <w:rsid w:val="006404BA"/>
    <w:rsid w:val="00640595"/>
    <w:rsid w:val="0064066D"/>
    <w:rsid w:val="0064082C"/>
    <w:rsid w:val="00640B36"/>
    <w:rsid w:val="00640C78"/>
    <w:rsid w:val="00640CC7"/>
    <w:rsid w:val="00640E15"/>
    <w:rsid w:val="0064135F"/>
    <w:rsid w:val="006413E6"/>
    <w:rsid w:val="0064144A"/>
    <w:rsid w:val="0064146E"/>
    <w:rsid w:val="006415E8"/>
    <w:rsid w:val="00641875"/>
    <w:rsid w:val="006418E0"/>
    <w:rsid w:val="006418EE"/>
    <w:rsid w:val="00641A21"/>
    <w:rsid w:val="00641B24"/>
    <w:rsid w:val="00641EBD"/>
    <w:rsid w:val="006420EE"/>
    <w:rsid w:val="0064253E"/>
    <w:rsid w:val="00642600"/>
    <w:rsid w:val="00642A88"/>
    <w:rsid w:val="00642C5A"/>
    <w:rsid w:val="00642CFF"/>
    <w:rsid w:val="00642D45"/>
    <w:rsid w:val="00642FBB"/>
    <w:rsid w:val="006432A0"/>
    <w:rsid w:val="00643345"/>
    <w:rsid w:val="006433CC"/>
    <w:rsid w:val="006434D9"/>
    <w:rsid w:val="00643637"/>
    <w:rsid w:val="006436EA"/>
    <w:rsid w:val="006436F4"/>
    <w:rsid w:val="006438E9"/>
    <w:rsid w:val="00643CA1"/>
    <w:rsid w:val="00643CEB"/>
    <w:rsid w:val="00643DC0"/>
    <w:rsid w:val="00643DCD"/>
    <w:rsid w:val="00643DE2"/>
    <w:rsid w:val="00643DF2"/>
    <w:rsid w:val="00644021"/>
    <w:rsid w:val="006441BF"/>
    <w:rsid w:val="006443F9"/>
    <w:rsid w:val="0064453C"/>
    <w:rsid w:val="00644589"/>
    <w:rsid w:val="0064467D"/>
    <w:rsid w:val="00644872"/>
    <w:rsid w:val="00644921"/>
    <w:rsid w:val="0064493D"/>
    <w:rsid w:val="006449D8"/>
    <w:rsid w:val="00645165"/>
    <w:rsid w:val="006451BB"/>
    <w:rsid w:val="00645302"/>
    <w:rsid w:val="0064537C"/>
    <w:rsid w:val="006454CD"/>
    <w:rsid w:val="0064570F"/>
    <w:rsid w:val="0064584E"/>
    <w:rsid w:val="00645895"/>
    <w:rsid w:val="00645930"/>
    <w:rsid w:val="00645A63"/>
    <w:rsid w:val="00645A6C"/>
    <w:rsid w:val="00645C5E"/>
    <w:rsid w:val="00645CA4"/>
    <w:rsid w:val="00645D4C"/>
    <w:rsid w:val="00645DD6"/>
    <w:rsid w:val="00646111"/>
    <w:rsid w:val="0064636F"/>
    <w:rsid w:val="006464E2"/>
    <w:rsid w:val="0064656D"/>
    <w:rsid w:val="0064666C"/>
    <w:rsid w:val="00646686"/>
    <w:rsid w:val="006466A5"/>
    <w:rsid w:val="006468E4"/>
    <w:rsid w:val="006471DA"/>
    <w:rsid w:val="006471F6"/>
    <w:rsid w:val="00647243"/>
    <w:rsid w:val="006473EF"/>
    <w:rsid w:val="00647478"/>
    <w:rsid w:val="006474EE"/>
    <w:rsid w:val="00647A01"/>
    <w:rsid w:val="00647AA6"/>
    <w:rsid w:val="00647B77"/>
    <w:rsid w:val="00647BC0"/>
    <w:rsid w:val="00647BED"/>
    <w:rsid w:val="00647C3E"/>
    <w:rsid w:val="00647D4F"/>
    <w:rsid w:val="00647DC9"/>
    <w:rsid w:val="00647E1C"/>
    <w:rsid w:val="00647E8C"/>
    <w:rsid w:val="006501AC"/>
    <w:rsid w:val="00650378"/>
    <w:rsid w:val="00650388"/>
    <w:rsid w:val="006503B5"/>
    <w:rsid w:val="006505A0"/>
    <w:rsid w:val="006505DF"/>
    <w:rsid w:val="00650775"/>
    <w:rsid w:val="0065094B"/>
    <w:rsid w:val="00650A40"/>
    <w:rsid w:val="00650A5E"/>
    <w:rsid w:val="00650A62"/>
    <w:rsid w:val="00651138"/>
    <w:rsid w:val="00651195"/>
    <w:rsid w:val="00651285"/>
    <w:rsid w:val="0065132F"/>
    <w:rsid w:val="006515E4"/>
    <w:rsid w:val="006516AA"/>
    <w:rsid w:val="00651A27"/>
    <w:rsid w:val="00651BC3"/>
    <w:rsid w:val="00651D7D"/>
    <w:rsid w:val="00651D91"/>
    <w:rsid w:val="00651E17"/>
    <w:rsid w:val="00651EC5"/>
    <w:rsid w:val="00651F0C"/>
    <w:rsid w:val="00651F79"/>
    <w:rsid w:val="006522CC"/>
    <w:rsid w:val="00652302"/>
    <w:rsid w:val="006523D8"/>
    <w:rsid w:val="0065264D"/>
    <w:rsid w:val="00652757"/>
    <w:rsid w:val="0065287C"/>
    <w:rsid w:val="006528B4"/>
    <w:rsid w:val="00652A4F"/>
    <w:rsid w:val="00652A91"/>
    <w:rsid w:val="00652BD3"/>
    <w:rsid w:val="00652C94"/>
    <w:rsid w:val="00652DDB"/>
    <w:rsid w:val="0065306B"/>
    <w:rsid w:val="006530C3"/>
    <w:rsid w:val="006532FE"/>
    <w:rsid w:val="006533E9"/>
    <w:rsid w:val="00653579"/>
    <w:rsid w:val="00653732"/>
    <w:rsid w:val="006537C0"/>
    <w:rsid w:val="0065385C"/>
    <w:rsid w:val="00653B85"/>
    <w:rsid w:val="00653D07"/>
    <w:rsid w:val="00653FF3"/>
    <w:rsid w:val="0065417C"/>
    <w:rsid w:val="006542F0"/>
    <w:rsid w:val="00654375"/>
    <w:rsid w:val="00654427"/>
    <w:rsid w:val="00654465"/>
    <w:rsid w:val="006544D7"/>
    <w:rsid w:val="00654BD8"/>
    <w:rsid w:val="00654DE7"/>
    <w:rsid w:val="00654FBB"/>
    <w:rsid w:val="0065551A"/>
    <w:rsid w:val="00655926"/>
    <w:rsid w:val="00655D0E"/>
    <w:rsid w:val="00655DA6"/>
    <w:rsid w:val="00655F92"/>
    <w:rsid w:val="00656747"/>
    <w:rsid w:val="00656A1E"/>
    <w:rsid w:val="00656B95"/>
    <w:rsid w:val="00656C01"/>
    <w:rsid w:val="00656D4C"/>
    <w:rsid w:val="00656E4D"/>
    <w:rsid w:val="0065707C"/>
    <w:rsid w:val="00657089"/>
    <w:rsid w:val="006570D3"/>
    <w:rsid w:val="006572E8"/>
    <w:rsid w:val="006574E9"/>
    <w:rsid w:val="0065752E"/>
    <w:rsid w:val="00657747"/>
    <w:rsid w:val="00657900"/>
    <w:rsid w:val="00657AAA"/>
    <w:rsid w:val="00657BBA"/>
    <w:rsid w:val="00657CD8"/>
    <w:rsid w:val="006604AB"/>
    <w:rsid w:val="00660596"/>
    <w:rsid w:val="00660863"/>
    <w:rsid w:val="00660864"/>
    <w:rsid w:val="00660A38"/>
    <w:rsid w:val="00660BB5"/>
    <w:rsid w:val="00660F6C"/>
    <w:rsid w:val="006610C7"/>
    <w:rsid w:val="006611A3"/>
    <w:rsid w:val="00661235"/>
    <w:rsid w:val="00661283"/>
    <w:rsid w:val="0066146F"/>
    <w:rsid w:val="006615A2"/>
    <w:rsid w:val="00661885"/>
    <w:rsid w:val="00661A37"/>
    <w:rsid w:val="00661A51"/>
    <w:rsid w:val="00661BD5"/>
    <w:rsid w:val="00661D1C"/>
    <w:rsid w:val="00661E7D"/>
    <w:rsid w:val="006620D0"/>
    <w:rsid w:val="00662189"/>
    <w:rsid w:val="00662245"/>
    <w:rsid w:val="00662356"/>
    <w:rsid w:val="00662364"/>
    <w:rsid w:val="006627DB"/>
    <w:rsid w:val="0066289B"/>
    <w:rsid w:val="006628A2"/>
    <w:rsid w:val="00662963"/>
    <w:rsid w:val="0066298A"/>
    <w:rsid w:val="00662A61"/>
    <w:rsid w:val="00662AFC"/>
    <w:rsid w:val="00662B03"/>
    <w:rsid w:val="00662D4A"/>
    <w:rsid w:val="00662FE7"/>
    <w:rsid w:val="0066317C"/>
    <w:rsid w:val="006633B6"/>
    <w:rsid w:val="006633BC"/>
    <w:rsid w:val="00663486"/>
    <w:rsid w:val="00663559"/>
    <w:rsid w:val="00663633"/>
    <w:rsid w:val="0066397C"/>
    <w:rsid w:val="0066398D"/>
    <w:rsid w:val="00663C3F"/>
    <w:rsid w:val="00663D2C"/>
    <w:rsid w:val="006640CA"/>
    <w:rsid w:val="00664151"/>
    <w:rsid w:val="00664402"/>
    <w:rsid w:val="00664857"/>
    <w:rsid w:val="00664C07"/>
    <w:rsid w:val="00664CAD"/>
    <w:rsid w:val="00664D7E"/>
    <w:rsid w:val="006653C0"/>
    <w:rsid w:val="006653E5"/>
    <w:rsid w:val="006657A0"/>
    <w:rsid w:val="00665B9C"/>
    <w:rsid w:val="00665C58"/>
    <w:rsid w:val="00665DB5"/>
    <w:rsid w:val="00665EE6"/>
    <w:rsid w:val="00665FFC"/>
    <w:rsid w:val="006662C9"/>
    <w:rsid w:val="00666680"/>
    <w:rsid w:val="00666813"/>
    <w:rsid w:val="00666907"/>
    <w:rsid w:val="00666B48"/>
    <w:rsid w:val="00666C28"/>
    <w:rsid w:val="00666D99"/>
    <w:rsid w:val="00666E1A"/>
    <w:rsid w:val="00666E1E"/>
    <w:rsid w:val="00666FDE"/>
    <w:rsid w:val="00667140"/>
    <w:rsid w:val="006671AF"/>
    <w:rsid w:val="0066736A"/>
    <w:rsid w:val="006674C8"/>
    <w:rsid w:val="00667541"/>
    <w:rsid w:val="00667698"/>
    <w:rsid w:val="006676B8"/>
    <w:rsid w:val="006676C3"/>
    <w:rsid w:val="006679E9"/>
    <w:rsid w:val="00667E09"/>
    <w:rsid w:val="00667F7D"/>
    <w:rsid w:val="00667FC4"/>
    <w:rsid w:val="006700EB"/>
    <w:rsid w:val="0067012F"/>
    <w:rsid w:val="00670155"/>
    <w:rsid w:val="0067036D"/>
    <w:rsid w:val="00670558"/>
    <w:rsid w:val="006705A5"/>
    <w:rsid w:val="00670759"/>
    <w:rsid w:val="0067077B"/>
    <w:rsid w:val="006707AC"/>
    <w:rsid w:val="006708FB"/>
    <w:rsid w:val="00670BBB"/>
    <w:rsid w:val="00670F7F"/>
    <w:rsid w:val="0067106C"/>
    <w:rsid w:val="006710B2"/>
    <w:rsid w:val="00671277"/>
    <w:rsid w:val="00671278"/>
    <w:rsid w:val="0067135F"/>
    <w:rsid w:val="00671366"/>
    <w:rsid w:val="00671A5B"/>
    <w:rsid w:val="00671C5E"/>
    <w:rsid w:val="00671FA7"/>
    <w:rsid w:val="006720AF"/>
    <w:rsid w:val="0067221B"/>
    <w:rsid w:val="00672258"/>
    <w:rsid w:val="006722D1"/>
    <w:rsid w:val="0067260F"/>
    <w:rsid w:val="00672622"/>
    <w:rsid w:val="006726A3"/>
    <w:rsid w:val="006727B2"/>
    <w:rsid w:val="00672800"/>
    <w:rsid w:val="00672BA5"/>
    <w:rsid w:val="00672D63"/>
    <w:rsid w:val="00672E6B"/>
    <w:rsid w:val="006732B3"/>
    <w:rsid w:val="00673441"/>
    <w:rsid w:val="00673C50"/>
    <w:rsid w:val="00673EAA"/>
    <w:rsid w:val="006740EE"/>
    <w:rsid w:val="0067410B"/>
    <w:rsid w:val="00674599"/>
    <w:rsid w:val="00674755"/>
    <w:rsid w:val="00674761"/>
    <w:rsid w:val="00674838"/>
    <w:rsid w:val="00674B84"/>
    <w:rsid w:val="00674E6C"/>
    <w:rsid w:val="00674E73"/>
    <w:rsid w:val="00674FF7"/>
    <w:rsid w:val="00675003"/>
    <w:rsid w:val="00675277"/>
    <w:rsid w:val="00675297"/>
    <w:rsid w:val="00675728"/>
    <w:rsid w:val="0067584B"/>
    <w:rsid w:val="00675AF0"/>
    <w:rsid w:val="00675C3A"/>
    <w:rsid w:val="00675C73"/>
    <w:rsid w:val="00675D6D"/>
    <w:rsid w:val="0067600B"/>
    <w:rsid w:val="00676478"/>
    <w:rsid w:val="00676485"/>
    <w:rsid w:val="0067675C"/>
    <w:rsid w:val="0067685B"/>
    <w:rsid w:val="0067687A"/>
    <w:rsid w:val="00676AB8"/>
    <w:rsid w:val="00676C60"/>
    <w:rsid w:val="00676C61"/>
    <w:rsid w:val="00676DCE"/>
    <w:rsid w:val="00676FB0"/>
    <w:rsid w:val="0067702F"/>
    <w:rsid w:val="0067712D"/>
    <w:rsid w:val="0067714B"/>
    <w:rsid w:val="006775E5"/>
    <w:rsid w:val="0067767A"/>
    <w:rsid w:val="00677880"/>
    <w:rsid w:val="006779A5"/>
    <w:rsid w:val="00677A18"/>
    <w:rsid w:val="00677A93"/>
    <w:rsid w:val="006801F2"/>
    <w:rsid w:val="006802DF"/>
    <w:rsid w:val="00680395"/>
    <w:rsid w:val="00680403"/>
    <w:rsid w:val="00680457"/>
    <w:rsid w:val="0068050B"/>
    <w:rsid w:val="006806D3"/>
    <w:rsid w:val="00680B61"/>
    <w:rsid w:val="00680C86"/>
    <w:rsid w:val="00680CF0"/>
    <w:rsid w:val="00680F35"/>
    <w:rsid w:val="00681117"/>
    <w:rsid w:val="0068120A"/>
    <w:rsid w:val="00681566"/>
    <w:rsid w:val="006816AF"/>
    <w:rsid w:val="00681B37"/>
    <w:rsid w:val="00681C8D"/>
    <w:rsid w:val="00681D05"/>
    <w:rsid w:val="00681D0B"/>
    <w:rsid w:val="00682006"/>
    <w:rsid w:val="006822F3"/>
    <w:rsid w:val="0068254B"/>
    <w:rsid w:val="00682873"/>
    <w:rsid w:val="0068289F"/>
    <w:rsid w:val="00682CF6"/>
    <w:rsid w:val="00683193"/>
    <w:rsid w:val="00683244"/>
    <w:rsid w:val="00683556"/>
    <w:rsid w:val="00683949"/>
    <w:rsid w:val="00683A2D"/>
    <w:rsid w:val="00683B9A"/>
    <w:rsid w:val="00683E2E"/>
    <w:rsid w:val="00683F13"/>
    <w:rsid w:val="006842BA"/>
    <w:rsid w:val="006842EE"/>
    <w:rsid w:val="0068436A"/>
    <w:rsid w:val="00684395"/>
    <w:rsid w:val="006845DB"/>
    <w:rsid w:val="00684953"/>
    <w:rsid w:val="00684BC2"/>
    <w:rsid w:val="00684BDC"/>
    <w:rsid w:val="00684C87"/>
    <w:rsid w:val="00684F24"/>
    <w:rsid w:val="00684F38"/>
    <w:rsid w:val="00685017"/>
    <w:rsid w:val="006850B8"/>
    <w:rsid w:val="00685117"/>
    <w:rsid w:val="00685132"/>
    <w:rsid w:val="00685258"/>
    <w:rsid w:val="00685650"/>
    <w:rsid w:val="0068572E"/>
    <w:rsid w:val="0068582B"/>
    <w:rsid w:val="00685956"/>
    <w:rsid w:val="00685AA4"/>
    <w:rsid w:val="00685B32"/>
    <w:rsid w:val="00685BDD"/>
    <w:rsid w:val="00685C51"/>
    <w:rsid w:val="0068600C"/>
    <w:rsid w:val="00686198"/>
    <w:rsid w:val="0068628E"/>
    <w:rsid w:val="006865B4"/>
    <w:rsid w:val="0068668F"/>
    <w:rsid w:val="006866E3"/>
    <w:rsid w:val="0068677C"/>
    <w:rsid w:val="00686A30"/>
    <w:rsid w:val="00686C03"/>
    <w:rsid w:val="00686D72"/>
    <w:rsid w:val="00686E9E"/>
    <w:rsid w:val="00686F07"/>
    <w:rsid w:val="00686F09"/>
    <w:rsid w:val="00686F11"/>
    <w:rsid w:val="006870FA"/>
    <w:rsid w:val="0068720A"/>
    <w:rsid w:val="00687492"/>
    <w:rsid w:val="006874BA"/>
    <w:rsid w:val="006877D7"/>
    <w:rsid w:val="0068786A"/>
    <w:rsid w:val="0068791A"/>
    <w:rsid w:val="00687B03"/>
    <w:rsid w:val="00687D23"/>
    <w:rsid w:val="00687E69"/>
    <w:rsid w:val="0069006D"/>
    <w:rsid w:val="006901BD"/>
    <w:rsid w:val="0069045C"/>
    <w:rsid w:val="0069067F"/>
    <w:rsid w:val="0069077D"/>
    <w:rsid w:val="00690C41"/>
    <w:rsid w:val="0069138D"/>
    <w:rsid w:val="00691505"/>
    <w:rsid w:val="00691519"/>
    <w:rsid w:val="00691549"/>
    <w:rsid w:val="006915A3"/>
    <w:rsid w:val="00691645"/>
    <w:rsid w:val="00691895"/>
    <w:rsid w:val="00691937"/>
    <w:rsid w:val="00691C65"/>
    <w:rsid w:val="00691F06"/>
    <w:rsid w:val="006920A2"/>
    <w:rsid w:val="0069212E"/>
    <w:rsid w:val="0069231E"/>
    <w:rsid w:val="00692425"/>
    <w:rsid w:val="00692520"/>
    <w:rsid w:val="00692618"/>
    <w:rsid w:val="006926AB"/>
    <w:rsid w:val="00692868"/>
    <w:rsid w:val="006928F4"/>
    <w:rsid w:val="006929A4"/>
    <w:rsid w:val="006929C8"/>
    <w:rsid w:val="00692BC7"/>
    <w:rsid w:val="00692C63"/>
    <w:rsid w:val="00692CB4"/>
    <w:rsid w:val="0069324B"/>
    <w:rsid w:val="006932E0"/>
    <w:rsid w:val="0069339C"/>
    <w:rsid w:val="006933DB"/>
    <w:rsid w:val="006933DC"/>
    <w:rsid w:val="00693654"/>
    <w:rsid w:val="00693699"/>
    <w:rsid w:val="006936E8"/>
    <w:rsid w:val="00693902"/>
    <w:rsid w:val="00693954"/>
    <w:rsid w:val="00693C0E"/>
    <w:rsid w:val="00693EE6"/>
    <w:rsid w:val="00693F48"/>
    <w:rsid w:val="00693FBE"/>
    <w:rsid w:val="00694146"/>
    <w:rsid w:val="006941AB"/>
    <w:rsid w:val="0069422C"/>
    <w:rsid w:val="006943A8"/>
    <w:rsid w:val="006944EB"/>
    <w:rsid w:val="0069458A"/>
    <w:rsid w:val="006947E7"/>
    <w:rsid w:val="0069494E"/>
    <w:rsid w:val="00694A6B"/>
    <w:rsid w:val="00694B64"/>
    <w:rsid w:val="00694C7F"/>
    <w:rsid w:val="00694C90"/>
    <w:rsid w:val="00694CD4"/>
    <w:rsid w:val="00694E85"/>
    <w:rsid w:val="00694FB2"/>
    <w:rsid w:val="006950C7"/>
    <w:rsid w:val="006954DE"/>
    <w:rsid w:val="0069551E"/>
    <w:rsid w:val="006955A0"/>
    <w:rsid w:val="00695817"/>
    <w:rsid w:val="006959CC"/>
    <w:rsid w:val="00695B23"/>
    <w:rsid w:val="00696033"/>
    <w:rsid w:val="0069610D"/>
    <w:rsid w:val="006963AD"/>
    <w:rsid w:val="006963DE"/>
    <w:rsid w:val="00696510"/>
    <w:rsid w:val="00696604"/>
    <w:rsid w:val="0069681A"/>
    <w:rsid w:val="00696D15"/>
    <w:rsid w:val="00696D84"/>
    <w:rsid w:val="00696E7A"/>
    <w:rsid w:val="00697065"/>
    <w:rsid w:val="006974A8"/>
    <w:rsid w:val="0069759D"/>
    <w:rsid w:val="006977A5"/>
    <w:rsid w:val="00697948"/>
    <w:rsid w:val="00697D32"/>
    <w:rsid w:val="006A0121"/>
    <w:rsid w:val="006A0509"/>
    <w:rsid w:val="006A060C"/>
    <w:rsid w:val="006A0855"/>
    <w:rsid w:val="006A0C6C"/>
    <w:rsid w:val="006A0CC7"/>
    <w:rsid w:val="006A0D89"/>
    <w:rsid w:val="006A0F06"/>
    <w:rsid w:val="006A1007"/>
    <w:rsid w:val="006A1063"/>
    <w:rsid w:val="006A112F"/>
    <w:rsid w:val="006A11B5"/>
    <w:rsid w:val="006A1363"/>
    <w:rsid w:val="006A1482"/>
    <w:rsid w:val="006A148B"/>
    <w:rsid w:val="006A15D3"/>
    <w:rsid w:val="006A177A"/>
    <w:rsid w:val="006A1A26"/>
    <w:rsid w:val="006A1BE8"/>
    <w:rsid w:val="006A1DF5"/>
    <w:rsid w:val="006A1EBB"/>
    <w:rsid w:val="006A1FB5"/>
    <w:rsid w:val="006A2031"/>
    <w:rsid w:val="006A20E7"/>
    <w:rsid w:val="006A21FF"/>
    <w:rsid w:val="006A2357"/>
    <w:rsid w:val="006A2428"/>
    <w:rsid w:val="006A2876"/>
    <w:rsid w:val="006A292E"/>
    <w:rsid w:val="006A293C"/>
    <w:rsid w:val="006A2A2F"/>
    <w:rsid w:val="006A2B8C"/>
    <w:rsid w:val="006A2DAB"/>
    <w:rsid w:val="006A2ECE"/>
    <w:rsid w:val="006A2F31"/>
    <w:rsid w:val="006A319E"/>
    <w:rsid w:val="006A3478"/>
    <w:rsid w:val="006A3882"/>
    <w:rsid w:val="006A3BDC"/>
    <w:rsid w:val="006A3D7A"/>
    <w:rsid w:val="006A3E44"/>
    <w:rsid w:val="006A4497"/>
    <w:rsid w:val="006A4621"/>
    <w:rsid w:val="006A4752"/>
    <w:rsid w:val="006A47FE"/>
    <w:rsid w:val="006A49EC"/>
    <w:rsid w:val="006A4A72"/>
    <w:rsid w:val="006A4E49"/>
    <w:rsid w:val="006A4EED"/>
    <w:rsid w:val="006A4F36"/>
    <w:rsid w:val="006A5125"/>
    <w:rsid w:val="006A5161"/>
    <w:rsid w:val="006A529B"/>
    <w:rsid w:val="006A52C7"/>
    <w:rsid w:val="006A5486"/>
    <w:rsid w:val="006A57E2"/>
    <w:rsid w:val="006A5ABF"/>
    <w:rsid w:val="006A5B75"/>
    <w:rsid w:val="006A5C56"/>
    <w:rsid w:val="006A5D02"/>
    <w:rsid w:val="006A5D06"/>
    <w:rsid w:val="006A5D46"/>
    <w:rsid w:val="006A60CD"/>
    <w:rsid w:val="006A612E"/>
    <w:rsid w:val="006A6194"/>
    <w:rsid w:val="006A627B"/>
    <w:rsid w:val="006A6528"/>
    <w:rsid w:val="006A65F4"/>
    <w:rsid w:val="006A68B3"/>
    <w:rsid w:val="006A68FE"/>
    <w:rsid w:val="006A6930"/>
    <w:rsid w:val="006A694A"/>
    <w:rsid w:val="006A6AF6"/>
    <w:rsid w:val="006A6D02"/>
    <w:rsid w:val="006A6E6B"/>
    <w:rsid w:val="006A6EC7"/>
    <w:rsid w:val="006A7041"/>
    <w:rsid w:val="006A7053"/>
    <w:rsid w:val="006A70D6"/>
    <w:rsid w:val="006A72AF"/>
    <w:rsid w:val="006A7721"/>
    <w:rsid w:val="006A7792"/>
    <w:rsid w:val="006A77E2"/>
    <w:rsid w:val="006A7AB4"/>
    <w:rsid w:val="006A7B4A"/>
    <w:rsid w:val="006B0354"/>
    <w:rsid w:val="006B057B"/>
    <w:rsid w:val="006B0615"/>
    <w:rsid w:val="006B06C5"/>
    <w:rsid w:val="006B0865"/>
    <w:rsid w:val="006B095F"/>
    <w:rsid w:val="006B0C83"/>
    <w:rsid w:val="006B0C95"/>
    <w:rsid w:val="006B0EB2"/>
    <w:rsid w:val="006B0F26"/>
    <w:rsid w:val="006B13B8"/>
    <w:rsid w:val="006B1B2A"/>
    <w:rsid w:val="006B1BB5"/>
    <w:rsid w:val="006B1C12"/>
    <w:rsid w:val="006B1CDC"/>
    <w:rsid w:val="006B1DD8"/>
    <w:rsid w:val="006B1E77"/>
    <w:rsid w:val="006B1E9A"/>
    <w:rsid w:val="006B1EDD"/>
    <w:rsid w:val="006B240E"/>
    <w:rsid w:val="006B255B"/>
    <w:rsid w:val="006B2992"/>
    <w:rsid w:val="006B2A57"/>
    <w:rsid w:val="006B2CB9"/>
    <w:rsid w:val="006B2D91"/>
    <w:rsid w:val="006B2F7C"/>
    <w:rsid w:val="006B32A6"/>
    <w:rsid w:val="006B3499"/>
    <w:rsid w:val="006B3678"/>
    <w:rsid w:val="006B36BA"/>
    <w:rsid w:val="006B374B"/>
    <w:rsid w:val="006B3810"/>
    <w:rsid w:val="006B3A67"/>
    <w:rsid w:val="006B3AFF"/>
    <w:rsid w:val="006B3C1F"/>
    <w:rsid w:val="006B3DAC"/>
    <w:rsid w:val="006B3F45"/>
    <w:rsid w:val="006B4081"/>
    <w:rsid w:val="006B41BF"/>
    <w:rsid w:val="006B44C3"/>
    <w:rsid w:val="006B47D5"/>
    <w:rsid w:val="006B47DF"/>
    <w:rsid w:val="006B48D4"/>
    <w:rsid w:val="006B4902"/>
    <w:rsid w:val="006B4AA7"/>
    <w:rsid w:val="006B4C58"/>
    <w:rsid w:val="006B4CBD"/>
    <w:rsid w:val="006B4F38"/>
    <w:rsid w:val="006B50FD"/>
    <w:rsid w:val="006B525A"/>
    <w:rsid w:val="006B5283"/>
    <w:rsid w:val="006B535F"/>
    <w:rsid w:val="006B5416"/>
    <w:rsid w:val="006B56D2"/>
    <w:rsid w:val="006B5807"/>
    <w:rsid w:val="006B5846"/>
    <w:rsid w:val="006B58B5"/>
    <w:rsid w:val="006B59C4"/>
    <w:rsid w:val="006B5E70"/>
    <w:rsid w:val="006B5E91"/>
    <w:rsid w:val="006B6211"/>
    <w:rsid w:val="006B665B"/>
    <w:rsid w:val="006B6697"/>
    <w:rsid w:val="006B6731"/>
    <w:rsid w:val="006B67D5"/>
    <w:rsid w:val="006B6962"/>
    <w:rsid w:val="006B6993"/>
    <w:rsid w:val="006B69D2"/>
    <w:rsid w:val="006B6C2E"/>
    <w:rsid w:val="006B6C82"/>
    <w:rsid w:val="006B7012"/>
    <w:rsid w:val="006B709E"/>
    <w:rsid w:val="006B7165"/>
    <w:rsid w:val="006B721C"/>
    <w:rsid w:val="006B73F1"/>
    <w:rsid w:val="006B7418"/>
    <w:rsid w:val="006B76B3"/>
    <w:rsid w:val="006B773F"/>
    <w:rsid w:val="006B7986"/>
    <w:rsid w:val="006B7BB4"/>
    <w:rsid w:val="006B7C0A"/>
    <w:rsid w:val="006B7D04"/>
    <w:rsid w:val="006B7D96"/>
    <w:rsid w:val="006B7E31"/>
    <w:rsid w:val="006B7FAF"/>
    <w:rsid w:val="006C00C6"/>
    <w:rsid w:val="006C012A"/>
    <w:rsid w:val="006C0180"/>
    <w:rsid w:val="006C023B"/>
    <w:rsid w:val="006C024A"/>
    <w:rsid w:val="006C0372"/>
    <w:rsid w:val="006C0C0A"/>
    <w:rsid w:val="006C0C78"/>
    <w:rsid w:val="006C0E64"/>
    <w:rsid w:val="006C1030"/>
    <w:rsid w:val="006C117C"/>
    <w:rsid w:val="006C121E"/>
    <w:rsid w:val="006C13DC"/>
    <w:rsid w:val="006C148C"/>
    <w:rsid w:val="006C14A2"/>
    <w:rsid w:val="006C14F0"/>
    <w:rsid w:val="006C15E9"/>
    <w:rsid w:val="006C165A"/>
    <w:rsid w:val="006C184F"/>
    <w:rsid w:val="006C1C24"/>
    <w:rsid w:val="006C1C49"/>
    <w:rsid w:val="006C1E97"/>
    <w:rsid w:val="006C21C7"/>
    <w:rsid w:val="006C2296"/>
    <w:rsid w:val="006C22DC"/>
    <w:rsid w:val="006C2402"/>
    <w:rsid w:val="006C2407"/>
    <w:rsid w:val="006C2432"/>
    <w:rsid w:val="006C2590"/>
    <w:rsid w:val="006C27CF"/>
    <w:rsid w:val="006C2CD2"/>
    <w:rsid w:val="006C2D97"/>
    <w:rsid w:val="006C2F20"/>
    <w:rsid w:val="006C32B2"/>
    <w:rsid w:val="006C340D"/>
    <w:rsid w:val="006C3715"/>
    <w:rsid w:val="006C3718"/>
    <w:rsid w:val="006C371C"/>
    <w:rsid w:val="006C3B82"/>
    <w:rsid w:val="006C3FB3"/>
    <w:rsid w:val="006C3FE9"/>
    <w:rsid w:val="006C419A"/>
    <w:rsid w:val="006C42B9"/>
    <w:rsid w:val="006C4758"/>
    <w:rsid w:val="006C49A1"/>
    <w:rsid w:val="006C4ACF"/>
    <w:rsid w:val="006C4E36"/>
    <w:rsid w:val="006C4E9B"/>
    <w:rsid w:val="006C4F4F"/>
    <w:rsid w:val="006C51D2"/>
    <w:rsid w:val="006C567D"/>
    <w:rsid w:val="006C588C"/>
    <w:rsid w:val="006C59A4"/>
    <w:rsid w:val="006C5A1A"/>
    <w:rsid w:val="006C5B53"/>
    <w:rsid w:val="006C5DDE"/>
    <w:rsid w:val="006C5E53"/>
    <w:rsid w:val="006C61E7"/>
    <w:rsid w:val="006C63FD"/>
    <w:rsid w:val="006C67E1"/>
    <w:rsid w:val="006C67E3"/>
    <w:rsid w:val="006C6A10"/>
    <w:rsid w:val="006C6AB2"/>
    <w:rsid w:val="006C6C2C"/>
    <w:rsid w:val="006C7159"/>
    <w:rsid w:val="006C7288"/>
    <w:rsid w:val="006C7396"/>
    <w:rsid w:val="006C73FA"/>
    <w:rsid w:val="006C753B"/>
    <w:rsid w:val="006C75AA"/>
    <w:rsid w:val="006C76CD"/>
    <w:rsid w:val="006C7987"/>
    <w:rsid w:val="006C7B74"/>
    <w:rsid w:val="006C7CEC"/>
    <w:rsid w:val="006C7EEF"/>
    <w:rsid w:val="006D00AA"/>
    <w:rsid w:val="006D00CE"/>
    <w:rsid w:val="006D018C"/>
    <w:rsid w:val="006D0736"/>
    <w:rsid w:val="006D07AE"/>
    <w:rsid w:val="006D07FA"/>
    <w:rsid w:val="006D0B5A"/>
    <w:rsid w:val="006D0E3F"/>
    <w:rsid w:val="006D101C"/>
    <w:rsid w:val="006D117E"/>
    <w:rsid w:val="006D11B3"/>
    <w:rsid w:val="006D1479"/>
    <w:rsid w:val="006D1591"/>
    <w:rsid w:val="006D1741"/>
    <w:rsid w:val="006D18D9"/>
    <w:rsid w:val="006D1B2C"/>
    <w:rsid w:val="006D1CB3"/>
    <w:rsid w:val="006D1D6A"/>
    <w:rsid w:val="006D1F18"/>
    <w:rsid w:val="006D2612"/>
    <w:rsid w:val="006D26D5"/>
    <w:rsid w:val="006D27B7"/>
    <w:rsid w:val="006D29D4"/>
    <w:rsid w:val="006D2C00"/>
    <w:rsid w:val="006D2C6A"/>
    <w:rsid w:val="006D2D6F"/>
    <w:rsid w:val="006D313A"/>
    <w:rsid w:val="006D3248"/>
    <w:rsid w:val="006D3502"/>
    <w:rsid w:val="006D3707"/>
    <w:rsid w:val="006D3840"/>
    <w:rsid w:val="006D3C4C"/>
    <w:rsid w:val="006D3E9F"/>
    <w:rsid w:val="006D3FE4"/>
    <w:rsid w:val="006D3FFD"/>
    <w:rsid w:val="006D409F"/>
    <w:rsid w:val="006D4131"/>
    <w:rsid w:val="006D41D9"/>
    <w:rsid w:val="006D42EE"/>
    <w:rsid w:val="006D43CB"/>
    <w:rsid w:val="006D466E"/>
    <w:rsid w:val="006D4712"/>
    <w:rsid w:val="006D49D7"/>
    <w:rsid w:val="006D4C8E"/>
    <w:rsid w:val="006D4E3F"/>
    <w:rsid w:val="006D519E"/>
    <w:rsid w:val="006D53B2"/>
    <w:rsid w:val="006D5438"/>
    <w:rsid w:val="006D546E"/>
    <w:rsid w:val="006D557F"/>
    <w:rsid w:val="006D558B"/>
    <w:rsid w:val="006D5C17"/>
    <w:rsid w:val="006D5D86"/>
    <w:rsid w:val="006D611A"/>
    <w:rsid w:val="006D6165"/>
    <w:rsid w:val="006D63C3"/>
    <w:rsid w:val="006D6621"/>
    <w:rsid w:val="006D6668"/>
    <w:rsid w:val="006D6798"/>
    <w:rsid w:val="006D6991"/>
    <w:rsid w:val="006D6B49"/>
    <w:rsid w:val="006D6B87"/>
    <w:rsid w:val="006D6BCA"/>
    <w:rsid w:val="006D6DA1"/>
    <w:rsid w:val="006D6F3A"/>
    <w:rsid w:val="006D6FAF"/>
    <w:rsid w:val="006D739B"/>
    <w:rsid w:val="006D7411"/>
    <w:rsid w:val="006D7556"/>
    <w:rsid w:val="006D76F6"/>
    <w:rsid w:val="006D79A3"/>
    <w:rsid w:val="006D7A85"/>
    <w:rsid w:val="006D7E59"/>
    <w:rsid w:val="006D7ED2"/>
    <w:rsid w:val="006D7F98"/>
    <w:rsid w:val="006D7FEF"/>
    <w:rsid w:val="006E01F3"/>
    <w:rsid w:val="006E0357"/>
    <w:rsid w:val="006E0371"/>
    <w:rsid w:val="006E05BB"/>
    <w:rsid w:val="006E089F"/>
    <w:rsid w:val="006E0958"/>
    <w:rsid w:val="006E0A5C"/>
    <w:rsid w:val="006E0AA7"/>
    <w:rsid w:val="006E0B15"/>
    <w:rsid w:val="006E0D9B"/>
    <w:rsid w:val="006E0E42"/>
    <w:rsid w:val="006E1023"/>
    <w:rsid w:val="006E153F"/>
    <w:rsid w:val="006E17A3"/>
    <w:rsid w:val="006E1903"/>
    <w:rsid w:val="006E1AA6"/>
    <w:rsid w:val="006E1B74"/>
    <w:rsid w:val="006E1D05"/>
    <w:rsid w:val="006E1F1D"/>
    <w:rsid w:val="006E1F5D"/>
    <w:rsid w:val="006E20A5"/>
    <w:rsid w:val="006E2244"/>
    <w:rsid w:val="006E235F"/>
    <w:rsid w:val="006E23E2"/>
    <w:rsid w:val="006E2458"/>
    <w:rsid w:val="006E24E1"/>
    <w:rsid w:val="006E260D"/>
    <w:rsid w:val="006E2778"/>
    <w:rsid w:val="006E2931"/>
    <w:rsid w:val="006E297E"/>
    <w:rsid w:val="006E2A08"/>
    <w:rsid w:val="006E2A4D"/>
    <w:rsid w:val="006E2AB4"/>
    <w:rsid w:val="006E2B1D"/>
    <w:rsid w:val="006E2F8D"/>
    <w:rsid w:val="006E2FEE"/>
    <w:rsid w:val="006E302A"/>
    <w:rsid w:val="006E3127"/>
    <w:rsid w:val="006E31BC"/>
    <w:rsid w:val="006E3212"/>
    <w:rsid w:val="006E323F"/>
    <w:rsid w:val="006E3248"/>
    <w:rsid w:val="006E345C"/>
    <w:rsid w:val="006E34EB"/>
    <w:rsid w:val="006E35B2"/>
    <w:rsid w:val="006E3800"/>
    <w:rsid w:val="006E381F"/>
    <w:rsid w:val="006E3A3E"/>
    <w:rsid w:val="006E3ADD"/>
    <w:rsid w:val="006E4033"/>
    <w:rsid w:val="006E4048"/>
    <w:rsid w:val="006E412F"/>
    <w:rsid w:val="006E4147"/>
    <w:rsid w:val="006E417D"/>
    <w:rsid w:val="006E4752"/>
    <w:rsid w:val="006E4922"/>
    <w:rsid w:val="006E49D6"/>
    <w:rsid w:val="006E50C0"/>
    <w:rsid w:val="006E5422"/>
    <w:rsid w:val="006E558E"/>
    <w:rsid w:val="006E55DD"/>
    <w:rsid w:val="006E583F"/>
    <w:rsid w:val="006E58BE"/>
    <w:rsid w:val="006E5977"/>
    <w:rsid w:val="006E59FF"/>
    <w:rsid w:val="006E5A11"/>
    <w:rsid w:val="006E5BE2"/>
    <w:rsid w:val="006E5D22"/>
    <w:rsid w:val="006E5D38"/>
    <w:rsid w:val="006E60B0"/>
    <w:rsid w:val="006E6159"/>
    <w:rsid w:val="006E6273"/>
    <w:rsid w:val="006E6358"/>
    <w:rsid w:val="006E63D0"/>
    <w:rsid w:val="006E668A"/>
    <w:rsid w:val="006E6708"/>
    <w:rsid w:val="006E6A17"/>
    <w:rsid w:val="006E6A3C"/>
    <w:rsid w:val="006E6A5D"/>
    <w:rsid w:val="006E6C1C"/>
    <w:rsid w:val="006E6F11"/>
    <w:rsid w:val="006E7034"/>
    <w:rsid w:val="006E70E0"/>
    <w:rsid w:val="006E7131"/>
    <w:rsid w:val="006E7143"/>
    <w:rsid w:val="006E7293"/>
    <w:rsid w:val="006E74AC"/>
    <w:rsid w:val="006E7604"/>
    <w:rsid w:val="006E76C8"/>
    <w:rsid w:val="006E7721"/>
    <w:rsid w:val="006E772B"/>
    <w:rsid w:val="006E784E"/>
    <w:rsid w:val="006E7B1E"/>
    <w:rsid w:val="006E7C2D"/>
    <w:rsid w:val="006E7E67"/>
    <w:rsid w:val="006E7EF2"/>
    <w:rsid w:val="006E7F9E"/>
    <w:rsid w:val="006E7FB7"/>
    <w:rsid w:val="006F004C"/>
    <w:rsid w:val="006F0305"/>
    <w:rsid w:val="006F03FE"/>
    <w:rsid w:val="006F0420"/>
    <w:rsid w:val="006F0446"/>
    <w:rsid w:val="006F04FD"/>
    <w:rsid w:val="006F063D"/>
    <w:rsid w:val="006F0683"/>
    <w:rsid w:val="006F0B2F"/>
    <w:rsid w:val="006F0B7E"/>
    <w:rsid w:val="006F0D62"/>
    <w:rsid w:val="006F0EC1"/>
    <w:rsid w:val="006F0F4E"/>
    <w:rsid w:val="006F0F8D"/>
    <w:rsid w:val="006F104F"/>
    <w:rsid w:val="006F1052"/>
    <w:rsid w:val="006F11DE"/>
    <w:rsid w:val="006F1466"/>
    <w:rsid w:val="006F1479"/>
    <w:rsid w:val="006F16C4"/>
    <w:rsid w:val="006F1AF0"/>
    <w:rsid w:val="006F1E2D"/>
    <w:rsid w:val="006F1E5A"/>
    <w:rsid w:val="006F2010"/>
    <w:rsid w:val="006F235A"/>
    <w:rsid w:val="006F254E"/>
    <w:rsid w:val="006F2AB8"/>
    <w:rsid w:val="006F2CCB"/>
    <w:rsid w:val="006F3108"/>
    <w:rsid w:val="006F3157"/>
    <w:rsid w:val="006F31F1"/>
    <w:rsid w:val="006F3228"/>
    <w:rsid w:val="006F323E"/>
    <w:rsid w:val="006F332F"/>
    <w:rsid w:val="006F34B7"/>
    <w:rsid w:val="006F36F5"/>
    <w:rsid w:val="006F3CB2"/>
    <w:rsid w:val="006F3D63"/>
    <w:rsid w:val="006F3D72"/>
    <w:rsid w:val="006F3E56"/>
    <w:rsid w:val="006F3F97"/>
    <w:rsid w:val="006F3F98"/>
    <w:rsid w:val="006F4216"/>
    <w:rsid w:val="006F4280"/>
    <w:rsid w:val="006F42F9"/>
    <w:rsid w:val="006F4395"/>
    <w:rsid w:val="006F45CD"/>
    <w:rsid w:val="006F4748"/>
    <w:rsid w:val="006F4B7E"/>
    <w:rsid w:val="006F4C19"/>
    <w:rsid w:val="006F5039"/>
    <w:rsid w:val="006F5436"/>
    <w:rsid w:val="006F54DC"/>
    <w:rsid w:val="006F5730"/>
    <w:rsid w:val="006F5987"/>
    <w:rsid w:val="006F5E0C"/>
    <w:rsid w:val="006F5E70"/>
    <w:rsid w:val="006F5F36"/>
    <w:rsid w:val="006F5F57"/>
    <w:rsid w:val="006F61D7"/>
    <w:rsid w:val="006F61EF"/>
    <w:rsid w:val="006F6261"/>
    <w:rsid w:val="006F64FA"/>
    <w:rsid w:val="006F6548"/>
    <w:rsid w:val="006F66DD"/>
    <w:rsid w:val="006F6884"/>
    <w:rsid w:val="006F68AE"/>
    <w:rsid w:val="006F694D"/>
    <w:rsid w:val="006F69E9"/>
    <w:rsid w:val="006F6A57"/>
    <w:rsid w:val="006F6D25"/>
    <w:rsid w:val="006F6D8C"/>
    <w:rsid w:val="006F6E64"/>
    <w:rsid w:val="006F727E"/>
    <w:rsid w:val="006F728D"/>
    <w:rsid w:val="006F7315"/>
    <w:rsid w:val="006F73F6"/>
    <w:rsid w:val="006F76A7"/>
    <w:rsid w:val="006F76F5"/>
    <w:rsid w:val="006F76FE"/>
    <w:rsid w:val="006F7860"/>
    <w:rsid w:val="006F7B22"/>
    <w:rsid w:val="006F7BAD"/>
    <w:rsid w:val="006F7C49"/>
    <w:rsid w:val="00700081"/>
    <w:rsid w:val="007000C0"/>
    <w:rsid w:val="00700122"/>
    <w:rsid w:val="007001D9"/>
    <w:rsid w:val="00700284"/>
    <w:rsid w:val="007003C1"/>
    <w:rsid w:val="007005D2"/>
    <w:rsid w:val="0070063F"/>
    <w:rsid w:val="0070091F"/>
    <w:rsid w:val="0070093D"/>
    <w:rsid w:val="007010E0"/>
    <w:rsid w:val="0070117F"/>
    <w:rsid w:val="007011DD"/>
    <w:rsid w:val="00701283"/>
    <w:rsid w:val="007015F1"/>
    <w:rsid w:val="007018C3"/>
    <w:rsid w:val="00701B59"/>
    <w:rsid w:val="00701C7D"/>
    <w:rsid w:val="00701D33"/>
    <w:rsid w:val="00701F27"/>
    <w:rsid w:val="00701FD7"/>
    <w:rsid w:val="00702332"/>
    <w:rsid w:val="00702611"/>
    <w:rsid w:val="00702A9B"/>
    <w:rsid w:val="00702BF5"/>
    <w:rsid w:val="00702C87"/>
    <w:rsid w:val="00702DD5"/>
    <w:rsid w:val="00702FF8"/>
    <w:rsid w:val="007031A9"/>
    <w:rsid w:val="00703377"/>
    <w:rsid w:val="0070345E"/>
    <w:rsid w:val="00703474"/>
    <w:rsid w:val="007034C6"/>
    <w:rsid w:val="00703528"/>
    <w:rsid w:val="00703B1A"/>
    <w:rsid w:val="00703C92"/>
    <w:rsid w:val="00703CB7"/>
    <w:rsid w:val="00703D8D"/>
    <w:rsid w:val="00703D90"/>
    <w:rsid w:val="00703D91"/>
    <w:rsid w:val="00703E75"/>
    <w:rsid w:val="00703F3C"/>
    <w:rsid w:val="00704276"/>
    <w:rsid w:val="007043E7"/>
    <w:rsid w:val="00704781"/>
    <w:rsid w:val="00704853"/>
    <w:rsid w:val="00704C4B"/>
    <w:rsid w:val="00704F32"/>
    <w:rsid w:val="00705257"/>
    <w:rsid w:val="007052B5"/>
    <w:rsid w:val="00705358"/>
    <w:rsid w:val="007054D5"/>
    <w:rsid w:val="0070558B"/>
    <w:rsid w:val="007055D5"/>
    <w:rsid w:val="00705BD1"/>
    <w:rsid w:val="00705DC0"/>
    <w:rsid w:val="007061F7"/>
    <w:rsid w:val="007065D4"/>
    <w:rsid w:val="00706681"/>
    <w:rsid w:val="00706716"/>
    <w:rsid w:val="00706822"/>
    <w:rsid w:val="007068F8"/>
    <w:rsid w:val="00706BF2"/>
    <w:rsid w:val="00706CFD"/>
    <w:rsid w:val="0070714B"/>
    <w:rsid w:val="00707193"/>
    <w:rsid w:val="00707312"/>
    <w:rsid w:val="00707339"/>
    <w:rsid w:val="00707483"/>
    <w:rsid w:val="00707516"/>
    <w:rsid w:val="00707608"/>
    <w:rsid w:val="00707758"/>
    <w:rsid w:val="007077E5"/>
    <w:rsid w:val="007078A8"/>
    <w:rsid w:val="00707920"/>
    <w:rsid w:val="00707F8B"/>
    <w:rsid w:val="0071006A"/>
    <w:rsid w:val="00710102"/>
    <w:rsid w:val="00710108"/>
    <w:rsid w:val="007101B7"/>
    <w:rsid w:val="007101D9"/>
    <w:rsid w:val="00710393"/>
    <w:rsid w:val="007103F0"/>
    <w:rsid w:val="00710E15"/>
    <w:rsid w:val="00710F3C"/>
    <w:rsid w:val="0071135E"/>
    <w:rsid w:val="00711364"/>
    <w:rsid w:val="007114D5"/>
    <w:rsid w:val="007117FC"/>
    <w:rsid w:val="00711994"/>
    <w:rsid w:val="00711A42"/>
    <w:rsid w:val="00711AFF"/>
    <w:rsid w:val="00711BCE"/>
    <w:rsid w:val="00711BFD"/>
    <w:rsid w:val="00711C76"/>
    <w:rsid w:val="00711DE1"/>
    <w:rsid w:val="007123CD"/>
    <w:rsid w:val="00712436"/>
    <w:rsid w:val="00712660"/>
    <w:rsid w:val="0071269F"/>
    <w:rsid w:val="0071273F"/>
    <w:rsid w:val="007128AA"/>
    <w:rsid w:val="00712A08"/>
    <w:rsid w:val="00712AC8"/>
    <w:rsid w:val="00712BC7"/>
    <w:rsid w:val="00712C17"/>
    <w:rsid w:val="00712CB1"/>
    <w:rsid w:val="00712DB8"/>
    <w:rsid w:val="00712EDF"/>
    <w:rsid w:val="00712F40"/>
    <w:rsid w:val="00713174"/>
    <w:rsid w:val="0071317D"/>
    <w:rsid w:val="0071364C"/>
    <w:rsid w:val="00713650"/>
    <w:rsid w:val="00713669"/>
    <w:rsid w:val="00713739"/>
    <w:rsid w:val="00713832"/>
    <w:rsid w:val="00713B23"/>
    <w:rsid w:val="00713B29"/>
    <w:rsid w:val="00713CFC"/>
    <w:rsid w:val="00713D3C"/>
    <w:rsid w:val="00713E6F"/>
    <w:rsid w:val="00714214"/>
    <w:rsid w:val="00714581"/>
    <w:rsid w:val="00714584"/>
    <w:rsid w:val="007148EE"/>
    <w:rsid w:val="00714B0D"/>
    <w:rsid w:val="00714D57"/>
    <w:rsid w:val="00714E23"/>
    <w:rsid w:val="00714EF6"/>
    <w:rsid w:val="00714F90"/>
    <w:rsid w:val="0071534E"/>
    <w:rsid w:val="00715362"/>
    <w:rsid w:val="007153EF"/>
    <w:rsid w:val="00715409"/>
    <w:rsid w:val="00715505"/>
    <w:rsid w:val="00715684"/>
    <w:rsid w:val="0071574F"/>
    <w:rsid w:val="0071590C"/>
    <w:rsid w:val="00715B1A"/>
    <w:rsid w:val="00715BD3"/>
    <w:rsid w:val="00715C84"/>
    <w:rsid w:val="00715CD9"/>
    <w:rsid w:val="00715F5D"/>
    <w:rsid w:val="00716346"/>
    <w:rsid w:val="007163E6"/>
    <w:rsid w:val="00716405"/>
    <w:rsid w:val="0071656D"/>
    <w:rsid w:val="007165D7"/>
    <w:rsid w:val="0071667A"/>
    <w:rsid w:val="00716912"/>
    <w:rsid w:val="00716A03"/>
    <w:rsid w:val="00716A5E"/>
    <w:rsid w:val="00716CAD"/>
    <w:rsid w:val="00716E20"/>
    <w:rsid w:val="007172B2"/>
    <w:rsid w:val="007172FB"/>
    <w:rsid w:val="0071735D"/>
    <w:rsid w:val="007173EC"/>
    <w:rsid w:val="00717538"/>
    <w:rsid w:val="00717649"/>
    <w:rsid w:val="00717661"/>
    <w:rsid w:val="007178FB"/>
    <w:rsid w:val="00717906"/>
    <w:rsid w:val="00717B69"/>
    <w:rsid w:val="00717DF0"/>
    <w:rsid w:val="00717E34"/>
    <w:rsid w:val="00720088"/>
    <w:rsid w:val="007200B6"/>
    <w:rsid w:val="00720165"/>
    <w:rsid w:val="00720493"/>
    <w:rsid w:val="007204CC"/>
    <w:rsid w:val="00720514"/>
    <w:rsid w:val="007205A0"/>
    <w:rsid w:val="00720730"/>
    <w:rsid w:val="00720A21"/>
    <w:rsid w:val="00720B71"/>
    <w:rsid w:val="00720D21"/>
    <w:rsid w:val="00720F59"/>
    <w:rsid w:val="0072126D"/>
    <w:rsid w:val="00721527"/>
    <w:rsid w:val="00721634"/>
    <w:rsid w:val="00721851"/>
    <w:rsid w:val="00721EC8"/>
    <w:rsid w:val="0072232E"/>
    <w:rsid w:val="0072241D"/>
    <w:rsid w:val="00722861"/>
    <w:rsid w:val="00722B23"/>
    <w:rsid w:val="0072304C"/>
    <w:rsid w:val="007234D1"/>
    <w:rsid w:val="0072393C"/>
    <w:rsid w:val="00723BA2"/>
    <w:rsid w:val="00723ECE"/>
    <w:rsid w:val="00723F9D"/>
    <w:rsid w:val="00724081"/>
    <w:rsid w:val="00724085"/>
    <w:rsid w:val="007244FA"/>
    <w:rsid w:val="007245D6"/>
    <w:rsid w:val="0072460A"/>
    <w:rsid w:val="00724648"/>
    <w:rsid w:val="0072467C"/>
    <w:rsid w:val="00724737"/>
    <w:rsid w:val="00724774"/>
    <w:rsid w:val="00724BA5"/>
    <w:rsid w:val="00724D7F"/>
    <w:rsid w:val="00725051"/>
    <w:rsid w:val="00725237"/>
    <w:rsid w:val="00725563"/>
    <w:rsid w:val="00725663"/>
    <w:rsid w:val="007257C3"/>
    <w:rsid w:val="0072591D"/>
    <w:rsid w:val="00725AD8"/>
    <w:rsid w:val="00725AE8"/>
    <w:rsid w:val="00726110"/>
    <w:rsid w:val="00726117"/>
    <w:rsid w:val="00726225"/>
    <w:rsid w:val="007263A6"/>
    <w:rsid w:val="00726488"/>
    <w:rsid w:val="007265CB"/>
    <w:rsid w:val="0072688D"/>
    <w:rsid w:val="00726B05"/>
    <w:rsid w:val="00726D98"/>
    <w:rsid w:val="00726EF5"/>
    <w:rsid w:val="00726F4E"/>
    <w:rsid w:val="0072728A"/>
    <w:rsid w:val="007273DD"/>
    <w:rsid w:val="007274A8"/>
    <w:rsid w:val="007275DF"/>
    <w:rsid w:val="0072771B"/>
    <w:rsid w:val="007277CA"/>
    <w:rsid w:val="00727E13"/>
    <w:rsid w:val="00727E24"/>
    <w:rsid w:val="00730370"/>
    <w:rsid w:val="00730378"/>
    <w:rsid w:val="007303C7"/>
    <w:rsid w:val="007304C4"/>
    <w:rsid w:val="00730599"/>
    <w:rsid w:val="00730749"/>
    <w:rsid w:val="00730756"/>
    <w:rsid w:val="00730765"/>
    <w:rsid w:val="0073098F"/>
    <w:rsid w:val="00730B3B"/>
    <w:rsid w:val="00730F3E"/>
    <w:rsid w:val="00730F41"/>
    <w:rsid w:val="00730F4C"/>
    <w:rsid w:val="0073106D"/>
    <w:rsid w:val="007310DB"/>
    <w:rsid w:val="007310DC"/>
    <w:rsid w:val="00731169"/>
    <w:rsid w:val="00731556"/>
    <w:rsid w:val="007315FA"/>
    <w:rsid w:val="00731847"/>
    <w:rsid w:val="00731D48"/>
    <w:rsid w:val="00731DBA"/>
    <w:rsid w:val="00731E1A"/>
    <w:rsid w:val="00731EF6"/>
    <w:rsid w:val="00732093"/>
    <w:rsid w:val="00732240"/>
    <w:rsid w:val="00732463"/>
    <w:rsid w:val="0073255D"/>
    <w:rsid w:val="0073257E"/>
    <w:rsid w:val="00732884"/>
    <w:rsid w:val="00732B06"/>
    <w:rsid w:val="00732B59"/>
    <w:rsid w:val="00732BE8"/>
    <w:rsid w:val="00732C09"/>
    <w:rsid w:val="00732F94"/>
    <w:rsid w:val="007330BD"/>
    <w:rsid w:val="0073327F"/>
    <w:rsid w:val="00733376"/>
    <w:rsid w:val="00733409"/>
    <w:rsid w:val="007339DD"/>
    <w:rsid w:val="00733D96"/>
    <w:rsid w:val="00733DC5"/>
    <w:rsid w:val="00733DF8"/>
    <w:rsid w:val="00733E90"/>
    <w:rsid w:val="00734286"/>
    <w:rsid w:val="007344DD"/>
    <w:rsid w:val="007346A9"/>
    <w:rsid w:val="0073488E"/>
    <w:rsid w:val="0073496B"/>
    <w:rsid w:val="00734976"/>
    <w:rsid w:val="00734A54"/>
    <w:rsid w:val="007351DC"/>
    <w:rsid w:val="0073555F"/>
    <w:rsid w:val="00735863"/>
    <w:rsid w:val="00735896"/>
    <w:rsid w:val="00735A48"/>
    <w:rsid w:val="00735A92"/>
    <w:rsid w:val="00735B06"/>
    <w:rsid w:val="00735B11"/>
    <w:rsid w:val="00735B63"/>
    <w:rsid w:val="00735BC3"/>
    <w:rsid w:val="00735C0A"/>
    <w:rsid w:val="00736211"/>
    <w:rsid w:val="00736426"/>
    <w:rsid w:val="00736717"/>
    <w:rsid w:val="00736961"/>
    <w:rsid w:val="007369E9"/>
    <w:rsid w:val="00736C0E"/>
    <w:rsid w:val="00736C23"/>
    <w:rsid w:val="00736EDF"/>
    <w:rsid w:val="00737111"/>
    <w:rsid w:val="0073716B"/>
    <w:rsid w:val="00737525"/>
    <w:rsid w:val="007375AD"/>
    <w:rsid w:val="0073764D"/>
    <w:rsid w:val="007377B1"/>
    <w:rsid w:val="0073798F"/>
    <w:rsid w:val="00737B06"/>
    <w:rsid w:val="00737DD7"/>
    <w:rsid w:val="00737F18"/>
    <w:rsid w:val="0074009F"/>
    <w:rsid w:val="00740523"/>
    <w:rsid w:val="007405A5"/>
    <w:rsid w:val="007406F0"/>
    <w:rsid w:val="00740ACA"/>
    <w:rsid w:val="00740D46"/>
    <w:rsid w:val="00740FDC"/>
    <w:rsid w:val="0074108F"/>
    <w:rsid w:val="007410B5"/>
    <w:rsid w:val="0074115C"/>
    <w:rsid w:val="007411D4"/>
    <w:rsid w:val="007412E9"/>
    <w:rsid w:val="00741541"/>
    <w:rsid w:val="007415CB"/>
    <w:rsid w:val="007415E5"/>
    <w:rsid w:val="007416D0"/>
    <w:rsid w:val="007418B1"/>
    <w:rsid w:val="0074198C"/>
    <w:rsid w:val="007419CE"/>
    <w:rsid w:val="00741AB6"/>
    <w:rsid w:val="00741B7C"/>
    <w:rsid w:val="00741E86"/>
    <w:rsid w:val="00741E89"/>
    <w:rsid w:val="00741F05"/>
    <w:rsid w:val="007420A0"/>
    <w:rsid w:val="007420C4"/>
    <w:rsid w:val="007420DA"/>
    <w:rsid w:val="00742294"/>
    <w:rsid w:val="007423F0"/>
    <w:rsid w:val="00742588"/>
    <w:rsid w:val="007426C3"/>
    <w:rsid w:val="00742838"/>
    <w:rsid w:val="007429CC"/>
    <w:rsid w:val="007429EE"/>
    <w:rsid w:val="00742E81"/>
    <w:rsid w:val="00743087"/>
    <w:rsid w:val="00743275"/>
    <w:rsid w:val="007437C5"/>
    <w:rsid w:val="00743982"/>
    <w:rsid w:val="00743ABA"/>
    <w:rsid w:val="00743E51"/>
    <w:rsid w:val="00743ED0"/>
    <w:rsid w:val="00743F63"/>
    <w:rsid w:val="00743F93"/>
    <w:rsid w:val="0074409D"/>
    <w:rsid w:val="007440A9"/>
    <w:rsid w:val="00744198"/>
    <w:rsid w:val="00744314"/>
    <w:rsid w:val="0074439B"/>
    <w:rsid w:val="007444AB"/>
    <w:rsid w:val="007444DD"/>
    <w:rsid w:val="0074450F"/>
    <w:rsid w:val="00744678"/>
    <w:rsid w:val="007447C5"/>
    <w:rsid w:val="00744838"/>
    <w:rsid w:val="00744C04"/>
    <w:rsid w:val="00744D97"/>
    <w:rsid w:val="00744DFE"/>
    <w:rsid w:val="00744F0D"/>
    <w:rsid w:val="00744F19"/>
    <w:rsid w:val="007450A6"/>
    <w:rsid w:val="007450F2"/>
    <w:rsid w:val="0074533F"/>
    <w:rsid w:val="007455F5"/>
    <w:rsid w:val="00745650"/>
    <w:rsid w:val="007456B9"/>
    <w:rsid w:val="00745870"/>
    <w:rsid w:val="0074588E"/>
    <w:rsid w:val="007458DF"/>
    <w:rsid w:val="00745B80"/>
    <w:rsid w:val="00745E96"/>
    <w:rsid w:val="00745F3E"/>
    <w:rsid w:val="00745F77"/>
    <w:rsid w:val="00746039"/>
    <w:rsid w:val="007461C7"/>
    <w:rsid w:val="007461CD"/>
    <w:rsid w:val="007462B3"/>
    <w:rsid w:val="00746426"/>
    <w:rsid w:val="00746684"/>
    <w:rsid w:val="007467C1"/>
    <w:rsid w:val="00746837"/>
    <w:rsid w:val="00746ADD"/>
    <w:rsid w:val="00746B16"/>
    <w:rsid w:val="00746D06"/>
    <w:rsid w:val="00746D6E"/>
    <w:rsid w:val="00746FB3"/>
    <w:rsid w:val="007470B4"/>
    <w:rsid w:val="007476A1"/>
    <w:rsid w:val="007476AD"/>
    <w:rsid w:val="00747907"/>
    <w:rsid w:val="00747941"/>
    <w:rsid w:val="00747A59"/>
    <w:rsid w:val="00747A96"/>
    <w:rsid w:val="00747AC9"/>
    <w:rsid w:val="00747D61"/>
    <w:rsid w:val="00747FFD"/>
    <w:rsid w:val="007500B8"/>
    <w:rsid w:val="00750101"/>
    <w:rsid w:val="00750135"/>
    <w:rsid w:val="00750139"/>
    <w:rsid w:val="00750215"/>
    <w:rsid w:val="0075078C"/>
    <w:rsid w:val="0075085F"/>
    <w:rsid w:val="00750A5E"/>
    <w:rsid w:val="00750B6D"/>
    <w:rsid w:val="00750BB9"/>
    <w:rsid w:val="00750BCD"/>
    <w:rsid w:val="00750C32"/>
    <w:rsid w:val="00750D3A"/>
    <w:rsid w:val="00750F98"/>
    <w:rsid w:val="00751120"/>
    <w:rsid w:val="00751152"/>
    <w:rsid w:val="00751275"/>
    <w:rsid w:val="007512ED"/>
    <w:rsid w:val="00751328"/>
    <w:rsid w:val="00751399"/>
    <w:rsid w:val="00751C39"/>
    <w:rsid w:val="00751CC8"/>
    <w:rsid w:val="00751D1B"/>
    <w:rsid w:val="00751DE1"/>
    <w:rsid w:val="00751E14"/>
    <w:rsid w:val="00751E5A"/>
    <w:rsid w:val="00751E79"/>
    <w:rsid w:val="007521D4"/>
    <w:rsid w:val="00752289"/>
    <w:rsid w:val="007526D6"/>
    <w:rsid w:val="007527B6"/>
    <w:rsid w:val="00752823"/>
    <w:rsid w:val="007528EA"/>
    <w:rsid w:val="00752BAD"/>
    <w:rsid w:val="00752BEA"/>
    <w:rsid w:val="00752C5A"/>
    <w:rsid w:val="00752E80"/>
    <w:rsid w:val="00752ED0"/>
    <w:rsid w:val="00752F98"/>
    <w:rsid w:val="00753060"/>
    <w:rsid w:val="007533DC"/>
    <w:rsid w:val="0075349C"/>
    <w:rsid w:val="0075349E"/>
    <w:rsid w:val="00753642"/>
    <w:rsid w:val="007536A8"/>
    <w:rsid w:val="007538C4"/>
    <w:rsid w:val="00753A2C"/>
    <w:rsid w:val="0075469E"/>
    <w:rsid w:val="00754735"/>
    <w:rsid w:val="00754761"/>
    <w:rsid w:val="007548D3"/>
    <w:rsid w:val="0075498A"/>
    <w:rsid w:val="007549AB"/>
    <w:rsid w:val="00754AA6"/>
    <w:rsid w:val="00754CCB"/>
    <w:rsid w:val="00754FF9"/>
    <w:rsid w:val="00755024"/>
    <w:rsid w:val="007550B9"/>
    <w:rsid w:val="007550CE"/>
    <w:rsid w:val="007551DD"/>
    <w:rsid w:val="007551FB"/>
    <w:rsid w:val="00755228"/>
    <w:rsid w:val="007555C4"/>
    <w:rsid w:val="00755B5D"/>
    <w:rsid w:val="00755C5B"/>
    <w:rsid w:val="007562F0"/>
    <w:rsid w:val="0075669E"/>
    <w:rsid w:val="007567E9"/>
    <w:rsid w:val="00756826"/>
    <w:rsid w:val="0075685F"/>
    <w:rsid w:val="00756C8B"/>
    <w:rsid w:val="00756DAE"/>
    <w:rsid w:val="00756EB6"/>
    <w:rsid w:val="00756F17"/>
    <w:rsid w:val="00757052"/>
    <w:rsid w:val="00757102"/>
    <w:rsid w:val="00757140"/>
    <w:rsid w:val="00757499"/>
    <w:rsid w:val="00757510"/>
    <w:rsid w:val="007575F1"/>
    <w:rsid w:val="00757ABF"/>
    <w:rsid w:val="00757BC5"/>
    <w:rsid w:val="00757F92"/>
    <w:rsid w:val="00760016"/>
    <w:rsid w:val="0076044C"/>
    <w:rsid w:val="00760B54"/>
    <w:rsid w:val="00760DAC"/>
    <w:rsid w:val="00760EA8"/>
    <w:rsid w:val="00760EE9"/>
    <w:rsid w:val="007610B1"/>
    <w:rsid w:val="007610E8"/>
    <w:rsid w:val="00761106"/>
    <w:rsid w:val="00761226"/>
    <w:rsid w:val="00761343"/>
    <w:rsid w:val="007613D4"/>
    <w:rsid w:val="00761438"/>
    <w:rsid w:val="007617B4"/>
    <w:rsid w:val="00761913"/>
    <w:rsid w:val="00761D85"/>
    <w:rsid w:val="00762002"/>
    <w:rsid w:val="00762042"/>
    <w:rsid w:val="0076221E"/>
    <w:rsid w:val="00762513"/>
    <w:rsid w:val="007625F2"/>
    <w:rsid w:val="00762895"/>
    <w:rsid w:val="00762BD9"/>
    <w:rsid w:val="00762ED5"/>
    <w:rsid w:val="00763047"/>
    <w:rsid w:val="0076314A"/>
    <w:rsid w:val="007639E4"/>
    <w:rsid w:val="00763A5B"/>
    <w:rsid w:val="00763B1F"/>
    <w:rsid w:val="00763B31"/>
    <w:rsid w:val="00764169"/>
    <w:rsid w:val="0076432F"/>
    <w:rsid w:val="0076483D"/>
    <w:rsid w:val="00764865"/>
    <w:rsid w:val="00764AB8"/>
    <w:rsid w:val="007651FE"/>
    <w:rsid w:val="007656CE"/>
    <w:rsid w:val="00765780"/>
    <w:rsid w:val="0076582B"/>
    <w:rsid w:val="00765CEF"/>
    <w:rsid w:val="00765D44"/>
    <w:rsid w:val="00765E47"/>
    <w:rsid w:val="00765F07"/>
    <w:rsid w:val="007661FE"/>
    <w:rsid w:val="00766208"/>
    <w:rsid w:val="00766337"/>
    <w:rsid w:val="00766423"/>
    <w:rsid w:val="0076662A"/>
    <w:rsid w:val="00766A0C"/>
    <w:rsid w:val="00766AE9"/>
    <w:rsid w:val="00766BB8"/>
    <w:rsid w:val="00766C47"/>
    <w:rsid w:val="00766EE4"/>
    <w:rsid w:val="00766FB8"/>
    <w:rsid w:val="00767302"/>
    <w:rsid w:val="0076747B"/>
    <w:rsid w:val="0076752E"/>
    <w:rsid w:val="0076754F"/>
    <w:rsid w:val="007676B4"/>
    <w:rsid w:val="00767762"/>
    <w:rsid w:val="00767BEB"/>
    <w:rsid w:val="00767DDB"/>
    <w:rsid w:val="00767DE0"/>
    <w:rsid w:val="00767F7F"/>
    <w:rsid w:val="00770334"/>
    <w:rsid w:val="00770558"/>
    <w:rsid w:val="00770A4A"/>
    <w:rsid w:val="00770E56"/>
    <w:rsid w:val="00770EE2"/>
    <w:rsid w:val="00770F33"/>
    <w:rsid w:val="00770F5F"/>
    <w:rsid w:val="00770FFC"/>
    <w:rsid w:val="0077135A"/>
    <w:rsid w:val="00771391"/>
    <w:rsid w:val="0077146F"/>
    <w:rsid w:val="0077150A"/>
    <w:rsid w:val="00771C7C"/>
    <w:rsid w:val="007724F5"/>
    <w:rsid w:val="0077258F"/>
    <w:rsid w:val="0077266E"/>
    <w:rsid w:val="00772743"/>
    <w:rsid w:val="00772B10"/>
    <w:rsid w:val="00772F61"/>
    <w:rsid w:val="007730CD"/>
    <w:rsid w:val="007734E4"/>
    <w:rsid w:val="0077356C"/>
    <w:rsid w:val="00773737"/>
    <w:rsid w:val="00773857"/>
    <w:rsid w:val="0077394B"/>
    <w:rsid w:val="00773AAF"/>
    <w:rsid w:val="00773ADE"/>
    <w:rsid w:val="00773B51"/>
    <w:rsid w:val="00773B79"/>
    <w:rsid w:val="00773BC1"/>
    <w:rsid w:val="00773BCA"/>
    <w:rsid w:val="00773C5A"/>
    <w:rsid w:val="00773E27"/>
    <w:rsid w:val="00773F16"/>
    <w:rsid w:val="00774050"/>
    <w:rsid w:val="007740EF"/>
    <w:rsid w:val="007741D1"/>
    <w:rsid w:val="0077426E"/>
    <w:rsid w:val="0077449D"/>
    <w:rsid w:val="007744FE"/>
    <w:rsid w:val="007747F2"/>
    <w:rsid w:val="00774869"/>
    <w:rsid w:val="0077487A"/>
    <w:rsid w:val="00774959"/>
    <w:rsid w:val="00774B7C"/>
    <w:rsid w:val="00774BE8"/>
    <w:rsid w:val="00774D10"/>
    <w:rsid w:val="00774DBF"/>
    <w:rsid w:val="0077514B"/>
    <w:rsid w:val="0077520A"/>
    <w:rsid w:val="0077526C"/>
    <w:rsid w:val="00775547"/>
    <w:rsid w:val="0077566B"/>
    <w:rsid w:val="007756A0"/>
    <w:rsid w:val="00775741"/>
    <w:rsid w:val="007757C9"/>
    <w:rsid w:val="00775D0A"/>
    <w:rsid w:val="00775DB3"/>
    <w:rsid w:val="00775F58"/>
    <w:rsid w:val="0077606E"/>
    <w:rsid w:val="007763FB"/>
    <w:rsid w:val="007766AC"/>
    <w:rsid w:val="007767B4"/>
    <w:rsid w:val="0077688A"/>
    <w:rsid w:val="00776934"/>
    <w:rsid w:val="00776B0A"/>
    <w:rsid w:val="00776C72"/>
    <w:rsid w:val="00776E62"/>
    <w:rsid w:val="00777137"/>
    <w:rsid w:val="00777377"/>
    <w:rsid w:val="0077744A"/>
    <w:rsid w:val="0077759B"/>
    <w:rsid w:val="007775A2"/>
    <w:rsid w:val="007778B1"/>
    <w:rsid w:val="007778E5"/>
    <w:rsid w:val="00777F49"/>
    <w:rsid w:val="00780011"/>
    <w:rsid w:val="0078005C"/>
    <w:rsid w:val="00780094"/>
    <w:rsid w:val="00780103"/>
    <w:rsid w:val="007801FF"/>
    <w:rsid w:val="0078035F"/>
    <w:rsid w:val="00780414"/>
    <w:rsid w:val="00780465"/>
    <w:rsid w:val="00780634"/>
    <w:rsid w:val="00780803"/>
    <w:rsid w:val="00780CC8"/>
    <w:rsid w:val="00780F3C"/>
    <w:rsid w:val="007810F3"/>
    <w:rsid w:val="007811E6"/>
    <w:rsid w:val="00781297"/>
    <w:rsid w:val="007812E0"/>
    <w:rsid w:val="00781700"/>
    <w:rsid w:val="00781A46"/>
    <w:rsid w:val="00781D91"/>
    <w:rsid w:val="007820E0"/>
    <w:rsid w:val="0078218B"/>
    <w:rsid w:val="007822CC"/>
    <w:rsid w:val="0078245E"/>
    <w:rsid w:val="007825D3"/>
    <w:rsid w:val="00782869"/>
    <w:rsid w:val="0078286F"/>
    <w:rsid w:val="0078294B"/>
    <w:rsid w:val="00782AD7"/>
    <w:rsid w:val="00782AFC"/>
    <w:rsid w:val="00782C19"/>
    <w:rsid w:val="00782CB7"/>
    <w:rsid w:val="00782D7F"/>
    <w:rsid w:val="00782E20"/>
    <w:rsid w:val="00782E6E"/>
    <w:rsid w:val="0078310E"/>
    <w:rsid w:val="00783127"/>
    <w:rsid w:val="00783422"/>
    <w:rsid w:val="0078349D"/>
    <w:rsid w:val="0078373D"/>
    <w:rsid w:val="00783766"/>
    <w:rsid w:val="0078392B"/>
    <w:rsid w:val="00783C96"/>
    <w:rsid w:val="00783E5A"/>
    <w:rsid w:val="0078411B"/>
    <w:rsid w:val="00784165"/>
    <w:rsid w:val="0078448A"/>
    <w:rsid w:val="007846FA"/>
    <w:rsid w:val="00784796"/>
    <w:rsid w:val="00784823"/>
    <w:rsid w:val="00784B8E"/>
    <w:rsid w:val="00784C76"/>
    <w:rsid w:val="00784E6C"/>
    <w:rsid w:val="00785015"/>
    <w:rsid w:val="0078518E"/>
    <w:rsid w:val="007851BF"/>
    <w:rsid w:val="00785429"/>
    <w:rsid w:val="00785492"/>
    <w:rsid w:val="0078563F"/>
    <w:rsid w:val="00785839"/>
    <w:rsid w:val="00785842"/>
    <w:rsid w:val="00785897"/>
    <w:rsid w:val="007859D8"/>
    <w:rsid w:val="007862EA"/>
    <w:rsid w:val="00786302"/>
    <w:rsid w:val="0078666E"/>
    <w:rsid w:val="00786823"/>
    <w:rsid w:val="00786A95"/>
    <w:rsid w:val="00786C8A"/>
    <w:rsid w:val="00787153"/>
    <w:rsid w:val="007871CA"/>
    <w:rsid w:val="00787301"/>
    <w:rsid w:val="0078752E"/>
    <w:rsid w:val="0078758E"/>
    <w:rsid w:val="007877AE"/>
    <w:rsid w:val="007878D4"/>
    <w:rsid w:val="00787B1D"/>
    <w:rsid w:val="00787BB9"/>
    <w:rsid w:val="00787C23"/>
    <w:rsid w:val="00787C5A"/>
    <w:rsid w:val="00787D77"/>
    <w:rsid w:val="00787E02"/>
    <w:rsid w:val="00790267"/>
    <w:rsid w:val="007902FD"/>
    <w:rsid w:val="00790343"/>
    <w:rsid w:val="00790666"/>
    <w:rsid w:val="00790728"/>
    <w:rsid w:val="0079077A"/>
    <w:rsid w:val="00790A3B"/>
    <w:rsid w:val="00790B8D"/>
    <w:rsid w:val="00790F49"/>
    <w:rsid w:val="0079113B"/>
    <w:rsid w:val="00791290"/>
    <w:rsid w:val="007914D7"/>
    <w:rsid w:val="007915F4"/>
    <w:rsid w:val="007916AC"/>
    <w:rsid w:val="007917E3"/>
    <w:rsid w:val="0079195F"/>
    <w:rsid w:val="00791C07"/>
    <w:rsid w:val="00791C51"/>
    <w:rsid w:val="00791D0C"/>
    <w:rsid w:val="00791D2F"/>
    <w:rsid w:val="00791D65"/>
    <w:rsid w:val="00791ED5"/>
    <w:rsid w:val="0079207E"/>
    <w:rsid w:val="007921CD"/>
    <w:rsid w:val="00792283"/>
    <w:rsid w:val="0079231B"/>
    <w:rsid w:val="00792395"/>
    <w:rsid w:val="00792474"/>
    <w:rsid w:val="007929F0"/>
    <w:rsid w:val="00792A24"/>
    <w:rsid w:val="00792AF0"/>
    <w:rsid w:val="00792AF6"/>
    <w:rsid w:val="00792E2E"/>
    <w:rsid w:val="00793196"/>
    <w:rsid w:val="00793748"/>
    <w:rsid w:val="00793853"/>
    <w:rsid w:val="007938FB"/>
    <w:rsid w:val="00793BC4"/>
    <w:rsid w:val="00793FF5"/>
    <w:rsid w:val="0079410A"/>
    <w:rsid w:val="0079431B"/>
    <w:rsid w:val="00794530"/>
    <w:rsid w:val="007947C2"/>
    <w:rsid w:val="0079492F"/>
    <w:rsid w:val="00794A29"/>
    <w:rsid w:val="00794BF8"/>
    <w:rsid w:val="007954C8"/>
    <w:rsid w:val="0079559E"/>
    <w:rsid w:val="007955AF"/>
    <w:rsid w:val="007955D6"/>
    <w:rsid w:val="00795A3C"/>
    <w:rsid w:val="00795F40"/>
    <w:rsid w:val="00795F7D"/>
    <w:rsid w:val="00796043"/>
    <w:rsid w:val="00796069"/>
    <w:rsid w:val="007963A3"/>
    <w:rsid w:val="007965AD"/>
    <w:rsid w:val="00796615"/>
    <w:rsid w:val="0079683E"/>
    <w:rsid w:val="00796868"/>
    <w:rsid w:val="00796885"/>
    <w:rsid w:val="00796933"/>
    <w:rsid w:val="00796B51"/>
    <w:rsid w:val="00796D03"/>
    <w:rsid w:val="00796D25"/>
    <w:rsid w:val="00796D6C"/>
    <w:rsid w:val="00796EE9"/>
    <w:rsid w:val="00796FEE"/>
    <w:rsid w:val="007970F3"/>
    <w:rsid w:val="0079712A"/>
    <w:rsid w:val="00797161"/>
    <w:rsid w:val="00797214"/>
    <w:rsid w:val="00797237"/>
    <w:rsid w:val="007972FF"/>
    <w:rsid w:val="00797344"/>
    <w:rsid w:val="00797449"/>
    <w:rsid w:val="007975FE"/>
    <w:rsid w:val="00797758"/>
    <w:rsid w:val="007978C6"/>
    <w:rsid w:val="00797A97"/>
    <w:rsid w:val="00797C07"/>
    <w:rsid w:val="00797C36"/>
    <w:rsid w:val="00797C62"/>
    <w:rsid w:val="00797CD6"/>
    <w:rsid w:val="00797CEE"/>
    <w:rsid w:val="00797D3C"/>
    <w:rsid w:val="00797E07"/>
    <w:rsid w:val="00797E7F"/>
    <w:rsid w:val="00797F30"/>
    <w:rsid w:val="007A01A3"/>
    <w:rsid w:val="007A04B7"/>
    <w:rsid w:val="007A04F9"/>
    <w:rsid w:val="007A055F"/>
    <w:rsid w:val="007A059B"/>
    <w:rsid w:val="007A05F5"/>
    <w:rsid w:val="007A0790"/>
    <w:rsid w:val="007A081E"/>
    <w:rsid w:val="007A0CDD"/>
    <w:rsid w:val="007A0D2A"/>
    <w:rsid w:val="007A0E1D"/>
    <w:rsid w:val="007A10B2"/>
    <w:rsid w:val="007A120F"/>
    <w:rsid w:val="007A123D"/>
    <w:rsid w:val="007A12F5"/>
    <w:rsid w:val="007A1322"/>
    <w:rsid w:val="007A1370"/>
    <w:rsid w:val="007A15B1"/>
    <w:rsid w:val="007A16A9"/>
    <w:rsid w:val="007A1C1D"/>
    <w:rsid w:val="007A1C7A"/>
    <w:rsid w:val="007A1F81"/>
    <w:rsid w:val="007A1FC8"/>
    <w:rsid w:val="007A232F"/>
    <w:rsid w:val="007A236D"/>
    <w:rsid w:val="007A26C3"/>
    <w:rsid w:val="007A26DE"/>
    <w:rsid w:val="007A2711"/>
    <w:rsid w:val="007A2942"/>
    <w:rsid w:val="007A2DC8"/>
    <w:rsid w:val="007A3008"/>
    <w:rsid w:val="007A31AF"/>
    <w:rsid w:val="007A31D4"/>
    <w:rsid w:val="007A324D"/>
    <w:rsid w:val="007A35ED"/>
    <w:rsid w:val="007A36FB"/>
    <w:rsid w:val="007A3888"/>
    <w:rsid w:val="007A38B8"/>
    <w:rsid w:val="007A38BD"/>
    <w:rsid w:val="007A3934"/>
    <w:rsid w:val="007A3B0F"/>
    <w:rsid w:val="007A3B7C"/>
    <w:rsid w:val="007A3C6F"/>
    <w:rsid w:val="007A3EAE"/>
    <w:rsid w:val="007A3FBE"/>
    <w:rsid w:val="007A3FE5"/>
    <w:rsid w:val="007A40C3"/>
    <w:rsid w:val="007A40E9"/>
    <w:rsid w:val="007A40FF"/>
    <w:rsid w:val="007A41B6"/>
    <w:rsid w:val="007A4323"/>
    <w:rsid w:val="007A4617"/>
    <w:rsid w:val="007A4632"/>
    <w:rsid w:val="007A4D3F"/>
    <w:rsid w:val="007A4E85"/>
    <w:rsid w:val="007A4EE5"/>
    <w:rsid w:val="007A4EFB"/>
    <w:rsid w:val="007A4F1C"/>
    <w:rsid w:val="007A509E"/>
    <w:rsid w:val="007A5101"/>
    <w:rsid w:val="007A5357"/>
    <w:rsid w:val="007A53A2"/>
    <w:rsid w:val="007A54B2"/>
    <w:rsid w:val="007A54FE"/>
    <w:rsid w:val="007A575F"/>
    <w:rsid w:val="007A5913"/>
    <w:rsid w:val="007A5D46"/>
    <w:rsid w:val="007A5D4C"/>
    <w:rsid w:val="007A5F9F"/>
    <w:rsid w:val="007A6046"/>
    <w:rsid w:val="007A609D"/>
    <w:rsid w:val="007A6426"/>
    <w:rsid w:val="007A6521"/>
    <w:rsid w:val="007A65E2"/>
    <w:rsid w:val="007A66E4"/>
    <w:rsid w:val="007A6925"/>
    <w:rsid w:val="007A6B8F"/>
    <w:rsid w:val="007A6B99"/>
    <w:rsid w:val="007A6D0A"/>
    <w:rsid w:val="007A6D0F"/>
    <w:rsid w:val="007A6D50"/>
    <w:rsid w:val="007A7134"/>
    <w:rsid w:val="007A7172"/>
    <w:rsid w:val="007A71FA"/>
    <w:rsid w:val="007A72FE"/>
    <w:rsid w:val="007A7304"/>
    <w:rsid w:val="007A77DC"/>
    <w:rsid w:val="007A7988"/>
    <w:rsid w:val="007A79E7"/>
    <w:rsid w:val="007A7AB5"/>
    <w:rsid w:val="007A7D31"/>
    <w:rsid w:val="007A7E06"/>
    <w:rsid w:val="007A7E18"/>
    <w:rsid w:val="007A7EA4"/>
    <w:rsid w:val="007A7F07"/>
    <w:rsid w:val="007A7FCE"/>
    <w:rsid w:val="007B0089"/>
    <w:rsid w:val="007B027F"/>
    <w:rsid w:val="007B0432"/>
    <w:rsid w:val="007B045F"/>
    <w:rsid w:val="007B04F7"/>
    <w:rsid w:val="007B0590"/>
    <w:rsid w:val="007B07A9"/>
    <w:rsid w:val="007B082E"/>
    <w:rsid w:val="007B08FF"/>
    <w:rsid w:val="007B09D4"/>
    <w:rsid w:val="007B0B0C"/>
    <w:rsid w:val="007B0E71"/>
    <w:rsid w:val="007B1098"/>
    <w:rsid w:val="007B1204"/>
    <w:rsid w:val="007B1300"/>
    <w:rsid w:val="007B140F"/>
    <w:rsid w:val="007B1498"/>
    <w:rsid w:val="007B15D8"/>
    <w:rsid w:val="007B1872"/>
    <w:rsid w:val="007B18A9"/>
    <w:rsid w:val="007B1A7A"/>
    <w:rsid w:val="007B1CF2"/>
    <w:rsid w:val="007B1D41"/>
    <w:rsid w:val="007B22A0"/>
    <w:rsid w:val="007B27CE"/>
    <w:rsid w:val="007B28C1"/>
    <w:rsid w:val="007B2A79"/>
    <w:rsid w:val="007B2BB3"/>
    <w:rsid w:val="007B2C89"/>
    <w:rsid w:val="007B314B"/>
    <w:rsid w:val="007B3156"/>
    <w:rsid w:val="007B33E1"/>
    <w:rsid w:val="007B3427"/>
    <w:rsid w:val="007B3517"/>
    <w:rsid w:val="007B35C8"/>
    <w:rsid w:val="007B3B5E"/>
    <w:rsid w:val="007B3B92"/>
    <w:rsid w:val="007B3C0F"/>
    <w:rsid w:val="007B3E5E"/>
    <w:rsid w:val="007B3F1F"/>
    <w:rsid w:val="007B3FD2"/>
    <w:rsid w:val="007B4220"/>
    <w:rsid w:val="007B42AF"/>
    <w:rsid w:val="007B4555"/>
    <w:rsid w:val="007B472B"/>
    <w:rsid w:val="007B477D"/>
    <w:rsid w:val="007B4874"/>
    <w:rsid w:val="007B488E"/>
    <w:rsid w:val="007B4961"/>
    <w:rsid w:val="007B4A84"/>
    <w:rsid w:val="007B4B8B"/>
    <w:rsid w:val="007B4CAB"/>
    <w:rsid w:val="007B4D3B"/>
    <w:rsid w:val="007B4E60"/>
    <w:rsid w:val="007B5084"/>
    <w:rsid w:val="007B5090"/>
    <w:rsid w:val="007B5175"/>
    <w:rsid w:val="007B51AE"/>
    <w:rsid w:val="007B52FD"/>
    <w:rsid w:val="007B5756"/>
    <w:rsid w:val="007B58CA"/>
    <w:rsid w:val="007B5911"/>
    <w:rsid w:val="007B59E5"/>
    <w:rsid w:val="007B5F2B"/>
    <w:rsid w:val="007B626D"/>
    <w:rsid w:val="007B644F"/>
    <w:rsid w:val="007B6459"/>
    <w:rsid w:val="007B64B3"/>
    <w:rsid w:val="007B67BA"/>
    <w:rsid w:val="007B6B6F"/>
    <w:rsid w:val="007B6D29"/>
    <w:rsid w:val="007B6DBD"/>
    <w:rsid w:val="007B6E49"/>
    <w:rsid w:val="007B6ED4"/>
    <w:rsid w:val="007B6FFB"/>
    <w:rsid w:val="007B72B0"/>
    <w:rsid w:val="007B752B"/>
    <w:rsid w:val="007B7860"/>
    <w:rsid w:val="007B7A36"/>
    <w:rsid w:val="007B7B52"/>
    <w:rsid w:val="007B7D18"/>
    <w:rsid w:val="007C0192"/>
    <w:rsid w:val="007C01A6"/>
    <w:rsid w:val="007C037B"/>
    <w:rsid w:val="007C03CF"/>
    <w:rsid w:val="007C0580"/>
    <w:rsid w:val="007C0730"/>
    <w:rsid w:val="007C07C8"/>
    <w:rsid w:val="007C0901"/>
    <w:rsid w:val="007C09B5"/>
    <w:rsid w:val="007C09FA"/>
    <w:rsid w:val="007C0AA3"/>
    <w:rsid w:val="007C0AC4"/>
    <w:rsid w:val="007C0B3F"/>
    <w:rsid w:val="007C0CE7"/>
    <w:rsid w:val="007C0D15"/>
    <w:rsid w:val="007C0D35"/>
    <w:rsid w:val="007C0D91"/>
    <w:rsid w:val="007C0DA7"/>
    <w:rsid w:val="007C0F31"/>
    <w:rsid w:val="007C11A6"/>
    <w:rsid w:val="007C124E"/>
    <w:rsid w:val="007C1331"/>
    <w:rsid w:val="007C1344"/>
    <w:rsid w:val="007C138C"/>
    <w:rsid w:val="007C143C"/>
    <w:rsid w:val="007C154C"/>
    <w:rsid w:val="007C18C3"/>
    <w:rsid w:val="007C1902"/>
    <w:rsid w:val="007C1BEC"/>
    <w:rsid w:val="007C1D4E"/>
    <w:rsid w:val="007C22F1"/>
    <w:rsid w:val="007C26A5"/>
    <w:rsid w:val="007C2759"/>
    <w:rsid w:val="007C2852"/>
    <w:rsid w:val="007C288E"/>
    <w:rsid w:val="007C28D7"/>
    <w:rsid w:val="007C2988"/>
    <w:rsid w:val="007C2C07"/>
    <w:rsid w:val="007C2C34"/>
    <w:rsid w:val="007C2DDF"/>
    <w:rsid w:val="007C304B"/>
    <w:rsid w:val="007C306C"/>
    <w:rsid w:val="007C3148"/>
    <w:rsid w:val="007C3168"/>
    <w:rsid w:val="007C318C"/>
    <w:rsid w:val="007C31A5"/>
    <w:rsid w:val="007C31C0"/>
    <w:rsid w:val="007C3295"/>
    <w:rsid w:val="007C3399"/>
    <w:rsid w:val="007C353F"/>
    <w:rsid w:val="007C37A4"/>
    <w:rsid w:val="007C38EB"/>
    <w:rsid w:val="007C39A2"/>
    <w:rsid w:val="007C3AA8"/>
    <w:rsid w:val="007C3C96"/>
    <w:rsid w:val="007C3CB9"/>
    <w:rsid w:val="007C42C9"/>
    <w:rsid w:val="007C47C0"/>
    <w:rsid w:val="007C48B9"/>
    <w:rsid w:val="007C49FF"/>
    <w:rsid w:val="007C4A78"/>
    <w:rsid w:val="007C4C06"/>
    <w:rsid w:val="007C4C21"/>
    <w:rsid w:val="007C4F96"/>
    <w:rsid w:val="007C5146"/>
    <w:rsid w:val="007C541D"/>
    <w:rsid w:val="007C58F7"/>
    <w:rsid w:val="007C5B1E"/>
    <w:rsid w:val="007C5B39"/>
    <w:rsid w:val="007C5C86"/>
    <w:rsid w:val="007C5EA8"/>
    <w:rsid w:val="007C5F26"/>
    <w:rsid w:val="007C5F66"/>
    <w:rsid w:val="007C6111"/>
    <w:rsid w:val="007C63E7"/>
    <w:rsid w:val="007C63F9"/>
    <w:rsid w:val="007C6660"/>
    <w:rsid w:val="007C66F4"/>
    <w:rsid w:val="007C671B"/>
    <w:rsid w:val="007C6732"/>
    <w:rsid w:val="007C67A0"/>
    <w:rsid w:val="007C68DF"/>
    <w:rsid w:val="007C69CB"/>
    <w:rsid w:val="007C6BF0"/>
    <w:rsid w:val="007C6C74"/>
    <w:rsid w:val="007C6F7F"/>
    <w:rsid w:val="007C7113"/>
    <w:rsid w:val="007C717A"/>
    <w:rsid w:val="007C7466"/>
    <w:rsid w:val="007C79F0"/>
    <w:rsid w:val="007C79FC"/>
    <w:rsid w:val="007C7B0B"/>
    <w:rsid w:val="007C7CA2"/>
    <w:rsid w:val="007C7CC3"/>
    <w:rsid w:val="007C7CEC"/>
    <w:rsid w:val="007C7CEE"/>
    <w:rsid w:val="007C7D33"/>
    <w:rsid w:val="007D0185"/>
    <w:rsid w:val="007D0387"/>
    <w:rsid w:val="007D03CD"/>
    <w:rsid w:val="007D063A"/>
    <w:rsid w:val="007D0993"/>
    <w:rsid w:val="007D09CC"/>
    <w:rsid w:val="007D09DE"/>
    <w:rsid w:val="007D0A8C"/>
    <w:rsid w:val="007D0B60"/>
    <w:rsid w:val="007D0CF5"/>
    <w:rsid w:val="007D0D25"/>
    <w:rsid w:val="007D0FF6"/>
    <w:rsid w:val="007D1230"/>
    <w:rsid w:val="007D1584"/>
    <w:rsid w:val="007D1677"/>
    <w:rsid w:val="007D168D"/>
    <w:rsid w:val="007D1734"/>
    <w:rsid w:val="007D1A73"/>
    <w:rsid w:val="007D1AA0"/>
    <w:rsid w:val="007D1B6D"/>
    <w:rsid w:val="007D1FF9"/>
    <w:rsid w:val="007D21CF"/>
    <w:rsid w:val="007D2227"/>
    <w:rsid w:val="007D22F8"/>
    <w:rsid w:val="007D234A"/>
    <w:rsid w:val="007D23AA"/>
    <w:rsid w:val="007D24C7"/>
    <w:rsid w:val="007D254D"/>
    <w:rsid w:val="007D256D"/>
    <w:rsid w:val="007D28B4"/>
    <w:rsid w:val="007D2964"/>
    <w:rsid w:val="007D2BDD"/>
    <w:rsid w:val="007D2C0B"/>
    <w:rsid w:val="007D2C82"/>
    <w:rsid w:val="007D2CE1"/>
    <w:rsid w:val="007D2D46"/>
    <w:rsid w:val="007D312A"/>
    <w:rsid w:val="007D3403"/>
    <w:rsid w:val="007D341E"/>
    <w:rsid w:val="007D3480"/>
    <w:rsid w:val="007D34DD"/>
    <w:rsid w:val="007D34E7"/>
    <w:rsid w:val="007D3506"/>
    <w:rsid w:val="007D3519"/>
    <w:rsid w:val="007D35DA"/>
    <w:rsid w:val="007D39A3"/>
    <w:rsid w:val="007D39BE"/>
    <w:rsid w:val="007D3A63"/>
    <w:rsid w:val="007D3B23"/>
    <w:rsid w:val="007D3BDB"/>
    <w:rsid w:val="007D3BE1"/>
    <w:rsid w:val="007D447F"/>
    <w:rsid w:val="007D4598"/>
    <w:rsid w:val="007D45A5"/>
    <w:rsid w:val="007D49A2"/>
    <w:rsid w:val="007D49D4"/>
    <w:rsid w:val="007D4A73"/>
    <w:rsid w:val="007D4A9D"/>
    <w:rsid w:val="007D4C2E"/>
    <w:rsid w:val="007D4C6F"/>
    <w:rsid w:val="007D4EB3"/>
    <w:rsid w:val="007D5488"/>
    <w:rsid w:val="007D54B6"/>
    <w:rsid w:val="007D55A0"/>
    <w:rsid w:val="007D563C"/>
    <w:rsid w:val="007D56D5"/>
    <w:rsid w:val="007D58B3"/>
    <w:rsid w:val="007D58D8"/>
    <w:rsid w:val="007D58EA"/>
    <w:rsid w:val="007D5AD0"/>
    <w:rsid w:val="007D5D49"/>
    <w:rsid w:val="007D5D66"/>
    <w:rsid w:val="007D5EAE"/>
    <w:rsid w:val="007D5F62"/>
    <w:rsid w:val="007D5FFE"/>
    <w:rsid w:val="007D6257"/>
    <w:rsid w:val="007D6615"/>
    <w:rsid w:val="007D66B6"/>
    <w:rsid w:val="007D67BD"/>
    <w:rsid w:val="007D6865"/>
    <w:rsid w:val="007D6A6C"/>
    <w:rsid w:val="007D6A8E"/>
    <w:rsid w:val="007D6A8F"/>
    <w:rsid w:val="007D6B7E"/>
    <w:rsid w:val="007D6BCB"/>
    <w:rsid w:val="007D6FCA"/>
    <w:rsid w:val="007D746C"/>
    <w:rsid w:val="007D782C"/>
    <w:rsid w:val="007D7B7C"/>
    <w:rsid w:val="007D7C71"/>
    <w:rsid w:val="007D7CD3"/>
    <w:rsid w:val="007D7DF4"/>
    <w:rsid w:val="007E011B"/>
    <w:rsid w:val="007E03F8"/>
    <w:rsid w:val="007E0496"/>
    <w:rsid w:val="007E06BA"/>
    <w:rsid w:val="007E07BF"/>
    <w:rsid w:val="007E0960"/>
    <w:rsid w:val="007E0BEB"/>
    <w:rsid w:val="007E0C81"/>
    <w:rsid w:val="007E0D96"/>
    <w:rsid w:val="007E0FFC"/>
    <w:rsid w:val="007E11AA"/>
    <w:rsid w:val="007E1303"/>
    <w:rsid w:val="007E1501"/>
    <w:rsid w:val="007E167B"/>
    <w:rsid w:val="007E173F"/>
    <w:rsid w:val="007E17AA"/>
    <w:rsid w:val="007E17F2"/>
    <w:rsid w:val="007E1A4B"/>
    <w:rsid w:val="007E1B20"/>
    <w:rsid w:val="007E1B77"/>
    <w:rsid w:val="007E2056"/>
    <w:rsid w:val="007E2245"/>
    <w:rsid w:val="007E225C"/>
    <w:rsid w:val="007E23C5"/>
    <w:rsid w:val="007E2521"/>
    <w:rsid w:val="007E25A3"/>
    <w:rsid w:val="007E25D1"/>
    <w:rsid w:val="007E2B76"/>
    <w:rsid w:val="007E2B8B"/>
    <w:rsid w:val="007E2E7E"/>
    <w:rsid w:val="007E31A5"/>
    <w:rsid w:val="007E323B"/>
    <w:rsid w:val="007E3425"/>
    <w:rsid w:val="007E34C5"/>
    <w:rsid w:val="007E3516"/>
    <w:rsid w:val="007E3695"/>
    <w:rsid w:val="007E36ED"/>
    <w:rsid w:val="007E3736"/>
    <w:rsid w:val="007E3AAD"/>
    <w:rsid w:val="007E3B60"/>
    <w:rsid w:val="007E3BD5"/>
    <w:rsid w:val="007E4014"/>
    <w:rsid w:val="007E4124"/>
    <w:rsid w:val="007E42BF"/>
    <w:rsid w:val="007E444F"/>
    <w:rsid w:val="007E4456"/>
    <w:rsid w:val="007E447F"/>
    <w:rsid w:val="007E44F8"/>
    <w:rsid w:val="007E4578"/>
    <w:rsid w:val="007E4770"/>
    <w:rsid w:val="007E4785"/>
    <w:rsid w:val="007E4844"/>
    <w:rsid w:val="007E495C"/>
    <w:rsid w:val="007E4A29"/>
    <w:rsid w:val="007E4C35"/>
    <w:rsid w:val="007E4C8C"/>
    <w:rsid w:val="007E4D95"/>
    <w:rsid w:val="007E4DCC"/>
    <w:rsid w:val="007E5089"/>
    <w:rsid w:val="007E5268"/>
    <w:rsid w:val="007E52C3"/>
    <w:rsid w:val="007E5469"/>
    <w:rsid w:val="007E54B7"/>
    <w:rsid w:val="007E54DF"/>
    <w:rsid w:val="007E55D0"/>
    <w:rsid w:val="007E5651"/>
    <w:rsid w:val="007E5652"/>
    <w:rsid w:val="007E56E0"/>
    <w:rsid w:val="007E5927"/>
    <w:rsid w:val="007E5B5F"/>
    <w:rsid w:val="007E5D1B"/>
    <w:rsid w:val="007E6224"/>
    <w:rsid w:val="007E635A"/>
    <w:rsid w:val="007E635C"/>
    <w:rsid w:val="007E65A0"/>
    <w:rsid w:val="007E6733"/>
    <w:rsid w:val="007E673A"/>
    <w:rsid w:val="007E67C6"/>
    <w:rsid w:val="007E67E2"/>
    <w:rsid w:val="007E688A"/>
    <w:rsid w:val="007E6FA4"/>
    <w:rsid w:val="007E7094"/>
    <w:rsid w:val="007E7178"/>
    <w:rsid w:val="007E720C"/>
    <w:rsid w:val="007E722D"/>
    <w:rsid w:val="007E7544"/>
    <w:rsid w:val="007E7557"/>
    <w:rsid w:val="007E75B5"/>
    <w:rsid w:val="007E7835"/>
    <w:rsid w:val="007E7979"/>
    <w:rsid w:val="007E7D11"/>
    <w:rsid w:val="007E7D6A"/>
    <w:rsid w:val="007E7DD4"/>
    <w:rsid w:val="007F0109"/>
    <w:rsid w:val="007F014E"/>
    <w:rsid w:val="007F0154"/>
    <w:rsid w:val="007F0286"/>
    <w:rsid w:val="007F040D"/>
    <w:rsid w:val="007F04DE"/>
    <w:rsid w:val="007F0AC1"/>
    <w:rsid w:val="007F0BB1"/>
    <w:rsid w:val="007F0E43"/>
    <w:rsid w:val="007F1064"/>
    <w:rsid w:val="007F10B2"/>
    <w:rsid w:val="007F170F"/>
    <w:rsid w:val="007F1A75"/>
    <w:rsid w:val="007F1A9F"/>
    <w:rsid w:val="007F1B7E"/>
    <w:rsid w:val="007F1BCD"/>
    <w:rsid w:val="007F1E4F"/>
    <w:rsid w:val="007F1ED9"/>
    <w:rsid w:val="007F1F2C"/>
    <w:rsid w:val="007F20BB"/>
    <w:rsid w:val="007F2143"/>
    <w:rsid w:val="007F218B"/>
    <w:rsid w:val="007F22F1"/>
    <w:rsid w:val="007F230D"/>
    <w:rsid w:val="007F235B"/>
    <w:rsid w:val="007F23D0"/>
    <w:rsid w:val="007F2456"/>
    <w:rsid w:val="007F26D1"/>
    <w:rsid w:val="007F287A"/>
    <w:rsid w:val="007F28CC"/>
    <w:rsid w:val="007F296E"/>
    <w:rsid w:val="007F2A38"/>
    <w:rsid w:val="007F2AEA"/>
    <w:rsid w:val="007F2AEB"/>
    <w:rsid w:val="007F2CAB"/>
    <w:rsid w:val="007F2CCC"/>
    <w:rsid w:val="007F2DF6"/>
    <w:rsid w:val="007F3151"/>
    <w:rsid w:val="007F3371"/>
    <w:rsid w:val="007F34B0"/>
    <w:rsid w:val="007F35DE"/>
    <w:rsid w:val="007F3645"/>
    <w:rsid w:val="007F373F"/>
    <w:rsid w:val="007F3742"/>
    <w:rsid w:val="007F397A"/>
    <w:rsid w:val="007F3BF3"/>
    <w:rsid w:val="007F3BFB"/>
    <w:rsid w:val="007F3E9E"/>
    <w:rsid w:val="007F474F"/>
    <w:rsid w:val="007F481E"/>
    <w:rsid w:val="007F4B2A"/>
    <w:rsid w:val="007F4C62"/>
    <w:rsid w:val="007F4D37"/>
    <w:rsid w:val="007F4D81"/>
    <w:rsid w:val="007F4E62"/>
    <w:rsid w:val="007F52A4"/>
    <w:rsid w:val="007F5616"/>
    <w:rsid w:val="007F596B"/>
    <w:rsid w:val="007F59C7"/>
    <w:rsid w:val="007F59D1"/>
    <w:rsid w:val="007F59E0"/>
    <w:rsid w:val="007F5C26"/>
    <w:rsid w:val="007F5C37"/>
    <w:rsid w:val="007F5CA2"/>
    <w:rsid w:val="007F5CA4"/>
    <w:rsid w:val="007F5CEF"/>
    <w:rsid w:val="007F5DF0"/>
    <w:rsid w:val="007F633C"/>
    <w:rsid w:val="007F6352"/>
    <w:rsid w:val="007F640C"/>
    <w:rsid w:val="007F65FF"/>
    <w:rsid w:val="007F6650"/>
    <w:rsid w:val="007F6A4A"/>
    <w:rsid w:val="007F6BD9"/>
    <w:rsid w:val="007F6C34"/>
    <w:rsid w:val="007F6CAE"/>
    <w:rsid w:val="007F711C"/>
    <w:rsid w:val="007F7292"/>
    <w:rsid w:val="007F72DC"/>
    <w:rsid w:val="007F77D4"/>
    <w:rsid w:val="007F7B68"/>
    <w:rsid w:val="007F7C2A"/>
    <w:rsid w:val="007F7D1D"/>
    <w:rsid w:val="007F7D83"/>
    <w:rsid w:val="007F7EE5"/>
    <w:rsid w:val="00800123"/>
    <w:rsid w:val="008001A3"/>
    <w:rsid w:val="00800230"/>
    <w:rsid w:val="0080035B"/>
    <w:rsid w:val="008006A8"/>
    <w:rsid w:val="008006DE"/>
    <w:rsid w:val="008008AB"/>
    <w:rsid w:val="00800A55"/>
    <w:rsid w:val="00800B1D"/>
    <w:rsid w:val="008010C6"/>
    <w:rsid w:val="0080113B"/>
    <w:rsid w:val="008011A3"/>
    <w:rsid w:val="008012CA"/>
    <w:rsid w:val="008012F8"/>
    <w:rsid w:val="008015CC"/>
    <w:rsid w:val="008018BD"/>
    <w:rsid w:val="00801973"/>
    <w:rsid w:val="00801BFB"/>
    <w:rsid w:val="00801D13"/>
    <w:rsid w:val="00801D31"/>
    <w:rsid w:val="00801FFE"/>
    <w:rsid w:val="008020FE"/>
    <w:rsid w:val="008022FD"/>
    <w:rsid w:val="0080241B"/>
    <w:rsid w:val="008026F8"/>
    <w:rsid w:val="008029E9"/>
    <w:rsid w:val="00802AB1"/>
    <w:rsid w:val="00802B19"/>
    <w:rsid w:val="00802C5E"/>
    <w:rsid w:val="00802CF6"/>
    <w:rsid w:val="00802E06"/>
    <w:rsid w:val="00802E17"/>
    <w:rsid w:val="00802F05"/>
    <w:rsid w:val="00802F3A"/>
    <w:rsid w:val="00803044"/>
    <w:rsid w:val="0080305A"/>
    <w:rsid w:val="00803250"/>
    <w:rsid w:val="00803460"/>
    <w:rsid w:val="00803626"/>
    <w:rsid w:val="00803AC4"/>
    <w:rsid w:val="00803B2D"/>
    <w:rsid w:val="00803B9E"/>
    <w:rsid w:val="00803DAF"/>
    <w:rsid w:val="00803EAE"/>
    <w:rsid w:val="00804110"/>
    <w:rsid w:val="0080411A"/>
    <w:rsid w:val="008043DB"/>
    <w:rsid w:val="00804455"/>
    <w:rsid w:val="0080452E"/>
    <w:rsid w:val="00804700"/>
    <w:rsid w:val="0080488F"/>
    <w:rsid w:val="008049D5"/>
    <w:rsid w:val="00804A25"/>
    <w:rsid w:val="00804E2F"/>
    <w:rsid w:val="00804EE4"/>
    <w:rsid w:val="0080507F"/>
    <w:rsid w:val="008051D8"/>
    <w:rsid w:val="0080530C"/>
    <w:rsid w:val="00805422"/>
    <w:rsid w:val="008054ED"/>
    <w:rsid w:val="008054FA"/>
    <w:rsid w:val="00805637"/>
    <w:rsid w:val="0080563C"/>
    <w:rsid w:val="008057DB"/>
    <w:rsid w:val="008058AD"/>
    <w:rsid w:val="00805977"/>
    <w:rsid w:val="00805C53"/>
    <w:rsid w:val="00805FA7"/>
    <w:rsid w:val="00805FB5"/>
    <w:rsid w:val="0080605B"/>
    <w:rsid w:val="00806233"/>
    <w:rsid w:val="008065A5"/>
    <w:rsid w:val="0080683A"/>
    <w:rsid w:val="00806ACF"/>
    <w:rsid w:val="00806AE0"/>
    <w:rsid w:val="00806BFC"/>
    <w:rsid w:val="00806C34"/>
    <w:rsid w:val="00806E43"/>
    <w:rsid w:val="00806F96"/>
    <w:rsid w:val="00806FAA"/>
    <w:rsid w:val="00807585"/>
    <w:rsid w:val="00807824"/>
    <w:rsid w:val="00807837"/>
    <w:rsid w:val="00807972"/>
    <w:rsid w:val="008079A3"/>
    <w:rsid w:val="00807C18"/>
    <w:rsid w:val="00807E59"/>
    <w:rsid w:val="00807F0E"/>
    <w:rsid w:val="00810253"/>
    <w:rsid w:val="00810360"/>
    <w:rsid w:val="00810384"/>
    <w:rsid w:val="00810420"/>
    <w:rsid w:val="00810448"/>
    <w:rsid w:val="00810502"/>
    <w:rsid w:val="0081052B"/>
    <w:rsid w:val="00810532"/>
    <w:rsid w:val="008106C6"/>
    <w:rsid w:val="008107F8"/>
    <w:rsid w:val="008109A7"/>
    <w:rsid w:val="00810F0A"/>
    <w:rsid w:val="008110A8"/>
    <w:rsid w:val="008112DA"/>
    <w:rsid w:val="0081161D"/>
    <w:rsid w:val="00811BA8"/>
    <w:rsid w:val="00811E20"/>
    <w:rsid w:val="00811EEF"/>
    <w:rsid w:val="008120C3"/>
    <w:rsid w:val="00812103"/>
    <w:rsid w:val="008125D3"/>
    <w:rsid w:val="008127F1"/>
    <w:rsid w:val="0081284C"/>
    <w:rsid w:val="00812B97"/>
    <w:rsid w:val="008130FA"/>
    <w:rsid w:val="008131C0"/>
    <w:rsid w:val="008133A8"/>
    <w:rsid w:val="008134D3"/>
    <w:rsid w:val="008134DE"/>
    <w:rsid w:val="0081375C"/>
    <w:rsid w:val="00813967"/>
    <w:rsid w:val="00813B97"/>
    <w:rsid w:val="00813BC1"/>
    <w:rsid w:val="00813C4A"/>
    <w:rsid w:val="00813CE0"/>
    <w:rsid w:val="00813DC7"/>
    <w:rsid w:val="0081412F"/>
    <w:rsid w:val="00814284"/>
    <w:rsid w:val="00814A7F"/>
    <w:rsid w:val="00814B13"/>
    <w:rsid w:val="00814B64"/>
    <w:rsid w:val="00814BF6"/>
    <w:rsid w:val="00814C8B"/>
    <w:rsid w:val="00814EBC"/>
    <w:rsid w:val="00814FB1"/>
    <w:rsid w:val="00814FF8"/>
    <w:rsid w:val="00815014"/>
    <w:rsid w:val="00815179"/>
    <w:rsid w:val="00815208"/>
    <w:rsid w:val="0081526C"/>
    <w:rsid w:val="00815594"/>
    <w:rsid w:val="008157B4"/>
    <w:rsid w:val="008157F3"/>
    <w:rsid w:val="00815809"/>
    <w:rsid w:val="00815A2A"/>
    <w:rsid w:val="00815AA0"/>
    <w:rsid w:val="00815D2D"/>
    <w:rsid w:val="00815F73"/>
    <w:rsid w:val="008160C4"/>
    <w:rsid w:val="008161AA"/>
    <w:rsid w:val="00816295"/>
    <w:rsid w:val="0081629B"/>
    <w:rsid w:val="008165F8"/>
    <w:rsid w:val="008165FD"/>
    <w:rsid w:val="008167E6"/>
    <w:rsid w:val="00816830"/>
    <w:rsid w:val="008168F7"/>
    <w:rsid w:val="00816AA9"/>
    <w:rsid w:val="00816CFF"/>
    <w:rsid w:val="00816D8F"/>
    <w:rsid w:val="0081701A"/>
    <w:rsid w:val="008170C4"/>
    <w:rsid w:val="008170ED"/>
    <w:rsid w:val="0081715F"/>
    <w:rsid w:val="0081736A"/>
    <w:rsid w:val="008173C8"/>
    <w:rsid w:val="008173F5"/>
    <w:rsid w:val="00817817"/>
    <w:rsid w:val="00817BDC"/>
    <w:rsid w:val="00817C85"/>
    <w:rsid w:val="00817CCD"/>
    <w:rsid w:val="00817CDE"/>
    <w:rsid w:val="00817D57"/>
    <w:rsid w:val="00817F13"/>
    <w:rsid w:val="00817F37"/>
    <w:rsid w:val="008201CE"/>
    <w:rsid w:val="00820261"/>
    <w:rsid w:val="008202C7"/>
    <w:rsid w:val="0082047F"/>
    <w:rsid w:val="0082067A"/>
    <w:rsid w:val="00820759"/>
    <w:rsid w:val="00820824"/>
    <w:rsid w:val="008209F6"/>
    <w:rsid w:val="00820A54"/>
    <w:rsid w:val="00820DA2"/>
    <w:rsid w:val="00820F8D"/>
    <w:rsid w:val="0082117A"/>
    <w:rsid w:val="008214CA"/>
    <w:rsid w:val="008215D0"/>
    <w:rsid w:val="008217AF"/>
    <w:rsid w:val="0082199A"/>
    <w:rsid w:val="00821A19"/>
    <w:rsid w:val="00821D8E"/>
    <w:rsid w:val="00821E26"/>
    <w:rsid w:val="00821E2C"/>
    <w:rsid w:val="00821EFC"/>
    <w:rsid w:val="00821F96"/>
    <w:rsid w:val="00821FAC"/>
    <w:rsid w:val="008221BE"/>
    <w:rsid w:val="00822223"/>
    <w:rsid w:val="0082261C"/>
    <w:rsid w:val="00822660"/>
    <w:rsid w:val="008227E8"/>
    <w:rsid w:val="00822AA1"/>
    <w:rsid w:val="00822ABA"/>
    <w:rsid w:val="00822FAF"/>
    <w:rsid w:val="0082325D"/>
    <w:rsid w:val="00823270"/>
    <w:rsid w:val="008233B6"/>
    <w:rsid w:val="00823515"/>
    <w:rsid w:val="0082357C"/>
    <w:rsid w:val="00823672"/>
    <w:rsid w:val="008237F7"/>
    <w:rsid w:val="00823815"/>
    <w:rsid w:val="00823B7F"/>
    <w:rsid w:val="00823D4E"/>
    <w:rsid w:val="00823FF1"/>
    <w:rsid w:val="00824119"/>
    <w:rsid w:val="0082416B"/>
    <w:rsid w:val="0082420E"/>
    <w:rsid w:val="0082422E"/>
    <w:rsid w:val="00824561"/>
    <w:rsid w:val="00824602"/>
    <w:rsid w:val="008246F0"/>
    <w:rsid w:val="00824933"/>
    <w:rsid w:val="00824A35"/>
    <w:rsid w:val="00824AF3"/>
    <w:rsid w:val="00824C29"/>
    <w:rsid w:val="00824C3F"/>
    <w:rsid w:val="00825314"/>
    <w:rsid w:val="0082543E"/>
    <w:rsid w:val="00825510"/>
    <w:rsid w:val="008256AB"/>
    <w:rsid w:val="008256DB"/>
    <w:rsid w:val="00825BA0"/>
    <w:rsid w:val="00826056"/>
    <w:rsid w:val="00826103"/>
    <w:rsid w:val="0082629A"/>
    <w:rsid w:val="00826364"/>
    <w:rsid w:val="00826455"/>
    <w:rsid w:val="00826682"/>
    <w:rsid w:val="00826954"/>
    <w:rsid w:val="00826B1E"/>
    <w:rsid w:val="00826B60"/>
    <w:rsid w:val="00826B8E"/>
    <w:rsid w:val="00826D29"/>
    <w:rsid w:val="00826E75"/>
    <w:rsid w:val="00827044"/>
    <w:rsid w:val="008273D2"/>
    <w:rsid w:val="008273E0"/>
    <w:rsid w:val="0082751F"/>
    <w:rsid w:val="00827598"/>
    <w:rsid w:val="00827844"/>
    <w:rsid w:val="00827AB8"/>
    <w:rsid w:val="00827B63"/>
    <w:rsid w:val="00827B6B"/>
    <w:rsid w:val="00827B87"/>
    <w:rsid w:val="00827DA9"/>
    <w:rsid w:val="00827DAF"/>
    <w:rsid w:val="008300C7"/>
    <w:rsid w:val="008300E8"/>
    <w:rsid w:val="00830163"/>
    <w:rsid w:val="008305B9"/>
    <w:rsid w:val="00830999"/>
    <w:rsid w:val="008309BB"/>
    <w:rsid w:val="00830B8C"/>
    <w:rsid w:val="00830CB1"/>
    <w:rsid w:val="00830DA2"/>
    <w:rsid w:val="00830DAB"/>
    <w:rsid w:val="00831091"/>
    <w:rsid w:val="00831551"/>
    <w:rsid w:val="00831570"/>
    <w:rsid w:val="0083160F"/>
    <w:rsid w:val="0083177F"/>
    <w:rsid w:val="0083178F"/>
    <w:rsid w:val="008318FF"/>
    <w:rsid w:val="00831D13"/>
    <w:rsid w:val="00831D3A"/>
    <w:rsid w:val="00831E18"/>
    <w:rsid w:val="008320C7"/>
    <w:rsid w:val="00832198"/>
    <w:rsid w:val="008326E0"/>
    <w:rsid w:val="0083270A"/>
    <w:rsid w:val="00832788"/>
    <w:rsid w:val="00832AA3"/>
    <w:rsid w:val="00832AA9"/>
    <w:rsid w:val="00832ACC"/>
    <w:rsid w:val="00832C49"/>
    <w:rsid w:val="00832FF6"/>
    <w:rsid w:val="008331A2"/>
    <w:rsid w:val="00833276"/>
    <w:rsid w:val="0083332D"/>
    <w:rsid w:val="0083366A"/>
    <w:rsid w:val="0083366F"/>
    <w:rsid w:val="0083388E"/>
    <w:rsid w:val="00833C87"/>
    <w:rsid w:val="00833D32"/>
    <w:rsid w:val="00833D42"/>
    <w:rsid w:val="00834346"/>
    <w:rsid w:val="00834353"/>
    <w:rsid w:val="0083439C"/>
    <w:rsid w:val="00834481"/>
    <w:rsid w:val="0083455B"/>
    <w:rsid w:val="0083495C"/>
    <w:rsid w:val="00834B3A"/>
    <w:rsid w:val="00834E33"/>
    <w:rsid w:val="00834F39"/>
    <w:rsid w:val="0083510C"/>
    <w:rsid w:val="00835240"/>
    <w:rsid w:val="008353CA"/>
    <w:rsid w:val="00835417"/>
    <w:rsid w:val="0083547D"/>
    <w:rsid w:val="0083564D"/>
    <w:rsid w:val="0083573C"/>
    <w:rsid w:val="00835955"/>
    <w:rsid w:val="00835E18"/>
    <w:rsid w:val="00835E59"/>
    <w:rsid w:val="00835E8C"/>
    <w:rsid w:val="0083607C"/>
    <w:rsid w:val="0083627C"/>
    <w:rsid w:val="0083629F"/>
    <w:rsid w:val="0083636B"/>
    <w:rsid w:val="008363FE"/>
    <w:rsid w:val="008364A0"/>
    <w:rsid w:val="008366BC"/>
    <w:rsid w:val="00836799"/>
    <w:rsid w:val="00836B11"/>
    <w:rsid w:val="00836BA1"/>
    <w:rsid w:val="00836D16"/>
    <w:rsid w:val="00836D89"/>
    <w:rsid w:val="00836DB3"/>
    <w:rsid w:val="00836EE3"/>
    <w:rsid w:val="00836F1E"/>
    <w:rsid w:val="00837244"/>
    <w:rsid w:val="00837271"/>
    <w:rsid w:val="008372B8"/>
    <w:rsid w:val="0083745F"/>
    <w:rsid w:val="008374AD"/>
    <w:rsid w:val="008374E9"/>
    <w:rsid w:val="008376B0"/>
    <w:rsid w:val="0083787A"/>
    <w:rsid w:val="0083795C"/>
    <w:rsid w:val="00837C3A"/>
    <w:rsid w:val="00837D0C"/>
    <w:rsid w:val="00837E6D"/>
    <w:rsid w:val="00837FB1"/>
    <w:rsid w:val="0084040E"/>
    <w:rsid w:val="00840590"/>
    <w:rsid w:val="0084062B"/>
    <w:rsid w:val="00840AE9"/>
    <w:rsid w:val="00840BE3"/>
    <w:rsid w:val="00840CAB"/>
    <w:rsid w:val="00840F99"/>
    <w:rsid w:val="00841461"/>
    <w:rsid w:val="0084147C"/>
    <w:rsid w:val="00841696"/>
    <w:rsid w:val="00841A2B"/>
    <w:rsid w:val="00841AFB"/>
    <w:rsid w:val="00841D26"/>
    <w:rsid w:val="00841D4E"/>
    <w:rsid w:val="00841D69"/>
    <w:rsid w:val="00841EA2"/>
    <w:rsid w:val="00841F4C"/>
    <w:rsid w:val="00842284"/>
    <w:rsid w:val="00842316"/>
    <w:rsid w:val="0084253E"/>
    <w:rsid w:val="00842578"/>
    <w:rsid w:val="008427C1"/>
    <w:rsid w:val="00842864"/>
    <w:rsid w:val="0084295B"/>
    <w:rsid w:val="00842C4E"/>
    <w:rsid w:val="0084300E"/>
    <w:rsid w:val="008431F0"/>
    <w:rsid w:val="00843224"/>
    <w:rsid w:val="0084346D"/>
    <w:rsid w:val="0084348D"/>
    <w:rsid w:val="00843759"/>
    <w:rsid w:val="00843ACB"/>
    <w:rsid w:val="00843C98"/>
    <w:rsid w:val="00844092"/>
    <w:rsid w:val="008444E2"/>
    <w:rsid w:val="00844580"/>
    <w:rsid w:val="00844688"/>
    <w:rsid w:val="0084483A"/>
    <w:rsid w:val="008449B6"/>
    <w:rsid w:val="00844ABB"/>
    <w:rsid w:val="00844B2C"/>
    <w:rsid w:val="00844B92"/>
    <w:rsid w:val="00844C08"/>
    <w:rsid w:val="00844DF6"/>
    <w:rsid w:val="008450E6"/>
    <w:rsid w:val="008451E0"/>
    <w:rsid w:val="00845546"/>
    <w:rsid w:val="00845666"/>
    <w:rsid w:val="008456C1"/>
    <w:rsid w:val="00845747"/>
    <w:rsid w:val="0084574D"/>
    <w:rsid w:val="0084593B"/>
    <w:rsid w:val="00845A5E"/>
    <w:rsid w:val="00845BEF"/>
    <w:rsid w:val="00845FA3"/>
    <w:rsid w:val="008460C3"/>
    <w:rsid w:val="00846436"/>
    <w:rsid w:val="008464C0"/>
    <w:rsid w:val="00846A63"/>
    <w:rsid w:val="00846D66"/>
    <w:rsid w:val="00846E7C"/>
    <w:rsid w:val="008471AB"/>
    <w:rsid w:val="00847216"/>
    <w:rsid w:val="00847398"/>
    <w:rsid w:val="0084798B"/>
    <w:rsid w:val="00847A11"/>
    <w:rsid w:val="00847A88"/>
    <w:rsid w:val="00847B7B"/>
    <w:rsid w:val="00847B96"/>
    <w:rsid w:val="00847D18"/>
    <w:rsid w:val="00847D55"/>
    <w:rsid w:val="00847D8D"/>
    <w:rsid w:val="00847FC8"/>
    <w:rsid w:val="0085017F"/>
    <w:rsid w:val="008501EF"/>
    <w:rsid w:val="008502E2"/>
    <w:rsid w:val="00850852"/>
    <w:rsid w:val="008508FE"/>
    <w:rsid w:val="00850993"/>
    <w:rsid w:val="0085099E"/>
    <w:rsid w:val="00850C8C"/>
    <w:rsid w:val="00850D6D"/>
    <w:rsid w:val="00850E78"/>
    <w:rsid w:val="00850ECD"/>
    <w:rsid w:val="00850F06"/>
    <w:rsid w:val="008510B6"/>
    <w:rsid w:val="00851116"/>
    <w:rsid w:val="008516CA"/>
    <w:rsid w:val="00851AA8"/>
    <w:rsid w:val="00851B0E"/>
    <w:rsid w:val="00851D7E"/>
    <w:rsid w:val="00851DBD"/>
    <w:rsid w:val="00851F81"/>
    <w:rsid w:val="00851FF4"/>
    <w:rsid w:val="0085204D"/>
    <w:rsid w:val="008520E2"/>
    <w:rsid w:val="008521D8"/>
    <w:rsid w:val="00852231"/>
    <w:rsid w:val="008522CB"/>
    <w:rsid w:val="008522DC"/>
    <w:rsid w:val="00852363"/>
    <w:rsid w:val="008524AE"/>
    <w:rsid w:val="008525D0"/>
    <w:rsid w:val="00852641"/>
    <w:rsid w:val="0085268F"/>
    <w:rsid w:val="00852707"/>
    <w:rsid w:val="008527B3"/>
    <w:rsid w:val="008528ED"/>
    <w:rsid w:val="00852AD9"/>
    <w:rsid w:val="00852B23"/>
    <w:rsid w:val="00853101"/>
    <w:rsid w:val="00853196"/>
    <w:rsid w:val="0085326C"/>
    <w:rsid w:val="00853489"/>
    <w:rsid w:val="00853671"/>
    <w:rsid w:val="008538FF"/>
    <w:rsid w:val="008539E2"/>
    <w:rsid w:val="00853A8C"/>
    <w:rsid w:val="00853AF4"/>
    <w:rsid w:val="008540CB"/>
    <w:rsid w:val="008541FA"/>
    <w:rsid w:val="00854426"/>
    <w:rsid w:val="0085443E"/>
    <w:rsid w:val="00854574"/>
    <w:rsid w:val="00854666"/>
    <w:rsid w:val="00854679"/>
    <w:rsid w:val="008548C7"/>
    <w:rsid w:val="0085499D"/>
    <w:rsid w:val="00854A18"/>
    <w:rsid w:val="00854BB1"/>
    <w:rsid w:val="00854CBC"/>
    <w:rsid w:val="00854D0B"/>
    <w:rsid w:val="00854E51"/>
    <w:rsid w:val="00854EF5"/>
    <w:rsid w:val="00854FA5"/>
    <w:rsid w:val="008553FD"/>
    <w:rsid w:val="0085547D"/>
    <w:rsid w:val="00855571"/>
    <w:rsid w:val="008555A5"/>
    <w:rsid w:val="00855690"/>
    <w:rsid w:val="008556FB"/>
    <w:rsid w:val="00855A27"/>
    <w:rsid w:val="00855B7C"/>
    <w:rsid w:val="00855BD2"/>
    <w:rsid w:val="00855D86"/>
    <w:rsid w:val="00855D91"/>
    <w:rsid w:val="00855E09"/>
    <w:rsid w:val="00856016"/>
    <w:rsid w:val="0085607B"/>
    <w:rsid w:val="0085619A"/>
    <w:rsid w:val="00856214"/>
    <w:rsid w:val="00856254"/>
    <w:rsid w:val="00856431"/>
    <w:rsid w:val="008565E7"/>
    <w:rsid w:val="00856D3C"/>
    <w:rsid w:val="00857025"/>
    <w:rsid w:val="0085725E"/>
    <w:rsid w:val="0085739A"/>
    <w:rsid w:val="00857508"/>
    <w:rsid w:val="008576BE"/>
    <w:rsid w:val="00857785"/>
    <w:rsid w:val="008578D7"/>
    <w:rsid w:val="00857943"/>
    <w:rsid w:val="008579D0"/>
    <w:rsid w:val="00857EA8"/>
    <w:rsid w:val="00857FF6"/>
    <w:rsid w:val="0086003E"/>
    <w:rsid w:val="008602AF"/>
    <w:rsid w:val="00860470"/>
    <w:rsid w:val="0086060A"/>
    <w:rsid w:val="00860945"/>
    <w:rsid w:val="00860B5E"/>
    <w:rsid w:val="00860C31"/>
    <w:rsid w:val="00860E36"/>
    <w:rsid w:val="008611A8"/>
    <w:rsid w:val="00861341"/>
    <w:rsid w:val="00861482"/>
    <w:rsid w:val="00861554"/>
    <w:rsid w:val="008616C1"/>
    <w:rsid w:val="0086180E"/>
    <w:rsid w:val="00861994"/>
    <w:rsid w:val="00861A3F"/>
    <w:rsid w:val="00861A9A"/>
    <w:rsid w:val="00861B24"/>
    <w:rsid w:val="00861D86"/>
    <w:rsid w:val="00861E46"/>
    <w:rsid w:val="00862126"/>
    <w:rsid w:val="008621FA"/>
    <w:rsid w:val="00862224"/>
    <w:rsid w:val="008622D9"/>
    <w:rsid w:val="008626DC"/>
    <w:rsid w:val="00862B02"/>
    <w:rsid w:val="00862B91"/>
    <w:rsid w:val="00862E72"/>
    <w:rsid w:val="00862FAC"/>
    <w:rsid w:val="008635CE"/>
    <w:rsid w:val="00863743"/>
    <w:rsid w:val="00863762"/>
    <w:rsid w:val="008639EC"/>
    <w:rsid w:val="00863A74"/>
    <w:rsid w:val="00863C60"/>
    <w:rsid w:val="00863C93"/>
    <w:rsid w:val="00863CC1"/>
    <w:rsid w:val="00863E44"/>
    <w:rsid w:val="00863F1A"/>
    <w:rsid w:val="0086421C"/>
    <w:rsid w:val="0086433D"/>
    <w:rsid w:val="008643C5"/>
    <w:rsid w:val="008644C2"/>
    <w:rsid w:val="00864502"/>
    <w:rsid w:val="00864590"/>
    <w:rsid w:val="00864641"/>
    <w:rsid w:val="00864871"/>
    <w:rsid w:val="008648B2"/>
    <w:rsid w:val="008649A6"/>
    <w:rsid w:val="00864A2C"/>
    <w:rsid w:val="00864B9F"/>
    <w:rsid w:val="00864C6E"/>
    <w:rsid w:val="00864D4D"/>
    <w:rsid w:val="00864DDF"/>
    <w:rsid w:val="00864FE8"/>
    <w:rsid w:val="008650AA"/>
    <w:rsid w:val="008651E9"/>
    <w:rsid w:val="00865498"/>
    <w:rsid w:val="00865A22"/>
    <w:rsid w:val="00865E48"/>
    <w:rsid w:val="0086602A"/>
    <w:rsid w:val="008660F5"/>
    <w:rsid w:val="0086617C"/>
    <w:rsid w:val="0086643E"/>
    <w:rsid w:val="008664BD"/>
    <w:rsid w:val="0086674F"/>
    <w:rsid w:val="0086682F"/>
    <w:rsid w:val="00866BCA"/>
    <w:rsid w:val="00867199"/>
    <w:rsid w:val="00867208"/>
    <w:rsid w:val="00867257"/>
    <w:rsid w:val="00867765"/>
    <w:rsid w:val="008677B2"/>
    <w:rsid w:val="008678B4"/>
    <w:rsid w:val="00867990"/>
    <w:rsid w:val="00867A01"/>
    <w:rsid w:val="00867BBB"/>
    <w:rsid w:val="00867F69"/>
    <w:rsid w:val="0087001A"/>
    <w:rsid w:val="0087009E"/>
    <w:rsid w:val="008702C9"/>
    <w:rsid w:val="008702F7"/>
    <w:rsid w:val="0087040E"/>
    <w:rsid w:val="008707EE"/>
    <w:rsid w:val="008708D1"/>
    <w:rsid w:val="00870948"/>
    <w:rsid w:val="00870C56"/>
    <w:rsid w:val="00870D55"/>
    <w:rsid w:val="008710C3"/>
    <w:rsid w:val="00871373"/>
    <w:rsid w:val="00871709"/>
    <w:rsid w:val="008719D1"/>
    <w:rsid w:val="00871A61"/>
    <w:rsid w:val="00871B9F"/>
    <w:rsid w:val="00871C7B"/>
    <w:rsid w:val="00871F02"/>
    <w:rsid w:val="00872022"/>
    <w:rsid w:val="0087213E"/>
    <w:rsid w:val="0087220D"/>
    <w:rsid w:val="008722A5"/>
    <w:rsid w:val="008722FF"/>
    <w:rsid w:val="0087250D"/>
    <w:rsid w:val="008727DC"/>
    <w:rsid w:val="0087293F"/>
    <w:rsid w:val="00872A08"/>
    <w:rsid w:val="00872A2D"/>
    <w:rsid w:val="00872ADC"/>
    <w:rsid w:val="00872BF4"/>
    <w:rsid w:val="00872C7E"/>
    <w:rsid w:val="00872F64"/>
    <w:rsid w:val="0087320A"/>
    <w:rsid w:val="0087349A"/>
    <w:rsid w:val="00873876"/>
    <w:rsid w:val="00873C0B"/>
    <w:rsid w:val="00873DF1"/>
    <w:rsid w:val="00873F7A"/>
    <w:rsid w:val="00873FDE"/>
    <w:rsid w:val="008742DF"/>
    <w:rsid w:val="00874313"/>
    <w:rsid w:val="008747FE"/>
    <w:rsid w:val="00874BE6"/>
    <w:rsid w:val="00874D31"/>
    <w:rsid w:val="00874D57"/>
    <w:rsid w:val="00874D92"/>
    <w:rsid w:val="00874E08"/>
    <w:rsid w:val="00874ED3"/>
    <w:rsid w:val="0087509C"/>
    <w:rsid w:val="0087529C"/>
    <w:rsid w:val="00875319"/>
    <w:rsid w:val="008753CB"/>
    <w:rsid w:val="008753CC"/>
    <w:rsid w:val="008754B3"/>
    <w:rsid w:val="0087574A"/>
    <w:rsid w:val="00875815"/>
    <w:rsid w:val="00875CEF"/>
    <w:rsid w:val="00875DDE"/>
    <w:rsid w:val="00875DF7"/>
    <w:rsid w:val="00875F7C"/>
    <w:rsid w:val="0087620F"/>
    <w:rsid w:val="00876393"/>
    <w:rsid w:val="0087642A"/>
    <w:rsid w:val="008764F8"/>
    <w:rsid w:val="008765BD"/>
    <w:rsid w:val="0087674A"/>
    <w:rsid w:val="0087680A"/>
    <w:rsid w:val="00876B78"/>
    <w:rsid w:val="00876CBF"/>
    <w:rsid w:val="00876CC2"/>
    <w:rsid w:val="00876FF6"/>
    <w:rsid w:val="008775A9"/>
    <w:rsid w:val="0087788A"/>
    <w:rsid w:val="008779CD"/>
    <w:rsid w:val="00877A78"/>
    <w:rsid w:val="00877DEE"/>
    <w:rsid w:val="00877E59"/>
    <w:rsid w:val="00877E8B"/>
    <w:rsid w:val="00877EF3"/>
    <w:rsid w:val="0088001D"/>
    <w:rsid w:val="00880171"/>
    <w:rsid w:val="0088034E"/>
    <w:rsid w:val="0088053B"/>
    <w:rsid w:val="0088063E"/>
    <w:rsid w:val="008806F5"/>
    <w:rsid w:val="00880914"/>
    <w:rsid w:val="00880CAD"/>
    <w:rsid w:val="00880FD0"/>
    <w:rsid w:val="008812B1"/>
    <w:rsid w:val="008813C9"/>
    <w:rsid w:val="0088153A"/>
    <w:rsid w:val="008815CC"/>
    <w:rsid w:val="00881688"/>
    <w:rsid w:val="00881958"/>
    <w:rsid w:val="00881C57"/>
    <w:rsid w:val="00881CE4"/>
    <w:rsid w:val="00881CE6"/>
    <w:rsid w:val="008821D4"/>
    <w:rsid w:val="0088222B"/>
    <w:rsid w:val="00882337"/>
    <w:rsid w:val="0088283F"/>
    <w:rsid w:val="00882871"/>
    <w:rsid w:val="008828B5"/>
    <w:rsid w:val="008829C3"/>
    <w:rsid w:val="00882A89"/>
    <w:rsid w:val="00882C36"/>
    <w:rsid w:val="00882C88"/>
    <w:rsid w:val="00882D02"/>
    <w:rsid w:val="00882DE9"/>
    <w:rsid w:val="00882E8D"/>
    <w:rsid w:val="00882EE3"/>
    <w:rsid w:val="00882FCB"/>
    <w:rsid w:val="00883165"/>
    <w:rsid w:val="008831F4"/>
    <w:rsid w:val="0088338B"/>
    <w:rsid w:val="0088356A"/>
    <w:rsid w:val="008837BE"/>
    <w:rsid w:val="008838C4"/>
    <w:rsid w:val="008839AB"/>
    <w:rsid w:val="00883C2C"/>
    <w:rsid w:val="00883CEC"/>
    <w:rsid w:val="00883DE7"/>
    <w:rsid w:val="00883F54"/>
    <w:rsid w:val="008841FB"/>
    <w:rsid w:val="0088455B"/>
    <w:rsid w:val="0088460D"/>
    <w:rsid w:val="00884753"/>
    <w:rsid w:val="008848D3"/>
    <w:rsid w:val="0088491C"/>
    <w:rsid w:val="00884ACB"/>
    <w:rsid w:val="00884AEF"/>
    <w:rsid w:val="00884B5D"/>
    <w:rsid w:val="00884F61"/>
    <w:rsid w:val="0088542D"/>
    <w:rsid w:val="008856C2"/>
    <w:rsid w:val="00885C86"/>
    <w:rsid w:val="00885EA0"/>
    <w:rsid w:val="00886227"/>
    <w:rsid w:val="008862D4"/>
    <w:rsid w:val="008867B2"/>
    <w:rsid w:val="00886AE0"/>
    <w:rsid w:val="00886C35"/>
    <w:rsid w:val="00886C95"/>
    <w:rsid w:val="00886D68"/>
    <w:rsid w:val="00886E38"/>
    <w:rsid w:val="00886E9D"/>
    <w:rsid w:val="00886FED"/>
    <w:rsid w:val="00887130"/>
    <w:rsid w:val="008871A7"/>
    <w:rsid w:val="00887359"/>
    <w:rsid w:val="00887606"/>
    <w:rsid w:val="00887617"/>
    <w:rsid w:val="0088771F"/>
    <w:rsid w:val="0088777D"/>
    <w:rsid w:val="0088779C"/>
    <w:rsid w:val="00887B6B"/>
    <w:rsid w:val="00887BF9"/>
    <w:rsid w:val="00887C92"/>
    <w:rsid w:val="00887D62"/>
    <w:rsid w:val="00887D84"/>
    <w:rsid w:val="00887D89"/>
    <w:rsid w:val="00887DEE"/>
    <w:rsid w:val="00887E1B"/>
    <w:rsid w:val="00887EBB"/>
    <w:rsid w:val="00887EBE"/>
    <w:rsid w:val="00887FF7"/>
    <w:rsid w:val="0089015A"/>
    <w:rsid w:val="0089073B"/>
    <w:rsid w:val="00890762"/>
    <w:rsid w:val="00890813"/>
    <w:rsid w:val="00890932"/>
    <w:rsid w:val="0089099D"/>
    <w:rsid w:val="00891398"/>
    <w:rsid w:val="00891600"/>
    <w:rsid w:val="0089182C"/>
    <w:rsid w:val="008918A8"/>
    <w:rsid w:val="00891978"/>
    <w:rsid w:val="00891A81"/>
    <w:rsid w:val="00891C47"/>
    <w:rsid w:val="00891C75"/>
    <w:rsid w:val="00891C7F"/>
    <w:rsid w:val="00891CA5"/>
    <w:rsid w:val="00891EAD"/>
    <w:rsid w:val="00892037"/>
    <w:rsid w:val="008921AD"/>
    <w:rsid w:val="0089240C"/>
    <w:rsid w:val="00892599"/>
    <w:rsid w:val="00892601"/>
    <w:rsid w:val="008926B5"/>
    <w:rsid w:val="008927CC"/>
    <w:rsid w:val="0089282A"/>
    <w:rsid w:val="00892A9E"/>
    <w:rsid w:val="00892C16"/>
    <w:rsid w:val="00892C6E"/>
    <w:rsid w:val="00892E1E"/>
    <w:rsid w:val="00892EA5"/>
    <w:rsid w:val="0089323C"/>
    <w:rsid w:val="008934BE"/>
    <w:rsid w:val="0089353E"/>
    <w:rsid w:val="008936AC"/>
    <w:rsid w:val="0089391F"/>
    <w:rsid w:val="00893D73"/>
    <w:rsid w:val="00893D9A"/>
    <w:rsid w:val="00893E0C"/>
    <w:rsid w:val="00893F5B"/>
    <w:rsid w:val="0089476E"/>
    <w:rsid w:val="00894837"/>
    <w:rsid w:val="0089489D"/>
    <w:rsid w:val="0089497E"/>
    <w:rsid w:val="00894A31"/>
    <w:rsid w:val="00894B9C"/>
    <w:rsid w:val="00894CC5"/>
    <w:rsid w:val="00894D80"/>
    <w:rsid w:val="00894EA1"/>
    <w:rsid w:val="00895030"/>
    <w:rsid w:val="00895035"/>
    <w:rsid w:val="00895055"/>
    <w:rsid w:val="008950A1"/>
    <w:rsid w:val="0089536B"/>
    <w:rsid w:val="008953ED"/>
    <w:rsid w:val="00895A93"/>
    <w:rsid w:val="00895DD7"/>
    <w:rsid w:val="00895E7B"/>
    <w:rsid w:val="00895F2D"/>
    <w:rsid w:val="00895F77"/>
    <w:rsid w:val="00895F79"/>
    <w:rsid w:val="00895FD6"/>
    <w:rsid w:val="00896072"/>
    <w:rsid w:val="008960FB"/>
    <w:rsid w:val="0089613F"/>
    <w:rsid w:val="00896149"/>
    <w:rsid w:val="008962E1"/>
    <w:rsid w:val="00896349"/>
    <w:rsid w:val="008963AF"/>
    <w:rsid w:val="00896629"/>
    <w:rsid w:val="00896993"/>
    <w:rsid w:val="00896C2D"/>
    <w:rsid w:val="00896E48"/>
    <w:rsid w:val="00896F44"/>
    <w:rsid w:val="00896F82"/>
    <w:rsid w:val="00896FA8"/>
    <w:rsid w:val="0089704D"/>
    <w:rsid w:val="00897246"/>
    <w:rsid w:val="008972EF"/>
    <w:rsid w:val="008974BF"/>
    <w:rsid w:val="0089761E"/>
    <w:rsid w:val="0089766C"/>
    <w:rsid w:val="00897715"/>
    <w:rsid w:val="00897AED"/>
    <w:rsid w:val="00897DEB"/>
    <w:rsid w:val="00897E70"/>
    <w:rsid w:val="008A00FF"/>
    <w:rsid w:val="008A02CF"/>
    <w:rsid w:val="008A0318"/>
    <w:rsid w:val="008A0362"/>
    <w:rsid w:val="008A09A6"/>
    <w:rsid w:val="008A0AA1"/>
    <w:rsid w:val="008A0B98"/>
    <w:rsid w:val="008A0C2F"/>
    <w:rsid w:val="008A0C6E"/>
    <w:rsid w:val="008A0F27"/>
    <w:rsid w:val="008A1315"/>
    <w:rsid w:val="008A1673"/>
    <w:rsid w:val="008A192E"/>
    <w:rsid w:val="008A1BC3"/>
    <w:rsid w:val="008A1CFE"/>
    <w:rsid w:val="008A1DBE"/>
    <w:rsid w:val="008A1EA5"/>
    <w:rsid w:val="008A2278"/>
    <w:rsid w:val="008A28BC"/>
    <w:rsid w:val="008A29A5"/>
    <w:rsid w:val="008A2B32"/>
    <w:rsid w:val="008A2CF0"/>
    <w:rsid w:val="008A2F88"/>
    <w:rsid w:val="008A321B"/>
    <w:rsid w:val="008A337C"/>
    <w:rsid w:val="008A33C9"/>
    <w:rsid w:val="008A34C8"/>
    <w:rsid w:val="008A3679"/>
    <w:rsid w:val="008A373E"/>
    <w:rsid w:val="008A3B1F"/>
    <w:rsid w:val="008A3C13"/>
    <w:rsid w:val="008A3C37"/>
    <w:rsid w:val="008A3C6D"/>
    <w:rsid w:val="008A3D84"/>
    <w:rsid w:val="008A3DF8"/>
    <w:rsid w:val="008A3EDC"/>
    <w:rsid w:val="008A429A"/>
    <w:rsid w:val="008A42DF"/>
    <w:rsid w:val="008A4315"/>
    <w:rsid w:val="008A4592"/>
    <w:rsid w:val="008A45DA"/>
    <w:rsid w:val="008A46CF"/>
    <w:rsid w:val="008A4722"/>
    <w:rsid w:val="008A4783"/>
    <w:rsid w:val="008A48B5"/>
    <w:rsid w:val="008A48D0"/>
    <w:rsid w:val="008A48DD"/>
    <w:rsid w:val="008A4979"/>
    <w:rsid w:val="008A49DB"/>
    <w:rsid w:val="008A4A7C"/>
    <w:rsid w:val="008A4C78"/>
    <w:rsid w:val="008A4E2A"/>
    <w:rsid w:val="008A4F61"/>
    <w:rsid w:val="008A5091"/>
    <w:rsid w:val="008A50E6"/>
    <w:rsid w:val="008A55EF"/>
    <w:rsid w:val="008A5C0F"/>
    <w:rsid w:val="008A6006"/>
    <w:rsid w:val="008A6106"/>
    <w:rsid w:val="008A6186"/>
    <w:rsid w:val="008A63A2"/>
    <w:rsid w:val="008A65DE"/>
    <w:rsid w:val="008A662C"/>
    <w:rsid w:val="008A683E"/>
    <w:rsid w:val="008A687E"/>
    <w:rsid w:val="008A6ABC"/>
    <w:rsid w:val="008A6C20"/>
    <w:rsid w:val="008A6C3C"/>
    <w:rsid w:val="008A6C45"/>
    <w:rsid w:val="008A6DB5"/>
    <w:rsid w:val="008A6E25"/>
    <w:rsid w:val="008A6E63"/>
    <w:rsid w:val="008A6EB9"/>
    <w:rsid w:val="008A70A9"/>
    <w:rsid w:val="008A717B"/>
    <w:rsid w:val="008A721A"/>
    <w:rsid w:val="008A7312"/>
    <w:rsid w:val="008A73DB"/>
    <w:rsid w:val="008A746D"/>
    <w:rsid w:val="008A74D9"/>
    <w:rsid w:val="008A77ED"/>
    <w:rsid w:val="008A78A3"/>
    <w:rsid w:val="008A7A46"/>
    <w:rsid w:val="008A7E8B"/>
    <w:rsid w:val="008A7FD8"/>
    <w:rsid w:val="008B01CF"/>
    <w:rsid w:val="008B0279"/>
    <w:rsid w:val="008B0405"/>
    <w:rsid w:val="008B0824"/>
    <w:rsid w:val="008B0BD9"/>
    <w:rsid w:val="008B0C8C"/>
    <w:rsid w:val="008B0E87"/>
    <w:rsid w:val="008B1212"/>
    <w:rsid w:val="008B13C3"/>
    <w:rsid w:val="008B13D9"/>
    <w:rsid w:val="008B140F"/>
    <w:rsid w:val="008B1569"/>
    <w:rsid w:val="008B179A"/>
    <w:rsid w:val="008B1A3E"/>
    <w:rsid w:val="008B1BA7"/>
    <w:rsid w:val="008B1E2F"/>
    <w:rsid w:val="008B1FC5"/>
    <w:rsid w:val="008B20A6"/>
    <w:rsid w:val="008B21AB"/>
    <w:rsid w:val="008B2300"/>
    <w:rsid w:val="008B25F7"/>
    <w:rsid w:val="008B2B2D"/>
    <w:rsid w:val="008B2C5E"/>
    <w:rsid w:val="008B2CCA"/>
    <w:rsid w:val="008B2D81"/>
    <w:rsid w:val="008B2DB7"/>
    <w:rsid w:val="008B2F11"/>
    <w:rsid w:val="008B3006"/>
    <w:rsid w:val="008B322E"/>
    <w:rsid w:val="008B3748"/>
    <w:rsid w:val="008B37C1"/>
    <w:rsid w:val="008B39FF"/>
    <w:rsid w:val="008B3A94"/>
    <w:rsid w:val="008B3C5F"/>
    <w:rsid w:val="008B3D37"/>
    <w:rsid w:val="008B3D6D"/>
    <w:rsid w:val="008B3F16"/>
    <w:rsid w:val="008B3F29"/>
    <w:rsid w:val="008B428C"/>
    <w:rsid w:val="008B42CE"/>
    <w:rsid w:val="008B4558"/>
    <w:rsid w:val="008B458B"/>
    <w:rsid w:val="008B4673"/>
    <w:rsid w:val="008B4839"/>
    <w:rsid w:val="008B48C9"/>
    <w:rsid w:val="008B48CC"/>
    <w:rsid w:val="008B4C66"/>
    <w:rsid w:val="008B4EAB"/>
    <w:rsid w:val="008B4F2F"/>
    <w:rsid w:val="008B5075"/>
    <w:rsid w:val="008B58C9"/>
    <w:rsid w:val="008B5A4A"/>
    <w:rsid w:val="008B5A9D"/>
    <w:rsid w:val="008B5ABF"/>
    <w:rsid w:val="008B5BF0"/>
    <w:rsid w:val="008B5EF8"/>
    <w:rsid w:val="008B6108"/>
    <w:rsid w:val="008B61EF"/>
    <w:rsid w:val="008B63B7"/>
    <w:rsid w:val="008B6461"/>
    <w:rsid w:val="008B64E0"/>
    <w:rsid w:val="008B675C"/>
    <w:rsid w:val="008B6AA6"/>
    <w:rsid w:val="008B6C2B"/>
    <w:rsid w:val="008B6D24"/>
    <w:rsid w:val="008B6EE6"/>
    <w:rsid w:val="008B6F7E"/>
    <w:rsid w:val="008B7062"/>
    <w:rsid w:val="008B7205"/>
    <w:rsid w:val="008B7232"/>
    <w:rsid w:val="008B7256"/>
    <w:rsid w:val="008B7585"/>
    <w:rsid w:val="008B7639"/>
    <w:rsid w:val="008B79C1"/>
    <w:rsid w:val="008B7E4C"/>
    <w:rsid w:val="008B7EB7"/>
    <w:rsid w:val="008B7F5C"/>
    <w:rsid w:val="008C010D"/>
    <w:rsid w:val="008C011A"/>
    <w:rsid w:val="008C019C"/>
    <w:rsid w:val="008C01CB"/>
    <w:rsid w:val="008C029E"/>
    <w:rsid w:val="008C02D2"/>
    <w:rsid w:val="008C062B"/>
    <w:rsid w:val="008C073A"/>
    <w:rsid w:val="008C0880"/>
    <w:rsid w:val="008C092F"/>
    <w:rsid w:val="008C0B6D"/>
    <w:rsid w:val="008C0BB8"/>
    <w:rsid w:val="008C0CBB"/>
    <w:rsid w:val="008C0CFD"/>
    <w:rsid w:val="008C0D1B"/>
    <w:rsid w:val="008C0ECD"/>
    <w:rsid w:val="008C0F6E"/>
    <w:rsid w:val="008C101E"/>
    <w:rsid w:val="008C1036"/>
    <w:rsid w:val="008C16CB"/>
    <w:rsid w:val="008C17AF"/>
    <w:rsid w:val="008C1A73"/>
    <w:rsid w:val="008C1B6C"/>
    <w:rsid w:val="008C1BE4"/>
    <w:rsid w:val="008C1C3E"/>
    <w:rsid w:val="008C1D39"/>
    <w:rsid w:val="008C1E45"/>
    <w:rsid w:val="008C1F87"/>
    <w:rsid w:val="008C22B9"/>
    <w:rsid w:val="008C2383"/>
    <w:rsid w:val="008C24E8"/>
    <w:rsid w:val="008C24F3"/>
    <w:rsid w:val="008C2514"/>
    <w:rsid w:val="008C2693"/>
    <w:rsid w:val="008C2A73"/>
    <w:rsid w:val="008C2B7B"/>
    <w:rsid w:val="008C2BB4"/>
    <w:rsid w:val="008C2E5A"/>
    <w:rsid w:val="008C31F0"/>
    <w:rsid w:val="008C3217"/>
    <w:rsid w:val="008C32AC"/>
    <w:rsid w:val="008C3503"/>
    <w:rsid w:val="008C358A"/>
    <w:rsid w:val="008C36B2"/>
    <w:rsid w:val="008C38A0"/>
    <w:rsid w:val="008C3A08"/>
    <w:rsid w:val="008C3C57"/>
    <w:rsid w:val="008C3D77"/>
    <w:rsid w:val="008C3D8D"/>
    <w:rsid w:val="008C3DED"/>
    <w:rsid w:val="008C3F28"/>
    <w:rsid w:val="008C433B"/>
    <w:rsid w:val="008C4490"/>
    <w:rsid w:val="008C46F7"/>
    <w:rsid w:val="008C494B"/>
    <w:rsid w:val="008C499C"/>
    <w:rsid w:val="008C4BE1"/>
    <w:rsid w:val="008C4CA9"/>
    <w:rsid w:val="008C4E07"/>
    <w:rsid w:val="008C4EBC"/>
    <w:rsid w:val="008C4EF3"/>
    <w:rsid w:val="008C53B2"/>
    <w:rsid w:val="008C543A"/>
    <w:rsid w:val="008C591B"/>
    <w:rsid w:val="008C5D68"/>
    <w:rsid w:val="008C5D75"/>
    <w:rsid w:val="008C5E82"/>
    <w:rsid w:val="008C5F63"/>
    <w:rsid w:val="008C60E8"/>
    <w:rsid w:val="008C65E2"/>
    <w:rsid w:val="008C667F"/>
    <w:rsid w:val="008C66FB"/>
    <w:rsid w:val="008C69D5"/>
    <w:rsid w:val="008C6A29"/>
    <w:rsid w:val="008C6A44"/>
    <w:rsid w:val="008C6AE4"/>
    <w:rsid w:val="008C6D17"/>
    <w:rsid w:val="008C6FF8"/>
    <w:rsid w:val="008C70E8"/>
    <w:rsid w:val="008C711B"/>
    <w:rsid w:val="008C72E9"/>
    <w:rsid w:val="008C7583"/>
    <w:rsid w:val="008C764D"/>
    <w:rsid w:val="008C78A5"/>
    <w:rsid w:val="008C7A72"/>
    <w:rsid w:val="008C7D3E"/>
    <w:rsid w:val="008C7FC9"/>
    <w:rsid w:val="008D0086"/>
    <w:rsid w:val="008D01A0"/>
    <w:rsid w:val="008D01DE"/>
    <w:rsid w:val="008D02D2"/>
    <w:rsid w:val="008D02E3"/>
    <w:rsid w:val="008D0363"/>
    <w:rsid w:val="008D0397"/>
    <w:rsid w:val="008D049F"/>
    <w:rsid w:val="008D0624"/>
    <w:rsid w:val="008D088F"/>
    <w:rsid w:val="008D0AED"/>
    <w:rsid w:val="008D0B22"/>
    <w:rsid w:val="008D1022"/>
    <w:rsid w:val="008D1213"/>
    <w:rsid w:val="008D1295"/>
    <w:rsid w:val="008D15A5"/>
    <w:rsid w:val="008D179F"/>
    <w:rsid w:val="008D1866"/>
    <w:rsid w:val="008D1997"/>
    <w:rsid w:val="008D19AB"/>
    <w:rsid w:val="008D1A7E"/>
    <w:rsid w:val="008D1C9D"/>
    <w:rsid w:val="008D2065"/>
    <w:rsid w:val="008D229A"/>
    <w:rsid w:val="008D2484"/>
    <w:rsid w:val="008D2618"/>
    <w:rsid w:val="008D264E"/>
    <w:rsid w:val="008D2725"/>
    <w:rsid w:val="008D285B"/>
    <w:rsid w:val="008D2AED"/>
    <w:rsid w:val="008D2C41"/>
    <w:rsid w:val="008D2CF8"/>
    <w:rsid w:val="008D2DC1"/>
    <w:rsid w:val="008D2E29"/>
    <w:rsid w:val="008D2ED1"/>
    <w:rsid w:val="008D3152"/>
    <w:rsid w:val="008D3189"/>
    <w:rsid w:val="008D3378"/>
    <w:rsid w:val="008D3588"/>
    <w:rsid w:val="008D365D"/>
    <w:rsid w:val="008D37A2"/>
    <w:rsid w:val="008D3A49"/>
    <w:rsid w:val="008D3B07"/>
    <w:rsid w:val="008D3CFE"/>
    <w:rsid w:val="008D3D91"/>
    <w:rsid w:val="008D3E28"/>
    <w:rsid w:val="008D3EBB"/>
    <w:rsid w:val="008D410D"/>
    <w:rsid w:val="008D425D"/>
    <w:rsid w:val="008D4CAA"/>
    <w:rsid w:val="008D4FC9"/>
    <w:rsid w:val="008D5147"/>
    <w:rsid w:val="008D5150"/>
    <w:rsid w:val="008D5306"/>
    <w:rsid w:val="008D53FD"/>
    <w:rsid w:val="008D5633"/>
    <w:rsid w:val="008D57F1"/>
    <w:rsid w:val="008D5A95"/>
    <w:rsid w:val="008D5B06"/>
    <w:rsid w:val="008D5CD5"/>
    <w:rsid w:val="008D5E88"/>
    <w:rsid w:val="008D618F"/>
    <w:rsid w:val="008D61F6"/>
    <w:rsid w:val="008D63A5"/>
    <w:rsid w:val="008D6413"/>
    <w:rsid w:val="008D64A7"/>
    <w:rsid w:val="008D64DC"/>
    <w:rsid w:val="008D6533"/>
    <w:rsid w:val="008D681D"/>
    <w:rsid w:val="008D68C2"/>
    <w:rsid w:val="008D690D"/>
    <w:rsid w:val="008D6A50"/>
    <w:rsid w:val="008D7099"/>
    <w:rsid w:val="008D7299"/>
    <w:rsid w:val="008D72F0"/>
    <w:rsid w:val="008D737B"/>
    <w:rsid w:val="008D770B"/>
    <w:rsid w:val="008D7759"/>
    <w:rsid w:val="008D7878"/>
    <w:rsid w:val="008D7891"/>
    <w:rsid w:val="008D795C"/>
    <w:rsid w:val="008D7A90"/>
    <w:rsid w:val="008D7B5C"/>
    <w:rsid w:val="008D7C99"/>
    <w:rsid w:val="008D7CA4"/>
    <w:rsid w:val="008D7DAB"/>
    <w:rsid w:val="008E0064"/>
    <w:rsid w:val="008E0096"/>
    <w:rsid w:val="008E0131"/>
    <w:rsid w:val="008E01D6"/>
    <w:rsid w:val="008E0224"/>
    <w:rsid w:val="008E0228"/>
    <w:rsid w:val="008E023D"/>
    <w:rsid w:val="008E024A"/>
    <w:rsid w:val="008E0303"/>
    <w:rsid w:val="008E07A8"/>
    <w:rsid w:val="008E07C1"/>
    <w:rsid w:val="008E0997"/>
    <w:rsid w:val="008E0B39"/>
    <w:rsid w:val="008E0BC4"/>
    <w:rsid w:val="008E0C13"/>
    <w:rsid w:val="008E0D0C"/>
    <w:rsid w:val="008E0E1C"/>
    <w:rsid w:val="008E0E77"/>
    <w:rsid w:val="008E108A"/>
    <w:rsid w:val="008E10A1"/>
    <w:rsid w:val="008E1271"/>
    <w:rsid w:val="008E1570"/>
    <w:rsid w:val="008E160F"/>
    <w:rsid w:val="008E18AA"/>
    <w:rsid w:val="008E1C52"/>
    <w:rsid w:val="008E20E4"/>
    <w:rsid w:val="008E2184"/>
    <w:rsid w:val="008E21EE"/>
    <w:rsid w:val="008E237F"/>
    <w:rsid w:val="008E24CF"/>
    <w:rsid w:val="008E2602"/>
    <w:rsid w:val="008E2806"/>
    <w:rsid w:val="008E288C"/>
    <w:rsid w:val="008E29E6"/>
    <w:rsid w:val="008E2BB1"/>
    <w:rsid w:val="008E2C48"/>
    <w:rsid w:val="008E2C76"/>
    <w:rsid w:val="008E2D04"/>
    <w:rsid w:val="008E2D26"/>
    <w:rsid w:val="008E2D48"/>
    <w:rsid w:val="008E2D6A"/>
    <w:rsid w:val="008E2E1A"/>
    <w:rsid w:val="008E2EF5"/>
    <w:rsid w:val="008E314A"/>
    <w:rsid w:val="008E31EF"/>
    <w:rsid w:val="008E328E"/>
    <w:rsid w:val="008E3682"/>
    <w:rsid w:val="008E3767"/>
    <w:rsid w:val="008E3AE6"/>
    <w:rsid w:val="008E3C4C"/>
    <w:rsid w:val="008E3CC8"/>
    <w:rsid w:val="008E3D73"/>
    <w:rsid w:val="008E3F52"/>
    <w:rsid w:val="008E3FFB"/>
    <w:rsid w:val="008E463F"/>
    <w:rsid w:val="008E494B"/>
    <w:rsid w:val="008E4AED"/>
    <w:rsid w:val="008E4C4D"/>
    <w:rsid w:val="008E4D77"/>
    <w:rsid w:val="008E5385"/>
    <w:rsid w:val="008E54A6"/>
    <w:rsid w:val="008E596F"/>
    <w:rsid w:val="008E59F0"/>
    <w:rsid w:val="008E5A67"/>
    <w:rsid w:val="008E5AC9"/>
    <w:rsid w:val="008E5BE6"/>
    <w:rsid w:val="008E5DA5"/>
    <w:rsid w:val="008E5DC1"/>
    <w:rsid w:val="008E6008"/>
    <w:rsid w:val="008E601E"/>
    <w:rsid w:val="008E620B"/>
    <w:rsid w:val="008E626F"/>
    <w:rsid w:val="008E6445"/>
    <w:rsid w:val="008E6523"/>
    <w:rsid w:val="008E65C9"/>
    <w:rsid w:val="008E666B"/>
    <w:rsid w:val="008E66BA"/>
    <w:rsid w:val="008E68D6"/>
    <w:rsid w:val="008E68FF"/>
    <w:rsid w:val="008E6B0F"/>
    <w:rsid w:val="008E6C9E"/>
    <w:rsid w:val="008E6D58"/>
    <w:rsid w:val="008E6DAE"/>
    <w:rsid w:val="008E6E3D"/>
    <w:rsid w:val="008E6F3B"/>
    <w:rsid w:val="008E6F42"/>
    <w:rsid w:val="008E6F93"/>
    <w:rsid w:val="008E6FC1"/>
    <w:rsid w:val="008E706D"/>
    <w:rsid w:val="008E70E4"/>
    <w:rsid w:val="008E7128"/>
    <w:rsid w:val="008E7144"/>
    <w:rsid w:val="008E7292"/>
    <w:rsid w:val="008E73C2"/>
    <w:rsid w:val="008E74AD"/>
    <w:rsid w:val="008E74C9"/>
    <w:rsid w:val="008E76B3"/>
    <w:rsid w:val="008E7826"/>
    <w:rsid w:val="008E7865"/>
    <w:rsid w:val="008E792A"/>
    <w:rsid w:val="008E7A8E"/>
    <w:rsid w:val="008E7B35"/>
    <w:rsid w:val="008E7E21"/>
    <w:rsid w:val="008E7F72"/>
    <w:rsid w:val="008E7F88"/>
    <w:rsid w:val="008F026D"/>
    <w:rsid w:val="008F08FD"/>
    <w:rsid w:val="008F094E"/>
    <w:rsid w:val="008F09BB"/>
    <w:rsid w:val="008F0A9D"/>
    <w:rsid w:val="008F0CC2"/>
    <w:rsid w:val="008F0CCE"/>
    <w:rsid w:val="008F0D48"/>
    <w:rsid w:val="008F0E9E"/>
    <w:rsid w:val="008F10B0"/>
    <w:rsid w:val="008F1310"/>
    <w:rsid w:val="008F145C"/>
    <w:rsid w:val="008F1502"/>
    <w:rsid w:val="008F1950"/>
    <w:rsid w:val="008F1968"/>
    <w:rsid w:val="008F19ED"/>
    <w:rsid w:val="008F1A68"/>
    <w:rsid w:val="008F1D06"/>
    <w:rsid w:val="008F1E33"/>
    <w:rsid w:val="008F1E50"/>
    <w:rsid w:val="008F1EDE"/>
    <w:rsid w:val="008F1F1F"/>
    <w:rsid w:val="008F1FD2"/>
    <w:rsid w:val="008F2336"/>
    <w:rsid w:val="008F2530"/>
    <w:rsid w:val="008F26B0"/>
    <w:rsid w:val="008F26D0"/>
    <w:rsid w:val="008F270B"/>
    <w:rsid w:val="008F27E9"/>
    <w:rsid w:val="008F288A"/>
    <w:rsid w:val="008F2A65"/>
    <w:rsid w:val="008F2A93"/>
    <w:rsid w:val="008F2B65"/>
    <w:rsid w:val="008F2E49"/>
    <w:rsid w:val="008F2F86"/>
    <w:rsid w:val="008F32C6"/>
    <w:rsid w:val="008F355A"/>
    <w:rsid w:val="008F367E"/>
    <w:rsid w:val="008F36A8"/>
    <w:rsid w:val="008F3980"/>
    <w:rsid w:val="008F3A22"/>
    <w:rsid w:val="008F3BE5"/>
    <w:rsid w:val="008F3C9E"/>
    <w:rsid w:val="008F4366"/>
    <w:rsid w:val="008F4497"/>
    <w:rsid w:val="008F479E"/>
    <w:rsid w:val="008F4B23"/>
    <w:rsid w:val="008F4B9D"/>
    <w:rsid w:val="008F4E0B"/>
    <w:rsid w:val="008F4E24"/>
    <w:rsid w:val="008F5061"/>
    <w:rsid w:val="008F5132"/>
    <w:rsid w:val="008F52B4"/>
    <w:rsid w:val="008F5746"/>
    <w:rsid w:val="008F57CC"/>
    <w:rsid w:val="008F599A"/>
    <w:rsid w:val="008F5BAB"/>
    <w:rsid w:val="008F5D84"/>
    <w:rsid w:val="008F5DB9"/>
    <w:rsid w:val="008F61CD"/>
    <w:rsid w:val="008F62A8"/>
    <w:rsid w:val="008F62FC"/>
    <w:rsid w:val="008F6661"/>
    <w:rsid w:val="008F67E5"/>
    <w:rsid w:val="008F6889"/>
    <w:rsid w:val="008F6DF8"/>
    <w:rsid w:val="008F6F10"/>
    <w:rsid w:val="008F6F6A"/>
    <w:rsid w:val="008F6FF8"/>
    <w:rsid w:val="008F7017"/>
    <w:rsid w:val="008F7080"/>
    <w:rsid w:val="008F70B0"/>
    <w:rsid w:val="008F712D"/>
    <w:rsid w:val="008F7139"/>
    <w:rsid w:val="008F7208"/>
    <w:rsid w:val="008F73DD"/>
    <w:rsid w:val="008F747F"/>
    <w:rsid w:val="008F7818"/>
    <w:rsid w:val="008F7842"/>
    <w:rsid w:val="008F7BAF"/>
    <w:rsid w:val="008F7C48"/>
    <w:rsid w:val="008F7C8B"/>
    <w:rsid w:val="008F7D32"/>
    <w:rsid w:val="0090008D"/>
    <w:rsid w:val="009003A8"/>
    <w:rsid w:val="00900477"/>
    <w:rsid w:val="009009A2"/>
    <w:rsid w:val="00900A77"/>
    <w:rsid w:val="00900AB6"/>
    <w:rsid w:val="00900EAA"/>
    <w:rsid w:val="00900FB3"/>
    <w:rsid w:val="0090138B"/>
    <w:rsid w:val="00901649"/>
    <w:rsid w:val="009016E1"/>
    <w:rsid w:val="00901902"/>
    <w:rsid w:val="009019C7"/>
    <w:rsid w:val="00901A7E"/>
    <w:rsid w:val="00901B00"/>
    <w:rsid w:val="00901C88"/>
    <w:rsid w:val="00901D15"/>
    <w:rsid w:val="00901D2A"/>
    <w:rsid w:val="00901F98"/>
    <w:rsid w:val="009020B3"/>
    <w:rsid w:val="00902148"/>
    <w:rsid w:val="009024D8"/>
    <w:rsid w:val="00902703"/>
    <w:rsid w:val="009028BA"/>
    <w:rsid w:val="0090295D"/>
    <w:rsid w:val="00902986"/>
    <w:rsid w:val="00902A89"/>
    <w:rsid w:val="00902B01"/>
    <w:rsid w:val="00902C9F"/>
    <w:rsid w:val="00902E9A"/>
    <w:rsid w:val="00902F36"/>
    <w:rsid w:val="009031F5"/>
    <w:rsid w:val="009032CC"/>
    <w:rsid w:val="009033E9"/>
    <w:rsid w:val="009033EF"/>
    <w:rsid w:val="0090343C"/>
    <w:rsid w:val="00903624"/>
    <w:rsid w:val="00903713"/>
    <w:rsid w:val="0090394B"/>
    <w:rsid w:val="00903A89"/>
    <w:rsid w:val="00903B9D"/>
    <w:rsid w:val="00903BAA"/>
    <w:rsid w:val="00903D03"/>
    <w:rsid w:val="00903DAF"/>
    <w:rsid w:val="009041AD"/>
    <w:rsid w:val="009041B8"/>
    <w:rsid w:val="009042AB"/>
    <w:rsid w:val="0090440A"/>
    <w:rsid w:val="009044EC"/>
    <w:rsid w:val="00904649"/>
    <w:rsid w:val="009046F3"/>
    <w:rsid w:val="00904892"/>
    <w:rsid w:val="009049D9"/>
    <w:rsid w:val="00904C15"/>
    <w:rsid w:val="00904D78"/>
    <w:rsid w:val="00904E42"/>
    <w:rsid w:val="00904F89"/>
    <w:rsid w:val="009051F7"/>
    <w:rsid w:val="00905298"/>
    <w:rsid w:val="0090543C"/>
    <w:rsid w:val="00905798"/>
    <w:rsid w:val="00905867"/>
    <w:rsid w:val="009058CD"/>
    <w:rsid w:val="00905AAC"/>
    <w:rsid w:val="00905AD9"/>
    <w:rsid w:val="00905CA9"/>
    <w:rsid w:val="00905DB6"/>
    <w:rsid w:val="00905E67"/>
    <w:rsid w:val="00905FB6"/>
    <w:rsid w:val="00906107"/>
    <w:rsid w:val="009061BE"/>
    <w:rsid w:val="009064E5"/>
    <w:rsid w:val="00906685"/>
    <w:rsid w:val="00906A14"/>
    <w:rsid w:val="00906C0A"/>
    <w:rsid w:val="00906C9B"/>
    <w:rsid w:val="00906DE2"/>
    <w:rsid w:val="009071A4"/>
    <w:rsid w:val="0090723E"/>
    <w:rsid w:val="009072F9"/>
    <w:rsid w:val="009074BF"/>
    <w:rsid w:val="00907676"/>
    <w:rsid w:val="00907769"/>
    <w:rsid w:val="00907A33"/>
    <w:rsid w:val="00907ACC"/>
    <w:rsid w:val="00907AE1"/>
    <w:rsid w:val="00907DC2"/>
    <w:rsid w:val="009102EC"/>
    <w:rsid w:val="00910391"/>
    <w:rsid w:val="009103D4"/>
    <w:rsid w:val="009104E9"/>
    <w:rsid w:val="009108F2"/>
    <w:rsid w:val="00910924"/>
    <w:rsid w:val="00910A8D"/>
    <w:rsid w:val="00910C5A"/>
    <w:rsid w:val="00910DF1"/>
    <w:rsid w:val="00910FAE"/>
    <w:rsid w:val="00910FDD"/>
    <w:rsid w:val="00910FF6"/>
    <w:rsid w:val="00911018"/>
    <w:rsid w:val="00911054"/>
    <w:rsid w:val="0091111B"/>
    <w:rsid w:val="00911205"/>
    <w:rsid w:val="0091131C"/>
    <w:rsid w:val="009113CB"/>
    <w:rsid w:val="009114B0"/>
    <w:rsid w:val="009114BF"/>
    <w:rsid w:val="00911644"/>
    <w:rsid w:val="00911753"/>
    <w:rsid w:val="009117C1"/>
    <w:rsid w:val="0091181A"/>
    <w:rsid w:val="00911A9E"/>
    <w:rsid w:val="00911B7D"/>
    <w:rsid w:val="00911D27"/>
    <w:rsid w:val="00911D93"/>
    <w:rsid w:val="00912006"/>
    <w:rsid w:val="00912218"/>
    <w:rsid w:val="00912383"/>
    <w:rsid w:val="0091280A"/>
    <w:rsid w:val="009128F5"/>
    <w:rsid w:val="009129C6"/>
    <w:rsid w:val="00912BC0"/>
    <w:rsid w:val="00912C4C"/>
    <w:rsid w:val="00912E10"/>
    <w:rsid w:val="00912E33"/>
    <w:rsid w:val="00912FE8"/>
    <w:rsid w:val="009130BC"/>
    <w:rsid w:val="009131DC"/>
    <w:rsid w:val="00913205"/>
    <w:rsid w:val="0091350B"/>
    <w:rsid w:val="00913547"/>
    <w:rsid w:val="00913656"/>
    <w:rsid w:val="00913758"/>
    <w:rsid w:val="00913813"/>
    <w:rsid w:val="009138F7"/>
    <w:rsid w:val="009139A0"/>
    <w:rsid w:val="00913A57"/>
    <w:rsid w:val="00913BBA"/>
    <w:rsid w:val="00913C54"/>
    <w:rsid w:val="00913C83"/>
    <w:rsid w:val="00913D84"/>
    <w:rsid w:val="00913DA1"/>
    <w:rsid w:val="00913F24"/>
    <w:rsid w:val="0091406B"/>
    <w:rsid w:val="009144B9"/>
    <w:rsid w:val="00914538"/>
    <w:rsid w:val="009145F1"/>
    <w:rsid w:val="00914647"/>
    <w:rsid w:val="009146B9"/>
    <w:rsid w:val="009146FE"/>
    <w:rsid w:val="00914821"/>
    <w:rsid w:val="00914B10"/>
    <w:rsid w:val="00914C87"/>
    <w:rsid w:val="00914F4B"/>
    <w:rsid w:val="009150AE"/>
    <w:rsid w:val="00915286"/>
    <w:rsid w:val="0091528C"/>
    <w:rsid w:val="00915361"/>
    <w:rsid w:val="009154B9"/>
    <w:rsid w:val="009155D2"/>
    <w:rsid w:val="009156E0"/>
    <w:rsid w:val="0091579E"/>
    <w:rsid w:val="00915A4C"/>
    <w:rsid w:val="00915C59"/>
    <w:rsid w:val="00915E25"/>
    <w:rsid w:val="00915E9C"/>
    <w:rsid w:val="00915EED"/>
    <w:rsid w:val="00916048"/>
    <w:rsid w:val="00916226"/>
    <w:rsid w:val="00916277"/>
    <w:rsid w:val="009165BA"/>
    <w:rsid w:val="009166E0"/>
    <w:rsid w:val="00916721"/>
    <w:rsid w:val="0091697A"/>
    <w:rsid w:val="00916A60"/>
    <w:rsid w:val="00916DA6"/>
    <w:rsid w:val="00916E3C"/>
    <w:rsid w:val="00916FA9"/>
    <w:rsid w:val="009171B2"/>
    <w:rsid w:val="009171B3"/>
    <w:rsid w:val="0091725F"/>
    <w:rsid w:val="009172E6"/>
    <w:rsid w:val="00917671"/>
    <w:rsid w:val="009176DB"/>
    <w:rsid w:val="009178A0"/>
    <w:rsid w:val="00917C13"/>
    <w:rsid w:val="009202BB"/>
    <w:rsid w:val="00920407"/>
    <w:rsid w:val="009205AB"/>
    <w:rsid w:val="00920B36"/>
    <w:rsid w:val="00920BB4"/>
    <w:rsid w:val="00920D65"/>
    <w:rsid w:val="00920D9F"/>
    <w:rsid w:val="00920E9E"/>
    <w:rsid w:val="00920FE4"/>
    <w:rsid w:val="00920FE7"/>
    <w:rsid w:val="00921536"/>
    <w:rsid w:val="00921582"/>
    <w:rsid w:val="00921797"/>
    <w:rsid w:val="0092179A"/>
    <w:rsid w:val="00921819"/>
    <w:rsid w:val="009218A1"/>
    <w:rsid w:val="009218C1"/>
    <w:rsid w:val="0092195F"/>
    <w:rsid w:val="0092197D"/>
    <w:rsid w:val="00921A7D"/>
    <w:rsid w:val="00921D99"/>
    <w:rsid w:val="00921DDE"/>
    <w:rsid w:val="00921FEE"/>
    <w:rsid w:val="0092203D"/>
    <w:rsid w:val="00922096"/>
    <w:rsid w:val="0092215C"/>
    <w:rsid w:val="0092238D"/>
    <w:rsid w:val="0092241E"/>
    <w:rsid w:val="00922492"/>
    <w:rsid w:val="0092264F"/>
    <w:rsid w:val="009227F7"/>
    <w:rsid w:val="009228E7"/>
    <w:rsid w:val="009229AD"/>
    <w:rsid w:val="00922B1E"/>
    <w:rsid w:val="00922B37"/>
    <w:rsid w:val="00922B45"/>
    <w:rsid w:val="00922E28"/>
    <w:rsid w:val="00922F64"/>
    <w:rsid w:val="009230F3"/>
    <w:rsid w:val="009232DB"/>
    <w:rsid w:val="00923353"/>
    <w:rsid w:val="0092346E"/>
    <w:rsid w:val="009234FC"/>
    <w:rsid w:val="00923545"/>
    <w:rsid w:val="00923655"/>
    <w:rsid w:val="00923877"/>
    <w:rsid w:val="00923DF4"/>
    <w:rsid w:val="00923E13"/>
    <w:rsid w:val="00923E52"/>
    <w:rsid w:val="00923EA7"/>
    <w:rsid w:val="00923F88"/>
    <w:rsid w:val="00924039"/>
    <w:rsid w:val="00924068"/>
    <w:rsid w:val="00924502"/>
    <w:rsid w:val="009246FC"/>
    <w:rsid w:val="00924AFB"/>
    <w:rsid w:val="00924B08"/>
    <w:rsid w:val="009250C3"/>
    <w:rsid w:val="00925191"/>
    <w:rsid w:val="00925328"/>
    <w:rsid w:val="00925481"/>
    <w:rsid w:val="0092584B"/>
    <w:rsid w:val="0092589F"/>
    <w:rsid w:val="009259AE"/>
    <w:rsid w:val="00925DF0"/>
    <w:rsid w:val="00925E68"/>
    <w:rsid w:val="00925EE0"/>
    <w:rsid w:val="00925EF5"/>
    <w:rsid w:val="00925F1D"/>
    <w:rsid w:val="00925FE1"/>
    <w:rsid w:val="00926983"/>
    <w:rsid w:val="00926D59"/>
    <w:rsid w:val="00927066"/>
    <w:rsid w:val="009271BA"/>
    <w:rsid w:val="0092720C"/>
    <w:rsid w:val="0092746D"/>
    <w:rsid w:val="00927544"/>
    <w:rsid w:val="00927808"/>
    <w:rsid w:val="00927816"/>
    <w:rsid w:val="00927DD7"/>
    <w:rsid w:val="00927E39"/>
    <w:rsid w:val="00927ED5"/>
    <w:rsid w:val="00927FF1"/>
    <w:rsid w:val="0093000E"/>
    <w:rsid w:val="0093007B"/>
    <w:rsid w:val="00930124"/>
    <w:rsid w:val="00930171"/>
    <w:rsid w:val="00930325"/>
    <w:rsid w:val="009304C2"/>
    <w:rsid w:val="0093068B"/>
    <w:rsid w:val="0093069A"/>
    <w:rsid w:val="00930825"/>
    <w:rsid w:val="009309FC"/>
    <w:rsid w:val="00930C01"/>
    <w:rsid w:val="00930C64"/>
    <w:rsid w:val="00930CF7"/>
    <w:rsid w:val="00930D4D"/>
    <w:rsid w:val="00930EEE"/>
    <w:rsid w:val="00931005"/>
    <w:rsid w:val="00931232"/>
    <w:rsid w:val="00931295"/>
    <w:rsid w:val="0093132E"/>
    <w:rsid w:val="0093163B"/>
    <w:rsid w:val="00931812"/>
    <w:rsid w:val="009318B8"/>
    <w:rsid w:val="00931940"/>
    <w:rsid w:val="00931953"/>
    <w:rsid w:val="009319BF"/>
    <w:rsid w:val="00931D8D"/>
    <w:rsid w:val="00931E3A"/>
    <w:rsid w:val="00931EAD"/>
    <w:rsid w:val="00931EDF"/>
    <w:rsid w:val="00931FFF"/>
    <w:rsid w:val="00932025"/>
    <w:rsid w:val="009320FF"/>
    <w:rsid w:val="0093226D"/>
    <w:rsid w:val="009322AF"/>
    <w:rsid w:val="00932579"/>
    <w:rsid w:val="00932639"/>
    <w:rsid w:val="00932829"/>
    <w:rsid w:val="00932B88"/>
    <w:rsid w:val="00932E84"/>
    <w:rsid w:val="00933127"/>
    <w:rsid w:val="009331C5"/>
    <w:rsid w:val="00933502"/>
    <w:rsid w:val="0093372F"/>
    <w:rsid w:val="00933B8F"/>
    <w:rsid w:val="00933C81"/>
    <w:rsid w:val="00933D54"/>
    <w:rsid w:val="00933F56"/>
    <w:rsid w:val="00933FC6"/>
    <w:rsid w:val="00934188"/>
    <w:rsid w:val="00934293"/>
    <w:rsid w:val="0093437A"/>
    <w:rsid w:val="0093439B"/>
    <w:rsid w:val="009343D2"/>
    <w:rsid w:val="009348AD"/>
    <w:rsid w:val="00934C4D"/>
    <w:rsid w:val="00934EF3"/>
    <w:rsid w:val="009351C7"/>
    <w:rsid w:val="009351D0"/>
    <w:rsid w:val="009352AF"/>
    <w:rsid w:val="009352CA"/>
    <w:rsid w:val="0093531F"/>
    <w:rsid w:val="009354A9"/>
    <w:rsid w:val="0093562E"/>
    <w:rsid w:val="009356E1"/>
    <w:rsid w:val="00935820"/>
    <w:rsid w:val="00935835"/>
    <w:rsid w:val="0093591F"/>
    <w:rsid w:val="00935938"/>
    <w:rsid w:val="00935C51"/>
    <w:rsid w:val="00935D37"/>
    <w:rsid w:val="00935E12"/>
    <w:rsid w:val="00935ECE"/>
    <w:rsid w:val="00936063"/>
    <w:rsid w:val="00936358"/>
    <w:rsid w:val="00936430"/>
    <w:rsid w:val="009364D7"/>
    <w:rsid w:val="00936815"/>
    <w:rsid w:val="00936B75"/>
    <w:rsid w:val="00936CFA"/>
    <w:rsid w:val="00936DAB"/>
    <w:rsid w:val="00936F66"/>
    <w:rsid w:val="0093723B"/>
    <w:rsid w:val="009373DD"/>
    <w:rsid w:val="00937437"/>
    <w:rsid w:val="0093753E"/>
    <w:rsid w:val="0093782B"/>
    <w:rsid w:val="009378F8"/>
    <w:rsid w:val="00937960"/>
    <w:rsid w:val="00937A85"/>
    <w:rsid w:val="00937C51"/>
    <w:rsid w:val="00937D3F"/>
    <w:rsid w:val="00940234"/>
    <w:rsid w:val="0094063F"/>
    <w:rsid w:val="009406B0"/>
    <w:rsid w:val="0094087F"/>
    <w:rsid w:val="009409E2"/>
    <w:rsid w:val="00940AE9"/>
    <w:rsid w:val="00940B2F"/>
    <w:rsid w:val="00940C10"/>
    <w:rsid w:val="00940CCD"/>
    <w:rsid w:val="00940E42"/>
    <w:rsid w:val="00940EB3"/>
    <w:rsid w:val="00941002"/>
    <w:rsid w:val="00941007"/>
    <w:rsid w:val="00941148"/>
    <w:rsid w:val="00941365"/>
    <w:rsid w:val="00941472"/>
    <w:rsid w:val="0094175F"/>
    <w:rsid w:val="009417EB"/>
    <w:rsid w:val="0094184C"/>
    <w:rsid w:val="009419FF"/>
    <w:rsid w:val="00941A25"/>
    <w:rsid w:val="00941AA8"/>
    <w:rsid w:val="00941B0A"/>
    <w:rsid w:val="00941C0F"/>
    <w:rsid w:val="00941C84"/>
    <w:rsid w:val="00941DD1"/>
    <w:rsid w:val="00941E32"/>
    <w:rsid w:val="00941EBD"/>
    <w:rsid w:val="009425CA"/>
    <w:rsid w:val="0094277D"/>
    <w:rsid w:val="00942B0B"/>
    <w:rsid w:val="00942BE4"/>
    <w:rsid w:val="00942C5D"/>
    <w:rsid w:val="00942D55"/>
    <w:rsid w:val="0094344E"/>
    <w:rsid w:val="009434CD"/>
    <w:rsid w:val="00943585"/>
    <w:rsid w:val="00943630"/>
    <w:rsid w:val="009436AD"/>
    <w:rsid w:val="009436CB"/>
    <w:rsid w:val="009436CD"/>
    <w:rsid w:val="009436D9"/>
    <w:rsid w:val="009436FE"/>
    <w:rsid w:val="00943A5C"/>
    <w:rsid w:val="00943E64"/>
    <w:rsid w:val="00943ECF"/>
    <w:rsid w:val="00943EDB"/>
    <w:rsid w:val="00943F94"/>
    <w:rsid w:val="00944314"/>
    <w:rsid w:val="009444ED"/>
    <w:rsid w:val="00944602"/>
    <w:rsid w:val="00944764"/>
    <w:rsid w:val="009447B6"/>
    <w:rsid w:val="00944BAE"/>
    <w:rsid w:val="00944BE6"/>
    <w:rsid w:val="00944BF2"/>
    <w:rsid w:val="00944F4C"/>
    <w:rsid w:val="00944F6C"/>
    <w:rsid w:val="00944FD6"/>
    <w:rsid w:val="00945009"/>
    <w:rsid w:val="009452BE"/>
    <w:rsid w:val="0094532E"/>
    <w:rsid w:val="009454E1"/>
    <w:rsid w:val="00945510"/>
    <w:rsid w:val="00945AED"/>
    <w:rsid w:val="00945BBC"/>
    <w:rsid w:val="00945D0C"/>
    <w:rsid w:val="00945D0E"/>
    <w:rsid w:val="00945D15"/>
    <w:rsid w:val="00945D85"/>
    <w:rsid w:val="00945DD9"/>
    <w:rsid w:val="00945F9A"/>
    <w:rsid w:val="009460A3"/>
    <w:rsid w:val="00946146"/>
    <w:rsid w:val="00946222"/>
    <w:rsid w:val="009462C1"/>
    <w:rsid w:val="0094632F"/>
    <w:rsid w:val="00946331"/>
    <w:rsid w:val="009463F3"/>
    <w:rsid w:val="0094643E"/>
    <w:rsid w:val="0094677B"/>
    <w:rsid w:val="00946794"/>
    <w:rsid w:val="00946826"/>
    <w:rsid w:val="009468D9"/>
    <w:rsid w:val="009468EA"/>
    <w:rsid w:val="00946B05"/>
    <w:rsid w:val="00946C3B"/>
    <w:rsid w:val="00946E3B"/>
    <w:rsid w:val="00946F76"/>
    <w:rsid w:val="00947036"/>
    <w:rsid w:val="009474B9"/>
    <w:rsid w:val="00947536"/>
    <w:rsid w:val="009476B7"/>
    <w:rsid w:val="009478BA"/>
    <w:rsid w:val="00947970"/>
    <w:rsid w:val="00947987"/>
    <w:rsid w:val="00947AA1"/>
    <w:rsid w:val="00947AB9"/>
    <w:rsid w:val="00947AF3"/>
    <w:rsid w:val="00947B4D"/>
    <w:rsid w:val="00947EC7"/>
    <w:rsid w:val="00947EEB"/>
    <w:rsid w:val="00950006"/>
    <w:rsid w:val="0095011F"/>
    <w:rsid w:val="0095015C"/>
    <w:rsid w:val="009503B9"/>
    <w:rsid w:val="00950446"/>
    <w:rsid w:val="00950665"/>
    <w:rsid w:val="00950789"/>
    <w:rsid w:val="00950944"/>
    <w:rsid w:val="00950D0C"/>
    <w:rsid w:val="00951027"/>
    <w:rsid w:val="00951048"/>
    <w:rsid w:val="00951134"/>
    <w:rsid w:val="0095117E"/>
    <w:rsid w:val="00951193"/>
    <w:rsid w:val="009511CF"/>
    <w:rsid w:val="009512D9"/>
    <w:rsid w:val="00951360"/>
    <w:rsid w:val="0095151D"/>
    <w:rsid w:val="009516AA"/>
    <w:rsid w:val="009518F3"/>
    <w:rsid w:val="00951A89"/>
    <w:rsid w:val="00951E71"/>
    <w:rsid w:val="00951FA5"/>
    <w:rsid w:val="00951FAF"/>
    <w:rsid w:val="00952022"/>
    <w:rsid w:val="00952708"/>
    <w:rsid w:val="0095285E"/>
    <w:rsid w:val="009528B5"/>
    <w:rsid w:val="009529DB"/>
    <w:rsid w:val="00952C6D"/>
    <w:rsid w:val="00952CCA"/>
    <w:rsid w:val="00952E55"/>
    <w:rsid w:val="00952EEA"/>
    <w:rsid w:val="00952F0E"/>
    <w:rsid w:val="0095307B"/>
    <w:rsid w:val="009531A0"/>
    <w:rsid w:val="00953304"/>
    <w:rsid w:val="009533D6"/>
    <w:rsid w:val="0095349B"/>
    <w:rsid w:val="009537EC"/>
    <w:rsid w:val="00953892"/>
    <w:rsid w:val="00953AA1"/>
    <w:rsid w:val="00953B39"/>
    <w:rsid w:val="00953D8B"/>
    <w:rsid w:val="009541ED"/>
    <w:rsid w:val="00954378"/>
    <w:rsid w:val="009546C3"/>
    <w:rsid w:val="0095490A"/>
    <w:rsid w:val="0095493E"/>
    <w:rsid w:val="00954C4A"/>
    <w:rsid w:val="00954CE1"/>
    <w:rsid w:val="00954D7F"/>
    <w:rsid w:val="00954F14"/>
    <w:rsid w:val="009551B6"/>
    <w:rsid w:val="00955216"/>
    <w:rsid w:val="00955279"/>
    <w:rsid w:val="009552A7"/>
    <w:rsid w:val="00955511"/>
    <w:rsid w:val="0095553E"/>
    <w:rsid w:val="009557B4"/>
    <w:rsid w:val="00955914"/>
    <w:rsid w:val="00955B51"/>
    <w:rsid w:val="00955BCE"/>
    <w:rsid w:val="00955CC9"/>
    <w:rsid w:val="00955F23"/>
    <w:rsid w:val="00956218"/>
    <w:rsid w:val="00956387"/>
    <w:rsid w:val="009563EE"/>
    <w:rsid w:val="00956645"/>
    <w:rsid w:val="009566BE"/>
    <w:rsid w:val="00956A80"/>
    <w:rsid w:val="00956C2D"/>
    <w:rsid w:val="00956DB5"/>
    <w:rsid w:val="00956E31"/>
    <w:rsid w:val="00956EBA"/>
    <w:rsid w:val="009570D1"/>
    <w:rsid w:val="009570FB"/>
    <w:rsid w:val="0095713F"/>
    <w:rsid w:val="009572AE"/>
    <w:rsid w:val="009576CA"/>
    <w:rsid w:val="00957763"/>
    <w:rsid w:val="009577EC"/>
    <w:rsid w:val="00957A89"/>
    <w:rsid w:val="00957AE1"/>
    <w:rsid w:val="00957EDF"/>
    <w:rsid w:val="00957EED"/>
    <w:rsid w:val="00960096"/>
    <w:rsid w:val="0096023A"/>
    <w:rsid w:val="009603A8"/>
    <w:rsid w:val="00961239"/>
    <w:rsid w:val="009613D3"/>
    <w:rsid w:val="0096151F"/>
    <w:rsid w:val="009615E2"/>
    <w:rsid w:val="00961601"/>
    <w:rsid w:val="00961904"/>
    <w:rsid w:val="00962405"/>
    <w:rsid w:val="00962586"/>
    <w:rsid w:val="0096267D"/>
    <w:rsid w:val="0096277D"/>
    <w:rsid w:val="00962797"/>
    <w:rsid w:val="0096294D"/>
    <w:rsid w:val="00962F3C"/>
    <w:rsid w:val="009631A8"/>
    <w:rsid w:val="009634B6"/>
    <w:rsid w:val="0096360A"/>
    <w:rsid w:val="00963B94"/>
    <w:rsid w:val="0096428F"/>
    <w:rsid w:val="00964515"/>
    <w:rsid w:val="009647E8"/>
    <w:rsid w:val="009648CE"/>
    <w:rsid w:val="00964DAA"/>
    <w:rsid w:val="00964DC2"/>
    <w:rsid w:val="00965005"/>
    <w:rsid w:val="009652E0"/>
    <w:rsid w:val="00965434"/>
    <w:rsid w:val="00965558"/>
    <w:rsid w:val="009655C4"/>
    <w:rsid w:val="00965864"/>
    <w:rsid w:val="00965AFE"/>
    <w:rsid w:val="00965CDB"/>
    <w:rsid w:val="00965F0C"/>
    <w:rsid w:val="00966184"/>
    <w:rsid w:val="00966226"/>
    <w:rsid w:val="00966359"/>
    <w:rsid w:val="009664C2"/>
    <w:rsid w:val="009664F5"/>
    <w:rsid w:val="0096678B"/>
    <w:rsid w:val="009668B8"/>
    <w:rsid w:val="00966C89"/>
    <w:rsid w:val="00966D4D"/>
    <w:rsid w:val="00966E1A"/>
    <w:rsid w:val="00966EA9"/>
    <w:rsid w:val="00966F5E"/>
    <w:rsid w:val="00966FE5"/>
    <w:rsid w:val="0096704C"/>
    <w:rsid w:val="009670D3"/>
    <w:rsid w:val="009673DE"/>
    <w:rsid w:val="009675BE"/>
    <w:rsid w:val="009675F8"/>
    <w:rsid w:val="0096761D"/>
    <w:rsid w:val="0096776C"/>
    <w:rsid w:val="009678F2"/>
    <w:rsid w:val="00967C9E"/>
    <w:rsid w:val="00967DDF"/>
    <w:rsid w:val="00967E24"/>
    <w:rsid w:val="00967E8E"/>
    <w:rsid w:val="00970340"/>
    <w:rsid w:val="0097045E"/>
    <w:rsid w:val="00970561"/>
    <w:rsid w:val="0097074E"/>
    <w:rsid w:val="00970796"/>
    <w:rsid w:val="00970B71"/>
    <w:rsid w:val="00970BD5"/>
    <w:rsid w:val="00970BF5"/>
    <w:rsid w:val="00970D8B"/>
    <w:rsid w:val="00970E36"/>
    <w:rsid w:val="00970F0E"/>
    <w:rsid w:val="00970F37"/>
    <w:rsid w:val="009712C0"/>
    <w:rsid w:val="00971345"/>
    <w:rsid w:val="0097166A"/>
    <w:rsid w:val="009717A2"/>
    <w:rsid w:val="0097190F"/>
    <w:rsid w:val="00971992"/>
    <w:rsid w:val="00971A36"/>
    <w:rsid w:val="00971C13"/>
    <w:rsid w:val="00971D6D"/>
    <w:rsid w:val="00971D8F"/>
    <w:rsid w:val="00971EC6"/>
    <w:rsid w:val="00971FAB"/>
    <w:rsid w:val="009720C9"/>
    <w:rsid w:val="00972126"/>
    <w:rsid w:val="009721CC"/>
    <w:rsid w:val="009721D7"/>
    <w:rsid w:val="00972212"/>
    <w:rsid w:val="0097230D"/>
    <w:rsid w:val="00972444"/>
    <w:rsid w:val="00972458"/>
    <w:rsid w:val="00972499"/>
    <w:rsid w:val="00972643"/>
    <w:rsid w:val="0097283B"/>
    <w:rsid w:val="00972989"/>
    <w:rsid w:val="00972992"/>
    <w:rsid w:val="00972A3A"/>
    <w:rsid w:val="00972B34"/>
    <w:rsid w:val="00972C18"/>
    <w:rsid w:val="00972CB3"/>
    <w:rsid w:val="00972E1A"/>
    <w:rsid w:val="00972EC0"/>
    <w:rsid w:val="009732D7"/>
    <w:rsid w:val="00973353"/>
    <w:rsid w:val="00973591"/>
    <w:rsid w:val="00973747"/>
    <w:rsid w:val="00973782"/>
    <w:rsid w:val="00973A2D"/>
    <w:rsid w:val="00973FC9"/>
    <w:rsid w:val="00973FD0"/>
    <w:rsid w:val="00974071"/>
    <w:rsid w:val="009740A0"/>
    <w:rsid w:val="009740DD"/>
    <w:rsid w:val="00974494"/>
    <w:rsid w:val="00974498"/>
    <w:rsid w:val="009744AA"/>
    <w:rsid w:val="0097455A"/>
    <w:rsid w:val="00974B0E"/>
    <w:rsid w:val="00974B25"/>
    <w:rsid w:val="00974B2D"/>
    <w:rsid w:val="00974F27"/>
    <w:rsid w:val="00975091"/>
    <w:rsid w:val="00975102"/>
    <w:rsid w:val="00975125"/>
    <w:rsid w:val="009751AC"/>
    <w:rsid w:val="009751CF"/>
    <w:rsid w:val="00975341"/>
    <w:rsid w:val="0097534C"/>
    <w:rsid w:val="00975641"/>
    <w:rsid w:val="00975C67"/>
    <w:rsid w:val="00975CE3"/>
    <w:rsid w:val="00975D1E"/>
    <w:rsid w:val="00975D67"/>
    <w:rsid w:val="00975EB8"/>
    <w:rsid w:val="0097614F"/>
    <w:rsid w:val="00976192"/>
    <w:rsid w:val="009761B4"/>
    <w:rsid w:val="009763C6"/>
    <w:rsid w:val="009764E1"/>
    <w:rsid w:val="009765A5"/>
    <w:rsid w:val="0097662B"/>
    <w:rsid w:val="00976642"/>
    <w:rsid w:val="009766AF"/>
    <w:rsid w:val="0097681B"/>
    <w:rsid w:val="00976B3C"/>
    <w:rsid w:val="00976B93"/>
    <w:rsid w:val="00976C8F"/>
    <w:rsid w:val="00976D43"/>
    <w:rsid w:val="00976D9C"/>
    <w:rsid w:val="00976EDE"/>
    <w:rsid w:val="00976F7E"/>
    <w:rsid w:val="00976FD0"/>
    <w:rsid w:val="00977058"/>
    <w:rsid w:val="0097714A"/>
    <w:rsid w:val="00977236"/>
    <w:rsid w:val="00977388"/>
    <w:rsid w:val="009773B5"/>
    <w:rsid w:val="0097741E"/>
    <w:rsid w:val="00977451"/>
    <w:rsid w:val="00977522"/>
    <w:rsid w:val="0097767B"/>
    <w:rsid w:val="00977B01"/>
    <w:rsid w:val="00977F2B"/>
    <w:rsid w:val="0098071F"/>
    <w:rsid w:val="009808E7"/>
    <w:rsid w:val="0098092C"/>
    <w:rsid w:val="00980C7D"/>
    <w:rsid w:val="00980D4A"/>
    <w:rsid w:val="00981008"/>
    <w:rsid w:val="009811EE"/>
    <w:rsid w:val="0098120A"/>
    <w:rsid w:val="00981262"/>
    <w:rsid w:val="009813B2"/>
    <w:rsid w:val="0098152B"/>
    <w:rsid w:val="00981642"/>
    <w:rsid w:val="00981A99"/>
    <w:rsid w:val="00981AFD"/>
    <w:rsid w:val="00981BE4"/>
    <w:rsid w:val="00981DC5"/>
    <w:rsid w:val="009820ED"/>
    <w:rsid w:val="00982130"/>
    <w:rsid w:val="00982170"/>
    <w:rsid w:val="009823CB"/>
    <w:rsid w:val="00982429"/>
    <w:rsid w:val="00982473"/>
    <w:rsid w:val="009824DD"/>
    <w:rsid w:val="00982905"/>
    <w:rsid w:val="00982BA6"/>
    <w:rsid w:val="00982C15"/>
    <w:rsid w:val="00982C97"/>
    <w:rsid w:val="00982DE3"/>
    <w:rsid w:val="00982F12"/>
    <w:rsid w:val="0098326A"/>
    <w:rsid w:val="00983680"/>
    <w:rsid w:val="0098396A"/>
    <w:rsid w:val="00983B53"/>
    <w:rsid w:val="00983BD6"/>
    <w:rsid w:val="00983C29"/>
    <w:rsid w:val="00983C3F"/>
    <w:rsid w:val="00983E03"/>
    <w:rsid w:val="009841FF"/>
    <w:rsid w:val="00984342"/>
    <w:rsid w:val="00984563"/>
    <w:rsid w:val="00984610"/>
    <w:rsid w:val="009847EF"/>
    <w:rsid w:val="00984A30"/>
    <w:rsid w:val="00984AD2"/>
    <w:rsid w:val="00984BF2"/>
    <w:rsid w:val="00984DE9"/>
    <w:rsid w:val="009850EB"/>
    <w:rsid w:val="00985329"/>
    <w:rsid w:val="009853C6"/>
    <w:rsid w:val="009854F1"/>
    <w:rsid w:val="00985666"/>
    <w:rsid w:val="009856E7"/>
    <w:rsid w:val="00985727"/>
    <w:rsid w:val="00985881"/>
    <w:rsid w:val="009858A0"/>
    <w:rsid w:val="00985A2A"/>
    <w:rsid w:val="00985A5B"/>
    <w:rsid w:val="00985AC1"/>
    <w:rsid w:val="00985D2B"/>
    <w:rsid w:val="009860BA"/>
    <w:rsid w:val="009860DE"/>
    <w:rsid w:val="00986256"/>
    <w:rsid w:val="00986276"/>
    <w:rsid w:val="009863EB"/>
    <w:rsid w:val="00986454"/>
    <w:rsid w:val="0098674A"/>
    <w:rsid w:val="009869E3"/>
    <w:rsid w:val="00986ADD"/>
    <w:rsid w:val="00986D40"/>
    <w:rsid w:val="00986F15"/>
    <w:rsid w:val="00986F39"/>
    <w:rsid w:val="0098701C"/>
    <w:rsid w:val="009870F6"/>
    <w:rsid w:val="00987230"/>
    <w:rsid w:val="00987238"/>
    <w:rsid w:val="00987294"/>
    <w:rsid w:val="009872B4"/>
    <w:rsid w:val="00987311"/>
    <w:rsid w:val="00987349"/>
    <w:rsid w:val="009874A7"/>
    <w:rsid w:val="0098764D"/>
    <w:rsid w:val="009879C9"/>
    <w:rsid w:val="00987A43"/>
    <w:rsid w:val="00987BB0"/>
    <w:rsid w:val="0099002D"/>
    <w:rsid w:val="0099015A"/>
    <w:rsid w:val="0099024B"/>
    <w:rsid w:val="00990365"/>
    <w:rsid w:val="00990A8B"/>
    <w:rsid w:val="00990BE8"/>
    <w:rsid w:val="00990D25"/>
    <w:rsid w:val="0099101B"/>
    <w:rsid w:val="0099105B"/>
    <w:rsid w:val="00991068"/>
    <w:rsid w:val="00991117"/>
    <w:rsid w:val="00991204"/>
    <w:rsid w:val="00991542"/>
    <w:rsid w:val="009915B6"/>
    <w:rsid w:val="0099180C"/>
    <w:rsid w:val="00991883"/>
    <w:rsid w:val="0099193A"/>
    <w:rsid w:val="00991C3F"/>
    <w:rsid w:val="00991C6A"/>
    <w:rsid w:val="00991D02"/>
    <w:rsid w:val="00991DD5"/>
    <w:rsid w:val="00991DE5"/>
    <w:rsid w:val="0099213E"/>
    <w:rsid w:val="00992815"/>
    <w:rsid w:val="0099286F"/>
    <w:rsid w:val="00992872"/>
    <w:rsid w:val="009928EE"/>
    <w:rsid w:val="00992ACA"/>
    <w:rsid w:val="00992B1D"/>
    <w:rsid w:val="00992C70"/>
    <w:rsid w:val="00992E69"/>
    <w:rsid w:val="00992F73"/>
    <w:rsid w:val="00993029"/>
    <w:rsid w:val="0099350F"/>
    <w:rsid w:val="0099355E"/>
    <w:rsid w:val="009936FC"/>
    <w:rsid w:val="009940A4"/>
    <w:rsid w:val="009940AE"/>
    <w:rsid w:val="0099454A"/>
    <w:rsid w:val="009947B2"/>
    <w:rsid w:val="00994925"/>
    <w:rsid w:val="00994BD4"/>
    <w:rsid w:val="00994CD0"/>
    <w:rsid w:val="00994D51"/>
    <w:rsid w:val="00994D93"/>
    <w:rsid w:val="00995047"/>
    <w:rsid w:val="00995190"/>
    <w:rsid w:val="009956F5"/>
    <w:rsid w:val="009957A9"/>
    <w:rsid w:val="009957FC"/>
    <w:rsid w:val="00995853"/>
    <w:rsid w:val="00995885"/>
    <w:rsid w:val="00995A68"/>
    <w:rsid w:val="00995B9D"/>
    <w:rsid w:val="00995C0F"/>
    <w:rsid w:val="00995E8F"/>
    <w:rsid w:val="009960D5"/>
    <w:rsid w:val="0099616A"/>
    <w:rsid w:val="009961E3"/>
    <w:rsid w:val="009962B1"/>
    <w:rsid w:val="00996438"/>
    <w:rsid w:val="009964E5"/>
    <w:rsid w:val="009965C1"/>
    <w:rsid w:val="0099671A"/>
    <w:rsid w:val="0099677E"/>
    <w:rsid w:val="00996821"/>
    <w:rsid w:val="00996C56"/>
    <w:rsid w:val="0099705E"/>
    <w:rsid w:val="00997169"/>
    <w:rsid w:val="009972D5"/>
    <w:rsid w:val="009972FD"/>
    <w:rsid w:val="009977AF"/>
    <w:rsid w:val="00997C2C"/>
    <w:rsid w:val="00997FFD"/>
    <w:rsid w:val="009A005E"/>
    <w:rsid w:val="009A0197"/>
    <w:rsid w:val="009A033F"/>
    <w:rsid w:val="009A041D"/>
    <w:rsid w:val="009A0E38"/>
    <w:rsid w:val="009A0F5C"/>
    <w:rsid w:val="009A0FE5"/>
    <w:rsid w:val="009A1126"/>
    <w:rsid w:val="009A136A"/>
    <w:rsid w:val="009A1449"/>
    <w:rsid w:val="009A15BE"/>
    <w:rsid w:val="009A16DA"/>
    <w:rsid w:val="009A1915"/>
    <w:rsid w:val="009A1BBF"/>
    <w:rsid w:val="009A1CF4"/>
    <w:rsid w:val="009A1D48"/>
    <w:rsid w:val="009A1DCF"/>
    <w:rsid w:val="009A1DDC"/>
    <w:rsid w:val="009A1E70"/>
    <w:rsid w:val="009A1F7D"/>
    <w:rsid w:val="009A20A6"/>
    <w:rsid w:val="009A234F"/>
    <w:rsid w:val="009A28F1"/>
    <w:rsid w:val="009A28F8"/>
    <w:rsid w:val="009A2BDF"/>
    <w:rsid w:val="009A2FD3"/>
    <w:rsid w:val="009A303B"/>
    <w:rsid w:val="009A3210"/>
    <w:rsid w:val="009A322F"/>
    <w:rsid w:val="009A3341"/>
    <w:rsid w:val="009A3355"/>
    <w:rsid w:val="009A34AD"/>
    <w:rsid w:val="009A34B9"/>
    <w:rsid w:val="009A34FA"/>
    <w:rsid w:val="009A3705"/>
    <w:rsid w:val="009A3826"/>
    <w:rsid w:val="009A3847"/>
    <w:rsid w:val="009A3D86"/>
    <w:rsid w:val="009A3F30"/>
    <w:rsid w:val="009A3F33"/>
    <w:rsid w:val="009A41F5"/>
    <w:rsid w:val="009A4211"/>
    <w:rsid w:val="009A423F"/>
    <w:rsid w:val="009A4737"/>
    <w:rsid w:val="009A48B0"/>
    <w:rsid w:val="009A48BD"/>
    <w:rsid w:val="009A4BBE"/>
    <w:rsid w:val="009A4EE5"/>
    <w:rsid w:val="009A50AF"/>
    <w:rsid w:val="009A52E0"/>
    <w:rsid w:val="009A556F"/>
    <w:rsid w:val="009A57A4"/>
    <w:rsid w:val="009A57A6"/>
    <w:rsid w:val="009A5AD2"/>
    <w:rsid w:val="009A5B4B"/>
    <w:rsid w:val="009A5BBC"/>
    <w:rsid w:val="009A5CF0"/>
    <w:rsid w:val="009A5D0F"/>
    <w:rsid w:val="009A5FDB"/>
    <w:rsid w:val="009A634B"/>
    <w:rsid w:val="009A644B"/>
    <w:rsid w:val="009A6793"/>
    <w:rsid w:val="009A686A"/>
    <w:rsid w:val="009A6878"/>
    <w:rsid w:val="009A68AA"/>
    <w:rsid w:val="009A68FA"/>
    <w:rsid w:val="009A69A9"/>
    <w:rsid w:val="009A6A39"/>
    <w:rsid w:val="009A6B28"/>
    <w:rsid w:val="009A6C5D"/>
    <w:rsid w:val="009A6CCB"/>
    <w:rsid w:val="009A6D81"/>
    <w:rsid w:val="009A6E83"/>
    <w:rsid w:val="009A6EB6"/>
    <w:rsid w:val="009A6FA2"/>
    <w:rsid w:val="009A7172"/>
    <w:rsid w:val="009A730D"/>
    <w:rsid w:val="009A738C"/>
    <w:rsid w:val="009A748E"/>
    <w:rsid w:val="009A755F"/>
    <w:rsid w:val="009A7599"/>
    <w:rsid w:val="009A76E8"/>
    <w:rsid w:val="009A7816"/>
    <w:rsid w:val="009A7AFC"/>
    <w:rsid w:val="009A7C02"/>
    <w:rsid w:val="009A7E45"/>
    <w:rsid w:val="009A7F37"/>
    <w:rsid w:val="009A7F45"/>
    <w:rsid w:val="009B004B"/>
    <w:rsid w:val="009B0127"/>
    <w:rsid w:val="009B0164"/>
    <w:rsid w:val="009B02D1"/>
    <w:rsid w:val="009B034F"/>
    <w:rsid w:val="009B053B"/>
    <w:rsid w:val="009B0A17"/>
    <w:rsid w:val="009B0A58"/>
    <w:rsid w:val="009B0AD2"/>
    <w:rsid w:val="009B0B64"/>
    <w:rsid w:val="009B0BEA"/>
    <w:rsid w:val="009B0BF8"/>
    <w:rsid w:val="009B0D88"/>
    <w:rsid w:val="009B0FA7"/>
    <w:rsid w:val="009B105E"/>
    <w:rsid w:val="009B12BC"/>
    <w:rsid w:val="009B1468"/>
    <w:rsid w:val="009B16F3"/>
    <w:rsid w:val="009B1717"/>
    <w:rsid w:val="009B17AC"/>
    <w:rsid w:val="009B1CF5"/>
    <w:rsid w:val="009B1FCC"/>
    <w:rsid w:val="009B204F"/>
    <w:rsid w:val="009B214A"/>
    <w:rsid w:val="009B2411"/>
    <w:rsid w:val="009B2522"/>
    <w:rsid w:val="009B2531"/>
    <w:rsid w:val="009B2665"/>
    <w:rsid w:val="009B2693"/>
    <w:rsid w:val="009B2701"/>
    <w:rsid w:val="009B283F"/>
    <w:rsid w:val="009B29B4"/>
    <w:rsid w:val="009B2B98"/>
    <w:rsid w:val="009B2E64"/>
    <w:rsid w:val="009B30E6"/>
    <w:rsid w:val="009B3197"/>
    <w:rsid w:val="009B3210"/>
    <w:rsid w:val="009B3570"/>
    <w:rsid w:val="009B3C76"/>
    <w:rsid w:val="009B3CE2"/>
    <w:rsid w:val="009B3D12"/>
    <w:rsid w:val="009B4015"/>
    <w:rsid w:val="009B4280"/>
    <w:rsid w:val="009B430B"/>
    <w:rsid w:val="009B437E"/>
    <w:rsid w:val="009B44B7"/>
    <w:rsid w:val="009B45F9"/>
    <w:rsid w:val="009B47F2"/>
    <w:rsid w:val="009B4829"/>
    <w:rsid w:val="009B4964"/>
    <w:rsid w:val="009B4978"/>
    <w:rsid w:val="009B49D6"/>
    <w:rsid w:val="009B49FD"/>
    <w:rsid w:val="009B4AC6"/>
    <w:rsid w:val="009B4B1B"/>
    <w:rsid w:val="009B4B8D"/>
    <w:rsid w:val="009B4C1C"/>
    <w:rsid w:val="009B51D1"/>
    <w:rsid w:val="009B54AB"/>
    <w:rsid w:val="009B555B"/>
    <w:rsid w:val="009B5687"/>
    <w:rsid w:val="009B56A2"/>
    <w:rsid w:val="009B5704"/>
    <w:rsid w:val="009B58A0"/>
    <w:rsid w:val="009B5CBA"/>
    <w:rsid w:val="009B5D63"/>
    <w:rsid w:val="009B5D8A"/>
    <w:rsid w:val="009B607B"/>
    <w:rsid w:val="009B61B8"/>
    <w:rsid w:val="009B636B"/>
    <w:rsid w:val="009B66DF"/>
    <w:rsid w:val="009B677C"/>
    <w:rsid w:val="009B71A7"/>
    <w:rsid w:val="009B71D9"/>
    <w:rsid w:val="009B74FF"/>
    <w:rsid w:val="009B759B"/>
    <w:rsid w:val="009B7700"/>
    <w:rsid w:val="009B7767"/>
    <w:rsid w:val="009C0296"/>
    <w:rsid w:val="009C033B"/>
    <w:rsid w:val="009C0559"/>
    <w:rsid w:val="009C05BF"/>
    <w:rsid w:val="009C05E1"/>
    <w:rsid w:val="009C07FB"/>
    <w:rsid w:val="009C09AA"/>
    <w:rsid w:val="009C0A08"/>
    <w:rsid w:val="009C0CA7"/>
    <w:rsid w:val="009C0D0A"/>
    <w:rsid w:val="009C0E6E"/>
    <w:rsid w:val="009C1038"/>
    <w:rsid w:val="009C12B3"/>
    <w:rsid w:val="009C147C"/>
    <w:rsid w:val="009C1584"/>
    <w:rsid w:val="009C168A"/>
    <w:rsid w:val="009C18BB"/>
    <w:rsid w:val="009C1998"/>
    <w:rsid w:val="009C1A9A"/>
    <w:rsid w:val="009C1FEE"/>
    <w:rsid w:val="009C206B"/>
    <w:rsid w:val="009C22B6"/>
    <w:rsid w:val="009C25E8"/>
    <w:rsid w:val="009C26FA"/>
    <w:rsid w:val="009C2850"/>
    <w:rsid w:val="009C28B1"/>
    <w:rsid w:val="009C2B5F"/>
    <w:rsid w:val="009C2DAF"/>
    <w:rsid w:val="009C2E61"/>
    <w:rsid w:val="009C2F6E"/>
    <w:rsid w:val="009C2FDB"/>
    <w:rsid w:val="009C3123"/>
    <w:rsid w:val="009C337C"/>
    <w:rsid w:val="009C347C"/>
    <w:rsid w:val="009C34C1"/>
    <w:rsid w:val="009C3507"/>
    <w:rsid w:val="009C3763"/>
    <w:rsid w:val="009C3C47"/>
    <w:rsid w:val="009C3C6D"/>
    <w:rsid w:val="009C3D23"/>
    <w:rsid w:val="009C405C"/>
    <w:rsid w:val="009C40BC"/>
    <w:rsid w:val="009C40EB"/>
    <w:rsid w:val="009C423C"/>
    <w:rsid w:val="009C43F8"/>
    <w:rsid w:val="009C4578"/>
    <w:rsid w:val="009C45F9"/>
    <w:rsid w:val="009C460E"/>
    <w:rsid w:val="009C468A"/>
    <w:rsid w:val="009C497E"/>
    <w:rsid w:val="009C499C"/>
    <w:rsid w:val="009C4B0B"/>
    <w:rsid w:val="009C4B4A"/>
    <w:rsid w:val="009C4B5F"/>
    <w:rsid w:val="009C4D96"/>
    <w:rsid w:val="009C4DA3"/>
    <w:rsid w:val="009C4E3C"/>
    <w:rsid w:val="009C4F1C"/>
    <w:rsid w:val="009C4F50"/>
    <w:rsid w:val="009C514D"/>
    <w:rsid w:val="009C5233"/>
    <w:rsid w:val="009C5542"/>
    <w:rsid w:val="009C57ED"/>
    <w:rsid w:val="009C5BE7"/>
    <w:rsid w:val="009C5C81"/>
    <w:rsid w:val="009C5F5A"/>
    <w:rsid w:val="009C60E6"/>
    <w:rsid w:val="009C61F8"/>
    <w:rsid w:val="009C6220"/>
    <w:rsid w:val="009C64FA"/>
    <w:rsid w:val="009C65D6"/>
    <w:rsid w:val="009C65EE"/>
    <w:rsid w:val="009C6709"/>
    <w:rsid w:val="009C6B05"/>
    <w:rsid w:val="009C6B52"/>
    <w:rsid w:val="009C6C79"/>
    <w:rsid w:val="009C6CC3"/>
    <w:rsid w:val="009C6D10"/>
    <w:rsid w:val="009C6E5F"/>
    <w:rsid w:val="009C7040"/>
    <w:rsid w:val="009C70F8"/>
    <w:rsid w:val="009C72B9"/>
    <w:rsid w:val="009C72E9"/>
    <w:rsid w:val="009C7388"/>
    <w:rsid w:val="009C75AB"/>
    <w:rsid w:val="009C75D6"/>
    <w:rsid w:val="009C7797"/>
    <w:rsid w:val="009C77C8"/>
    <w:rsid w:val="009C7AFA"/>
    <w:rsid w:val="009C7DE7"/>
    <w:rsid w:val="009C7FDA"/>
    <w:rsid w:val="009D0193"/>
    <w:rsid w:val="009D0328"/>
    <w:rsid w:val="009D0381"/>
    <w:rsid w:val="009D0548"/>
    <w:rsid w:val="009D07DC"/>
    <w:rsid w:val="009D08EA"/>
    <w:rsid w:val="009D0B6D"/>
    <w:rsid w:val="009D0CE4"/>
    <w:rsid w:val="009D0ED1"/>
    <w:rsid w:val="009D0F05"/>
    <w:rsid w:val="009D104E"/>
    <w:rsid w:val="009D1140"/>
    <w:rsid w:val="009D12BE"/>
    <w:rsid w:val="009D13A7"/>
    <w:rsid w:val="009D1433"/>
    <w:rsid w:val="009D153D"/>
    <w:rsid w:val="009D16A2"/>
    <w:rsid w:val="009D1EEC"/>
    <w:rsid w:val="009D232D"/>
    <w:rsid w:val="009D2367"/>
    <w:rsid w:val="009D2403"/>
    <w:rsid w:val="009D251F"/>
    <w:rsid w:val="009D25A6"/>
    <w:rsid w:val="009D2657"/>
    <w:rsid w:val="009D29EA"/>
    <w:rsid w:val="009D2B29"/>
    <w:rsid w:val="009D2C31"/>
    <w:rsid w:val="009D2FCD"/>
    <w:rsid w:val="009D306B"/>
    <w:rsid w:val="009D3114"/>
    <w:rsid w:val="009D3202"/>
    <w:rsid w:val="009D32FD"/>
    <w:rsid w:val="009D3571"/>
    <w:rsid w:val="009D3676"/>
    <w:rsid w:val="009D38C7"/>
    <w:rsid w:val="009D3ABE"/>
    <w:rsid w:val="009D4366"/>
    <w:rsid w:val="009D4767"/>
    <w:rsid w:val="009D494C"/>
    <w:rsid w:val="009D4BE9"/>
    <w:rsid w:val="009D4C5F"/>
    <w:rsid w:val="009D4D19"/>
    <w:rsid w:val="009D4D45"/>
    <w:rsid w:val="009D4DAD"/>
    <w:rsid w:val="009D4E80"/>
    <w:rsid w:val="009D511B"/>
    <w:rsid w:val="009D51D8"/>
    <w:rsid w:val="009D520E"/>
    <w:rsid w:val="009D522B"/>
    <w:rsid w:val="009D5232"/>
    <w:rsid w:val="009D530F"/>
    <w:rsid w:val="009D5642"/>
    <w:rsid w:val="009D58E3"/>
    <w:rsid w:val="009D58FA"/>
    <w:rsid w:val="009D5940"/>
    <w:rsid w:val="009D5ACA"/>
    <w:rsid w:val="009D5DCE"/>
    <w:rsid w:val="009D6042"/>
    <w:rsid w:val="009D63C5"/>
    <w:rsid w:val="009D64F0"/>
    <w:rsid w:val="009D6578"/>
    <w:rsid w:val="009D6771"/>
    <w:rsid w:val="009D69EE"/>
    <w:rsid w:val="009D6BFB"/>
    <w:rsid w:val="009D6D0A"/>
    <w:rsid w:val="009D6F3A"/>
    <w:rsid w:val="009D6F90"/>
    <w:rsid w:val="009D72F7"/>
    <w:rsid w:val="009D74DC"/>
    <w:rsid w:val="009D76C1"/>
    <w:rsid w:val="009D7708"/>
    <w:rsid w:val="009D7AC0"/>
    <w:rsid w:val="009D7FF1"/>
    <w:rsid w:val="009E00FA"/>
    <w:rsid w:val="009E03BD"/>
    <w:rsid w:val="009E04F9"/>
    <w:rsid w:val="009E0731"/>
    <w:rsid w:val="009E0963"/>
    <w:rsid w:val="009E0A80"/>
    <w:rsid w:val="009E0ABB"/>
    <w:rsid w:val="009E0CE6"/>
    <w:rsid w:val="009E0E04"/>
    <w:rsid w:val="009E0E1E"/>
    <w:rsid w:val="009E0EC7"/>
    <w:rsid w:val="009E11E1"/>
    <w:rsid w:val="009E124E"/>
    <w:rsid w:val="009E13D5"/>
    <w:rsid w:val="009E15C8"/>
    <w:rsid w:val="009E1860"/>
    <w:rsid w:val="009E1A77"/>
    <w:rsid w:val="009E1DEA"/>
    <w:rsid w:val="009E1E60"/>
    <w:rsid w:val="009E1EC0"/>
    <w:rsid w:val="009E1FB8"/>
    <w:rsid w:val="009E1FCA"/>
    <w:rsid w:val="009E2111"/>
    <w:rsid w:val="009E21B5"/>
    <w:rsid w:val="009E220B"/>
    <w:rsid w:val="009E228F"/>
    <w:rsid w:val="009E22BA"/>
    <w:rsid w:val="009E2619"/>
    <w:rsid w:val="009E26C1"/>
    <w:rsid w:val="009E27D6"/>
    <w:rsid w:val="009E2847"/>
    <w:rsid w:val="009E29A6"/>
    <w:rsid w:val="009E2CA8"/>
    <w:rsid w:val="009E2D58"/>
    <w:rsid w:val="009E2D7B"/>
    <w:rsid w:val="009E2E5E"/>
    <w:rsid w:val="009E318D"/>
    <w:rsid w:val="009E3231"/>
    <w:rsid w:val="009E332D"/>
    <w:rsid w:val="009E35B0"/>
    <w:rsid w:val="009E35BA"/>
    <w:rsid w:val="009E382E"/>
    <w:rsid w:val="009E387A"/>
    <w:rsid w:val="009E3913"/>
    <w:rsid w:val="009E3B91"/>
    <w:rsid w:val="009E3E20"/>
    <w:rsid w:val="009E3F6A"/>
    <w:rsid w:val="009E404B"/>
    <w:rsid w:val="009E40AB"/>
    <w:rsid w:val="009E4116"/>
    <w:rsid w:val="009E4139"/>
    <w:rsid w:val="009E4531"/>
    <w:rsid w:val="009E4787"/>
    <w:rsid w:val="009E479B"/>
    <w:rsid w:val="009E483E"/>
    <w:rsid w:val="009E4885"/>
    <w:rsid w:val="009E48DE"/>
    <w:rsid w:val="009E4A26"/>
    <w:rsid w:val="009E4B8F"/>
    <w:rsid w:val="009E4D18"/>
    <w:rsid w:val="009E504A"/>
    <w:rsid w:val="009E50B1"/>
    <w:rsid w:val="009E50DD"/>
    <w:rsid w:val="009E5213"/>
    <w:rsid w:val="009E528C"/>
    <w:rsid w:val="009E537D"/>
    <w:rsid w:val="009E575D"/>
    <w:rsid w:val="009E5901"/>
    <w:rsid w:val="009E5CE4"/>
    <w:rsid w:val="009E5CFE"/>
    <w:rsid w:val="009E5DB8"/>
    <w:rsid w:val="009E5FEE"/>
    <w:rsid w:val="009E6071"/>
    <w:rsid w:val="009E62B1"/>
    <w:rsid w:val="009E6466"/>
    <w:rsid w:val="009E64B0"/>
    <w:rsid w:val="009E66B9"/>
    <w:rsid w:val="009E66FC"/>
    <w:rsid w:val="009E6805"/>
    <w:rsid w:val="009E68D4"/>
    <w:rsid w:val="009E68E6"/>
    <w:rsid w:val="009E6A18"/>
    <w:rsid w:val="009E6A5D"/>
    <w:rsid w:val="009E6BF0"/>
    <w:rsid w:val="009E70F7"/>
    <w:rsid w:val="009E720B"/>
    <w:rsid w:val="009E72CF"/>
    <w:rsid w:val="009E72EC"/>
    <w:rsid w:val="009E7413"/>
    <w:rsid w:val="009E76B7"/>
    <w:rsid w:val="009E76C5"/>
    <w:rsid w:val="009E78CE"/>
    <w:rsid w:val="009E7AA1"/>
    <w:rsid w:val="009E7E63"/>
    <w:rsid w:val="009F0162"/>
    <w:rsid w:val="009F0422"/>
    <w:rsid w:val="009F044D"/>
    <w:rsid w:val="009F0505"/>
    <w:rsid w:val="009F0627"/>
    <w:rsid w:val="009F07E8"/>
    <w:rsid w:val="009F085C"/>
    <w:rsid w:val="009F09CA"/>
    <w:rsid w:val="009F0D11"/>
    <w:rsid w:val="009F1021"/>
    <w:rsid w:val="009F1068"/>
    <w:rsid w:val="009F10A4"/>
    <w:rsid w:val="009F1100"/>
    <w:rsid w:val="009F1194"/>
    <w:rsid w:val="009F12D0"/>
    <w:rsid w:val="009F133B"/>
    <w:rsid w:val="009F1397"/>
    <w:rsid w:val="009F15F3"/>
    <w:rsid w:val="009F1883"/>
    <w:rsid w:val="009F18D9"/>
    <w:rsid w:val="009F1979"/>
    <w:rsid w:val="009F1E9C"/>
    <w:rsid w:val="009F21E1"/>
    <w:rsid w:val="009F2570"/>
    <w:rsid w:val="009F2757"/>
    <w:rsid w:val="009F29A4"/>
    <w:rsid w:val="009F2CAB"/>
    <w:rsid w:val="009F2CB3"/>
    <w:rsid w:val="009F2CCE"/>
    <w:rsid w:val="009F2DD1"/>
    <w:rsid w:val="009F2F4F"/>
    <w:rsid w:val="009F311D"/>
    <w:rsid w:val="009F32C8"/>
    <w:rsid w:val="009F33E9"/>
    <w:rsid w:val="009F3637"/>
    <w:rsid w:val="009F3868"/>
    <w:rsid w:val="009F3981"/>
    <w:rsid w:val="009F3AAA"/>
    <w:rsid w:val="009F3DCB"/>
    <w:rsid w:val="009F3DF3"/>
    <w:rsid w:val="009F3E97"/>
    <w:rsid w:val="009F40F3"/>
    <w:rsid w:val="009F43C1"/>
    <w:rsid w:val="009F4AB8"/>
    <w:rsid w:val="009F4CB6"/>
    <w:rsid w:val="009F4DA4"/>
    <w:rsid w:val="009F5427"/>
    <w:rsid w:val="009F5692"/>
    <w:rsid w:val="009F5773"/>
    <w:rsid w:val="009F5F12"/>
    <w:rsid w:val="009F6972"/>
    <w:rsid w:val="009F69EF"/>
    <w:rsid w:val="009F6EA3"/>
    <w:rsid w:val="009F6F5D"/>
    <w:rsid w:val="009F7123"/>
    <w:rsid w:val="009F74D3"/>
    <w:rsid w:val="009F7632"/>
    <w:rsid w:val="009F763D"/>
    <w:rsid w:val="009F78CA"/>
    <w:rsid w:val="009F7A17"/>
    <w:rsid w:val="009F7D14"/>
    <w:rsid w:val="009F7DC4"/>
    <w:rsid w:val="009F7DE8"/>
    <w:rsid w:val="009F7E43"/>
    <w:rsid w:val="009F7EFA"/>
    <w:rsid w:val="009F7F40"/>
    <w:rsid w:val="00A00076"/>
    <w:rsid w:val="00A00119"/>
    <w:rsid w:val="00A001E4"/>
    <w:rsid w:val="00A002EB"/>
    <w:rsid w:val="00A00338"/>
    <w:rsid w:val="00A00541"/>
    <w:rsid w:val="00A00559"/>
    <w:rsid w:val="00A0056F"/>
    <w:rsid w:val="00A005DB"/>
    <w:rsid w:val="00A00740"/>
    <w:rsid w:val="00A009B4"/>
    <w:rsid w:val="00A00A08"/>
    <w:rsid w:val="00A00B62"/>
    <w:rsid w:val="00A00C8D"/>
    <w:rsid w:val="00A00E1B"/>
    <w:rsid w:val="00A00E5C"/>
    <w:rsid w:val="00A00EB0"/>
    <w:rsid w:val="00A00FA9"/>
    <w:rsid w:val="00A010B1"/>
    <w:rsid w:val="00A010C3"/>
    <w:rsid w:val="00A010DE"/>
    <w:rsid w:val="00A0147F"/>
    <w:rsid w:val="00A016FA"/>
    <w:rsid w:val="00A01871"/>
    <w:rsid w:val="00A01872"/>
    <w:rsid w:val="00A0190D"/>
    <w:rsid w:val="00A01F6C"/>
    <w:rsid w:val="00A01FE8"/>
    <w:rsid w:val="00A02056"/>
    <w:rsid w:val="00A021D1"/>
    <w:rsid w:val="00A026AE"/>
    <w:rsid w:val="00A026FB"/>
    <w:rsid w:val="00A02C00"/>
    <w:rsid w:val="00A02C79"/>
    <w:rsid w:val="00A02CAF"/>
    <w:rsid w:val="00A02E07"/>
    <w:rsid w:val="00A0317F"/>
    <w:rsid w:val="00A035C0"/>
    <w:rsid w:val="00A03610"/>
    <w:rsid w:val="00A036EE"/>
    <w:rsid w:val="00A03811"/>
    <w:rsid w:val="00A03D9C"/>
    <w:rsid w:val="00A03DC1"/>
    <w:rsid w:val="00A03F39"/>
    <w:rsid w:val="00A04095"/>
    <w:rsid w:val="00A0410F"/>
    <w:rsid w:val="00A041DB"/>
    <w:rsid w:val="00A044B6"/>
    <w:rsid w:val="00A046DD"/>
    <w:rsid w:val="00A04899"/>
    <w:rsid w:val="00A04AC0"/>
    <w:rsid w:val="00A04AF9"/>
    <w:rsid w:val="00A04B1F"/>
    <w:rsid w:val="00A04C28"/>
    <w:rsid w:val="00A04DD0"/>
    <w:rsid w:val="00A04DD4"/>
    <w:rsid w:val="00A04E4D"/>
    <w:rsid w:val="00A04EAD"/>
    <w:rsid w:val="00A04EE4"/>
    <w:rsid w:val="00A0515C"/>
    <w:rsid w:val="00A05379"/>
    <w:rsid w:val="00A0557C"/>
    <w:rsid w:val="00A056F4"/>
    <w:rsid w:val="00A057A7"/>
    <w:rsid w:val="00A059E3"/>
    <w:rsid w:val="00A06048"/>
    <w:rsid w:val="00A06245"/>
    <w:rsid w:val="00A06647"/>
    <w:rsid w:val="00A068CD"/>
    <w:rsid w:val="00A06A95"/>
    <w:rsid w:val="00A06C58"/>
    <w:rsid w:val="00A06F1D"/>
    <w:rsid w:val="00A0719E"/>
    <w:rsid w:val="00A07330"/>
    <w:rsid w:val="00A0774E"/>
    <w:rsid w:val="00A077D1"/>
    <w:rsid w:val="00A07955"/>
    <w:rsid w:val="00A07A33"/>
    <w:rsid w:val="00A07BCC"/>
    <w:rsid w:val="00A07D31"/>
    <w:rsid w:val="00A07E3C"/>
    <w:rsid w:val="00A07EA6"/>
    <w:rsid w:val="00A07F05"/>
    <w:rsid w:val="00A102C1"/>
    <w:rsid w:val="00A104B5"/>
    <w:rsid w:val="00A1066B"/>
    <w:rsid w:val="00A1072F"/>
    <w:rsid w:val="00A1075A"/>
    <w:rsid w:val="00A107AB"/>
    <w:rsid w:val="00A107D6"/>
    <w:rsid w:val="00A107F8"/>
    <w:rsid w:val="00A1085C"/>
    <w:rsid w:val="00A11129"/>
    <w:rsid w:val="00A111EF"/>
    <w:rsid w:val="00A112D6"/>
    <w:rsid w:val="00A11401"/>
    <w:rsid w:val="00A114BD"/>
    <w:rsid w:val="00A1162A"/>
    <w:rsid w:val="00A116C7"/>
    <w:rsid w:val="00A1171B"/>
    <w:rsid w:val="00A11979"/>
    <w:rsid w:val="00A119A9"/>
    <w:rsid w:val="00A11B19"/>
    <w:rsid w:val="00A11C53"/>
    <w:rsid w:val="00A11CCF"/>
    <w:rsid w:val="00A11D44"/>
    <w:rsid w:val="00A11DB5"/>
    <w:rsid w:val="00A11FCA"/>
    <w:rsid w:val="00A121D5"/>
    <w:rsid w:val="00A1223B"/>
    <w:rsid w:val="00A1225B"/>
    <w:rsid w:val="00A12885"/>
    <w:rsid w:val="00A128B6"/>
    <w:rsid w:val="00A12A65"/>
    <w:rsid w:val="00A12C6F"/>
    <w:rsid w:val="00A13195"/>
    <w:rsid w:val="00A131B5"/>
    <w:rsid w:val="00A1323E"/>
    <w:rsid w:val="00A13426"/>
    <w:rsid w:val="00A13529"/>
    <w:rsid w:val="00A13600"/>
    <w:rsid w:val="00A1363B"/>
    <w:rsid w:val="00A138E0"/>
    <w:rsid w:val="00A13D2F"/>
    <w:rsid w:val="00A13D71"/>
    <w:rsid w:val="00A13DA3"/>
    <w:rsid w:val="00A13ECA"/>
    <w:rsid w:val="00A13FB9"/>
    <w:rsid w:val="00A1463A"/>
    <w:rsid w:val="00A14680"/>
    <w:rsid w:val="00A14710"/>
    <w:rsid w:val="00A1478B"/>
    <w:rsid w:val="00A1481C"/>
    <w:rsid w:val="00A149CC"/>
    <w:rsid w:val="00A14A7A"/>
    <w:rsid w:val="00A14FCA"/>
    <w:rsid w:val="00A1500F"/>
    <w:rsid w:val="00A150C3"/>
    <w:rsid w:val="00A15210"/>
    <w:rsid w:val="00A15318"/>
    <w:rsid w:val="00A155F9"/>
    <w:rsid w:val="00A15AE1"/>
    <w:rsid w:val="00A15B29"/>
    <w:rsid w:val="00A16001"/>
    <w:rsid w:val="00A16286"/>
    <w:rsid w:val="00A163D2"/>
    <w:rsid w:val="00A165E4"/>
    <w:rsid w:val="00A1662D"/>
    <w:rsid w:val="00A16633"/>
    <w:rsid w:val="00A16805"/>
    <w:rsid w:val="00A1687D"/>
    <w:rsid w:val="00A16949"/>
    <w:rsid w:val="00A16BA7"/>
    <w:rsid w:val="00A16BE0"/>
    <w:rsid w:val="00A16C81"/>
    <w:rsid w:val="00A16CFB"/>
    <w:rsid w:val="00A16D07"/>
    <w:rsid w:val="00A16D4D"/>
    <w:rsid w:val="00A16D91"/>
    <w:rsid w:val="00A16DAD"/>
    <w:rsid w:val="00A16F98"/>
    <w:rsid w:val="00A1728E"/>
    <w:rsid w:val="00A172EC"/>
    <w:rsid w:val="00A17357"/>
    <w:rsid w:val="00A17AA9"/>
    <w:rsid w:val="00A17DA3"/>
    <w:rsid w:val="00A2000D"/>
    <w:rsid w:val="00A2080D"/>
    <w:rsid w:val="00A20BA2"/>
    <w:rsid w:val="00A20BF3"/>
    <w:rsid w:val="00A21194"/>
    <w:rsid w:val="00A21343"/>
    <w:rsid w:val="00A21353"/>
    <w:rsid w:val="00A2139B"/>
    <w:rsid w:val="00A213E0"/>
    <w:rsid w:val="00A21531"/>
    <w:rsid w:val="00A215A5"/>
    <w:rsid w:val="00A216BC"/>
    <w:rsid w:val="00A216F2"/>
    <w:rsid w:val="00A217EC"/>
    <w:rsid w:val="00A218A5"/>
    <w:rsid w:val="00A219A4"/>
    <w:rsid w:val="00A21B96"/>
    <w:rsid w:val="00A21D2A"/>
    <w:rsid w:val="00A21D7A"/>
    <w:rsid w:val="00A21E45"/>
    <w:rsid w:val="00A21F87"/>
    <w:rsid w:val="00A22127"/>
    <w:rsid w:val="00A2221E"/>
    <w:rsid w:val="00A224DA"/>
    <w:rsid w:val="00A2253F"/>
    <w:rsid w:val="00A22628"/>
    <w:rsid w:val="00A228AD"/>
    <w:rsid w:val="00A22BE0"/>
    <w:rsid w:val="00A22C33"/>
    <w:rsid w:val="00A22C62"/>
    <w:rsid w:val="00A22D20"/>
    <w:rsid w:val="00A22E69"/>
    <w:rsid w:val="00A22E81"/>
    <w:rsid w:val="00A23009"/>
    <w:rsid w:val="00A2311E"/>
    <w:rsid w:val="00A236E9"/>
    <w:rsid w:val="00A23705"/>
    <w:rsid w:val="00A239F3"/>
    <w:rsid w:val="00A23AE6"/>
    <w:rsid w:val="00A23B13"/>
    <w:rsid w:val="00A23B15"/>
    <w:rsid w:val="00A23EFE"/>
    <w:rsid w:val="00A240BC"/>
    <w:rsid w:val="00A24254"/>
    <w:rsid w:val="00A242CD"/>
    <w:rsid w:val="00A24479"/>
    <w:rsid w:val="00A245F7"/>
    <w:rsid w:val="00A2469E"/>
    <w:rsid w:val="00A2479A"/>
    <w:rsid w:val="00A24885"/>
    <w:rsid w:val="00A24B27"/>
    <w:rsid w:val="00A24DF0"/>
    <w:rsid w:val="00A24FAF"/>
    <w:rsid w:val="00A25029"/>
    <w:rsid w:val="00A251A1"/>
    <w:rsid w:val="00A25235"/>
    <w:rsid w:val="00A25418"/>
    <w:rsid w:val="00A255A5"/>
    <w:rsid w:val="00A25734"/>
    <w:rsid w:val="00A258DE"/>
    <w:rsid w:val="00A2599B"/>
    <w:rsid w:val="00A259C1"/>
    <w:rsid w:val="00A25ADF"/>
    <w:rsid w:val="00A25DED"/>
    <w:rsid w:val="00A25DF3"/>
    <w:rsid w:val="00A25E1C"/>
    <w:rsid w:val="00A26003"/>
    <w:rsid w:val="00A2609A"/>
    <w:rsid w:val="00A26161"/>
    <w:rsid w:val="00A261FE"/>
    <w:rsid w:val="00A26341"/>
    <w:rsid w:val="00A26737"/>
    <w:rsid w:val="00A2684E"/>
    <w:rsid w:val="00A26889"/>
    <w:rsid w:val="00A26C76"/>
    <w:rsid w:val="00A26CC7"/>
    <w:rsid w:val="00A26D62"/>
    <w:rsid w:val="00A27071"/>
    <w:rsid w:val="00A2711D"/>
    <w:rsid w:val="00A2722E"/>
    <w:rsid w:val="00A272EC"/>
    <w:rsid w:val="00A2732D"/>
    <w:rsid w:val="00A27331"/>
    <w:rsid w:val="00A27354"/>
    <w:rsid w:val="00A2743B"/>
    <w:rsid w:val="00A2746D"/>
    <w:rsid w:val="00A274BB"/>
    <w:rsid w:val="00A274F7"/>
    <w:rsid w:val="00A27C44"/>
    <w:rsid w:val="00A3025D"/>
    <w:rsid w:val="00A3029A"/>
    <w:rsid w:val="00A30447"/>
    <w:rsid w:val="00A30501"/>
    <w:rsid w:val="00A30592"/>
    <w:rsid w:val="00A30673"/>
    <w:rsid w:val="00A30741"/>
    <w:rsid w:val="00A308C6"/>
    <w:rsid w:val="00A308F1"/>
    <w:rsid w:val="00A30A00"/>
    <w:rsid w:val="00A30C84"/>
    <w:rsid w:val="00A311FE"/>
    <w:rsid w:val="00A316DA"/>
    <w:rsid w:val="00A31729"/>
    <w:rsid w:val="00A31909"/>
    <w:rsid w:val="00A31914"/>
    <w:rsid w:val="00A31A59"/>
    <w:rsid w:val="00A31B63"/>
    <w:rsid w:val="00A31C98"/>
    <w:rsid w:val="00A31F44"/>
    <w:rsid w:val="00A32358"/>
    <w:rsid w:val="00A3244C"/>
    <w:rsid w:val="00A32636"/>
    <w:rsid w:val="00A3266F"/>
    <w:rsid w:val="00A3281F"/>
    <w:rsid w:val="00A32B68"/>
    <w:rsid w:val="00A32D1D"/>
    <w:rsid w:val="00A331C7"/>
    <w:rsid w:val="00A33258"/>
    <w:rsid w:val="00A333FB"/>
    <w:rsid w:val="00A335B2"/>
    <w:rsid w:val="00A337B0"/>
    <w:rsid w:val="00A3405B"/>
    <w:rsid w:val="00A3448B"/>
    <w:rsid w:val="00A344EC"/>
    <w:rsid w:val="00A34701"/>
    <w:rsid w:val="00A34808"/>
    <w:rsid w:val="00A348BD"/>
    <w:rsid w:val="00A34970"/>
    <w:rsid w:val="00A34B30"/>
    <w:rsid w:val="00A34CB2"/>
    <w:rsid w:val="00A34CF5"/>
    <w:rsid w:val="00A34DA5"/>
    <w:rsid w:val="00A34E91"/>
    <w:rsid w:val="00A34EF4"/>
    <w:rsid w:val="00A351D1"/>
    <w:rsid w:val="00A351D6"/>
    <w:rsid w:val="00A352CC"/>
    <w:rsid w:val="00A35591"/>
    <w:rsid w:val="00A35740"/>
    <w:rsid w:val="00A35970"/>
    <w:rsid w:val="00A35BF3"/>
    <w:rsid w:val="00A35CC8"/>
    <w:rsid w:val="00A35DB1"/>
    <w:rsid w:val="00A36178"/>
    <w:rsid w:val="00A36228"/>
    <w:rsid w:val="00A36310"/>
    <w:rsid w:val="00A3652A"/>
    <w:rsid w:val="00A366DB"/>
    <w:rsid w:val="00A3684B"/>
    <w:rsid w:val="00A36A21"/>
    <w:rsid w:val="00A36C8C"/>
    <w:rsid w:val="00A36F07"/>
    <w:rsid w:val="00A37076"/>
    <w:rsid w:val="00A370D7"/>
    <w:rsid w:val="00A371EF"/>
    <w:rsid w:val="00A3745C"/>
    <w:rsid w:val="00A375FF"/>
    <w:rsid w:val="00A377FF"/>
    <w:rsid w:val="00A37884"/>
    <w:rsid w:val="00A37A9D"/>
    <w:rsid w:val="00A37B71"/>
    <w:rsid w:val="00A37CAF"/>
    <w:rsid w:val="00A37DF0"/>
    <w:rsid w:val="00A37FA3"/>
    <w:rsid w:val="00A40045"/>
    <w:rsid w:val="00A400A7"/>
    <w:rsid w:val="00A400A8"/>
    <w:rsid w:val="00A403DD"/>
    <w:rsid w:val="00A40437"/>
    <w:rsid w:val="00A4048D"/>
    <w:rsid w:val="00A404B1"/>
    <w:rsid w:val="00A4058F"/>
    <w:rsid w:val="00A40598"/>
    <w:rsid w:val="00A4065B"/>
    <w:rsid w:val="00A4083D"/>
    <w:rsid w:val="00A40A39"/>
    <w:rsid w:val="00A40B31"/>
    <w:rsid w:val="00A40DFC"/>
    <w:rsid w:val="00A40F0B"/>
    <w:rsid w:val="00A41412"/>
    <w:rsid w:val="00A415D6"/>
    <w:rsid w:val="00A41605"/>
    <w:rsid w:val="00A41638"/>
    <w:rsid w:val="00A417C3"/>
    <w:rsid w:val="00A417CA"/>
    <w:rsid w:val="00A418E0"/>
    <w:rsid w:val="00A41A3D"/>
    <w:rsid w:val="00A41AAE"/>
    <w:rsid w:val="00A41C9E"/>
    <w:rsid w:val="00A41D50"/>
    <w:rsid w:val="00A420A0"/>
    <w:rsid w:val="00A421C8"/>
    <w:rsid w:val="00A4231F"/>
    <w:rsid w:val="00A42659"/>
    <w:rsid w:val="00A428D5"/>
    <w:rsid w:val="00A428F0"/>
    <w:rsid w:val="00A42B75"/>
    <w:rsid w:val="00A42D9C"/>
    <w:rsid w:val="00A42FC8"/>
    <w:rsid w:val="00A438A5"/>
    <w:rsid w:val="00A43A5C"/>
    <w:rsid w:val="00A43BEA"/>
    <w:rsid w:val="00A43C04"/>
    <w:rsid w:val="00A43CC7"/>
    <w:rsid w:val="00A43F18"/>
    <w:rsid w:val="00A445E0"/>
    <w:rsid w:val="00A447BF"/>
    <w:rsid w:val="00A4487A"/>
    <w:rsid w:val="00A44AA2"/>
    <w:rsid w:val="00A44D7F"/>
    <w:rsid w:val="00A44F73"/>
    <w:rsid w:val="00A45188"/>
    <w:rsid w:val="00A455C7"/>
    <w:rsid w:val="00A4564D"/>
    <w:rsid w:val="00A4589E"/>
    <w:rsid w:val="00A4592B"/>
    <w:rsid w:val="00A45AFD"/>
    <w:rsid w:val="00A45B2A"/>
    <w:rsid w:val="00A46458"/>
    <w:rsid w:val="00A46461"/>
    <w:rsid w:val="00A4660E"/>
    <w:rsid w:val="00A46A7A"/>
    <w:rsid w:val="00A46CE8"/>
    <w:rsid w:val="00A46DE5"/>
    <w:rsid w:val="00A46DEF"/>
    <w:rsid w:val="00A46F09"/>
    <w:rsid w:val="00A46F11"/>
    <w:rsid w:val="00A46F77"/>
    <w:rsid w:val="00A46FE3"/>
    <w:rsid w:val="00A472BD"/>
    <w:rsid w:val="00A4771E"/>
    <w:rsid w:val="00A4776C"/>
    <w:rsid w:val="00A47A98"/>
    <w:rsid w:val="00A47AFF"/>
    <w:rsid w:val="00A47C47"/>
    <w:rsid w:val="00A47CD4"/>
    <w:rsid w:val="00A47D01"/>
    <w:rsid w:val="00A47D0D"/>
    <w:rsid w:val="00A47E2E"/>
    <w:rsid w:val="00A501C1"/>
    <w:rsid w:val="00A502FB"/>
    <w:rsid w:val="00A50373"/>
    <w:rsid w:val="00A503F7"/>
    <w:rsid w:val="00A50729"/>
    <w:rsid w:val="00A50812"/>
    <w:rsid w:val="00A508DC"/>
    <w:rsid w:val="00A50B63"/>
    <w:rsid w:val="00A50C97"/>
    <w:rsid w:val="00A50D09"/>
    <w:rsid w:val="00A50D61"/>
    <w:rsid w:val="00A50ECB"/>
    <w:rsid w:val="00A50FDF"/>
    <w:rsid w:val="00A5122D"/>
    <w:rsid w:val="00A512F9"/>
    <w:rsid w:val="00A516B6"/>
    <w:rsid w:val="00A5175C"/>
    <w:rsid w:val="00A5175D"/>
    <w:rsid w:val="00A51AFA"/>
    <w:rsid w:val="00A521A5"/>
    <w:rsid w:val="00A52268"/>
    <w:rsid w:val="00A522E7"/>
    <w:rsid w:val="00A52357"/>
    <w:rsid w:val="00A52867"/>
    <w:rsid w:val="00A52C67"/>
    <w:rsid w:val="00A52D98"/>
    <w:rsid w:val="00A52F68"/>
    <w:rsid w:val="00A53298"/>
    <w:rsid w:val="00A53547"/>
    <w:rsid w:val="00A53771"/>
    <w:rsid w:val="00A5379E"/>
    <w:rsid w:val="00A537CA"/>
    <w:rsid w:val="00A537D5"/>
    <w:rsid w:val="00A53945"/>
    <w:rsid w:val="00A53EC7"/>
    <w:rsid w:val="00A53FD8"/>
    <w:rsid w:val="00A54261"/>
    <w:rsid w:val="00A5467E"/>
    <w:rsid w:val="00A5468D"/>
    <w:rsid w:val="00A54710"/>
    <w:rsid w:val="00A5493F"/>
    <w:rsid w:val="00A54959"/>
    <w:rsid w:val="00A549D1"/>
    <w:rsid w:val="00A54A1B"/>
    <w:rsid w:val="00A54C25"/>
    <w:rsid w:val="00A54D3D"/>
    <w:rsid w:val="00A54E9D"/>
    <w:rsid w:val="00A5501C"/>
    <w:rsid w:val="00A55022"/>
    <w:rsid w:val="00A55035"/>
    <w:rsid w:val="00A550F1"/>
    <w:rsid w:val="00A5522B"/>
    <w:rsid w:val="00A5558B"/>
    <w:rsid w:val="00A5559B"/>
    <w:rsid w:val="00A55990"/>
    <w:rsid w:val="00A55AF9"/>
    <w:rsid w:val="00A55BB0"/>
    <w:rsid w:val="00A55DCC"/>
    <w:rsid w:val="00A55DF0"/>
    <w:rsid w:val="00A5644C"/>
    <w:rsid w:val="00A564F6"/>
    <w:rsid w:val="00A56513"/>
    <w:rsid w:val="00A56603"/>
    <w:rsid w:val="00A56693"/>
    <w:rsid w:val="00A56C19"/>
    <w:rsid w:val="00A56D35"/>
    <w:rsid w:val="00A56DAF"/>
    <w:rsid w:val="00A56EFC"/>
    <w:rsid w:val="00A56F32"/>
    <w:rsid w:val="00A5736C"/>
    <w:rsid w:val="00A573F5"/>
    <w:rsid w:val="00A57743"/>
    <w:rsid w:val="00A57840"/>
    <w:rsid w:val="00A57890"/>
    <w:rsid w:val="00A5797A"/>
    <w:rsid w:val="00A579EC"/>
    <w:rsid w:val="00A57E71"/>
    <w:rsid w:val="00A57FAA"/>
    <w:rsid w:val="00A60214"/>
    <w:rsid w:val="00A60508"/>
    <w:rsid w:val="00A6050B"/>
    <w:rsid w:val="00A60614"/>
    <w:rsid w:val="00A6061C"/>
    <w:rsid w:val="00A60A04"/>
    <w:rsid w:val="00A60A74"/>
    <w:rsid w:val="00A60CF0"/>
    <w:rsid w:val="00A610B5"/>
    <w:rsid w:val="00A611D1"/>
    <w:rsid w:val="00A6171D"/>
    <w:rsid w:val="00A61CA7"/>
    <w:rsid w:val="00A61D30"/>
    <w:rsid w:val="00A61E1B"/>
    <w:rsid w:val="00A62024"/>
    <w:rsid w:val="00A62108"/>
    <w:rsid w:val="00A62307"/>
    <w:rsid w:val="00A623A1"/>
    <w:rsid w:val="00A62450"/>
    <w:rsid w:val="00A62507"/>
    <w:rsid w:val="00A625DA"/>
    <w:rsid w:val="00A626B1"/>
    <w:rsid w:val="00A628C9"/>
    <w:rsid w:val="00A62D93"/>
    <w:rsid w:val="00A62F54"/>
    <w:rsid w:val="00A63119"/>
    <w:rsid w:val="00A6336D"/>
    <w:rsid w:val="00A633F5"/>
    <w:rsid w:val="00A63484"/>
    <w:rsid w:val="00A63584"/>
    <w:rsid w:val="00A63891"/>
    <w:rsid w:val="00A638E5"/>
    <w:rsid w:val="00A63A54"/>
    <w:rsid w:val="00A63B12"/>
    <w:rsid w:val="00A63CB7"/>
    <w:rsid w:val="00A63DE5"/>
    <w:rsid w:val="00A63EA4"/>
    <w:rsid w:val="00A63F6C"/>
    <w:rsid w:val="00A64200"/>
    <w:rsid w:val="00A64237"/>
    <w:rsid w:val="00A64289"/>
    <w:rsid w:val="00A64342"/>
    <w:rsid w:val="00A64495"/>
    <w:rsid w:val="00A64601"/>
    <w:rsid w:val="00A6473C"/>
    <w:rsid w:val="00A64793"/>
    <w:rsid w:val="00A64A55"/>
    <w:rsid w:val="00A64A60"/>
    <w:rsid w:val="00A64B78"/>
    <w:rsid w:val="00A64BC7"/>
    <w:rsid w:val="00A64C7F"/>
    <w:rsid w:val="00A6500C"/>
    <w:rsid w:val="00A65060"/>
    <w:rsid w:val="00A650C2"/>
    <w:rsid w:val="00A652DC"/>
    <w:rsid w:val="00A65611"/>
    <w:rsid w:val="00A65770"/>
    <w:rsid w:val="00A65814"/>
    <w:rsid w:val="00A658B9"/>
    <w:rsid w:val="00A658E5"/>
    <w:rsid w:val="00A6590C"/>
    <w:rsid w:val="00A65BD0"/>
    <w:rsid w:val="00A65D36"/>
    <w:rsid w:val="00A660D5"/>
    <w:rsid w:val="00A660F8"/>
    <w:rsid w:val="00A6620D"/>
    <w:rsid w:val="00A6633B"/>
    <w:rsid w:val="00A663E4"/>
    <w:rsid w:val="00A6643E"/>
    <w:rsid w:val="00A666CA"/>
    <w:rsid w:val="00A66714"/>
    <w:rsid w:val="00A667DD"/>
    <w:rsid w:val="00A66934"/>
    <w:rsid w:val="00A669FC"/>
    <w:rsid w:val="00A66B75"/>
    <w:rsid w:val="00A670AC"/>
    <w:rsid w:val="00A676FB"/>
    <w:rsid w:val="00A67837"/>
    <w:rsid w:val="00A67906"/>
    <w:rsid w:val="00A67970"/>
    <w:rsid w:val="00A67A33"/>
    <w:rsid w:val="00A67C8C"/>
    <w:rsid w:val="00A67EE8"/>
    <w:rsid w:val="00A67F4F"/>
    <w:rsid w:val="00A702C3"/>
    <w:rsid w:val="00A704D0"/>
    <w:rsid w:val="00A70735"/>
    <w:rsid w:val="00A70870"/>
    <w:rsid w:val="00A70919"/>
    <w:rsid w:val="00A709B3"/>
    <w:rsid w:val="00A70AB5"/>
    <w:rsid w:val="00A70B6B"/>
    <w:rsid w:val="00A70BDC"/>
    <w:rsid w:val="00A70E47"/>
    <w:rsid w:val="00A70ED6"/>
    <w:rsid w:val="00A70F90"/>
    <w:rsid w:val="00A71002"/>
    <w:rsid w:val="00A71040"/>
    <w:rsid w:val="00A7105F"/>
    <w:rsid w:val="00A71080"/>
    <w:rsid w:val="00A710A0"/>
    <w:rsid w:val="00A713FC"/>
    <w:rsid w:val="00A71D62"/>
    <w:rsid w:val="00A71D9E"/>
    <w:rsid w:val="00A71EC5"/>
    <w:rsid w:val="00A71F46"/>
    <w:rsid w:val="00A71FFA"/>
    <w:rsid w:val="00A72606"/>
    <w:rsid w:val="00A729F5"/>
    <w:rsid w:val="00A72A8A"/>
    <w:rsid w:val="00A72AD3"/>
    <w:rsid w:val="00A72BEF"/>
    <w:rsid w:val="00A72DE2"/>
    <w:rsid w:val="00A72EDE"/>
    <w:rsid w:val="00A72F24"/>
    <w:rsid w:val="00A730A3"/>
    <w:rsid w:val="00A7333D"/>
    <w:rsid w:val="00A73449"/>
    <w:rsid w:val="00A73759"/>
    <w:rsid w:val="00A737F9"/>
    <w:rsid w:val="00A73856"/>
    <w:rsid w:val="00A739A1"/>
    <w:rsid w:val="00A73C82"/>
    <w:rsid w:val="00A73D15"/>
    <w:rsid w:val="00A73D66"/>
    <w:rsid w:val="00A73FA6"/>
    <w:rsid w:val="00A74020"/>
    <w:rsid w:val="00A7437E"/>
    <w:rsid w:val="00A7446C"/>
    <w:rsid w:val="00A74670"/>
    <w:rsid w:val="00A74688"/>
    <w:rsid w:val="00A746F9"/>
    <w:rsid w:val="00A74736"/>
    <w:rsid w:val="00A74B47"/>
    <w:rsid w:val="00A74E79"/>
    <w:rsid w:val="00A750EE"/>
    <w:rsid w:val="00A75107"/>
    <w:rsid w:val="00A753E2"/>
    <w:rsid w:val="00A75449"/>
    <w:rsid w:val="00A7546C"/>
    <w:rsid w:val="00A75698"/>
    <w:rsid w:val="00A75716"/>
    <w:rsid w:val="00A759AA"/>
    <w:rsid w:val="00A75A44"/>
    <w:rsid w:val="00A75EB6"/>
    <w:rsid w:val="00A76091"/>
    <w:rsid w:val="00A76171"/>
    <w:rsid w:val="00A764E4"/>
    <w:rsid w:val="00A765D7"/>
    <w:rsid w:val="00A76661"/>
    <w:rsid w:val="00A766F0"/>
    <w:rsid w:val="00A767ED"/>
    <w:rsid w:val="00A76974"/>
    <w:rsid w:val="00A76AA5"/>
    <w:rsid w:val="00A76B87"/>
    <w:rsid w:val="00A76BDD"/>
    <w:rsid w:val="00A76C33"/>
    <w:rsid w:val="00A76CFA"/>
    <w:rsid w:val="00A76D9F"/>
    <w:rsid w:val="00A77069"/>
    <w:rsid w:val="00A77094"/>
    <w:rsid w:val="00A773BA"/>
    <w:rsid w:val="00A7751D"/>
    <w:rsid w:val="00A7775D"/>
    <w:rsid w:val="00A778AD"/>
    <w:rsid w:val="00A77BB0"/>
    <w:rsid w:val="00A77EC8"/>
    <w:rsid w:val="00A80052"/>
    <w:rsid w:val="00A80137"/>
    <w:rsid w:val="00A802B1"/>
    <w:rsid w:val="00A802CE"/>
    <w:rsid w:val="00A8031C"/>
    <w:rsid w:val="00A8036B"/>
    <w:rsid w:val="00A8046E"/>
    <w:rsid w:val="00A80615"/>
    <w:rsid w:val="00A8094E"/>
    <w:rsid w:val="00A809F1"/>
    <w:rsid w:val="00A80C23"/>
    <w:rsid w:val="00A811F6"/>
    <w:rsid w:val="00A81855"/>
    <w:rsid w:val="00A81A82"/>
    <w:rsid w:val="00A81B0D"/>
    <w:rsid w:val="00A81C8F"/>
    <w:rsid w:val="00A81F22"/>
    <w:rsid w:val="00A81F8F"/>
    <w:rsid w:val="00A8203F"/>
    <w:rsid w:val="00A8221F"/>
    <w:rsid w:val="00A82274"/>
    <w:rsid w:val="00A82474"/>
    <w:rsid w:val="00A824E6"/>
    <w:rsid w:val="00A82562"/>
    <w:rsid w:val="00A8260D"/>
    <w:rsid w:val="00A8275E"/>
    <w:rsid w:val="00A82A24"/>
    <w:rsid w:val="00A82AFF"/>
    <w:rsid w:val="00A82B50"/>
    <w:rsid w:val="00A82B94"/>
    <w:rsid w:val="00A82FA6"/>
    <w:rsid w:val="00A83083"/>
    <w:rsid w:val="00A8310D"/>
    <w:rsid w:val="00A834CB"/>
    <w:rsid w:val="00A83B79"/>
    <w:rsid w:val="00A83BED"/>
    <w:rsid w:val="00A83CE1"/>
    <w:rsid w:val="00A842C3"/>
    <w:rsid w:val="00A843CA"/>
    <w:rsid w:val="00A844CD"/>
    <w:rsid w:val="00A84799"/>
    <w:rsid w:val="00A84A5A"/>
    <w:rsid w:val="00A84C3C"/>
    <w:rsid w:val="00A84EB1"/>
    <w:rsid w:val="00A84EE2"/>
    <w:rsid w:val="00A84FA3"/>
    <w:rsid w:val="00A85033"/>
    <w:rsid w:val="00A850B2"/>
    <w:rsid w:val="00A851DD"/>
    <w:rsid w:val="00A852DF"/>
    <w:rsid w:val="00A853F3"/>
    <w:rsid w:val="00A85969"/>
    <w:rsid w:val="00A85F7E"/>
    <w:rsid w:val="00A86422"/>
    <w:rsid w:val="00A86458"/>
    <w:rsid w:val="00A8654D"/>
    <w:rsid w:val="00A8669F"/>
    <w:rsid w:val="00A867A9"/>
    <w:rsid w:val="00A86815"/>
    <w:rsid w:val="00A8698F"/>
    <w:rsid w:val="00A869E3"/>
    <w:rsid w:val="00A86CBA"/>
    <w:rsid w:val="00A87078"/>
    <w:rsid w:val="00A87213"/>
    <w:rsid w:val="00A8731D"/>
    <w:rsid w:val="00A87435"/>
    <w:rsid w:val="00A874D5"/>
    <w:rsid w:val="00A87661"/>
    <w:rsid w:val="00A876F8"/>
    <w:rsid w:val="00A87751"/>
    <w:rsid w:val="00A877B6"/>
    <w:rsid w:val="00A87CA2"/>
    <w:rsid w:val="00A87CA6"/>
    <w:rsid w:val="00A87CC9"/>
    <w:rsid w:val="00A87DB2"/>
    <w:rsid w:val="00A90036"/>
    <w:rsid w:val="00A9025C"/>
    <w:rsid w:val="00A90512"/>
    <w:rsid w:val="00A907EC"/>
    <w:rsid w:val="00A90925"/>
    <w:rsid w:val="00A90952"/>
    <w:rsid w:val="00A90A67"/>
    <w:rsid w:val="00A90BA4"/>
    <w:rsid w:val="00A90D89"/>
    <w:rsid w:val="00A9101C"/>
    <w:rsid w:val="00A91046"/>
    <w:rsid w:val="00A913A2"/>
    <w:rsid w:val="00A915A1"/>
    <w:rsid w:val="00A91B37"/>
    <w:rsid w:val="00A91C10"/>
    <w:rsid w:val="00A91DB7"/>
    <w:rsid w:val="00A91E59"/>
    <w:rsid w:val="00A91E92"/>
    <w:rsid w:val="00A92102"/>
    <w:rsid w:val="00A921ED"/>
    <w:rsid w:val="00A921FE"/>
    <w:rsid w:val="00A92260"/>
    <w:rsid w:val="00A92283"/>
    <w:rsid w:val="00A9238C"/>
    <w:rsid w:val="00A923C5"/>
    <w:rsid w:val="00A92630"/>
    <w:rsid w:val="00A929A6"/>
    <w:rsid w:val="00A929EF"/>
    <w:rsid w:val="00A92B30"/>
    <w:rsid w:val="00A92E90"/>
    <w:rsid w:val="00A9318B"/>
    <w:rsid w:val="00A93427"/>
    <w:rsid w:val="00A93667"/>
    <w:rsid w:val="00A936CD"/>
    <w:rsid w:val="00A937A5"/>
    <w:rsid w:val="00A938E1"/>
    <w:rsid w:val="00A93EE9"/>
    <w:rsid w:val="00A93EFB"/>
    <w:rsid w:val="00A944AF"/>
    <w:rsid w:val="00A94620"/>
    <w:rsid w:val="00A946BB"/>
    <w:rsid w:val="00A9493A"/>
    <w:rsid w:val="00A94B89"/>
    <w:rsid w:val="00A94CCC"/>
    <w:rsid w:val="00A94CEE"/>
    <w:rsid w:val="00A9516A"/>
    <w:rsid w:val="00A953E1"/>
    <w:rsid w:val="00A958D0"/>
    <w:rsid w:val="00A95E1F"/>
    <w:rsid w:val="00A95E32"/>
    <w:rsid w:val="00A95EC0"/>
    <w:rsid w:val="00A95EDE"/>
    <w:rsid w:val="00A9604C"/>
    <w:rsid w:val="00A960AB"/>
    <w:rsid w:val="00A960B8"/>
    <w:rsid w:val="00A9613E"/>
    <w:rsid w:val="00A96471"/>
    <w:rsid w:val="00A964F7"/>
    <w:rsid w:val="00A96519"/>
    <w:rsid w:val="00A96663"/>
    <w:rsid w:val="00A96714"/>
    <w:rsid w:val="00A96957"/>
    <w:rsid w:val="00A96A43"/>
    <w:rsid w:val="00A96B4C"/>
    <w:rsid w:val="00A96B6C"/>
    <w:rsid w:val="00A96BB4"/>
    <w:rsid w:val="00A96C73"/>
    <w:rsid w:val="00A96F75"/>
    <w:rsid w:val="00A96F87"/>
    <w:rsid w:val="00A96FD9"/>
    <w:rsid w:val="00A970A0"/>
    <w:rsid w:val="00A972F2"/>
    <w:rsid w:val="00A97570"/>
    <w:rsid w:val="00A97666"/>
    <w:rsid w:val="00A97BE3"/>
    <w:rsid w:val="00A97CDC"/>
    <w:rsid w:val="00A97EE1"/>
    <w:rsid w:val="00AA0072"/>
    <w:rsid w:val="00AA01DE"/>
    <w:rsid w:val="00AA0762"/>
    <w:rsid w:val="00AA0836"/>
    <w:rsid w:val="00AA0C43"/>
    <w:rsid w:val="00AA0C55"/>
    <w:rsid w:val="00AA0DBD"/>
    <w:rsid w:val="00AA0E16"/>
    <w:rsid w:val="00AA0E4F"/>
    <w:rsid w:val="00AA0F6A"/>
    <w:rsid w:val="00AA1098"/>
    <w:rsid w:val="00AA10CB"/>
    <w:rsid w:val="00AA142A"/>
    <w:rsid w:val="00AA167D"/>
    <w:rsid w:val="00AA17F5"/>
    <w:rsid w:val="00AA1947"/>
    <w:rsid w:val="00AA1B8B"/>
    <w:rsid w:val="00AA1C41"/>
    <w:rsid w:val="00AA1D74"/>
    <w:rsid w:val="00AA2472"/>
    <w:rsid w:val="00AA2555"/>
    <w:rsid w:val="00AA2567"/>
    <w:rsid w:val="00AA2681"/>
    <w:rsid w:val="00AA2747"/>
    <w:rsid w:val="00AA2B06"/>
    <w:rsid w:val="00AA2CF3"/>
    <w:rsid w:val="00AA2D8E"/>
    <w:rsid w:val="00AA2E49"/>
    <w:rsid w:val="00AA2F44"/>
    <w:rsid w:val="00AA3157"/>
    <w:rsid w:val="00AA327B"/>
    <w:rsid w:val="00AA3338"/>
    <w:rsid w:val="00AA34C9"/>
    <w:rsid w:val="00AA3706"/>
    <w:rsid w:val="00AA389A"/>
    <w:rsid w:val="00AA3A5C"/>
    <w:rsid w:val="00AA3C7E"/>
    <w:rsid w:val="00AA3CE2"/>
    <w:rsid w:val="00AA3E5F"/>
    <w:rsid w:val="00AA40DD"/>
    <w:rsid w:val="00AA444C"/>
    <w:rsid w:val="00AA460F"/>
    <w:rsid w:val="00AA4737"/>
    <w:rsid w:val="00AA4815"/>
    <w:rsid w:val="00AA4ED1"/>
    <w:rsid w:val="00AA4EEE"/>
    <w:rsid w:val="00AA4F93"/>
    <w:rsid w:val="00AA50B0"/>
    <w:rsid w:val="00AA52C5"/>
    <w:rsid w:val="00AA532A"/>
    <w:rsid w:val="00AA53A4"/>
    <w:rsid w:val="00AA5444"/>
    <w:rsid w:val="00AA562C"/>
    <w:rsid w:val="00AA56F8"/>
    <w:rsid w:val="00AA57AD"/>
    <w:rsid w:val="00AA5E75"/>
    <w:rsid w:val="00AA60EF"/>
    <w:rsid w:val="00AA6143"/>
    <w:rsid w:val="00AA621D"/>
    <w:rsid w:val="00AA62A7"/>
    <w:rsid w:val="00AA6390"/>
    <w:rsid w:val="00AA639E"/>
    <w:rsid w:val="00AA6563"/>
    <w:rsid w:val="00AA6643"/>
    <w:rsid w:val="00AA6714"/>
    <w:rsid w:val="00AA6864"/>
    <w:rsid w:val="00AA6A50"/>
    <w:rsid w:val="00AA6B6E"/>
    <w:rsid w:val="00AA6DBB"/>
    <w:rsid w:val="00AA721D"/>
    <w:rsid w:val="00AA7268"/>
    <w:rsid w:val="00AA72FB"/>
    <w:rsid w:val="00AA76C2"/>
    <w:rsid w:val="00AA7E61"/>
    <w:rsid w:val="00AA7F9B"/>
    <w:rsid w:val="00AB01D8"/>
    <w:rsid w:val="00AB02B9"/>
    <w:rsid w:val="00AB063E"/>
    <w:rsid w:val="00AB084F"/>
    <w:rsid w:val="00AB0A41"/>
    <w:rsid w:val="00AB0B7F"/>
    <w:rsid w:val="00AB0CE4"/>
    <w:rsid w:val="00AB0E3E"/>
    <w:rsid w:val="00AB1014"/>
    <w:rsid w:val="00AB120A"/>
    <w:rsid w:val="00AB15A6"/>
    <w:rsid w:val="00AB15CA"/>
    <w:rsid w:val="00AB168B"/>
    <w:rsid w:val="00AB16F5"/>
    <w:rsid w:val="00AB1772"/>
    <w:rsid w:val="00AB1970"/>
    <w:rsid w:val="00AB19D9"/>
    <w:rsid w:val="00AB1B84"/>
    <w:rsid w:val="00AB1ED5"/>
    <w:rsid w:val="00AB1F21"/>
    <w:rsid w:val="00AB2320"/>
    <w:rsid w:val="00AB23EA"/>
    <w:rsid w:val="00AB24A9"/>
    <w:rsid w:val="00AB29A1"/>
    <w:rsid w:val="00AB2BD7"/>
    <w:rsid w:val="00AB2C0C"/>
    <w:rsid w:val="00AB2C4A"/>
    <w:rsid w:val="00AB2D88"/>
    <w:rsid w:val="00AB2E6B"/>
    <w:rsid w:val="00AB2EA2"/>
    <w:rsid w:val="00AB2EC0"/>
    <w:rsid w:val="00AB3239"/>
    <w:rsid w:val="00AB3417"/>
    <w:rsid w:val="00AB352C"/>
    <w:rsid w:val="00AB35B7"/>
    <w:rsid w:val="00AB3621"/>
    <w:rsid w:val="00AB36E4"/>
    <w:rsid w:val="00AB376F"/>
    <w:rsid w:val="00AB3783"/>
    <w:rsid w:val="00AB38D9"/>
    <w:rsid w:val="00AB3A70"/>
    <w:rsid w:val="00AB3B9D"/>
    <w:rsid w:val="00AB3CAA"/>
    <w:rsid w:val="00AB3DA8"/>
    <w:rsid w:val="00AB3DD4"/>
    <w:rsid w:val="00AB471B"/>
    <w:rsid w:val="00AB47C7"/>
    <w:rsid w:val="00AB47DA"/>
    <w:rsid w:val="00AB4890"/>
    <w:rsid w:val="00AB4D76"/>
    <w:rsid w:val="00AB4E0B"/>
    <w:rsid w:val="00AB4E25"/>
    <w:rsid w:val="00AB4E6F"/>
    <w:rsid w:val="00AB4ED7"/>
    <w:rsid w:val="00AB4FAC"/>
    <w:rsid w:val="00AB4FAF"/>
    <w:rsid w:val="00AB51C8"/>
    <w:rsid w:val="00AB564B"/>
    <w:rsid w:val="00AB56B9"/>
    <w:rsid w:val="00AB570F"/>
    <w:rsid w:val="00AB5797"/>
    <w:rsid w:val="00AB593B"/>
    <w:rsid w:val="00AB598F"/>
    <w:rsid w:val="00AB5B81"/>
    <w:rsid w:val="00AB6166"/>
    <w:rsid w:val="00AB630E"/>
    <w:rsid w:val="00AB653F"/>
    <w:rsid w:val="00AB65AF"/>
    <w:rsid w:val="00AB65E2"/>
    <w:rsid w:val="00AB66A6"/>
    <w:rsid w:val="00AB6837"/>
    <w:rsid w:val="00AB69C0"/>
    <w:rsid w:val="00AB6B40"/>
    <w:rsid w:val="00AB6B43"/>
    <w:rsid w:val="00AB6C24"/>
    <w:rsid w:val="00AB6D78"/>
    <w:rsid w:val="00AB6E21"/>
    <w:rsid w:val="00AB70B7"/>
    <w:rsid w:val="00AB7115"/>
    <w:rsid w:val="00AB7185"/>
    <w:rsid w:val="00AB7190"/>
    <w:rsid w:val="00AB7311"/>
    <w:rsid w:val="00AB73E9"/>
    <w:rsid w:val="00AB74F6"/>
    <w:rsid w:val="00AB7648"/>
    <w:rsid w:val="00AB7684"/>
    <w:rsid w:val="00AB76FE"/>
    <w:rsid w:val="00AB774A"/>
    <w:rsid w:val="00AB7903"/>
    <w:rsid w:val="00AB79E1"/>
    <w:rsid w:val="00AB7AB3"/>
    <w:rsid w:val="00AB7B4F"/>
    <w:rsid w:val="00AB7E40"/>
    <w:rsid w:val="00AB7EAF"/>
    <w:rsid w:val="00AB7F1A"/>
    <w:rsid w:val="00AC000D"/>
    <w:rsid w:val="00AC0470"/>
    <w:rsid w:val="00AC04E5"/>
    <w:rsid w:val="00AC05E4"/>
    <w:rsid w:val="00AC0624"/>
    <w:rsid w:val="00AC096B"/>
    <w:rsid w:val="00AC0AF1"/>
    <w:rsid w:val="00AC0B2D"/>
    <w:rsid w:val="00AC0B31"/>
    <w:rsid w:val="00AC0D14"/>
    <w:rsid w:val="00AC0ECC"/>
    <w:rsid w:val="00AC0F01"/>
    <w:rsid w:val="00AC1405"/>
    <w:rsid w:val="00AC162D"/>
    <w:rsid w:val="00AC1711"/>
    <w:rsid w:val="00AC175A"/>
    <w:rsid w:val="00AC199D"/>
    <w:rsid w:val="00AC1A67"/>
    <w:rsid w:val="00AC1A69"/>
    <w:rsid w:val="00AC1A92"/>
    <w:rsid w:val="00AC1B8F"/>
    <w:rsid w:val="00AC1BF8"/>
    <w:rsid w:val="00AC1C3A"/>
    <w:rsid w:val="00AC1E70"/>
    <w:rsid w:val="00AC2355"/>
    <w:rsid w:val="00AC2390"/>
    <w:rsid w:val="00AC2755"/>
    <w:rsid w:val="00AC2853"/>
    <w:rsid w:val="00AC2C5F"/>
    <w:rsid w:val="00AC2C7D"/>
    <w:rsid w:val="00AC2CAD"/>
    <w:rsid w:val="00AC2DB2"/>
    <w:rsid w:val="00AC2E6F"/>
    <w:rsid w:val="00AC2E71"/>
    <w:rsid w:val="00AC2EE0"/>
    <w:rsid w:val="00AC2F58"/>
    <w:rsid w:val="00AC30D1"/>
    <w:rsid w:val="00AC349D"/>
    <w:rsid w:val="00AC353E"/>
    <w:rsid w:val="00AC3675"/>
    <w:rsid w:val="00AC3734"/>
    <w:rsid w:val="00AC3755"/>
    <w:rsid w:val="00AC37BC"/>
    <w:rsid w:val="00AC3CB8"/>
    <w:rsid w:val="00AC3DE7"/>
    <w:rsid w:val="00AC3E4D"/>
    <w:rsid w:val="00AC3E68"/>
    <w:rsid w:val="00AC3F0C"/>
    <w:rsid w:val="00AC4013"/>
    <w:rsid w:val="00AC40CB"/>
    <w:rsid w:val="00AC4106"/>
    <w:rsid w:val="00AC43B2"/>
    <w:rsid w:val="00AC454B"/>
    <w:rsid w:val="00AC485A"/>
    <w:rsid w:val="00AC4B92"/>
    <w:rsid w:val="00AC4C1F"/>
    <w:rsid w:val="00AC50FD"/>
    <w:rsid w:val="00AC557E"/>
    <w:rsid w:val="00AC567F"/>
    <w:rsid w:val="00AC5919"/>
    <w:rsid w:val="00AC5CEC"/>
    <w:rsid w:val="00AC6117"/>
    <w:rsid w:val="00AC6120"/>
    <w:rsid w:val="00AC654B"/>
    <w:rsid w:val="00AC6640"/>
    <w:rsid w:val="00AC6820"/>
    <w:rsid w:val="00AC68D1"/>
    <w:rsid w:val="00AC693B"/>
    <w:rsid w:val="00AC69D1"/>
    <w:rsid w:val="00AC6AE3"/>
    <w:rsid w:val="00AC6C74"/>
    <w:rsid w:val="00AC6D6C"/>
    <w:rsid w:val="00AC6D70"/>
    <w:rsid w:val="00AC712C"/>
    <w:rsid w:val="00AC7195"/>
    <w:rsid w:val="00AC727C"/>
    <w:rsid w:val="00AC74D3"/>
    <w:rsid w:val="00AC7569"/>
    <w:rsid w:val="00AC76D0"/>
    <w:rsid w:val="00AC7B58"/>
    <w:rsid w:val="00AC7D56"/>
    <w:rsid w:val="00AC7DAC"/>
    <w:rsid w:val="00AC7DDE"/>
    <w:rsid w:val="00AD031A"/>
    <w:rsid w:val="00AD03A6"/>
    <w:rsid w:val="00AD0672"/>
    <w:rsid w:val="00AD0D9F"/>
    <w:rsid w:val="00AD0EF7"/>
    <w:rsid w:val="00AD1028"/>
    <w:rsid w:val="00AD1041"/>
    <w:rsid w:val="00AD11BB"/>
    <w:rsid w:val="00AD12ED"/>
    <w:rsid w:val="00AD1382"/>
    <w:rsid w:val="00AD13E6"/>
    <w:rsid w:val="00AD166D"/>
    <w:rsid w:val="00AD187B"/>
    <w:rsid w:val="00AD1B45"/>
    <w:rsid w:val="00AD20A7"/>
    <w:rsid w:val="00AD211C"/>
    <w:rsid w:val="00AD2185"/>
    <w:rsid w:val="00AD225B"/>
    <w:rsid w:val="00AD2702"/>
    <w:rsid w:val="00AD2D0A"/>
    <w:rsid w:val="00AD3272"/>
    <w:rsid w:val="00AD3368"/>
    <w:rsid w:val="00AD3517"/>
    <w:rsid w:val="00AD36D8"/>
    <w:rsid w:val="00AD3709"/>
    <w:rsid w:val="00AD38D8"/>
    <w:rsid w:val="00AD393E"/>
    <w:rsid w:val="00AD39EA"/>
    <w:rsid w:val="00AD3A00"/>
    <w:rsid w:val="00AD3EDD"/>
    <w:rsid w:val="00AD3F46"/>
    <w:rsid w:val="00AD4028"/>
    <w:rsid w:val="00AD406C"/>
    <w:rsid w:val="00AD4460"/>
    <w:rsid w:val="00AD4643"/>
    <w:rsid w:val="00AD486F"/>
    <w:rsid w:val="00AD492C"/>
    <w:rsid w:val="00AD4ADC"/>
    <w:rsid w:val="00AD4C20"/>
    <w:rsid w:val="00AD4C76"/>
    <w:rsid w:val="00AD4C7F"/>
    <w:rsid w:val="00AD4DE8"/>
    <w:rsid w:val="00AD4DFB"/>
    <w:rsid w:val="00AD4F91"/>
    <w:rsid w:val="00AD5256"/>
    <w:rsid w:val="00AD5546"/>
    <w:rsid w:val="00AD56F9"/>
    <w:rsid w:val="00AD5895"/>
    <w:rsid w:val="00AD58BD"/>
    <w:rsid w:val="00AD59D3"/>
    <w:rsid w:val="00AD5A94"/>
    <w:rsid w:val="00AD5BD9"/>
    <w:rsid w:val="00AD5D5E"/>
    <w:rsid w:val="00AD5E3A"/>
    <w:rsid w:val="00AD65C0"/>
    <w:rsid w:val="00AD66E6"/>
    <w:rsid w:val="00AD67B2"/>
    <w:rsid w:val="00AD68E9"/>
    <w:rsid w:val="00AD6974"/>
    <w:rsid w:val="00AD6D5F"/>
    <w:rsid w:val="00AD6EB0"/>
    <w:rsid w:val="00AD702E"/>
    <w:rsid w:val="00AD704D"/>
    <w:rsid w:val="00AD7153"/>
    <w:rsid w:val="00AD71DC"/>
    <w:rsid w:val="00AD72CF"/>
    <w:rsid w:val="00AD75DA"/>
    <w:rsid w:val="00AD77CF"/>
    <w:rsid w:val="00AD781E"/>
    <w:rsid w:val="00AD7B31"/>
    <w:rsid w:val="00AD7C44"/>
    <w:rsid w:val="00AD7E72"/>
    <w:rsid w:val="00AD7EFF"/>
    <w:rsid w:val="00AE0219"/>
    <w:rsid w:val="00AE021A"/>
    <w:rsid w:val="00AE0244"/>
    <w:rsid w:val="00AE029D"/>
    <w:rsid w:val="00AE02F7"/>
    <w:rsid w:val="00AE036E"/>
    <w:rsid w:val="00AE0809"/>
    <w:rsid w:val="00AE0980"/>
    <w:rsid w:val="00AE0BC2"/>
    <w:rsid w:val="00AE0CAE"/>
    <w:rsid w:val="00AE0F1A"/>
    <w:rsid w:val="00AE0F24"/>
    <w:rsid w:val="00AE1069"/>
    <w:rsid w:val="00AE1344"/>
    <w:rsid w:val="00AE13BA"/>
    <w:rsid w:val="00AE1526"/>
    <w:rsid w:val="00AE1AA6"/>
    <w:rsid w:val="00AE1BC6"/>
    <w:rsid w:val="00AE2084"/>
    <w:rsid w:val="00AE21D4"/>
    <w:rsid w:val="00AE2253"/>
    <w:rsid w:val="00AE22DA"/>
    <w:rsid w:val="00AE2320"/>
    <w:rsid w:val="00AE2D52"/>
    <w:rsid w:val="00AE2F1A"/>
    <w:rsid w:val="00AE2F7D"/>
    <w:rsid w:val="00AE3090"/>
    <w:rsid w:val="00AE310C"/>
    <w:rsid w:val="00AE322D"/>
    <w:rsid w:val="00AE330F"/>
    <w:rsid w:val="00AE3328"/>
    <w:rsid w:val="00AE334D"/>
    <w:rsid w:val="00AE36C4"/>
    <w:rsid w:val="00AE3826"/>
    <w:rsid w:val="00AE3836"/>
    <w:rsid w:val="00AE3AE1"/>
    <w:rsid w:val="00AE3B3C"/>
    <w:rsid w:val="00AE3C0A"/>
    <w:rsid w:val="00AE3C3F"/>
    <w:rsid w:val="00AE3CA2"/>
    <w:rsid w:val="00AE422D"/>
    <w:rsid w:val="00AE42D7"/>
    <w:rsid w:val="00AE449C"/>
    <w:rsid w:val="00AE46B7"/>
    <w:rsid w:val="00AE473B"/>
    <w:rsid w:val="00AE47C2"/>
    <w:rsid w:val="00AE47F2"/>
    <w:rsid w:val="00AE480F"/>
    <w:rsid w:val="00AE490C"/>
    <w:rsid w:val="00AE4B8F"/>
    <w:rsid w:val="00AE4EAD"/>
    <w:rsid w:val="00AE4F3E"/>
    <w:rsid w:val="00AE50EC"/>
    <w:rsid w:val="00AE524B"/>
    <w:rsid w:val="00AE54D4"/>
    <w:rsid w:val="00AE58C7"/>
    <w:rsid w:val="00AE5905"/>
    <w:rsid w:val="00AE5F2E"/>
    <w:rsid w:val="00AE5F5C"/>
    <w:rsid w:val="00AE61EE"/>
    <w:rsid w:val="00AE635F"/>
    <w:rsid w:val="00AE6719"/>
    <w:rsid w:val="00AE687A"/>
    <w:rsid w:val="00AE6CEA"/>
    <w:rsid w:val="00AE6DA3"/>
    <w:rsid w:val="00AE6EEA"/>
    <w:rsid w:val="00AE71CA"/>
    <w:rsid w:val="00AE7500"/>
    <w:rsid w:val="00AE7546"/>
    <w:rsid w:val="00AE7793"/>
    <w:rsid w:val="00AE77AA"/>
    <w:rsid w:val="00AE7A47"/>
    <w:rsid w:val="00AE7B8A"/>
    <w:rsid w:val="00AE7BF9"/>
    <w:rsid w:val="00AE7DD1"/>
    <w:rsid w:val="00AE7F03"/>
    <w:rsid w:val="00AF02E1"/>
    <w:rsid w:val="00AF08AD"/>
    <w:rsid w:val="00AF0BA9"/>
    <w:rsid w:val="00AF0EC5"/>
    <w:rsid w:val="00AF0ED5"/>
    <w:rsid w:val="00AF0F18"/>
    <w:rsid w:val="00AF11FD"/>
    <w:rsid w:val="00AF14A2"/>
    <w:rsid w:val="00AF157F"/>
    <w:rsid w:val="00AF1599"/>
    <w:rsid w:val="00AF15EB"/>
    <w:rsid w:val="00AF16DC"/>
    <w:rsid w:val="00AF17CB"/>
    <w:rsid w:val="00AF18E2"/>
    <w:rsid w:val="00AF1934"/>
    <w:rsid w:val="00AF1A99"/>
    <w:rsid w:val="00AF1C62"/>
    <w:rsid w:val="00AF1F24"/>
    <w:rsid w:val="00AF2018"/>
    <w:rsid w:val="00AF205F"/>
    <w:rsid w:val="00AF20DE"/>
    <w:rsid w:val="00AF21AC"/>
    <w:rsid w:val="00AF22D3"/>
    <w:rsid w:val="00AF2319"/>
    <w:rsid w:val="00AF2445"/>
    <w:rsid w:val="00AF2554"/>
    <w:rsid w:val="00AF26A3"/>
    <w:rsid w:val="00AF2735"/>
    <w:rsid w:val="00AF2880"/>
    <w:rsid w:val="00AF28D5"/>
    <w:rsid w:val="00AF2965"/>
    <w:rsid w:val="00AF2B85"/>
    <w:rsid w:val="00AF2E3F"/>
    <w:rsid w:val="00AF2FC3"/>
    <w:rsid w:val="00AF322B"/>
    <w:rsid w:val="00AF331A"/>
    <w:rsid w:val="00AF336C"/>
    <w:rsid w:val="00AF339A"/>
    <w:rsid w:val="00AF3865"/>
    <w:rsid w:val="00AF389F"/>
    <w:rsid w:val="00AF397F"/>
    <w:rsid w:val="00AF3DE4"/>
    <w:rsid w:val="00AF3E40"/>
    <w:rsid w:val="00AF4225"/>
    <w:rsid w:val="00AF42A0"/>
    <w:rsid w:val="00AF44CF"/>
    <w:rsid w:val="00AF472A"/>
    <w:rsid w:val="00AF4ADD"/>
    <w:rsid w:val="00AF4B5A"/>
    <w:rsid w:val="00AF4B5D"/>
    <w:rsid w:val="00AF4BCE"/>
    <w:rsid w:val="00AF4DB4"/>
    <w:rsid w:val="00AF5031"/>
    <w:rsid w:val="00AF5128"/>
    <w:rsid w:val="00AF529E"/>
    <w:rsid w:val="00AF5501"/>
    <w:rsid w:val="00AF5861"/>
    <w:rsid w:val="00AF5B1C"/>
    <w:rsid w:val="00AF5DCB"/>
    <w:rsid w:val="00AF5E25"/>
    <w:rsid w:val="00AF5F67"/>
    <w:rsid w:val="00AF64AD"/>
    <w:rsid w:val="00AF6688"/>
    <w:rsid w:val="00AF683E"/>
    <w:rsid w:val="00AF69B3"/>
    <w:rsid w:val="00AF6AAE"/>
    <w:rsid w:val="00AF6FE1"/>
    <w:rsid w:val="00AF7122"/>
    <w:rsid w:val="00AF73A7"/>
    <w:rsid w:val="00AF73BF"/>
    <w:rsid w:val="00AF73F9"/>
    <w:rsid w:val="00AF74CA"/>
    <w:rsid w:val="00AF76C0"/>
    <w:rsid w:val="00AF78C1"/>
    <w:rsid w:val="00AF791C"/>
    <w:rsid w:val="00AF7A3A"/>
    <w:rsid w:val="00AF7C87"/>
    <w:rsid w:val="00AF7DB0"/>
    <w:rsid w:val="00B0000C"/>
    <w:rsid w:val="00B003DE"/>
    <w:rsid w:val="00B00575"/>
    <w:rsid w:val="00B00689"/>
    <w:rsid w:val="00B007C7"/>
    <w:rsid w:val="00B008F2"/>
    <w:rsid w:val="00B00A0E"/>
    <w:rsid w:val="00B00D1A"/>
    <w:rsid w:val="00B00D24"/>
    <w:rsid w:val="00B00E18"/>
    <w:rsid w:val="00B01375"/>
    <w:rsid w:val="00B01471"/>
    <w:rsid w:val="00B014E0"/>
    <w:rsid w:val="00B015C0"/>
    <w:rsid w:val="00B016DA"/>
    <w:rsid w:val="00B017F7"/>
    <w:rsid w:val="00B01844"/>
    <w:rsid w:val="00B01875"/>
    <w:rsid w:val="00B019EB"/>
    <w:rsid w:val="00B01E5A"/>
    <w:rsid w:val="00B01EB1"/>
    <w:rsid w:val="00B0200A"/>
    <w:rsid w:val="00B0210F"/>
    <w:rsid w:val="00B021CD"/>
    <w:rsid w:val="00B02507"/>
    <w:rsid w:val="00B02591"/>
    <w:rsid w:val="00B0263D"/>
    <w:rsid w:val="00B02752"/>
    <w:rsid w:val="00B02BDA"/>
    <w:rsid w:val="00B02C74"/>
    <w:rsid w:val="00B02E6A"/>
    <w:rsid w:val="00B02E96"/>
    <w:rsid w:val="00B030C1"/>
    <w:rsid w:val="00B03394"/>
    <w:rsid w:val="00B0360C"/>
    <w:rsid w:val="00B0370F"/>
    <w:rsid w:val="00B037EB"/>
    <w:rsid w:val="00B039C4"/>
    <w:rsid w:val="00B03A0D"/>
    <w:rsid w:val="00B03A40"/>
    <w:rsid w:val="00B03B2D"/>
    <w:rsid w:val="00B03CA4"/>
    <w:rsid w:val="00B03DAD"/>
    <w:rsid w:val="00B04163"/>
    <w:rsid w:val="00B041C3"/>
    <w:rsid w:val="00B041FE"/>
    <w:rsid w:val="00B042B9"/>
    <w:rsid w:val="00B0430A"/>
    <w:rsid w:val="00B04493"/>
    <w:rsid w:val="00B04921"/>
    <w:rsid w:val="00B04BF3"/>
    <w:rsid w:val="00B04C50"/>
    <w:rsid w:val="00B04E23"/>
    <w:rsid w:val="00B04E33"/>
    <w:rsid w:val="00B04E41"/>
    <w:rsid w:val="00B04F3A"/>
    <w:rsid w:val="00B04F82"/>
    <w:rsid w:val="00B04F91"/>
    <w:rsid w:val="00B05063"/>
    <w:rsid w:val="00B051B2"/>
    <w:rsid w:val="00B053D0"/>
    <w:rsid w:val="00B0561D"/>
    <w:rsid w:val="00B056C2"/>
    <w:rsid w:val="00B05722"/>
    <w:rsid w:val="00B0581D"/>
    <w:rsid w:val="00B05826"/>
    <w:rsid w:val="00B05B28"/>
    <w:rsid w:val="00B05CF7"/>
    <w:rsid w:val="00B05E0C"/>
    <w:rsid w:val="00B05E64"/>
    <w:rsid w:val="00B06047"/>
    <w:rsid w:val="00B06237"/>
    <w:rsid w:val="00B06306"/>
    <w:rsid w:val="00B06354"/>
    <w:rsid w:val="00B066DD"/>
    <w:rsid w:val="00B066EB"/>
    <w:rsid w:val="00B06747"/>
    <w:rsid w:val="00B069A3"/>
    <w:rsid w:val="00B06EA7"/>
    <w:rsid w:val="00B06EB8"/>
    <w:rsid w:val="00B06EDB"/>
    <w:rsid w:val="00B06F2C"/>
    <w:rsid w:val="00B0702C"/>
    <w:rsid w:val="00B0704C"/>
    <w:rsid w:val="00B074DE"/>
    <w:rsid w:val="00B077C9"/>
    <w:rsid w:val="00B077E5"/>
    <w:rsid w:val="00B079FA"/>
    <w:rsid w:val="00B07A89"/>
    <w:rsid w:val="00B07A8D"/>
    <w:rsid w:val="00B07A90"/>
    <w:rsid w:val="00B07ABC"/>
    <w:rsid w:val="00B07D55"/>
    <w:rsid w:val="00B07F10"/>
    <w:rsid w:val="00B10105"/>
    <w:rsid w:val="00B101ED"/>
    <w:rsid w:val="00B102A0"/>
    <w:rsid w:val="00B10322"/>
    <w:rsid w:val="00B105D9"/>
    <w:rsid w:val="00B10605"/>
    <w:rsid w:val="00B107E3"/>
    <w:rsid w:val="00B108B4"/>
    <w:rsid w:val="00B10A6D"/>
    <w:rsid w:val="00B10B68"/>
    <w:rsid w:val="00B10D38"/>
    <w:rsid w:val="00B10D4A"/>
    <w:rsid w:val="00B10E28"/>
    <w:rsid w:val="00B11B21"/>
    <w:rsid w:val="00B11E57"/>
    <w:rsid w:val="00B11FF1"/>
    <w:rsid w:val="00B12020"/>
    <w:rsid w:val="00B122A8"/>
    <w:rsid w:val="00B1256D"/>
    <w:rsid w:val="00B12784"/>
    <w:rsid w:val="00B127B2"/>
    <w:rsid w:val="00B12B05"/>
    <w:rsid w:val="00B12CB6"/>
    <w:rsid w:val="00B12F2F"/>
    <w:rsid w:val="00B13321"/>
    <w:rsid w:val="00B134CC"/>
    <w:rsid w:val="00B135DC"/>
    <w:rsid w:val="00B13639"/>
    <w:rsid w:val="00B13869"/>
    <w:rsid w:val="00B13A17"/>
    <w:rsid w:val="00B13BD8"/>
    <w:rsid w:val="00B13C29"/>
    <w:rsid w:val="00B13C7A"/>
    <w:rsid w:val="00B13E76"/>
    <w:rsid w:val="00B13F44"/>
    <w:rsid w:val="00B13F9B"/>
    <w:rsid w:val="00B1400E"/>
    <w:rsid w:val="00B143A4"/>
    <w:rsid w:val="00B1466B"/>
    <w:rsid w:val="00B14731"/>
    <w:rsid w:val="00B14828"/>
    <w:rsid w:val="00B148A9"/>
    <w:rsid w:val="00B14947"/>
    <w:rsid w:val="00B14B14"/>
    <w:rsid w:val="00B14BCF"/>
    <w:rsid w:val="00B14C2E"/>
    <w:rsid w:val="00B15135"/>
    <w:rsid w:val="00B15291"/>
    <w:rsid w:val="00B15430"/>
    <w:rsid w:val="00B15478"/>
    <w:rsid w:val="00B155DF"/>
    <w:rsid w:val="00B155F5"/>
    <w:rsid w:val="00B1567B"/>
    <w:rsid w:val="00B156BD"/>
    <w:rsid w:val="00B156FE"/>
    <w:rsid w:val="00B15816"/>
    <w:rsid w:val="00B15912"/>
    <w:rsid w:val="00B159FF"/>
    <w:rsid w:val="00B15A88"/>
    <w:rsid w:val="00B15F0A"/>
    <w:rsid w:val="00B16029"/>
    <w:rsid w:val="00B161EF"/>
    <w:rsid w:val="00B164C4"/>
    <w:rsid w:val="00B165BF"/>
    <w:rsid w:val="00B16736"/>
    <w:rsid w:val="00B1677C"/>
    <w:rsid w:val="00B16868"/>
    <w:rsid w:val="00B1697C"/>
    <w:rsid w:val="00B169B3"/>
    <w:rsid w:val="00B16A2F"/>
    <w:rsid w:val="00B16DC6"/>
    <w:rsid w:val="00B16E2A"/>
    <w:rsid w:val="00B16FFE"/>
    <w:rsid w:val="00B17257"/>
    <w:rsid w:val="00B1737F"/>
    <w:rsid w:val="00B17438"/>
    <w:rsid w:val="00B175DF"/>
    <w:rsid w:val="00B176DB"/>
    <w:rsid w:val="00B1777F"/>
    <w:rsid w:val="00B1786C"/>
    <w:rsid w:val="00B17A7B"/>
    <w:rsid w:val="00B17D71"/>
    <w:rsid w:val="00B17E74"/>
    <w:rsid w:val="00B17F27"/>
    <w:rsid w:val="00B20221"/>
    <w:rsid w:val="00B2026D"/>
    <w:rsid w:val="00B20356"/>
    <w:rsid w:val="00B205F7"/>
    <w:rsid w:val="00B2064D"/>
    <w:rsid w:val="00B206AE"/>
    <w:rsid w:val="00B20C47"/>
    <w:rsid w:val="00B20CAD"/>
    <w:rsid w:val="00B20DFB"/>
    <w:rsid w:val="00B20E03"/>
    <w:rsid w:val="00B212AC"/>
    <w:rsid w:val="00B21600"/>
    <w:rsid w:val="00B21786"/>
    <w:rsid w:val="00B217B2"/>
    <w:rsid w:val="00B217C3"/>
    <w:rsid w:val="00B2183C"/>
    <w:rsid w:val="00B21955"/>
    <w:rsid w:val="00B21C6B"/>
    <w:rsid w:val="00B21CA3"/>
    <w:rsid w:val="00B21CA4"/>
    <w:rsid w:val="00B21DFC"/>
    <w:rsid w:val="00B2205B"/>
    <w:rsid w:val="00B22108"/>
    <w:rsid w:val="00B22486"/>
    <w:rsid w:val="00B2280B"/>
    <w:rsid w:val="00B22A5D"/>
    <w:rsid w:val="00B22A74"/>
    <w:rsid w:val="00B22ABB"/>
    <w:rsid w:val="00B22C30"/>
    <w:rsid w:val="00B22CC6"/>
    <w:rsid w:val="00B22DAD"/>
    <w:rsid w:val="00B23117"/>
    <w:rsid w:val="00B234D0"/>
    <w:rsid w:val="00B23770"/>
    <w:rsid w:val="00B237FA"/>
    <w:rsid w:val="00B23B95"/>
    <w:rsid w:val="00B23BF5"/>
    <w:rsid w:val="00B23C80"/>
    <w:rsid w:val="00B23C83"/>
    <w:rsid w:val="00B23CE2"/>
    <w:rsid w:val="00B23F57"/>
    <w:rsid w:val="00B23F75"/>
    <w:rsid w:val="00B23FB6"/>
    <w:rsid w:val="00B24408"/>
    <w:rsid w:val="00B245C2"/>
    <w:rsid w:val="00B24751"/>
    <w:rsid w:val="00B2492A"/>
    <w:rsid w:val="00B24989"/>
    <w:rsid w:val="00B249D4"/>
    <w:rsid w:val="00B249F4"/>
    <w:rsid w:val="00B24D07"/>
    <w:rsid w:val="00B24D2A"/>
    <w:rsid w:val="00B24D46"/>
    <w:rsid w:val="00B24DF7"/>
    <w:rsid w:val="00B24F2C"/>
    <w:rsid w:val="00B250D0"/>
    <w:rsid w:val="00B25643"/>
    <w:rsid w:val="00B25677"/>
    <w:rsid w:val="00B256AB"/>
    <w:rsid w:val="00B25709"/>
    <w:rsid w:val="00B25736"/>
    <w:rsid w:val="00B2576F"/>
    <w:rsid w:val="00B25A48"/>
    <w:rsid w:val="00B25C26"/>
    <w:rsid w:val="00B25DA8"/>
    <w:rsid w:val="00B25EC3"/>
    <w:rsid w:val="00B2601E"/>
    <w:rsid w:val="00B260A6"/>
    <w:rsid w:val="00B262B6"/>
    <w:rsid w:val="00B262FB"/>
    <w:rsid w:val="00B263D1"/>
    <w:rsid w:val="00B264E5"/>
    <w:rsid w:val="00B266D9"/>
    <w:rsid w:val="00B2677C"/>
    <w:rsid w:val="00B26BA8"/>
    <w:rsid w:val="00B26DB3"/>
    <w:rsid w:val="00B26F52"/>
    <w:rsid w:val="00B27039"/>
    <w:rsid w:val="00B2721B"/>
    <w:rsid w:val="00B275CD"/>
    <w:rsid w:val="00B278EC"/>
    <w:rsid w:val="00B27A3F"/>
    <w:rsid w:val="00B27CA7"/>
    <w:rsid w:val="00B27E10"/>
    <w:rsid w:val="00B27F01"/>
    <w:rsid w:val="00B30083"/>
    <w:rsid w:val="00B302B1"/>
    <w:rsid w:val="00B30439"/>
    <w:rsid w:val="00B30634"/>
    <w:rsid w:val="00B306D5"/>
    <w:rsid w:val="00B307DD"/>
    <w:rsid w:val="00B30845"/>
    <w:rsid w:val="00B30876"/>
    <w:rsid w:val="00B30B8B"/>
    <w:rsid w:val="00B30EFC"/>
    <w:rsid w:val="00B30FD8"/>
    <w:rsid w:val="00B3139E"/>
    <w:rsid w:val="00B31673"/>
    <w:rsid w:val="00B31A03"/>
    <w:rsid w:val="00B31A0E"/>
    <w:rsid w:val="00B31A93"/>
    <w:rsid w:val="00B31F61"/>
    <w:rsid w:val="00B3204E"/>
    <w:rsid w:val="00B3207D"/>
    <w:rsid w:val="00B32278"/>
    <w:rsid w:val="00B322BA"/>
    <w:rsid w:val="00B3240B"/>
    <w:rsid w:val="00B32483"/>
    <w:rsid w:val="00B32905"/>
    <w:rsid w:val="00B32935"/>
    <w:rsid w:val="00B32B6E"/>
    <w:rsid w:val="00B32B7A"/>
    <w:rsid w:val="00B330C8"/>
    <w:rsid w:val="00B333F7"/>
    <w:rsid w:val="00B3346E"/>
    <w:rsid w:val="00B3362C"/>
    <w:rsid w:val="00B33636"/>
    <w:rsid w:val="00B33653"/>
    <w:rsid w:val="00B3367C"/>
    <w:rsid w:val="00B3377A"/>
    <w:rsid w:val="00B3388A"/>
    <w:rsid w:val="00B33944"/>
    <w:rsid w:val="00B33AA4"/>
    <w:rsid w:val="00B33AB9"/>
    <w:rsid w:val="00B33AD7"/>
    <w:rsid w:val="00B33AEE"/>
    <w:rsid w:val="00B33B37"/>
    <w:rsid w:val="00B33BE6"/>
    <w:rsid w:val="00B33D4F"/>
    <w:rsid w:val="00B33D71"/>
    <w:rsid w:val="00B33DE5"/>
    <w:rsid w:val="00B33E23"/>
    <w:rsid w:val="00B33FBB"/>
    <w:rsid w:val="00B3416C"/>
    <w:rsid w:val="00B34212"/>
    <w:rsid w:val="00B3423A"/>
    <w:rsid w:val="00B3424B"/>
    <w:rsid w:val="00B342BC"/>
    <w:rsid w:val="00B34531"/>
    <w:rsid w:val="00B3461E"/>
    <w:rsid w:val="00B348F1"/>
    <w:rsid w:val="00B34CCB"/>
    <w:rsid w:val="00B34CF9"/>
    <w:rsid w:val="00B34DEB"/>
    <w:rsid w:val="00B34EF4"/>
    <w:rsid w:val="00B34F91"/>
    <w:rsid w:val="00B3526A"/>
    <w:rsid w:val="00B3597F"/>
    <w:rsid w:val="00B359BA"/>
    <w:rsid w:val="00B359C0"/>
    <w:rsid w:val="00B35A51"/>
    <w:rsid w:val="00B35BBC"/>
    <w:rsid w:val="00B36123"/>
    <w:rsid w:val="00B3623E"/>
    <w:rsid w:val="00B36325"/>
    <w:rsid w:val="00B3637C"/>
    <w:rsid w:val="00B36427"/>
    <w:rsid w:val="00B366E8"/>
    <w:rsid w:val="00B367D4"/>
    <w:rsid w:val="00B367F1"/>
    <w:rsid w:val="00B3686F"/>
    <w:rsid w:val="00B3687D"/>
    <w:rsid w:val="00B368A2"/>
    <w:rsid w:val="00B36A69"/>
    <w:rsid w:val="00B36AD5"/>
    <w:rsid w:val="00B36B34"/>
    <w:rsid w:val="00B36D2B"/>
    <w:rsid w:val="00B36FF3"/>
    <w:rsid w:val="00B37B7C"/>
    <w:rsid w:val="00B37B81"/>
    <w:rsid w:val="00B37E25"/>
    <w:rsid w:val="00B37E4D"/>
    <w:rsid w:val="00B40127"/>
    <w:rsid w:val="00B40428"/>
    <w:rsid w:val="00B404B8"/>
    <w:rsid w:val="00B40579"/>
    <w:rsid w:val="00B406BB"/>
    <w:rsid w:val="00B40BDF"/>
    <w:rsid w:val="00B40E86"/>
    <w:rsid w:val="00B40EC5"/>
    <w:rsid w:val="00B411AE"/>
    <w:rsid w:val="00B4123E"/>
    <w:rsid w:val="00B413B9"/>
    <w:rsid w:val="00B418A9"/>
    <w:rsid w:val="00B418F9"/>
    <w:rsid w:val="00B41B71"/>
    <w:rsid w:val="00B41C38"/>
    <w:rsid w:val="00B41C51"/>
    <w:rsid w:val="00B41CE8"/>
    <w:rsid w:val="00B41E6C"/>
    <w:rsid w:val="00B42484"/>
    <w:rsid w:val="00B42551"/>
    <w:rsid w:val="00B4266B"/>
    <w:rsid w:val="00B428B9"/>
    <w:rsid w:val="00B42A11"/>
    <w:rsid w:val="00B42E1F"/>
    <w:rsid w:val="00B432DE"/>
    <w:rsid w:val="00B4331E"/>
    <w:rsid w:val="00B4352A"/>
    <w:rsid w:val="00B43532"/>
    <w:rsid w:val="00B435F4"/>
    <w:rsid w:val="00B4397E"/>
    <w:rsid w:val="00B43CDF"/>
    <w:rsid w:val="00B43E0B"/>
    <w:rsid w:val="00B43E52"/>
    <w:rsid w:val="00B4437A"/>
    <w:rsid w:val="00B446C2"/>
    <w:rsid w:val="00B446EB"/>
    <w:rsid w:val="00B4476B"/>
    <w:rsid w:val="00B4477D"/>
    <w:rsid w:val="00B4489F"/>
    <w:rsid w:val="00B44B6B"/>
    <w:rsid w:val="00B44E0C"/>
    <w:rsid w:val="00B45208"/>
    <w:rsid w:val="00B45467"/>
    <w:rsid w:val="00B454F9"/>
    <w:rsid w:val="00B459E4"/>
    <w:rsid w:val="00B45A6A"/>
    <w:rsid w:val="00B45B32"/>
    <w:rsid w:val="00B45B3D"/>
    <w:rsid w:val="00B45DCF"/>
    <w:rsid w:val="00B45ED2"/>
    <w:rsid w:val="00B45F08"/>
    <w:rsid w:val="00B460ED"/>
    <w:rsid w:val="00B461E7"/>
    <w:rsid w:val="00B4624C"/>
    <w:rsid w:val="00B462F6"/>
    <w:rsid w:val="00B46346"/>
    <w:rsid w:val="00B4643C"/>
    <w:rsid w:val="00B4657A"/>
    <w:rsid w:val="00B46585"/>
    <w:rsid w:val="00B465F2"/>
    <w:rsid w:val="00B468B5"/>
    <w:rsid w:val="00B468BA"/>
    <w:rsid w:val="00B4696F"/>
    <w:rsid w:val="00B46AF0"/>
    <w:rsid w:val="00B46B00"/>
    <w:rsid w:val="00B46B09"/>
    <w:rsid w:val="00B46BF3"/>
    <w:rsid w:val="00B46E68"/>
    <w:rsid w:val="00B470B1"/>
    <w:rsid w:val="00B470C5"/>
    <w:rsid w:val="00B47270"/>
    <w:rsid w:val="00B4738B"/>
    <w:rsid w:val="00B473FA"/>
    <w:rsid w:val="00B478FF"/>
    <w:rsid w:val="00B4791F"/>
    <w:rsid w:val="00B4793B"/>
    <w:rsid w:val="00B47AFF"/>
    <w:rsid w:val="00B47E67"/>
    <w:rsid w:val="00B47EA6"/>
    <w:rsid w:val="00B5003B"/>
    <w:rsid w:val="00B500DF"/>
    <w:rsid w:val="00B502E2"/>
    <w:rsid w:val="00B50375"/>
    <w:rsid w:val="00B50484"/>
    <w:rsid w:val="00B5063C"/>
    <w:rsid w:val="00B50849"/>
    <w:rsid w:val="00B50892"/>
    <w:rsid w:val="00B508AD"/>
    <w:rsid w:val="00B5098C"/>
    <w:rsid w:val="00B50A33"/>
    <w:rsid w:val="00B50ADF"/>
    <w:rsid w:val="00B50C90"/>
    <w:rsid w:val="00B50D96"/>
    <w:rsid w:val="00B50DC7"/>
    <w:rsid w:val="00B5107F"/>
    <w:rsid w:val="00B510E2"/>
    <w:rsid w:val="00B5160B"/>
    <w:rsid w:val="00B51A27"/>
    <w:rsid w:val="00B51B16"/>
    <w:rsid w:val="00B51D4A"/>
    <w:rsid w:val="00B51D5D"/>
    <w:rsid w:val="00B51DA1"/>
    <w:rsid w:val="00B51F76"/>
    <w:rsid w:val="00B52055"/>
    <w:rsid w:val="00B52331"/>
    <w:rsid w:val="00B52B65"/>
    <w:rsid w:val="00B52B79"/>
    <w:rsid w:val="00B52C55"/>
    <w:rsid w:val="00B52F64"/>
    <w:rsid w:val="00B52F87"/>
    <w:rsid w:val="00B52FE2"/>
    <w:rsid w:val="00B5302C"/>
    <w:rsid w:val="00B53253"/>
    <w:rsid w:val="00B5336E"/>
    <w:rsid w:val="00B535B9"/>
    <w:rsid w:val="00B53738"/>
    <w:rsid w:val="00B537BC"/>
    <w:rsid w:val="00B53AFE"/>
    <w:rsid w:val="00B53C27"/>
    <w:rsid w:val="00B53E70"/>
    <w:rsid w:val="00B54788"/>
    <w:rsid w:val="00B547DE"/>
    <w:rsid w:val="00B54861"/>
    <w:rsid w:val="00B54879"/>
    <w:rsid w:val="00B5490D"/>
    <w:rsid w:val="00B549EC"/>
    <w:rsid w:val="00B549F4"/>
    <w:rsid w:val="00B54BE1"/>
    <w:rsid w:val="00B54CA8"/>
    <w:rsid w:val="00B54CDC"/>
    <w:rsid w:val="00B54D54"/>
    <w:rsid w:val="00B54EC5"/>
    <w:rsid w:val="00B55130"/>
    <w:rsid w:val="00B5516E"/>
    <w:rsid w:val="00B5522E"/>
    <w:rsid w:val="00B554D6"/>
    <w:rsid w:val="00B555DA"/>
    <w:rsid w:val="00B557B7"/>
    <w:rsid w:val="00B55A41"/>
    <w:rsid w:val="00B55D0B"/>
    <w:rsid w:val="00B55E68"/>
    <w:rsid w:val="00B55E8F"/>
    <w:rsid w:val="00B56181"/>
    <w:rsid w:val="00B5628D"/>
    <w:rsid w:val="00B56554"/>
    <w:rsid w:val="00B56937"/>
    <w:rsid w:val="00B56983"/>
    <w:rsid w:val="00B56B52"/>
    <w:rsid w:val="00B56CBB"/>
    <w:rsid w:val="00B5717F"/>
    <w:rsid w:val="00B57387"/>
    <w:rsid w:val="00B57418"/>
    <w:rsid w:val="00B57597"/>
    <w:rsid w:val="00B57AC2"/>
    <w:rsid w:val="00B57F5A"/>
    <w:rsid w:val="00B57FF3"/>
    <w:rsid w:val="00B601D6"/>
    <w:rsid w:val="00B60541"/>
    <w:rsid w:val="00B60740"/>
    <w:rsid w:val="00B60A32"/>
    <w:rsid w:val="00B60B83"/>
    <w:rsid w:val="00B60B8F"/>
    <w:rsid w:val="00B60FD5"/>
    <w:rsid w:val="00B61005"/>
    <w:rsid w:val="00B61083"/>
    <w:rsid w:val="00B618EC"/>
    <w:rsid w:val="00B61B57"/>
    <w:rsid w:val="00B61B63"/>
    <w:rsid w:val="00B61EFA"/>
    <w:rsid w:val="00B61F86"/>
    <w:rsid w:val="00B6219D"/>
    <w:rsid w:val="00B62239"/>
    <w:rsid w:val="00B623BD"/>
    <w:rsid w:val="00B627B9"/>
    <w:rsid w:val="00B627DA"/>
    <w:rsid w:val="00B6286B"/>
    <w:rsid w:val="00B62A6C"/>
    <w:rsid w:val="00B62C41"/>
    <w:rsid w:val="00B62CA1"/>
    <w:rsid w:val="00B62E58"/>
    <w:rsid w:val="00B6313F"/>
    <w:rsid w:val="00B631B1"/>
    <w:rsid w:val="00B633A4"/>
    <w:rsid w:val="00B63556"/>
    <w:rsid w:val="00B635DE"/>
    <w:rsid w:val="00B6379E"/>
    <w:rsid w:val="00B63997"/>
    <w:rsid w:val="00B639A9"/>
    <w:rsid w:val="00B639DB"/>
    <w:rsid w:val="00B63B5B"/>
    <w:rsid w:val="00B63EDF"/>
    <w:rsid w:val="00B63EFF"/>
    <w:rsid w:val="00B6402C"/>
    <w:rsid w:val="00B6413F"/>
    <w:rsid w:val="00B64250"/>
    <w:rsid w:val="00B643A7"/>
    <w:rsid w:val="00B64592"/>
    <w:rsid w:val="00B645AD"/>
    <w:rsid w:val="00B6468B"/>
    <w:rsid w:val="00B6473B"/>
    <w:rsid w:val="00B64825"/>
    <w:rsid w:val="00B64885"/>
    <w:rsid w:val="00B64B5B"/>
    <w:rsid w:val="00B64E37"/>
    <w:rsid w:val="00B64EC3"/>
    <w:rsid w:val="00B64F8D"/>
    <w:rsid w:val="00B651C1"/>
    <w:rsid w:val="00B656FE"/>
    <w:rsid w:val="00B657F7"/>
    <w:rsid w:val="00B6580C"/>
    <w:rsid w:val="00B6593A"/>
    <w:rsid w:val="00B65980"/>
    <w:rsid w:val="00B65A92"/>
    <w:rsid w:val="00B65CE4"/>
    <w:rsid w:val="00B65D36"/>
    <w:rsid w:val="00B65D48"/>
    <w:rsid w:val="00B65E80"/>
    <w:rsid w:val="00B66031"/>
    <w:rsid w:val="00B6632C"/>
    <w:rsid w:val="00B6667D"/>
    <w:rsid w:val="00B667A6"/>
    <w:rsid w:val="00B66BF8"/>
    <w:rsid w:val="00B66E28"/>
    <w:rsid w:val="00B66EB0"/>
    <w:rsid w:val="00B67166"/>
    <w:rsid w:val="00B67315"/>
    <w:rsid w:val="00B67549"/>
    <w:rsid w:val="00B678A2"/>
    <w:rsid w:val="00B678E3"/>
    <w:rsid w:val="00B67ACB"/>
    <w:rsid w:val="00B67C78"/>
    <w:rsid w:val="00B67CBE"/>
    <w:rsid w:val="00B67CEC"/>
    <w:rsid w:val="00B700D8"/>
    <w:rsid w:val="00B70144"/>
    <w:rsid w:val="00B70408"/>
    <w:rsid w:val="00B7047D"/>
    <w:rsid w:val="00B709A8"/>
    <w:rsid w:val="00B70A53"/>
    <w:rsid w:val="00B70B6D"/>
    <w:rsid w:val="00B70F43"/>
    <w:rsid w:val="00B712EA"/>
    <w:rsid w:val="00B71560"/>
    <w:rsid w:val="00B716D7"/>
    <w:rsid w:val="00B71884"/>
    <w:rsid w:val="00B71951"/>
    <w:rsid w:val="00B71E42"/>
    <w:rsid w:val="00B72128"/>
    <w:rsid w:val="00B721B1"/>
    <w:rsid w:val="00B721B9"/>
    <w:rsid w:val="00B72516"/>
    <w:rsid w:val="00B7257A"/>
    <w:rsid w:val="00B725D1"/>
    <w:rsid w:val="00B72601"/>
    <w:rsid w:val="00B726BA"/>
    <w:rsid w:val="00B72742"/>
    <w:rsid w:val="00B7276C"/>
    <w:rsid w:val="00B729E4"/>
    <w:rsid w:val="00B72E46"/>
    <w:rsid w:val="00B72FEB"/>
    <w:rsid w:val="00B73371"/>
    <w:rsid w:val="00B733B5"/>
    <w:rsid w:val="00B73473"/>
    <w:rsid w:val="00B7354B"/>
    <w:rsid w:val="00B73577"/>
    <w:rsid w:val="00B737AB"/>
    <w:rsid w:val="00B73A91"/>
    <w:rsid w:val="00B73B32"/>
    <w:rsid w:val="00B73C70"/>
    <w:rsid w:val="00B73DD3"/>
    <w:rsid w:val="00B740A5"/>
    <w:rsid w:val="00B746C4"/>
    <w:rsid w:val="00B748F7"/>
    <w:rsid w:val="00B74A84"/>
    <w:rsid w:val="00B74B56"/>
    <w:rsid w:val="00B74B7D"/>
    <w:rsid w:val="00B74BCA"/>
    <w:rsid w:val="00B74CA6"/>
    <w:rsid w:val="00B74E35"/>
    <w:rsid w:val="00B74E7F"/>
    <w:rsid w:val="00B74ED6"/>
    <w:rsid w:val="00B74EE5"/>
    <w:rsid w:val="00B74F19"/>
    <w:rsid w:val="00B74F1C"/>
    <w:rsid w:val="00B75294"/>
    <w:rsid w:val="00B75353"/>
    <w:rsid w:val="00B7536F"/>
    <w:rsid w:val="00B75408"/>
    <w:rsid w:val="00B7562F"/>
    <w:rsid w:val="00B7579F"/>
    <w:rsid w:val="00B75927"/>
    <w:rsid w:val="00B75993"/>
    <w:rsid w:val="00B75C33"/>
    <w:rsid w:val="00B75CAD"/>
    <w:rsid w:val="00B75D4D"/>
    <w:rsid w:val="00B75DFC"/>
    <w:rsid w:val="00B75EDF"/>
    <w:rsid w:val="00B75F7C"/>
    <w:rsid w:val="00B760FE"/>
    <w:rsid w:val="00B76346"/>
    <w:rsid w:val="00B76381"/>
    <w:rsid w:val="00B763BF"/>
    <w:rsid w:val="00B76621"/>
    <w:rsid w:val="00B76917"/>
    <w:rsid w:val="00B76B0C"/>
    <w:rsid w:val="00B76E34"/>
    <w:rsid w:val="00B76FAC"/>
    <w:rsid w:val="00B77312"/>
    <w:rsid w:val="00B77607"/>
    <w:rsid w:val="00B7761A"/>
    <w:rsid w:val="00B77722"/>
    <w:rsid w:val="00B7794F"/>
    <w:rsid w:val="00B77A4D"/>
    <w:rsid w:val="00B77B71"/>
    <w:rsid w:val="00B77C78"/>
    <w:rsid w:val="00B77E97"/>
    <w:rsid w:val="00B80019"/>
    <w:rsid w:val="00B80357"/>
    <w:rsid w:val="00B8039E"/>
    <w:rsid w:val="00B80508"/>
    <w:rsid w:val="00B80901"/>
    <w:rsid w:val="00B80A81"/>
    <w:rsid w:val="00B80A99"/>
    <w:rsid w:val="00B80B33"/>
    <w:rsid w:val="00B80F76"/>
    <w:rsid w:val="00B80FCF"/>
    <w:rsid w:val="00B81161"/>
    <w:rsid w:val="00B8117F"/>
    <w:rsid w:val="00B811DE"/>
    <w:rsid w:val="00B8123E"/>
    <w:rsid w:val="00B8154B"/>
    <w:rsid w:val="00B815C9"/>
    <w:rsid w:val="00B8192D"/>
    <w:rsid w:val="00B81981"/>
    <w:rsid w:val="00B819AC"/>
    <w:rsid w:val="00B81C40"/>
    <w:rsid w:val="00B81D20"/>
    <w:rsid w:val="00B81EAF"/>
    <w:rsid w:val="00B81FD4"/>
    <w:rsid w:val="00B8203C"/>
    <w:rsid w:val="00B821F5"/>
    <w:rsid w:val="00B82291"/>
    <w:rsid w:val="00B823A8"/>
    <w:rsid w:val="00B82441"/>
    <w:rsid w:val="00B8272D"/>
    <w:rsid w:val="00B8286E"/>
    <w:rsid w:val="00B829A4"/>
    <w:rsid w:val="00B829DE"/>
    <w:rsid w:val="00B82A84"/>
    <w:rsid w:val="00B82BAC"/>
    <w:rsid w:val="00B82E06"/>
    <w:rsid w:val="00B82FAD"/>
    <w:rsid w:val="00B8300F"/>
    <w:rsid w:val="00B833D2"/>
    <w:rsid w:val="00B836B6"/>
    <w:rsid w:val="00B8390F"/>
    <w:rsid w:val="00B83D22"/>
    <w:rsid w:val="00B83F2D"/>
    <w:rsid w:val="00B841BB"/>
    <w:rsid w:val="00B84293"/>
    <w:rsid w:val="00B8448E"/>
    <w:rsid w:val="00B844B1"/>
    <w:rsid w:val="00B8460C"/>
    <w:rsid w:val="00B8477A"/>
    <w:rsid w:val="00B847B9"/>
    <w:rsid w:val="00B84A43"/>
    <w:rsid w:val="00B84C5B"/>
    <w:rsid w:val="00B84EF6"/>
    <w:rsid w:val="00B85031"/>
    <w:rsid w:val="00B850B9"/>
    <w:rsid w:val="00B850FA"/>
    <w:rsid w:val="00B85167"/>
    <w:rsid w:val="00B851B5"/>
    <w:rsid w:val="00B85288"/>
    <w:rsid w:val="00B8529C"/>
    <w:rsid w:val="00B854F5"/>
    <w:rsid w:val="00B85623"/>
    <w:rsid w:val="00B857BE"/>
    <w:rsid w:val="00B85AC7"/>
    <w:rsid w:val="00B85CE4"/>
    <w:rsid w:val="00B85F50"/>
    <w:rsid w:val="00B8603C"/>
    <w:rsid w:val="00B860BA"/>
    <w:rsid w:val="00B861AD"/>
    <w:rsid w:val="00B861E0"/>
    <w:rsid w:val="00B86219"/>
    <w:rsid w:val="00B8648C"/>
    <w:rsid w:val="00B864F7"/>
    <w:rsid w:val="00B8664F"/>
    <w:rsid w:val="00B8687B"/>
    <w:rsid w:val="00B868E2"/>
    <w:rsid w:val="00B86B03"/>
    <w:rsid w:val="00B86E98"/>
    <w:rsid w:val="00B86F41"/>
    <w:rsid w:val="00B8732F"/>
    <w:rsid w:val="00B87340"/>
    <w:rsid w:val="00B873B5"/>
    <w:rsid w:val="00B8747C"/>
    <w:rsid w:val="00B87648"/>
    <w:rsid w:val="00B878E0"/>
    <w:rsid w:val="00B87D6D"/>
    <w:rsid w:val="00B87FD6"/>
    <w:rsid w:val="00B902FD"/>
    <w:rsid w:val="00B90792"/>
    <w:rsid w:val="00B90A31"/>
    <w:rsid w:val="00B90B01"/>
    <w:rsid w:val="00B90BEB"/>
    <w:rsid w:val="00B90C5C"/>
    <w:rsid w:val="00B90C61"/>
    <w:rsid w:val="00B90E60"/>
    <w:rsid w:val="00B90E76"/>
    <w:rsid w:val="00B91076"/>
    <w:rsid w:val="00B91730"/>
    <w:rsid w:val="00B91AEF"/>
    <w:rsid w:val="00B91B5F"/>
    <w:rsid w:val="00B91BE6"/>
    <w:rsid w:val="00B91BFB"/>
    <w:rsid w:val="00B92250"/>
    <w:rsid w:val="00B92256"/>
    <w:rsid w:val="00B9247F"/>
    <w:rsid w:val="00B924CC"/>
    <w:rsid w:val="00B9250C"/>
    <w:rsid w:val="00B92564"/>
    <w:rsid w:val="00B92648"/>
    <w:rsid w:val="00B926B2"/>
    <w:rsid w:val="00B92A2B"/>
    <w:rsid w:val="00B92F7B"/>
    <w:rsid w:val="00B92F97"/>
    <w:rsid w:val="00B9315F"/>
    <w:rsid w:val="00B931BF"/>
    <w:rsid w:val="00B9328E"/>
    <w:rsid w:val="00B9333D"/>
    <w:rsid w:val="00B93448"/>
    <w:rsid w:val="00B9348D"/>
    <w:rsid w:val="00B934C3"/>
    <w:rsid w:val="00B935D9"/>
    <w:rsid w:val="00B9364D"/>
    <w:rsid w:val="00B93676"/>
    <w:rsid w:val="00B9367C"/>
    <w:rsid w:val="00B936B3"/>
    <w:rsid w:val="00B93958"/>
    <w:rsid w:val="00B93973"/>
    <w:rsid w:val="00B93B3F"/>
    <w:rsid w:val="00B93C89"/>
    <w:rsid w:val="00B940CE"/>
    <w:rsid w:val="00B9469C"/>
    <w:rsid w:val="00B94787"/>
    <w:rsid w:val="00B9481E"/>
    <w:rsid w:val="00B94DDF"/>
    <w:rsid w:val="00B95059"/>
    <w:rsid w:val="00B952AD"/>
    <w:rsid w:val="00B95317"/>
    <w:rsid w:val="00B9546F"/>
    <w:rsid w:val="00B955BE"/>
    <w:rsid w:val="00B95701"/>
    <w:rsid w:val="00B958B5"/>
    <w:rsid w:val="00B95A69"/>
    <w:rsid w:val="00B95B44"/>
    <w:rsid w:val="00B95C21"/>
    <w:rsid w:val="00B95C74"/>
    <w:rsid w:val="00B95F09"/>
    <w:rsid w:val="00B95F5E"/>
    <w:rsid w:val="00B95F6E"/>
    <w:rsid w:val="00B962D0"/>
    <w:rsid w:val="00B96341"/>
    <w:rsid w:val="00B96372"/>
    <w:rsid w:val="00B963B3"/>
    <w:rsid w:val="00B963CC"/>
    <w:rsid w:val="00B967B7"/>
    <w:rsid w:val="00B967F9"/>
    <w:rsid w:val="00B9687B"/>
    <w:rsid w:val="00B96BF2"/>
    <w:rsid w:val="00B96C8F"/>
    <w:rsid w:val="00B96CFC"/>
    <w:rsid w:val="00B96DCC"/>
    <w:rsid w:val="00B97254"/>
    <w:rsid w:val="00B972FF"/>
    <w:rsid w:val="00B97476"/>
    <w:rsid w:val="00B977AB"/>
    <w:rsid w:val="00B978DB"/>
    <w:rsid w:val="00B97BC5"/>
    <w:rsid w:val="00B97E26"/>
    <w:rsid w:val="00B97FE8"/>
    <w:rsid w:val="00BA0180"/>
    <w:rsid w:val="00BA0406"/>
    <w:rsid w:val="00BA06C5"/>
    <w:rsid w:val="00BA06CB"/>
    <w:rsid w:val="00BA075B"/>
    <w:rsid w:val="00BA07EB"/>
    <w:rsid w:val="00BA0A3C"/>
    <w:rsid w:val="00BA0BAB"/>
    <w:rsid w:val="00BA0DBA"/>
    <w:rsid w:val="00BA0FE2"/>
    <w:rsid w:val="00BA10B3"/>
    <w:rsid w:val="00BA1140"/>
    <w:rsid w:val="00BA11FA"/>
    <w:rsid w:val="00BA15DF"/>
    <w:rsid w:val="00BA172F"/>
    <w:rsid w:val="00BA1802"/>
    <w:rsid w:val="00BA1966"/>
    <w:rsid w:val="00BA1A48"/>
    <w:rsid w:val="00BA1A65"/>
    <w:rsid w:val="00BA1B79"/>
    <w:rsid w:val="00BA1C26"/>
    <w:rsid w:val="00BA1C8F"/>
    <w:rsid w:val="00BA1D8F"/>
    <w:rsid w:val="00BA1DB5"/>
    <w:rsid w:val="00BA1EF6"/>
    <w:rsid w:val="00BA1F33"/>
    <w:rsid w:val="00BA1FE3"/>
    <w:rsid w:val="00BA217C"/>
    <w:rsid w:val="00BA22D5"/>
    <w:rsid w:val="00BA2389"/>
    <w:rsid w:val="00BA240F"/>
    <w:rsid w:val="00BA2617"/>
    <w:rsid w:val="00BA2710"/>
    <w:rsid w:val="00BA27F2"/>
    <w:rsid w:val="00BA2987"/>
    <w:rsid w:val="00BA2BF9"/>
    <w:rsid w:val="00BA2EAE"/>
    <w:rsid w:val="00BA30A6"/>
    <w:rsid w:val="00BA3448"/>
    <w:rsid w:val="00BA3540"/>
    <w:rsid w:val="00BA359C"/>
    <w:rsid w:val="00BA362F"/>
    <w:rsid w:val="00BA394E"/>
    <w:rsid w:val="00BA398C"/>
    <w:rsid w:val="00BA3AFC"/>
    <w:rsid w:val="00BA3C9C"/>
    <w:rsid w:val="00BA3EEF"/>
    <w:rsid w:val="00BA3F25"/>
    <w:rsid w:val="00BA42B0"/>
    <w:rsid w:val="00BA43CC"/>
    <w:rsid w:val="00BA464C"/>
    <w:rsid w:val="00BA4732"/>
    <w:rsid w:val="00BA4775"/>
    <w:rsid w:val="00BA47BE"/>
    <w:rsid w:val="00BA48E5"/>
    <w:rsid w:val="00BA495B"/>
    <w:rsid w:val="00BA4A1E"/>
    <w:rsid w:val="00BA4B52"/>
    <w:rsid w:val="00BA4B9B"/>
    <w:rsid w:val="00BA4EF6"/>
    <w:rsid w:val="00BA5485"/>
    <w:rsid w:val="00BA54E1"/>
    <w:rsid w:val="00BA5C6A"/>
    <w:rsid w:val="00BA5C7A"/>
    <w:rsid w:val="00BA5E1D"/>
    <w:rsid w:val="00BA5E91"/>
    <w:rsid w:val="00BA61B2"/>
    <w:rsid w:val="00BA621A"/>
    <w:rsid w:val="00BA64DE"/>
    <w:rsid w:val="00BA654E"/>
    <w:rsid w:val="00BA65DD"/>
    <w:rsid w:val="00BA69E7"/>
    <w:rsid w:val="00BA6AA7"/>
    <w:rsid w:val="00BA70E9"/>
    <w:rsid w:val="00BA7309"/>
    <w:rsid w:val="00BA7394"/>
    <w:rsid w:val="00BA7747"/>
    <w:rsid w:val="00BA7A31"/>
    <w:rsid w:val="00BA7CD2"/>
    <w:rsid w:val="00BA7D1D"/>
    <w:rsid w:val="00BA7D99"/>
    <w:rsid w:val="00BB009D"/>
    <w:rsid w:val="00BB00A2"/>
    <w:rsid w:val="00BB0453"/>
    <w:rsid w:val="00BB05BF"/>
    <w:rsid w:val="00BB0740"/>
    <w:rsid w:val="00BB0B56"/>
    <w:rsid w:val="00BB10FA"/>
    <w:rsid w:val="00BB13D0"/>
    <w:rsid w:val="00BB17DB"/>
    <w:rsid w:val="00BB18A3"/>
    <w:rsid w:val="00BB198B"/>
    <w:rsid w:val="00BB1B3F"/>
    <w:rsid w:val="00BB1D83"/>
    <w:rsid w:val="00BB1DBA"/>
    <w:rsid w:val="00BB2602"/>
    <w:rsid w:val="00BB2667"/>
    <w:rsid w:val="00BB2855"/>
    <w:rsid w:val="00BB2907"/>
    <w:rsid w:val="00BB2ABF"/>
    <w:rsid w:val="00BB2FF2"/>
    <w:rsid w:val="00BB3020"/>
    <w:rsid w:val="00BB3032"/>
    <w:rsid w:val="00BB3319"/>
    <w:rsid w:val="00BB3799"/>
    <w:rsid w:val="00BB39BD"/>
    <w:rsid w:val="00BB39E1"/>
    <w:rsid w:val="00BB3C5C"/>
    <w:rsid w:val="00BB3C80"/>
    <w:rsid w:val="00BB3D7F"/>
    <w:rsid w:val="00BB4048"/>
    <w:rsid w:val="00BB414B"/>
    <w:rsid w:val="00BB42A4"/>
    <w:rsid w:val="00BB4350"/>
    <w:rsid w:val="00BB43E0"/>
    <w:rsid w:val="00BB4966"/>
    <w:rsid w:val="00BB499A"/>
    <w:rsid w:val="00BB4AE3"/>
    <w:rsid w:val="00BB4C6F"/>
    <w:rsid w:val="00BB4D03"/>
    <w:rsid w:val="00BB4F25"/>
    <w:rsid w:val="00BB502B"/>
    <w:rsid w:val="00BB506D"/>
    <w:rsid w:val="00BB51B4"/>
    <w:rsid w:val="00BB5214"/>
    <w:rsid w:val="00BB54ED"/>
    <w:rsid w:val="00BB54FA"/>
    <w:rsid w:val="00BB5523"/>
    <w:rsid w:val="00BB5526"/>
    <w:rsid w:val="00BB59AA"/>
    <w:rsid w:val="00BB5A3A"/>
    <w:rsid w:val="00BB5D1F"/>
    <w:rsid w:val="00BB5E62"/>
    <w:rsid w:val="00BB5E65"/>
    <w:rsid w:val="00BB5EA2"/>
    <w:rsid w:val="00BB5FEA"/>
    <w:rsid w:val="00BB614E"/>
    <w:rsid w:val="00BB672A"/>
    <w:rsid w:val="00BB694A"/>
    <w:rsid w:val="00BB70D6"/>
    <w:rsid w:val="00BB70D7"/>
    <w:rsid w:val="00BB7358"/>
    <w:rsid w:val="00BB7374"/>
    <w:rsid w:val="00BB755B"/>
    <w:rsid w:val="00BB7636"/>
    <w:rsid w:val="00BB7797"/>
    <w:rsid w:val="00BB7867"/>
    <w:rsid w:val="00BB79B4"/>
    <w:rsid w:val="00BB7D9F"/>
    <w:rsid w:val="00BB7ECC"/>
    <w:rsid w:val="00BB7EDA"/>
    <w:rsid w:val="00BC0081"/>
    <w:rsid w:val="00BC03EA"/>
    <w:rsid w:val="00BC0406"/>
    <w:rsid w:val="00BC0771"/>
    <w:rsid w:val="00BC08B8"/>
    <w:rsid w:val="00BC0BD7"/>
    <w:rsid w:val="00BC0C00"/>
    <w:rsid w:val="00BC0D5A"/>
    <w:rsid w:val="00BC0DE9"/>
    <w:rsid w:val="00BC0F5D"/>
    <w:rsid w:val="00BC12A2"/>
    <w:rsid w:val="00BC12FD"/>
    <w:rsid w:val="00BC1324"/>
    <w:rsid w:val="00BC150B"/>
    <w:rsid w:val="00BC15CC"/>
    <w:rsid w:val="00BC1617"/>
    <w:rsid w:val="00BC16B1"/>
    <w:rsid w:val="00BC1906"/>
    <w:rsid w:val="00BC191F"/>
    <w:rsid w:val="00BC19FF"/>
    <w:rsid w:val="00BC1A59"/>
    <w:rsid w:val="00BC1EFA"/>
    <w:rsid w:val="00BC1F10"/>
    <w:rsid w:val="00BC1F87"/>
    <w:rsid w:val="00BC2031"/>
    <w:rsid w:val="00BC2772"/>
    <w:rsid w:val="00BC2927"/>
    <w:rsid w:val="00BC294B"/>
    <w:rsid w:val="00BC2A18"/>
    <w:rsid w:val="00BC2B76"/>
    <w:rsid w:val="00BC3384"/>
    <w:rsid w:val="00BC338C"/>
    <w:rsid w:val="00BC359A"/>
    <w:rsid w:val="00BC3621"/>
    <w:rsid w:val="00BC3672"/>
    <w:rsid w:val="00BC3942"/>
    <w:rsid w:val="00BC39DF"/>
    <w:rsid w:val="00BC3A8B"/>
    <w:rsid w:val="00BC3AB0"/>
    <w:rsid w:val="00BC3B7B"/>
    <w:rsid w:val="00BC3C65"/>
    <w:rsid w:val="00BC3F0D"/>
    <w:rsid w:val="00BC4126"/>
    <w:rsid w:val="00BC4127"/>
    <w:rsid w:val="00BC445B"/>
    <w:rsid w:val="00BC471B"/>
    <w:rsid w:val="00BC47E3"/>
    <w:rsid w:val="00BC4830"/>
    <w:rsid w:val="00BC4D2A"/>
    <w:rsid w:val="00BC4D3F"/>
    <w:rsid w:val="00BC4D7E"/>
    <w:rsid w:val="00BC4E41"/>
    <w:rsid w:val="00BC4F52"/>
    <w:rsid w:val="00BC5249"/>
    <w:rsid w:val="00BC551F"/>
    <w:rsid w:val="00BC55BF"/>
    <w:rsid w:val="00BC55D7"/>
    <w:rsid w:val="00BC560C"/>
    <w:rsid w:val="00BC565F"/>
    <w:rsid w:val="00BC573D"/>
    <w:rsid w:val="00BC577C"/>
    <w:rsid w:val="00BC5878"/>
    <w:rsid w:val="00BC5A15"/>
    <w:rsid w:val="00BC5A30"/>
    <w:rsid w:val="00BC5B0D"/>
    <w:rsid w:val="00BC6161"/>
    <w:rsid w:val="00BC61F9"/>
    <w:rsid w:val="00BC622A"/>
    <w:rsid w:val="00BC625B"/>
    <w:rsid w:val="00BC64A4"/>
    <w:rsid w:val="00BC6539"/>
    <w:rsid w:val="00BC666C"/>
    <w:rsid w:val="00BC67C9"/>
    <w:rsid w:val="00BC6C4C"/>
    <w:rsid w:val="00BC6DF6"/>
    <w:rsid w:val="00BC6F80"/>
    <w:rsid w:val="00BC716C"/>
    <w:rsid w:val="00BC7409"/>
    <w:rsid w:val="00BC7472"/>
    <w:rsid w:val="00BC763F"/>
    <w:rsid w:val="00BC7901"/>
    <w:rsid w:val="00BC7A53"/>
    <w:rsid w:val="00BC7A70"/>
    <w:rsid w:val="00BC7AA7"/>
    <w:rsid w:val="00BC7ADF"/>
    <w:rsid w:val="00BC7AEE"/>
    <w:rsid w:val="00BC7D3A"/>
    <w:rsid w:val="00BC7D67"/>
    <w:rsid w:val="00BC7D95"/>
    <w:rsid w:val="00BC7E8E"/>
    <w:rsid w:val="00BC7EB4"/>
    <w:rsid w:val="00BD0144"/>
    <w:rsid w:val="00BD032D"/>
    <w:rsid w:val="00BD05DE"/>
    <w:rsid w:val="00BD06C1"/>
    <w:rsid w:val="00BD0E75"/>
    <w:rsid w:val="00BD0FBF"/>
    <w:rsid w:val="00BD0FC8"/>
    <w:rsid w:val="00BD1011"/>
    <w:rsid w:val="00BD10A4"/>
    <w:rsid w:val="00BD10E1"/>
    <w:rsid w:val="00BD133F"/>
    <w:rsid w:val="00BD1406"/>
    <w:rsid w:val="00BD1419"/>
    <w:rsid w:val="00BD1444"/>
    <w:rsid w:val="00BD14DA"/>
    <w:rsid w:val="00BD1653"/>
    <w:rsid w:val="00BD165B"/>
    <w:rsid w:val="00BD1943"/>
    <w:rsid w:val="00BD1B4C"/>
    <w:rsid w:val="00BD1BB5"/>
    <w:rsid w:val="00BD1CB6"/>
    <w:rsid w:val="00BD1CBC"/>
    <w:rsid w:val="00BD21E5"/>
    <w:rsid w:val="00BD2395"/>
    <w:rsid w:val="00BD23FA"/>
    <w:rsid w:val="00BD245B"/>
    <w:rsid w:val="00BD277C"/>
    <w:rsid w:val="00BD2833"/>
    <w:rsid w:val="00BD2D0E"/>
    <w:rsid w:val="00BD2F81"/>
    <w:rsid w:val="00BD30A0"/>
    <w:rsid w:val="00BD328C"/>
    <w:rsid w:val="00BD3327"/>
    <w:rsid w:val="00BD33BA"/>
    <w:rsid w:val="00BD35DF"/>
    <w:rsid w:val="00BD3821"/>
    <w:rsid w:val="00BD385B"/>
    <w:rsid w:val="00BD397F"/>
    <w:rsid w:val="00BD39C4"/>
    <w:rsid w:val="00BD3E72"/>
    <w:rsid w:val="00BD3F8D"/>
    <w:rsid w:val="00BD4033"/>
    <w:rsid w:val="00BD417D"/>
    <w:rsid w:val="00BD419D"/>
    <w:rsid w:val="00BD4446"/>
    <w:rsid w:val="00BD4473"/>
    <w:rsid w:val="00BD4994"/>
    <w:rsid w:val="00BD4A1C"/>
    <w:rsid w:val="00BD4BF2"/>
    <w:rsid w:val="00BD5155"/>
    <w:rsid w:val="00BD5273"/>
    <w:rsid w:val="00BD593E"/>
    <w:rsid w:val="00BD5AF8"/>
    <w:rsid w:val="00BD5DF0"/>
    <w:rsid w:val="00BD5E9C"/>
    <w:rsid w:val="00BD5F83"/>
    <w:rsid w:val="00BD6199"/>
    <w:rsid w:val="00BD63BF"/>
    <w:rsid w:val="00BD6517"/>
    <w:rsid w:val="00BD6580"/>
    <w:rsid w:val="00BD667F"/>
    <w:rsid w:val="00BD6731"/>
    <w:rsid w:val="00BD680F"/>
    <w:rsid w:val="00BD69CF"/>
    <w:rsid w:val="00BD6A55"/>
    <w:rsid w:val="00BD6D14"/>
    <w:rsid w:val="00BD6E16"/>
    <w:rsid w:val="00BD6F41"/>
    <w:rsid w:val="00BD723B"/>
    <w:rsid w:val="00BD73BB"/>
    <w:rsid w:val="00BD7469"/>
    <w:rsid w:val="00BD74B4"/>
    <w:rsid w:val="00BD75D6"/>
    <w:rsid w:val="00BD76B1"/>
    <w:rsid w:val="00BD77F7"/>
    <w:rsid w:val="00BD7A81"/>
    <w:rsid w:val="00BD7B1C"/>
    <w:rsid w:val="00BD7E7A"/>
    <w:rsid w:val="00BD7F10"/>
    <w:rsid w:val="00BD7F2D"/>
    <w:rsid w:val="00BE008F"/>
    <w:rsid w:val="00BE0099"/>
    <w:rsid w:val="00BE01CB"/>
    <w:rsid w:val="00BE01CC"/>
    <w:rsid w:val="00BE01DE"/>
    <w:rsid w:val="00BE0356"/>
    <w:rsid w:val="00BE03A4"/>
    <w:rsid w:val="00BE0768"/>
    <w:rsid w:val="00BE0B37"/>
    <w:rsid w:val="00BE0B41"/>
    <w:rsid w:val="00BE0B93"/>
    <w:rsid w:val="00BE0CDA"/>
    <w:rsid w:val="00BE1203"/>
    <w:rsid w:val="00BE1427"/>
    <w:rsid w:val="00BE17B6"/>
    <w:rsid w:val="00BE17FB"/>
    <w:rsid w:val="00BE186D"/>
    <w:rsid w:val="00BE1C67"/>
    <w:rsid w:val="00BE1C88"/>
    <w:rsid w:val="00BE1CA6"/>
    <w:rsid w:val="00BE2023"/>
    <w:rsid w:val="00BE21A4"/>
    <w:rsid w:val="00BE2483"/>
    <w:rsid w:val="00BE2AC0"/>
    <w:rsid w:val="00BE2C05"/>
    <w:rsid w:val="00BE2D69"/>
    <w:rsid w:val="00BE2EEA"/>
    <w:rsid w:val="00BE306F"/>
    <w:rsid w:val="00BE30DF"/>
    <w:rsid w:val="00BE317D"/>
    <w:rsid w:val="00BE32F2"/>
    <w:rsid w:val="00BE33CB"/>
    <w:rsid w:val="00BE348D"/>
    <w:rsid w:val="00BE361D"/>
    <w:rsid w:val="00BE3759"/>
    <w:rsid w:val="00BE3961"/>
    <w:rsid w:val="00BE3A36"/>
    <w:rsid w:val="00BE3ECA"/>
    <w:rsid w:val="00BE3FD3"/>
    <w:rsid w:val="00BE41D4"/>
    <w:rsid w:val="00BE4636"/>
    <w:rsid w:val="00BE4654"/>
    <w:rsid w:val="00BE4A6D"/>
    <w:rsid w:val="00BE4C1B"/>
    <w:rsid w:val="00BE4C55"/>
    <w:rsid w:val="00BE4D3E"/>
    <w:rsid w:val="00BE4DAB"/>
    <w:rsid w:val="00BE4F0F"/>
    <w:rsid w:val="00BE4FF1"/>
    <w:rsid w:val="00BE50A7"/>
    <w:rsid w:val="00BE53A3"/>
    <w:rsid w:val="00BE56AC"/>
    <w:rsid w:val="00BE5800"/>
    <w:rsid w:val="00BE5A75"/>
    <w:rsid w:val="00BE5D27"/>
    <w:rsid w:val="00BE5D46"/>
    <w:rsid w:val="00BE6595"/>
    <w:rsid w:val="00BE65DD"/>
    <w:rsid w:val="00BE6761"/>
    <w:rsid w:val="00BE6966"/>
    <w:rsid w:val="00BE6A6A"/>
    <w:rsid w:val="00BE6AD9"/>
    <w:rsid w:val="00BE6DDC"/>
    <w:rsid w:val="00BE6F94"/>
    <w:rsid w:val="00BE779E"/>
    <w:rsid w:val="00BE77A0"/>
    <w:rsid w:val="00BE77C8"/>
    <w:rsid w:val="00BE78E4"/>
    <w:rsid w:val="00BE7A20"/>
    <w:rsid w:val="00BE7DBB"/>
    <w:rsid w:val="00BE7F62"/>
    <w:rsid w:val="00BF005E"/>
    <w:rsid w:val="00BF05ED"/>
    <w:rsid w:val="00BF069C"/>
    <w:rsid w:val="00BF0B26"/>
    <w:rsid w:val="00BF0CF0"/>
    <w:rsid w:val="00BF0E36"/>
    <w:rsid w:val="00BF0E9D"/>
    <w:rsid w:val="00BF0F2E"/>
    <w:rsid w:val="00BF1131"/>
    <w:rsid w:val="00BF125B"/>
    <w:rsid w:val="00BF1306"/>
    <w:rsid w:val="00BF156A"/>
    <w:rsid w:val="00BF16E7"/>
    <w:rsid w:val="00BF1A26"/>
    <w:rsid w:val="00BF1AD4"/>
    <w:rsid w:val="00BF1B84"/>
    <w:rsid w:val="00BF1D8D"/>
    <w:rsid w:val="00BF1ED6"/>
    <w:rsid w:val="00BF1FA7"/>
    <w:rsid w:val="00BF1FF2"/>
    <w:rsid w:val="00BF208E"/>
    <w:rsid w:val="00BF24D5"/>
    <w:rsid w:val="00BF2531"/>
    <w:rsid w:val="00BF2654"/>
    <w:rsid w:val="00BF2984"/>
    <w:rsid w:val="00BF2A86"/>
    <w:rsid w:val="00BF2BDC"/>
    <w:rsid w:val="00BF2D8C"/>
    <w:rsid w:val="00BF2F52"/>
    <w:rsid w:val="00BF2FB9"/>
    <w:rsid w:val="00BF3561"/>
    <w:rsid w:val="00BF3596"/>
    <w:rsid w:val="00BF35AA"/>
    <w:rsid w:val="00BF3660"/>
    <w:rsid w:val="00BF3888"/>
    <w:rsid w:val="00BF3989"/>
    <w:rsid w:val="00BF3B67"/>
    <w:rsid w:val="00BF3C64"/>
    <w:rsid w:val="00BF3CA1"/>
    <w:rsid w:val="00BF3D1B"/>
    <w:rsid w:val="00BF3F07"/>
    <w:rsid w:val="00BF3F82"/>
    <w:rsid w:val="00BF407E"/>
    <w:rsid w:val="00BF4443"/>
    <w:rsid w:val="00BF4628"/>
    <w:rsid w:val="00BF4751"/>
    <w:rsid w:val="00BF4A5F"/>
    <w:rsid w:val="00BF4B14"/>
    <w:rsid w:val="00BF4B82"/>
    <w:rsid w:val="00BF4BE4"/>
    <w:rsid w:val="00BF4D8B"/>
    <w:rsid w:val="00BF4F83"/>
    <w:rsid w:val="00BF50FF"/>
    <w:rsid w:val="00BF5211"/>
    <w:rsid w:val="00BF522B"/>
    <w:rsid w:val="00BF54A6"/>
    <w:rsid w:val="00BF5682"/>
    <w:rsid w:val="00BF57DD"/>
    <w:rsid w:val="00BF5BF3"/>
    <w:rsid w:val="00BF5CA4"/>
    <w:rsid w:val="00BF5D3E"/>
    <w:rsid w:val="00BF5ED0"/>
    <w:rsid w:val="00BF5FCB"/>
    <w:rsid w:val="00BF60FB"/>
    <w:rsid w:val="00BF62B8"/>
    <w:rsid w:val="00BF66AD"/>
    <w:rsid w:val="00BF6942"/>
    <w:rsid w:val="00BF6A9E"/>
    <w:rsid w:val="00BF6B16"/>
    <w:rsid w:val="00BF6D49"/>
    <w:rsid w:val="00BF6F87"/>
    <w:rsid w:val="00BF705A"/>
    <w:rsid w:val="00BF716C"/>
    <w:rsid w:val="00BF72AB"/>
    <w:rsid w:val="00BF73FC"/>
    <w:rsid w:val="00BF7662"/>
    <w:rsid w:val="00BF781D"/>
    <w:rsid w:val="00BF78AE"/>
    <w:rsid w:val="00BF78DB"/>
    <w:rsid w:val="00BF7976"/>
    <w:rsid w:val="00BF7A3B"/>
    <w:rsid w:val="00BF7B09"/>
    <w:rsid w:val="00BF7E79"/>
    <w:rsid w:val="00BF7EEB"/>
    <w:rsid w:val="00BF7FBA"/>
    <w:rsid w:val="00C00428"/>
    <w:rsid w:val="00C00461"/>
    <w:rsid w:val="00C00496"/>
    <w:rsid w:val="00C005C6"/>
    <w:rsid w:val="00C005D2"/>
    <w:rsid w:val="00C00605"/>
    <w:rsid w:val="00C00645"/>
    <w:rsid w:val="00C00958"/>
    <w:rsid w:val="00C009A8"/>
    <w:rsid w:val="00C00A92"/>
    <w:rsid w:val="00C00B0B"/>
    <w:rsid w:val="00C00CC8"/>
    <w:rsid w:val="00C00E11"/>
    <w:rsid w:val="00C00FCF"/>
    <w:rsid w:val="00C00FF2"/>
    <w:rsid w:val="00C01187"/>
    <w:rsid w:val="00C012C2"/>
    <w:rsid w:val="00C013F9"/>
    <w:rsid w:val="00C01538"/>
    <w:rsid w:val="00C01A17"/>
    <w:rsid w:val="00C01ECD"/>
    <w:rsid w:val="00C02054"/>
    <w:rsid w:val="00C020CF"/>
    <w:rsid w:val="00C02149"/>
    <w:rsid w:val="00C021E6"/>
    <w:rsid w:val="00C02481"/>
    <w:rsid w:val="00C02563"/>
    <w:rsid w:val="00C02594"/>
    <w:rsid w:val="00C025CA"/>
    <w:rsid w:val="00C025D1"/>
    <w:rsid w:val="00C0278E"/>
    <w:rsid w:val="00C02939"/>
    <w:rsid w:val="00C0294A"/>
    <w:rsid w:val="00C02C5C"/>
    <w:rsid w:val="00C02DD3"/>
    <w:rsid w:val="00C02F53"/>
    <w:rsid w:val="00C03080"/>
    <w:rsid w:val="00C032ED"/>
    <w:rsid w:val="00C03371"/>
    <w:rsid w:val="00C03548"/>
    <w:rsid w:val="00C0355F"/>
    <w:rsid w:val="00C03621"/>
    <w:rsid w:val="00C03871"/>
    <w:rsid w:val="00C038CF"/>
    <w:rsid w:val="00C03B13"/>
    <w:rsid w:val="00C03B37"/>
    <w:rsid w:val="00C04000"/>
    <w:rsid w:val="00C040D9"/>
    <w:rsid w:val="00C04120"/>
    <w:rsid w:val="00C04138"/>
    <w:rsid w:val="00C04242"/>
    <w:rsid w:val="00C042A9"/>
    <w:rsid w:val="00C04435"/>
    <w:rsid w:val="00C0460A"/>
    <w:rsid w:val="00C04777"/>
    <w:rsid w:val="00C04931"/>
    <w:rsid w:val="00C0494F"/>
    <w:rsid w:val="00C04985"/>
    <w:rsid w:val="00C04AD2"/>
    <w:rsid w:val="00C04AE2"/>
    <w:rsid w:val="00C04C09"/>
    <w:rsid w:val="00C04F08"/>
    <w:rsid w:val="00C04F7D"/>
    <w:rsid w:val="00C04FD4"/>
    <w:rsid w:val="00C050D6"/>
    <w:rsid w:val="00C05563"/>
    <w:rsid w:val="00C055C6"/>
    <w:rsid w:val="00C05752"/>
    <w:rsid w:val="00C058A6"/>
    <w:rsid w:val="00C05E76"/>
    <w:rsid w:val="00C06135"/>
    <w:rsid w:val="00C061FD"/>
    <w:rsid w:val="00C062B2"/>
    <w:rsid w:val="00C064DD"/>
    <w:rsid w:val="00C065A3"/>
    <w:rsid w:val="00C065F0"/>
    <w:rsid w:val="00C06701"/>
    <w:rsid w:val="00C06710"/>
    <w:rsid w:val="00C06800"/>
    <w:rsid w:val="00C06A79"/>
    <w:rsid w:val="00C06B77"/>
    <w:rsid w:val="00C06E72"/>
    <w:rsid w:val="00C06ECF"/>
    <w:rsid w:val="00C070FB"/>
    <w:rsid w:val="00C07229"/>
    <w:rsid w:val="00C07423"/>
    <w:rsid w:val="00C07598"/>
    <w:rsid w:val="00C07670"/>
    <w:rsid w:val="00C078AF"/>
    <w:rsid w:val="00C07A70"/>
    <w:rsid w:val="00C07B4C"/>
    <w:rsid w:val="00C07B62"/>
    <w:rsid w:val="00C07C7A"/>
    <w:rsid w:val="00C07DD9"/>
    <w:rsid w:val="00C1021F"/>
    <w:rsid w:val="00C10433"/>
    <w:rsid w:val="00C10598"/>
    <w:rsid w:val="00C1082D"/>
    <w:rsid w:val="00C1096C"/>
    <w:rsid w:val="00C10A41"/>
    <w:rsid w:val="00C10B0D"/>
    <w:rsid w:val="00C10CD4"/>
    <w:rsid w:val="00C10E91"/>
    <w:rsid w:val="00C10EA3"/>
    <w:rsid w:val="00C11032"/>
    <w:rsid w:val="00C112DA"/>
    <w:rsid w:val="00C113F7"/>
    <w:rsid w:val="00C1182F"/>
    <w:rsid w:val="00C11B5E"/>
    <w:rsid w:val="00C11B6C"/>
    <w:rsid w:val="00C11C19"/>
    <w:rsid w:val="00C11F3F"/>
    <w:rsid w:val="00C12109"/>
    <w:rsid w:val="00C1226A"/>
    <w:rsid w:val="00C123C1"/>
    <w:rsid w:val="00C12616"/>
    <w:rsid w:val="00C1290A"/>
    <w:rsid w:val="00C12D7B"/>
    <w:rsid w:val="00C12F4A"/>
    <w:rsid w:val="00C132C4"/>
    <w:rsid w:val="00C1335B"/>
    <w:rsid w:val="00C1351C"/>
    <w:rsid w:val="00C137FD"/>
    <w:rsid w:val="00C13815"/>
    <w:rsid w:val="00C138AC"/>
    <w:rsid w:val="00C138C3"/>
    <w:rsid w:val="00C1394F"/>
    <w:rsid w:val="00C13C8B"/>
    <w:rsid w:val="00C13CC0"/>
    <w:rsid w:val="00C13CEA"/>
    <w:rsid w:val="00C13E23"/>
    <w:rsid w:val="00C1421A"/>
    <w:rsid w:val="00C146CF"/>
    <w:rsid w:val="00C14C4A"/>
    <w:rsid w:val="00C14D89"/>
    <w:rsid w:val="00C14F06"/>
    <w:rsid w:val="00C14F3B"/>
    <w:rsid w:val="00C150A0"/>
    <w:rsid w:val="00C153C2"/>
    <w:rsid w:val="00C1555E"/>
    <w:rsid w:val="00C1557E"/>
    <w:rsid w:val="00C156DF"/>
    <w:rsid w:val="00C157AC"/>
    <w:rsid w:val="00C15AAD"/>
    <w:rsid w:val="00C15C24"/>
    <w:rsid w:val="00C15C91"/>
    <w:rsid w:val="00C15CE1"/>
    <w:rsid w:val="00C15D53"/>
    <w:rsid w:val="00C15E10"/>
    <w:rsid w:val="00C15E42"/>
    <w:rsid w:val="00C15F7C"/>
    <w:rsid w:val="00C16122"/>
    <w:rsid w:val="00C1641C"/>
    <w:rsid w:val="00C1682B"/>
    <w:rsid w:val="00C168A9"/>
    <w:rsid w:val="00C16A55"/>
    <w:rsid w:val="00C16CCC"/>
    <w:rsid w:val="00C17103"/>
    <w:rsid w:val="00C1712D"/>
    <w:rsid w:val="00C1713D"/>
    <w:rsid w:val="00C17155"/>
    <w:rsid w:val="00C17200"/>
    <w:rsid w:val="00C17253"/>
    <w:rsid w:val="00C1725C"/>
    <w:rsid w:val="00C1743B"/>
    <w:rsid w:val="00C17444"/>
    <w:rsid w:val="00C1745C"/>
    <w:rsid w:val="00C174E9"/>
    <w:rsid w:val="00C17718"/>
    <w:rsid w:val="00C1794D"/>
    <w:rsid w:val="00C17BE8"/>
    <w:rsid w:val="00C17E90"/>
    <w:rsid w:val="00C17FD8"/>
    <w:rsid w:val="00C201FD"/>
    <w:rsid w:val="00C20535"/>
    <w:rsid w:val="00C205CA"/>
    <w:rsid w:val="00C20696"/>
    <w:rsid w:val="00C207F1"/>
    <w:rsid w:val="00C20864"/>
    <w:rsid w:val="00C20877"/>
    <w:rsid w:val="00C20B13"/>
    <w:rsid w:val="00C20B21"/>
    <w:rsid w:val="00C20D2E"/>
    <w:rsid w:val="00C20E8A"/>
    <w:rsid w:val="00C20E8C"/>
    <w:rsid w:val="00C20FA7"/>
    <w:rsid w:val="00C211D4"/>
    <w:rsid w:val="00C212C0"/>
    <w:rsid w:val="00C213CF"/>
    <w:rsid w:val="00C2177A"/>
    <w:rsid w:val="00C217F7"/>
    <w:rsid w:val="00C21C64"/>
    <w:rsid w:val="00C21DD7"/>
    <w:rsid w:val="00C21E0B"/>
    <w:rsid w:val="00C21E93"/>
    <w:rsid w:val="00C21FA6"/>
    <w:rsid w:val="00C21FFF"/>
    <w:rsid w:val="00C22268"/>
    <w:rsid w:val="00C22601"/>
    <w:rsid w:val="00C226B3"/>
    <w:rsid w:val="00C2282C"/>
    <w:rsid w:val="00C22A2F"/>
    <w:rsid w:val="00C22A4D"/>
    <w:rsid w:val="00C22AD6"/>
    <w:rsid w:val="00C22B9C"/>
    <w:rsid w:val="00C22BC2"/>
    <w:rsid w:val="00C22D7B"/>
    <w:rsid w:val="00C22E2B"/>
    <w:rsid w:val="00C22EE9"/>
    <w:rsid w:val="00C230CC"/>
    <w:rsid w:val="00C230F6"/>
    <w:rsid w:val="00C23198"/>
    <w:rsid w:val="00C2338A"/>
    <w:rsid w:val="00C234B2"/>
    <w:rsid w:val="00C23513"/>
    <w:rsid w:val="00C23971"/>
    <w:rsid w:val="00C23A05"/>
    <w:rsid w:val="00C23A76"/>
    <w:rsid w:val="00C23A7C"/>
    <w:rsid w:val="00C23C04"/>
    <w:rsid w:val="00C23CC7"/>
    <w:rsid w:val="00C23E71"/>
    <w:rsid w:val="00C241C2"/>
    <w:rsid w:val="00C243E6"/>
    <w:rsid w:val="00C2459A"/>
    <w:rsid w:val="00C2461C"/>
    <w:rsid w:val="00C24828"/>
    <w:rsid w:val="00C249BB"/>
    <w:rsid w:val="00C24BE5"/>
    <w:rsid w:val="00C24C39"/>
    <w:rsid w:val="00C24D5E"/>
    <w:rsid w:val="00C24E6C"/>
    <w:rsid w:val="00C25369"/>
    <w:rsid w:val="00C25453"/>
    <w:rsid w:val="00C25650"/>
    <w:rsid w:val="00C2576D"/>
    <w:rsid w:val="00C25AD2"/>
    <w:rsid w:val="00C25B73"/>
    <w:rsid w:val="00C25DDE"/>
    <w:rsid w:val="00C260E3"/>
    <w:rsid w:val="00C2616B"/>
    <w:rsid w:val="00C26375"/>
    <w:rsid w:val="00C26494"/>
    <w:rsid w:val="00C2669E"/>
    <w:rsid w:val="00C268BA"/>
    <w:rsid w:val="00C26983"/>
    <w:rsid w:val="00C26A8B"/>
    <w:rsid w:val="00C26C23"/>
    <w:rsid w:val="00C26C3A"/>
    <w:rsid w:val="00C26CC9"/>
    <w:rsid w:val="00C26FA9"/>
    <w:rsid w:val="00C2704F"/>
    <w:rsid w:val="00C270D1"/>
    <w:rsid w:val="00C2721C"/>
    <w:rsid w:val="00C27220"/>
    <w:rsid w:val="00C273F1"/>
    <w:rsid w:val="00C27464"/>
    <w:rsid w:val="00C27526"/>
    <w:rsid w:val="00C27671"/>
    <w:rsid w:val="00C27796"/>
    <w:rsid w:val="00C2779C"/>
    <w:rsid w:val="00C27A07"/>
    <w:rsid w:val="00C27B39"/>
    <w:rsid w:val="00C27BA8"/>
    <w:rsid w:val="00C27CE6"/>
    <w:rsid w:val="00C27D4F"/>
    <w:rsid w:val="00C301C2"/>
    <w:rsid w:val="00C3022C"/>
    <w:rsid w:val="00C3023E"/>
    <w:rsid w:val="00C30241"/>
    <w:rsid w:val="00C302F0"/>
    <w:rsid w:val="00C304D2"/>
    <w:rsid w:val="00C30505"/>
    <w:rsid w:val="00C30570"/>
    <w:rsid w:val="00C305A0"/>
    <w:rsid w:val="00C307C0"/>
    <w:rsid w:val="00C307EE"/>
    <w:rsid w:val="00C3099F"/>
    <w:rsid w:val="00C30A1A"/>
    <w:rsid w:val="00C30B0E"/>
    <w:rsid w:val="00C30B3C"/>
    <w:rsid w:val="00C30BCA"/>
    <w:rsid w:val="00C30D78"/>
    <w:rsid w:val="00C30DA5"/>
    <w:rsid w:val="00C310CD"/>
    <w:rsid w:val="00C31177"/>
    <w:rsid w:val="00C313F9"/>
    <w:rsid w:val="00C314C5"/>
    <w:rsid w:val="00C31589"/>
    <w:rsid w:val="00C317A9"/>
    <w:rsid w:val="00C31801"/>
    <w:rsid w:val="00C31C02"/>
    <w:rsid w:val="00C31C91"/>
    <w:rsid w:val="00C31EAB"/>
    <w:rsid w:val="00C31ECA"/>
    <w:rsid w:val="00C31FDA"/>
    <w:rsid w:val="00C31FF2"/>
    <w:rsid w:val="00C320D9"/>
    <w:rsid w:val="00C32184"/>
    <w:rsid w:val="00C324A4"/>
    <w:rsid w:val="00C325C6"/>
    <w:rsid w:val="00C3280A"/>
    <w:rsid w:val="00C32823"/>
    <w:rsid w:val="00C3285D"/>
    <w:rsid w:val="00C32C75"/>
    <w:rsid w:val="00C32DF3"/>
    <w:rsid w:val="00C330F1"/>
    <w:rsid w:val="00C331C5"/>
    <w:rsid w:val="00C331ED"/>
    <w:rsid w:val="00C3322A"/>
    <w:rsid w:val="00C332A0"/>
    <w:rsid w:val="00C334E5"/>
    <w:rsid w:val="00C33526"/>
    <w:rsid w:val="00C33608"/>
    <w:rsid w:val="00C3368A"/>
    <w:rsid w:val="00C336E7"/>
    <w:rsid w:val="00C33816"/>
    <w:rsid w:val="00C33878"/>
    <w:rsid w:val="00C339B0"/>
    <w:rsid w:val="00C339C3"/>
    <w:rsid w:val="00C33A3E"/>
    <w:rsid w:val="00C33C5E"/>
    <w:rsid w:val="00C33DF1"/>
    <w:rsid w:val="00C3406B"/>
    <w:rsid w:val="00C34119"/>
    <w:rsid w:val="00C34208"/>
    <w:rsid w:val="00C34405"/>
    <w:rsid w:val="00C34638"/>
    <w:rsid w:val="00C34801"/>
    <w:rsid w:val="00C3488A"/>
    <w:rsid w:val="00C3489F"/>
    <w:rsid w:val="00C34A27"/>
    <w:rsid w:val="00C34A7C"/>
    <w:rsid w:val="00C34BFE"/>
    <w:rsid w:val="00C34D45"/>
    <w:rsid w:val="00C34DEA"/>
    <w:rsid w:val="00C3501A"/>
    <w:rsid w:val="00C35061"/>
    <w:rsid w:val="00C350FF"/>
    <w:rsid w:val="00C35291"/>
    <w:rsid w:val="00C35306"/>
    <w:rsid w:val="00C35552"/>
    <w:rsid w:val="00C35687"/>
    <w:rsid w:val="00C356D4"/>
    <w:rsid w:val="00C35717"/>
    <w:rsid w:val="00C35858"/>
    <w:rsid w:val="00C35B96"/>
    <w:rsid w:val="00C35D9C"/>
    <w:rsid w:val="00C35FEF"/>
    <w:rsid w:val="00C361A9"/>
    <w:rsid w:val="00C361DD"/>
    <w:rsid w:val="00C36297"/>
    <w:rsid w:val="00C36311"/>
    <w:rsid w:val="00C36333"/>
    <w:rsid w:val="00C363D0"/>
    <w:rsid w:val="00C363D7"/>
    <w:rsid w:val="00C36570"/>
    <w:rsid w:val="00C3689D"/>
    <w:rsid w:val="00C36BB0"/>
    <w:rsid w:val="00C36D48"/>
    <w:rsid w:val="00C36D91"/>
    <w:rsid w:val="00C36E97"/>
    <w:rsid w:val="00C36FE9"/>
    <w:rsid w:val="00C370ED"/>
    <w:rsid w:val="00C377A1"/>
    <w:rsid w:val="00C3784B"/>
    <w:rsid w:val="00C3785B"/>
    <w:rsid w:val="00C3788D"/>
    <w:rsid w:val="00C37A21"/>
    <w:rsid w:val="00C37CAE"/>
    <w:rsid w:val="00C37D22"/>
    <w:rsid w:val="00C4029B"/>
    <w:rsid w:val="00C403A1"/>
    <w:rsid w:val="00C405FF"/>
    <w:rsid w:val="00C40688"/>
    <w:rsid w:val="00C40732"/>
    <w:rsid w:val="00C40785"/>
    <w:rsid w:val="00C407EA"/>
    <w:rsid w:val="00C40AB5"/>
    <w:rsid w:val="00C40B0C"/>
    <w:rsid w:val="00C40CD2"/>
    <w:rsid w:val="00C40CE4"/>
    <w:rsid w:val="00C40DF7"/>
    <w:rsid w:val="00C40E6C"/>
    <w:rsid w:val="00C41075"/>
    <w:rsid w:val="00C415FD"/>
    <w:rsid w:val="00C417BB"/>
    <w:rsid w:val="00C41891"/>
    <w:rsid w:val="00C41E13"/>
    <w:rsid w:val="00C41ED3"/>
    <w:rsid w:val="00C42018"/>
    <w:rsid w:val="00C42063"/>
    <w:rsid w:val="00C421BB"/>
    <w:rsid w:val="00C421DF"/>
    <w:rsid w:val="00C423C7"/>
    <w:rsid w:val="00C423D5"/>
    <w:rsid w:val="00C42950"/>
    <w:rsid w:val="00C42D69"/>
    <w:rsid w:val="00C42DEC"/>
    <w:rsid w:val="00C42DF6"/>
    <w:rsid w:val="00C42F06"/>
    <w:rsid w:val="00C42F9F"/>
    <w:rsid w:val="00C432EB"/>
    <w:rsid w:val="00C433DE"/>
    <w:rsid w:val="00C43947"/>
    <w:rsid w:val="00C43AF3"/>
    <w:rsid w:val="00C43D4B"/>
    <w:rsid w:val="00C43E25"/>
    <w:rsid w:val="00C4404B"/>
    <w:rsid w:val="00C44179"/>
    <w:rsid w:val="00C444CB"/>
    <w:rsid w:val="00C445B8"/>
    <w:rsid w:val="00C44634"/>
    <w:rsid w:val="00C4477B"/>
    <w:rsid w:val="00C44868"/>
    <w:rsid w:val="00C44929"/>
    <w:rsid w:val="00C44952"/>
    <w:rsid w:val="00C44960"/>
    <w:rsid w:val="00C44994"/>
    <w:rsid w:val="00C44B80"/>
    <w:rsid w:val="00C44C23"/>
    <w:rsid w:val="00C4506A"/>
    <w:rsid w:val="00C450BF"/>
    <w:rsid w:val="00C45551"/>
    <w:rsid w:val="00C455F7"/>
    <w:rsid w:val="00C457D0"/>
    <w:rsid w:val="00C4596D"/>
    <w:rsid w:val="00C45A21"/>
    <w:rsid w:val="00C45A75"/>
    <w:rsid w:val="00C45AFF"/>
    <w:rsid w:val="00C45B79"/>
    <w:rsid w:val="00C45CB3"/>
    <w:rsid w:val="00C45CD3"/>
    <w:rsid w:val="00C46108"/>
    <w:rsid w:val="00C4617E"/>
    <w:rsid w:val="00C462EF"/>
    <w:rsid w:val="00C463EF"/>
    <w:rsid w:val="00C4647F"/>
    <w:rsid w:val="00C46504"/>
    <w:rsid w:val="00C46529"/>
    <w:rsid w:val="00C468C4"/>
    <w:rsid w:val="00C46ADB"/>
    <w:rsid w:val="00C46B0F"/>
    <w:rsid w:val="00C46CA3"/>
    <w:rsid w:val="00C46E05"/>
    <w:rsid w:val="00C46E0C"/>
    <w:rsid w:val="00C46F8D"/>
    <w:rsid w:val="00C46FA5"/>
    <w:rsid w:val="00C47038"/>
    <w:rsid w:val="00C475E4"/>
    <w:rsid w:val="00C47A3F"/>
    <w:rsid w:val="00C47A6C"/>
    <w:rsid w:val="00C47B69"/>
    <w:rsid w:val="00C47CB3"/>
    <w:rsid w:val="00C47DC2"/>
    <w:rsid w:val="00C47F25"/>
    <w:rsid w:val="00C47F4E"/>
    <w:rsid w:val="00C50245"/>
    <w:rsid w:val="00C50312"/>
    <w:rsid w:val="00C508BF"/>
    <w:rsid w:val="00C508DA"/>
    <w:rsid w:val="00C50955"/>
    <w:rsid w:val="00C50A28"/>
    <w:rsid w:val="00C50A7D"/>
    <w:rsid w:val="00C50D10"/>
    <w:rsid w:val="00C50F90"/>
    <w:rsid w:val="00C51398"/>
    <w:rsid w:val="00C513C0"/>
    <w:rsid w:val="00C51507"/>
    <w:rsid w:val="00C515BC"/>
    <w:rsid w:val="00C515D0"/>
    <w:rsid w:val="00C519E1"/>
    <w:rsid w:val="00C51A75"/>
    <w:rsid w:val="00C51E4F"/>
    <w:rsid w:val="00C52231"/>
    <w:rsid w:val="00C52331"/>
    <w:rsid w:val="00C52339"/>
    <w:rsid w:val="00C523F8"/>
    <w:rsid w:val="00C525EB"/>
    <w:rsid w:val="00C529B6"/>
    <w:rsid w:val="00C52CC2"/>
    <w:rsid w:val="00C52E2F"/>
    <w:rsid w:val="00C5314F"/>
    <w:rsid w:val="00C531C1"/>
    <w:rsid w:val="00C53312"/>
    <w:rsid w:val="00C53419"/>
    <w:rsid w:val="00C5358D"/>
    <w:rsid w:val="00C5375A"/>
    <w:rsid w:val="00C5395A"/>
    <w:rsid w:val="00C53EF9"/>
    <w:rsid w:val="00C53F63"/>
    <w:rsid w:val="00C54248"/>
    <w:rsid w:val="00C544E0"/>
    <w:rsid w:val="00C54A3C"/>
    <w:rsid w:val="00C54AC2"/>
    <w:rsid w:val="00C54B0C"/>
    <w:rsid w:val="00C54DE7"/>
    <w:rsid w:val="00C54E6B"/>
    <w:rsid w:val="00C55150"/>
    <w:rsid w:val="00C55306"/>
    <w:rsid w:val="00C55530"/>
    <w:rsid w:val="00C556AF"/>
    <w:rsid w:val="00C556B0"/>
    <w:rsid w:val="00C55700"/>
    <w:rsid w:val="00C55813"/>
    <w:rsid w:val="00C55A90"/>
    <w:rsid w:val="00C55B91"/>
    <w:rsid w:val="00C55C90"/>
    <w:rsid w:val="00C55D79"/>
    <w:rsid w:val="00C5620D"/>
    <w:rsid w:val="00C56279"/>
    <w:rsid w:val="00C562FD"/>
    <w:rsid w:val="00C5632B"/>
    <w:rsid w:val="00C563DF"/>
    <w:rsid w:val="00C5671E"/>
    <w:rsid w:val="00C56867"/>
    <w:rsid w:val="00C56884"/>
    <w:rsid w:val="00C56AD7"/>
    <w:rsid w:val="00C56BAF"/>
    <w:rsid w:val="00C5713A"/>
    <w:rsid w:val="00C572B0"/>
    <w:rsid w:val="00C57493"/>
    <w:rsid w:val="00C578ED"/>
    <w:rsid w:val="00C57C8C"/>
    <w:rsid w:val="00C57CB2"/>
    <w:rsid w:val="00C57D2D"/>
    <w:rsid w:val="00C602E6"/>
    <w:rsid w:val="00C60364"/>
    <w:rsid w:val="00C606A8"/>
    <w:rsid w:val="00C60735"/>
    <w:rsid w:val="00C60846"/>
    <w:rsid w:val="00C60A4E"/>
    <w:rsid w:val="00C60A5E"/>
    <w:rsid w:val="00C60A9A"/>
    <w:rsid w:val="00C60ABF"/>
    <w:rsid w:val="00C60D41"/>
    <w:rsid w:val="00C60D57"/>
    <w:rsid w:val="00C61461"/>
    <w:rsid w:val="00C6164F"/>
    <w:rsid w:val="00C617CC"/>
    <w:rsid w:val="00C61928"/>
    <w:rsid w:val="00C61B17"/>
    <w:rsid w:val="00C61BDA"/>
    <w:rsid w:val="00C61C62"/>
    <w:rsid w:val="00C61D58"/>
    <w:rsid w:val="00C61E05"/>
    <w:rsid w:val="00C6205F"/>
    <w:rsid w:val="00C6210A"/>
    <w:rsid w:val="00C62299"/>
    <w:rsid w:val="00C622AE"/>
    <w:rsid w:val="00C6249C"/>
    <w:rsid w:val="00C6259B"/>
    <w:rsid w:val="00C626F7"/>
    <w:rsid w:val="00C62933"/>
    <w:rsid w:val="00C629D4"/>
    <w:rsid w:val="00C62A47"/>
    <w:rsid w:val="00C62E5E"/>
    <w:rsid w:val="00C62F38"/>
    <w:rsid w:val="00C630B7"/>
    <w:rsid w:val="00C6315D"/>
    <w:rsid w:val="00C63185"/>
    <w:rsid w:val="00C631FA"/>
    <w:rsid w:val="00C638E2"/>
    <w:rsid w:val="00C63940"/>
    <w:rsid w:val="00C639EE"/>
    <w:rsid w:val="00C63A2E"/>
    <w:rsid w:val="00C63A8C"/>
    <w:rsid w:val="00C642BF"/>
    <w:rsid w:val="00C642D1"/>
    <w:rsid w:val="00C64333"/>
    <w:rsid w:val="00C647CD"/>
    <w:rsid w:val="00C647E9"/>
    <w:rsid w:val="00C64A82"/>
    <w:rsid w:val="00C64B78"/>
    <w:rsid w:val="00C64E98"/>
    <w:rsid w:val="00C652B6"/>
    <w:rsid w:val="00C653F8"/>
    <w:rsid w:val="00C6572E"/>
    <w:rsid w:val="00C6574E"/>
    <w:rsid w:val="00C6576B"/>
    <w:rsid w:val="00C65D3E"/>
    <w:rsid w:val="00C66033"/>
    <w:rsid w:val="00C66087"/>
    <w:rsid w:val="00C661AF"/>
    <w:rsid w:val="00C665C8"/>
    <w:rsid w:val="00C666AE"/>
    <w:rsid w:val="00C666D1"/>
    <w:rsid w:val="00C66873"/>
    <w:rsid w:val="00C66918"/>
    <w:rsid w:val="00C6691A"/>
    <w:rsid w:val="00C66A32"/>
    <w:rsid w:val="00C66BC0"/>
    <w:rsid w:val="00C66C89"/>
    <w:rsid w:val="00C66EB3"/>
    <w:rsid w:val="00C66F99"/>
    <w:rsid w:val="00C67006"/>
    <w:rsid w:val="00C6713B"/>
    <w:rsid w:val="00C674F1"/>
    <w:rsid w:val="00C676CE"/>
    <w:rsid w:val="00C67736"/>
    <w:rsid w:val="00C677C2"/>
    <w:rsid w:val="00C6792A"/>
    <w:rsid w:val="00C67978"/>
    <w:rsid w:val="00C679A4"/>
    <w:rsid w:val="00C67CFF"/>
    <w:rsid w:val="00C67D3F"/>
    <w:rsid w:val="00C67EEE"/>
    <w:rsid w:val="00C701D5"/>
    <w:rsid w:val="00C70246"/>
    <w:rsid w:val="00C704FE"/>
    <w:rsid w:val="00C70690"/>
    <w:rsid w:val="00C70702"/>
    <w:rsid w:val="00C709D8"/>
    <w:rsid w:val="00C70D6F"/>
    <w:rsid w:val="00C70D8E"/>
    <w:rsid w:val="00C70ECE"/>
    <w:rsid w:val="00C7110F"/>
    <w:rsid w:val="00C7133C"/>
    <w:rsid w:val="00C71423"/>
    <w:rsid w:val="00C715E6"/>
    <w:rsid w:val="00C716F1"/>
    <w:rsid w:val="00C71727"/>
    <w:rsid w:val="00C71DD6"/>
    <w:rsid w:val="00C71E1B"/>
    <w:rsid w:val="00C71E4A"/>
    <w:rsid w:val="00C71E87"/>
    <w:rsid w:val="00C722AD"/>
    <w:rsid w:val="00C722D7"/>
    <w:rsid w:val="00C72875"/>
    <w:rsid w:val="00C7291C"/>
    <w:rsid w:val="00C72936"/>
    <w:rsid w:val="00C72CD6"/>
    <w:rsid w:val="00C72E2A"/>
    <w:rsid w:val="00C72E3F"/>
    <w:rsid w:val="00C72E76"/>
    <w:rsid w:val="00C72EA4"/>
    <w:rsid w:val="00C72F55"/>
    <w:rsid w:val="00C72F8C"/>
    <w:rsid w:val="00C73107"/>
    <w:rsid w:val="00C73123"/>
    <w:rsid w:val="00C733E7"/>
    <w:rsid w:val="00C738F6"/>
    <w:rsid w:val="00C73A1E"/>
    <w:rsid w:val="00C73AE0"/>
    <w:rsid w:val="00C73BA0"/>
    <w:rsid w:val="00C73BB1"/>
    <w:rsid w:val="00C73C3B"/>
    <w:rsid w:val="00C73C90"/>
    <w:rsid w:val="00C73DCC"/>
    <w:rsid w:val="00C73E3B"/>
    <w:rsid w:val="00C73F7D"/>
    <w:rsid w:val="00C74057"/>
    <w:rsid w:val="00C7416F"/>
    <w:rsid w:val="00C744BD"/>
    <w:rsid w:val="00C74758"/>
    <w:rsid w:val="00C74A09"/>
    <w:rsid w:val="00C74BBC"/>
    <w:rsid w:val="00C74ED9"/>
    <w:rsid w:val="00C7508B"/>
    <w:rsid w:val="00C750A5"/>
    <w:rsid w:val="00C7516C"/>
    <w:rsid w:val="00C751BF"/>
    <w:rsid w:val="00C752A4"/>
    <w:rsid w:val="00C75352"/>
    <w:rsid w:val="00C7538F"/>
    <w:rsid w:val="00C753A6"/>
    <w:rsid w:val="00C758C0"/>
    <w:rsid w:val="00C758C2"/>
    <w:rsid w:val="00C7591E"/>
    <w:rsid w:val="00C75A2D"/>
    <w:rsid w:val="00C7603F"/>
    <w:rsid w:val="00C76072"/>
    <w:rsid w:val="00C76630"/>
    <w:rsid w:val="00C7670E"/>
    <w:rsid w:val="00C76750"/>
    <w:rsid w:val="00C76A2E"/>
    <w:rsid w:val="00C76A6E"/>
    <w:rsid w:val="00C76ADC"/>
    <w:rsid w:val="00C76C03"/>
    <w:rsid w:val="00C770DA"/>
    <w:rsid w:val="00C7711A"/>
    <w:rsid w:val="00C77162"/>
    <w:rsid w:val="00C77209"/>
    <w:rsid w:val="00C77479"/>
    <w:rsid w:val="00C77771"/>
    <w:rsid w:val="00C777A5"/>
    <w:rsid w:val="00C7787E"/>
    <w:rsid w:val="00C77916"/>
    <w:rsid w:val="00C779F4"/>
    <w:rsid w:val="00C77BEE"/>
    <w:rsid w:val="00C77D3E"/>
    <w:rsid w:val="00C77E62"/>
    <w:rsid w:val="00C77EF1"/>
    <w:rsid w:val="00C77F1F"/>
    <w:rsid w:val="00C802F6"/>
    <w:rsid w:val="00C8033A"/>
    <w:rsid w:val="00C805CE"/>
    <w:rsid w:val="00C80611"/>
    <w:rsid w:val="00C80721"/>
    <w:rsid w:val="00C80870"/>
    <w:rsid w:val="00C80A54"/>
    <w:rsid w:val="00C80A8B"/>
    <w:rsid w:val="00C80B49"/>
    <w:rsid w:val="00C80B78"/>
    <w:rsid w:val="00C80C5F"/>
    <w:rsid w:val="00C80CFA"/>
    <w:rsid w:val="00C80E21"/>
    <w:rsid w:val="00C80EAB"/>
    <w:rsid w:val="00C80FEB"/>
    <w:rsid w:val="00C810BA"/>
    <w:rsid w:val="00C810FF"/>
    <w:rsid w:val="00C811CE"/>
    <w:rsid w:val="00C8125B"/>
    <w:rsid w:val="00C81262"/>
    <w:rsid w:val="00C8129A"/>
    <w:rsid w:val="00C814ED"/>
    <w:rsid w:val="00C81581"/>
    <w:rsid w:val="00C81594"/>
    <w:rsid w:val="00C819AA"/>
    <w:rsid w:val="00C81ADC"/>
    <w:rsid w:val="00C81AED"/>
    <w:rsid w:val="00C81D49"/>
    <w:rsid w:val="00C8203B"/>
    <w:rsid w:val="00C823AD"/>
    <w:rsid w:val="00C82422"/>
    <w:rsid w:val="00C82566"/>
    <w:rsid w:val="00C8278A"/>
    <w:rsid w:val="00C82880"/>
    <w:rsid w:val="00C829B7"/>
    <w:rsid w:val="00C82B97"/>
    <w:rsid w:val="00C82CDB"/>
    <w:rsid w:val="00C82D33"/>
    <w:rsid w:val="00C82EBC"/>
    <w:rsid w:val="00C82F83"/>
    <w:rsid w:val="00C82F9E"/>
    <w:rsid w:val="00C83025"/>
    <w:rsid w:val="00C830A0"/>
    <w:rsid w:val="00C830AC"/>
    <w:rsid w:val="00C83162"/>
    <w:rsid w:val="00C83285"/>
    <w:rsid w:val="00C832BB"/>
    <w:rsid w:val="00C83331"/>
    <w:rsid w:val="00C839D5"/>
    <w:rsid w:val="00C83ACA"/>
    <w:rsid w:val="00C83B46"/>
    <w:rsid w:val="00C83C50"/>
    <w:rsid w:val="00C83F24"/>
    <w:rsid w:val="00C83F41"/>
    <w:rsid w:val="00C84007"/>
    <w:rsid w:val="00C84785"/>
    <w:rsid w:val="00C84901"/>
    <w:rsid w:val="00C8498F"/>
    <w:rsid w:val="00C84A19"/>
    <w:rsid w:val="00C85049"/>
    <w:rsid w:val="00C8511A"/>
    <w:rsid w:val="00C85241"/>
    <w:rsid w:val="00C8524A"/>
    <w:rsid w:val="00C85281"/>
    <w:rsid w:val="00C853C2"/>
    <w:rsid w:val="00C856C3"/>
    <w:rsid w:val="00C857BD"/>
    <w:rsid w:val="00C857C5"/>
    <w:rsid w:val="00C8582E"/>
    <w:rsid w:val="00C859CA"/>
    <w:rsid w:val="00C85AE8"/>
    <w:rsid w:val="00C85B82"/>
    <w:rsid w:val="00C85C0F"/>
    <w:rsid w:val="00C85FF1"/>
    <w:rsid w:val="00C862EB"/>
    <w:rsid w:val="00C862FD"/>
    <w:rsid w:val="00C86C47"/>
    <w:rsid w:val="00C86D24"/>
    <w:rsid w:val="00C86ED4"/>
    <w:rsid w:val="00C87228"/>
    <w:rsid w:val="00C8735A"/>
    <w:rsid w:val="00C87456"/>
    <w:rsid w:val="00C8755F"/>
    <w:rsid w:val="00C87572"/>
    <w:rsid w:val="00C875F2"/>
    <w:rsid w:val="00C87632"/>
    <w:rsid w:val="00C87738"/>
    <w:rsid w:val="00C87768"/>
    <w:rsid w:val="00C87859"/>
    <w:rsid w:val="00C90125"/>
    <w:rsid w:val="00C902CD"/>
    <w:rsid w:val="00C9079B"/>
    <w:rsid w:val="00C907C8"/>
    <w:rsid w:val="00C909FE"/>
    <w:rsid w:val="00C90A00"/>
    <w:rsid w:val="00C90A9D"/>
    <w:rsid w:val="00C90B27"/>
    <w:rsid w:val="00C90B77"/>
    <w:rsid w:val="00C90B94"/>
    <w:rsid w:val="00C90BBF"/>
    <w:rsid w:val="00C90BDD"/>
    <w:rsid w:val="00C90CFE"/>
    <w:rsid w:val="00C90DEB"/>
    <w:rsid w:val="00C911A1"/>
    <w:rsid w:val="00C911A3"/>
    <w:rsid w:val="00C9125C"/>
    <w:rsid w:val="00C912E0"/>
    <w:rsid w:val="00C91416"/>
    <w:rsid w:val="00C91530"/>
    <w:rsid w:val="00C915ED"/>
    <w:rsid w:val="00C91664"/>
    <w:rsid w:val="00C916A5"/>
    <w:rsid w:val="00C9172F"/>
    <w:rsid w:val="00C91734"/>
    <w:rsid w:val="00C917B3"/>
    <w:rsid w:val="00C918ED"/>
    <w:rsid w:val="00C91AC0"/>
    <w:rsid w:val="00C91E73"/>
    <w:rsid w:val="00C91E7D"/>
    <w:rsid w:val="00C92228"/>
    <w:rsid w:val="00C92387"/>
    <w:rsid w:val="00C924B0"/>
    <w:rsid w:val="00C924B9"/>
    <w:rsid w:val="00C92517"/>
    <w:rsid w:val="00C92580"/>
    <w:rsid w:val="00C9265C"/>
    <w:rsid w:val="00C9268E"/>
    <w:rsid w:val="00C926AF"/>
    <w:rsid w:val="00C92883"/>
    <w:rsid w:val="00C9296A"/>
    <w:rsid w:val="00C92A35"/>
    <w:rsid w:val="00C92DC9"/>
    <w:rsid w:val="00C92F77"/>
    <w:rsid w:val="00C932AB"/>
    <w:rsid w:val="00C933F1"/>
    <w:rsid w:val="00C9347E"/>
    <w:rsid w:val="00C934AC"/>
    <w:rsid w:val="00C9377A"/>
    <w:rsid w:val="00C937BA"/>
    <w:rsid w:val="00C9384F"/>
    <w:rsid w:val="00C93B38"/>
    <w:rsid w:val="00C93BE6"/>
    <w:rsid w:val="00C93C53"/>
    <w:rsid w:val="00C93C5D"/>
    <w:rsid w:val="00C93D02"/>
    <w:rsid w:val="00C93D3A"/>
    <w:rsid w:val="00C93F73"/>
    <w:rsid w:val="00C94021"/>
    <w:rsid w:val="00C94841"/>
    <w:rsid w:val="00C94870"/>
    <w:rsid w:val="00C94AE5"/>
    <w:rsid w:val="00C94CB9"/>
    <w:rsid w:val="00C94E2F"/>
    <w:rsid w:val="00C94F1B"/>
    <w:rsid w:val="00C94FC0"/>
    <w:rsid w:val="00C953F9"/>
    <w:rsid w:val="00C95493"/>
    <w:rsid w:val="00C954BF"/>
    <w:rsid w:val="00C95641"/>
    <w:rsid w:val="00C957F9"/>
    <w:rsid w:val="00C95A97"/>
    <w:rsid w:val="00C95AD3"/>
    <w:rsid w:val="00C95BCA"/>
    <w:rsid w:val="00C95E60"/>
    <w:rsid w:val="00C95FE4"/>
    <w:rsid w:val="00C960DF"/>
    <w:rsid w:val="00C9619B"/>
    <w:rsid w:val="00C96889"/>
    <w:rsid w:val="00C96C22"/>
    <w:rsid w:val="00C96DA2"/>
    <w:rsid w:val="00C96DDF"/>
    <w:rsid w:val="00C9709A"/>
    <w:rsid w:val="00C9715A"/>
    <w:rsid w:val="00C97371"/>
    <w:rsid w:val="00C97412"/>
    <w:rsid w:val="00C97616"/>
    <w:rsid w:val="00C976E8"/>
    <w:rsid w:val="00C977A7"/>
    <w:rsid w:val="00C97A3C"/>
    <w:rsid w:val="00C97C13"/>
    <w:rsid w:val="00CA038B"/>
    <w:rsid w:val="00CA0716"/>
    <w:rsid w:val="00CA0744"/>
    <w:rsid w:val="00CA0BA1"/>
    <w:rsid w:val="00CA0D99"/>
    <w:rsid w:val="00CA0F77"/>
    <w:rsid w:val="00CA1009"/>
    <w:rsid w:val="00CA11A9"/>
    <w:rsid w:val="00CA11CE"/>
    <w:rsid w:val="00CA1249"/>
    <w:rsid w:val="00CA1379"/>
    <w:rsid w:val="00CA13E4"/>
    <w:rsid w:val="00CA1592"/>
    <w:rsid w:val="00CA16C3"/>
    <w:rsid w:val="00CA1709"/>
    <w:rsid w:val="00CA1928"/>
    <w:rsid w:val="00CA1F22"/>
    <w:rsid w:val="00CA211D"/>
    <w:rsid w:val="00CA22E5"/>
    <w:rsid w:val="00CA2602"/>
    <w:rsid w:val="00CA2692"/>
    <w:rsid w:val="00CA2693"/>
    <w:rsid w:val="00CA271E"/>
    <w:rsid w:val="00CA2849"/>
    <w:rsid w:val="00CA2A78"/>
    <w:rsid w:val="00CA2A95"/>
    <w:rsid w:val="00CA2B0F"/>
    <w:rsid w:val="00CA2BE1"/>
    <w:rsid w:val="00CA2C37"/>
    <w:rsid w:val="00CA2CC1"/>
    <w:rsid w:val="00CA2DF2"/>
    <w:rsid w:val="00CA2E9C"/>
    <w:rsid w:val="00CA3039"/>
    <w:rsid w:val="00CA31BF"/>
    <w:rsid w:val="00CA323E"/>
    <w:rsid w:val="00CA3503"/>
    <w:rsid w:val="00CA3509"/>
    <w:rsid w:val="00CA35DD"/>
    <w:rsid w:val="00CA370D"/>
    <w:rsid w:val="00CA374F"/>
    <w:rsid w:val="00CA39D6"/>
    <w:rsid w:val="00CA3B9E"/>
    <w:rsid w:val="00CA3C96"/>
    <w:rsid w:val="00CA3EB6"/>
    <w:rsid w:val="00CA3FBF"/>
    <w:rsid w:val="00CA401A"/>
    <w:rsid w:val="00CA407F"/>
    <w:rsid w:val="00CA424A"/>
    <w:rsid w:val="00CA4390"/>
    <w:rsid w:val="00CA442F"/>
    <w:rsid w:val="00CA4494"/>
    <w:rsid w:val="00CA46CF"/>
    <w:rsid w:val="00CA48FE"/>
    <w:rsid w:val="00CA4941"/>
    <w:rsid w:val="00CA4A2E"/>
    <w:rsid w:val="00CA4ACA"/>
    <w:rsid w:val="00CA4F5B"/>
    <w:rsid w:val="00CA5031"/>
    <w:rsid w:val="00CA51F7"/>
    <w:rsid w:val="00CA524B"/>
    <w:rsid w:val="00CA5656"/>
    <w:rsid w:val="00CA570E"/>
    <w:rsid w:val="00CA58B7"/>
    <w:rsid w:val="00CA5910"/>
    <w:rsid w:val="00CA5AE1"/>
    <w:rsid w:val="00CA5D8F"/>
    <w:rsid w:val="00CA5FB6"/>
    <w:rsid w:val="00CA6025"/>
    <w:rsid w:val="00CA6312"/>
    <w:rsid w:val="00CA6322"/>
    <w:rsid w:val="00CA63F7"/>
    <w:rsid w:val="00CA6418"/>
    <w:rsid w:val="00CA65F1"/>
    <w:rsid w:val="00CA666C"/>
    <w:rsid w:val="00CA6869"/>
    <w:rsid w:val="00CA6891"/>
    <w:rsid w:val="00CA6AB0"/>
    <w:rsid w:val="00CA6F5D"/>
    <w:rsid w:val="00CA7042"/>
    <w:rsid w:val="00CA757F"/>
    <w:rsid w:val="00CA7833"/>
    <w:rsid w:val="00CA793F"/>
    <w:rsid w:val="00CA7B03"/>
    <w:rsid w:val="00CA7B40"/>
    <w:rsid w:val="00CA7E70"/>
    <w:rsid w:val="00CA7FC1"/>
    <w:rsid w:val="00CB016E"/>
    <w:rsid w:val="00CB01FF"/>
    <w:rsid w:val="00CB028B"/>
    <w:rsid w:val="00CB03F9"/>
    <w:rsid w:val="00CB04E1"/>
    <w:rsid w:val="00CB052E"/>
    <w:rsid w:val="00CB065A"/>
    <w:rsid w:val="00CB0718"/>
    <w:rsid w:val="00CB081B"/>
    <w:rsid w:val="00CB1445"/>
    <w:rsid w:val="00CB1676"/>
    <w:rsid w:val="00CB1700"/>
    <w:rsid w:val="00CB198B"/>
    <w:rsid w:val="00CB1BB0"/>
    <w:rsid w:val="00CB1BBD"/>
    <w:rsid w:val="00CB1D48"/>
    <w:rsid w:val="00CB2109"/>
    <w:rsid w:val="00CB217C"/>
    <w:rsid w:val="00CB21F9"/>
    <w:rsid w:val="00CB2459"/>
    <w:rsid w:val="00CB246A"/>
    <w:rsid w:val="00CB2489"/>
    <w:rsid w:val="00CB2548"/>
    <w:rsid w:val="00CB2568"/>
    <w:rsid w:val="00CB2604"/>
    <w:rsid w:val="00CB28EE"/>
    <w:rsid w:val="00CB2985"/>
    <w:rsid w:val="00CB2B89"/>
    <w:rsid w:val="00CB2BD8"/>
    <w:rsid w:val="00CB2C5E"/>
    <w:rsid w:val="00CB2F3B"/>
    <w:rsid w:val="00CB2FC9"/>
    <w:rsid w:val="00CB3019"/>
    <w:rsid w:val="00CB3253"/>
    <w:rsid w:val="00CB32B2"/>
    <w:rsid w:val="00CB32F4"/>
    <w:rsid w:val="00CB3552"/>
    <w:rsid w:val="00CB35AA"/>
    <w:rsid w:val="00CB38D0"/>
    <w:rsid w:val="00CB3C3F"/>
    <w:rsid w:val="00CB3CB9"/>
    <w:rsid w:val="00CB3D4C"/>
    <w:rsid w:val="00CB3D7B"/>
    <w:rsid w:val="00CB3FFF"/>
    <w:rsid w:val="00CB40C8"/>
    <w:rsid w:val="00CB40E2"/>
    <w:rsid w:val="00CB421A"/>
    <w:rsid w:val="00CB42B3"/>
    <w:rsid w:val="00CB4446"/>
    <w:rsid w:val="00CB445E"/>
    <w:rsid w:val="00CB493A"/>
    <w:rsid w:val="00CB49FE"/>
    <w:rsid w:val="00CB4A53"/>
    <w:rsid w:val="00CB4A92"/>
    <w:rsid w:val="00CB4DF0"/>
    <w:rsid w:val="00CB5147"/>
    <w:rsid w:val="00CB519C"/>
    <w:rsid w:val="00CB5224"/>
    <w:rsid w:val="00CB5284"/>
    <w:rsid w:val="00CB54CB"/>
    <w:rsid w:val="00CB55F7"/>
    <w:rsid w:val="00CB5620"/>
    <w:rsid w:val="00CB581C"/>
    <w:rsid w:val="00CB5827"/>
    <w:rsid w:val="00CB5848"/>
    <w:rsid w:val="00CB58A0"/>
    <w:rsid w:val="00CB5A14"/>
    <w:rsid w:val="00CB5AB6"/>
    <w:rsid w:val="00CB5B85"/>
    <w:rsid w:val="00CB5BB4"/>
    <w:rsid w:val="00CB5D66"/>
    <w:rsid w:val="00CB61EB"/>
    <w:rsid w:val="00CB6356"/>
    <w:rsid w:val="00CB6763"/>
    <w:rsid w:val="00CB67F7"/>
    <w:rsid w:val="00CB68A4"/>
    <w:rsid w:val="00CB6A0A"/>
    <w:rsid w:val="00CB6D4B"/>
    <w:rsid w:val="00CB6E4D"/>
    <w:rsid w:val="00CB6F2F"/>
    <w:rsid w:val="00CB6F3C"/>
    <w:rsid w:val="00CB70DF"/>
    <w:rsid w:val="00CB71C8"/>
    <w:rsid w:val="00CB7449"/>
    <w:rsid w:val="00CB74A8"/>
    <w:rsid w:val="00CB76E5"/>
    <w:rsid w:val="00CB7BB9"/>
    <w:rsid w:val="00CB7D89"/>
    <w:rsid w:val="00CB7F79"/>
    <w:rsid w:val="00CB7FBD"/>
    <w:rsid w:val="00CC005D"/>
    <w:rsid w:val="00CC013C"/>
    <w:rsid w:val="00CC0140"/>
    <w:rsid w:val="00CC0150"/>
    <w:rsid w:val="00CC05FF"/>
    <w:rsid w:val="00CC072B"/>
    <w:rsid w:val="00CC08D3"/>
    <w:rsid w:val="00CC0A58"/>
    <w:rsid w:val="00CC0B26"/>
    <w:rsid w:val="00CC0B51"/>
    <w:rsid w:val="00CC0DC4"/>
    <w:rsid w:val="00CC0DE9"/>
    <w:rsid w:val="00CC0E3D"/>
    <w:rsid w:val="00CC0FBA"/>
    <w:rsid w:val="00CC100D"/>
    <w:rsid w:val="00CC1208"/>
    <w:rsid w:val="00CC1324"/>
    <w:rsid w:val="00CC1590"/>
    <w:rsid w:val="00CC15B4"/>
    <w:rsid w:val="00CC1677"/>
    <w:rsid w:val="00CC171E"/>
    <w:rsid w:val="00CC199C"/>
    <w:rsid w:val="00CC1B17"/>
    <w:rsid w:val="00CC1D47"/>
    <w:rsid w:val="00CC2040"/>
    <w:rsid w:val="00CC2154"/>
    <w:rsid w:val="00CC2415"/>
    <w:rsid w:val="00CC267B"/>
    <w:rsid w:val="00CC2741"/>
    <w:rsid w:val="00CC2900"/>
    <w:rsid w:val="00CC2BBB"/>
    <w:rsid w:val="00CC2E40"/>
    <w:rsid w:val="00CC30E1"/>
    <w:rsid w:val="00CC320B"/>
    <w:rsid w:val="00CC3379"/>
    <w:rsid w:val="00CC35AC"/>
    <w:rsid w:val="00CC374F"/>
    <w:rsid w:val="00CC3752"/>
    <w:rsid w:val="00CC380D"/>
    <w:rsid w:val="00CC39E3"/>
    <w:rsid w:val="00CC3C37"/>
    <w:rsid w:val="00CC3D40"/>
    <w:rsid w:val="00CC4095"/>
    <w:rsid w:val="00CC426B"/>
    <w:rsid w:val="00CC44D8"/>
    <w:rsid w:val="00CC4606"/>
    <w:rsid w:val="00CC468E"/>
    <w:rsid w:val="00CC47E3"/>
    <w:rsid w:val="00CC492C"/>
    <w:rsid w:val="00CC494B"/>
    <w:rsid w:val="00CC49B6"/>
    <w:rsid w:val="00CC49B9"/>
    <w:rsid w:val="00CC4DCD"/>
    <w:rsid w:val="00CC52B4"/>
    <w:rsid w:val="00CC5B55"/>
    <w:rsid w:val="00CC5CB6"/>
    <w:rsid w:val="00CC5EFD"/>
    <w:rsid w:val="00CC6138"/>
    <w:rsid w:val="00CC639F"/>
    <w:rsid w:val="00CC63A8"/>
    <w:rsid w:val="00CC663D"/>
    <w:rsid w:val="00CC678A"/>
    <w:rsid w:val="00CC6A00"/>
    <w:rsid w:val="00CC6A25"/>
    <w:rsid w:val="00CC6AB3"/>
    <w:rsid w:val="00CC6AE7"/>
    <w:rsid w:val="00CC6D96"/>
    <w:rsid w:val="00CC6FC9"/>
    <w:rsid w:val="00CC7400"/>
    <w:rsid w:val="00CC75CC"/>
    <w:rsid w:val="00CC7603"/>
    <w:rsid w:val="00CC7990"/>
    <w:rsid w:val="00CC7A95"/>
    <w:rsid w:val="00CC7AB1"/>
    <w:rsid w:val="00CC7BDE"/>
    <w:rsid w:val="00CC7F70"/>
    <w:rsid w:val="00CC7FA4"/>
    <w:rsid w:val="00CD0022"/>
    <w:rsid w:val="00CD0027"/>
    <w:rsid w:val="00CD0069"/>
    <w:rsid w:val="00CD010E"/>
    <w:rsid w:val="00CD05A3"/>
    <w:rsid w:val="00CD0AE1"/>
    <w:rsid w:val="00CD0B55"/>
    <w:rsid w:val="00CD0B82"/>
    <w:rsid w:val="00CD0D4C"/>
    <w:rsid w:val="00CD0F1B"/>
    <w:rsid w:val="00CD1076"/>
    <w:rsid w:val="00CD12EB"/>
    <w:rsid w:val="00CD1429"/>
    <w:rsid w:val="00CD1489"/>
    <w:rsid w:val="00CD1534"/>
    <w:rsid w:val="00CD15ED"/>
    <w:rsid w:val="00CD16C8"/>
    <w:rsid w:val="00CD1904"/>
    <w:rsid w:val="00CD1B2D"/>
    <w:rsid w:val="00CD1EEB"/>
    <w:rsid w:val="00CD207E"/>
    <w:rsid w:val="00CD2134"/>
    <w:rsid w:val="00CD239C"/>
    <w:rsid w:val="00CD257E"/>
    <w:rsid w:val="00CD25B6"/>
    <w:rsid w:val="00CD2663"/>
    <w:rsid w:val="00CD27C4"/>
    <w:rsid w:val="00CD2A04"/>
    <w:rsid w:val="00CD2BBD"/>
    <w:rsid w:val="00CD3080"/>
    <w:rsid w:val="00CD348B"/>
    <w:rsid w:val="00CD34F3"/>
    <w:rsid w:val="00CD3511"/>
    <w:rsid w:val="00CD35E8"/>
    <w:rsid w:val="00CD360E"/>
    <w:rsid w:val="00CD3686"/>
    <w:rsid w:val="00CD3A6A"/>
    <w:rsid w:val="00CD3D4E"/>
    <w:rsid w:val="00CD3E4D"/>
    <w:rsid w:val="00CD3F37"/>
    <w:rsid w:val="00CD43F7"/>
    <w:rsid w:val="00CD4550"/>
    <w:rsid w:val="00CD4801"/>
    <w:rsid w:val="00CD48A6"/>
    <w:rsid w:val="00CD48CE"/>
    <w:rsid w:val="00CD496E"/>
    <w:rsid w:val="00CD4B03"/>
    <w:rsid w:val="00CD4BA4"/>
    <w:rsid w:val="00CD4F68"/>
    <w:rsid w:val="00CD4FD2"/>
    <w:rsid w:val="00CD50F1"/>
    <w:rsid w:val="00CD5195"/>
    <w:rsid w:val="00CD51D0"/>
    <w:rsid w:val="00CD52B5"/>
    <w:rsid w:val="00CD52EA"/>
    <w:rsid w:val="00CD5343"/>
    <w:rsid w:val="00CD54FE"/>
    <w:rsid w:val="00CD5532"/>
    <w:rsid w:val="00CD556B"/>
    <w:rsid w:val="00CD55DE"/>
    <w:rsid w:val="00CD56B1"/>
    <w:rsid w:val="00CD573F"/>
    <w:rsid w:val="00CD57FA"/>
    <w:rsid w:val="00CD58B6"/>
    <w:rsid w:val="00CD59DB"/>
    <w:rsid w:val="00CD5B62"/>
    <w:rsid w:val="00CD5D1D"/>
    <w:rsid w:val="00CD5F08"/>
    <w:rsid w:val="00CD609E"/>
    <w:rsid w:val="00CD630B"/>
    <w:rsid w:val="00CD670C"/>
    <w:rsid w:val="00CD6860"/>
    <w:rsid w:val="00CD6A2E"/>
    <w:rsid w:val="00CD6BC9"/>
    <w:rsid w:val="00CD6D66"/>
    <w:rsid w:val="00CD6FC0"/>
    <w:rsid w:val="00CD7081"/>
    <w:rsid w:val="00CD710B"/>
    <w:rsid w:val="00CD717F"/>
    <w:rsid w:val="00CD72FF"/>
    <w:rsid w:val="00CD76DB"/>
    <w:rsid w:val="00CD774A"/>
    <w:rsid w:val="00CD785A"/>
    <w:rsid w:val="00CD790E"/>
    <w:rsid w:val="00CD790F"/>
    <w:rsid w:val="00CD79DA"/>
    <w:rsid w:val="00CD79F3"/>
    <w:rsid w:val="00CD7ACF"/>
    <w:rsid w:val="00CD7CC1"/>
    <w:rsid w:val="00CD7CEE"/>
    <w:rsid w:val="00CD7ED8"/>
    <w:rsid w:val="00CE00B9"/>
    <w:rsid w:val="00CE053B"/>
    <w:rsid w:val="00CE056A"/>
    <w:rsid w:val="00CE0665"/>
    <w:rsid w:val="00CE06B2"/>
    <w:rsid w:val="00CE070E"/>
    <w:rsid w:val="00CE0883"/>
    <w:rsid w:val="00CE093A"/>
    <w:rsid w:val="00CE0A0E"/>
    <w:rsid w:val="00CE0A74"/>
    <w:rsid w:val="00CE0B1A"/>
    <w:rsid w:val="00CE0BA3"/>
    <w:rsid w:val="00CE0EE6"/>
    <w:rsid w:val="00CE1215"/>
    <w:rsid w:val="00CE12AC"/>
    <w:rsid w:val="00CE17AD"/>
    <w:rsid w:val="00CE1811"/>
    <w:rsid w:val="00CE182B"/>
    <w:rsid w:val="00CE1E01"/>
    <w:rsid w:val="00CE1EAB"/>
    <w:rsid w:val="00CE1F97"/>
    <w:rsid w:val="00CE2103"/>
    <w:rsid w:val="00CE22BB"/>
    <w:rsid w:val="00CE2661"/>
    <w:rsid w:val="00CE278C"/>
    <w:rsid w:val="00CE27DA"/>
    <w:rsid w:val="00CE2879"/>
    <w:rsid w:val="00CE28B8"/>
    <w:rsid w:val="00CE2C2F"/>
    <w:rsid w:val="00CE2C4F"/>
    <w:rsid w:val="00CE2DF6"/>
    <w:rsid w:val="00CE2E4B"/>
    <w:rsid w:val="00CE2EA0"/>
    <w:rsid w:val="00CE2EB8"/>
    <w:rsid w:val="00CE3257"/>
    <w:rsid w:val="00CE32B9"/>
    <w:rsid w:val="00CE32EC"/>
    <w:rsid w:val="00CE3387"/>
    <w:rsid w:val="00CE3393"/>
    <w:rsid w:val="00CE36EE"/>
    <w:rsid w:val="00CE373E"/>
    <w:rsid w:val="00CE38C1"/>
    <w:rsid w:val="00CE390E"/>
    <w:rsid w:val="00CE3A3B"/>
    <w:rsid w:val="00CE3A80"/>
    <w:rsid w:val="00CE3E49"/>
    <w:rsid w:val="00CE3FD5"/>
    <w:rsid w:val="00CE40B9"/>
    <w:rsid w:val="00CE411D"/>
    <w:rsid w:val="00CE41C9"/>
    <w:rsid w:val="00CE41ED"/>
    <w:rsid w:val="00CE4256"/>
    <w:rsid w:val="00CE4613"/>
    <w:rsid w:val="00CE468E"/>
    <w:rsid w:val="00CE46B0"/>
    <w:rsid w:val="00CE4A5C"/>
    <w:rsid w:val="00CE4BCA"/>
    <w:rsid w:val="00CE4D89"/>
    <w:rsid w:val="00CE500D"/>
    <w:rsid w:val="00CE5024"/>
    <w:rsid w:val="00CE5468"/>
    <w:rsid w:val="00CE5563"/>
    <w:rsid w:val="00CE55F2"/>
    <w:rsid w:val="00CE5609"/>
    <w:rsid w:val="00CE563B"/>
    <w:rsid w:val="00CE56FB"/>
    <w:rsid w:val="00CE5939"/>
    <w:rsid w:val="00CE5977"/>
    <w:rsid w:val="00CE5A0A"/>
    <w:rsid w:val="00CE5A44"/>
    <w:rsid w:val="00CE5ABD"/>
    <w:rsid w:val="00CE5BFB"/>
    <w:rsid w:val="00CE603B"/>
    <w:rsid w:val="00CE625D"/>
    <w:rsid w:val="00CE62D1"/>
    <w:rsid w:val="00CE6328"/>
    <w:rsid w:val="00CE6513"/>
    <w:rsid w:val="00CE663E"/>
    <w:rsid w:val="00CE66F7"/>
    <w:rsid w:val="00CE6965"/>
    <w:rsid w:val="00CE6A6F"/>
    <w:rsid w:val="00CE6DBA"/>
    <w:rsid w:val="00CE6F36"/>
    <w:rsid w:val="00CE70F4"/>
    <w:rsid w:val="00CE71B5"/>
    <w:rsid w:val="00CE733C"/>
    <w:rsid w:val="00CE7451"/>
    <w:rsid w:val="00CE7808"/>
    <w:rsid w:val="00CE7873"/>
    <w:rsid w:val="00CE7971"/>
    <w:rsid w:val="00CE7C8E"/>
    <w:rsid w:val="00CE7D61"/>
    <w:rsid w:val="00CF007D"/>
    <w:rsid w:val="00CF00F5"/>
    <w:rsid w:val="00CF00F7"/>
    <w:rsid w:val="00CF01F8"/>
    <w:rsid w:val="00CF0483"/>
    <w:rsid w:val="00CF08B4"/>
    <w:rsid w:val="00CF093A"/>
    <w:rsid w:val="00CF09D0"/>
    <w:rsid w:val="00CF09DB"/>
    <w:rsid w:val="00CF09F2"/>
    <w:rsid w:val="00CF0BD2"/>
    <w:rsid w:val="00CF0D97"/>
    <w:rsid w:val="00CF0E20"/>
    <w:rsid w:val="00CF1314"/>
    <w:rsid w:val="00CF1376"/>
    <w:rsid w:val="00CF1563"/>
    <w:rsid w:val="00CF182D"/>
    <w:rsid w:val="00CF1A50"/>
    <w:rsid w:val="00CF1B87"/>
    <w:rsid w:val="00CF2230"/>
    <w:rsid w:val="00CF2566"/>
    <w:rsid w:val="00CF2618"/>
    <w:rsid w:val="00CF26A3"/>
    <w:rsid w:val="00CF29B6"/>
    <w:rsid w:val="00CF2A09"/>
    <w:rsid w:val="00CF2B4F"/>
    <w:rsid w:val="00CF2D1F"/>
    <w:rsid w:val="00CF2EF2"/>
    <w:rsid w:val="00CF303A"/>
    <w:rsid w:val="00CF3065"/>
    <w:rsid w:val="00CF3076"/>
    <w:rsid w:val="00CF3095"/>
    <w:rsid w:val="00CF3292"/>
    <w:rsid w:val="00CF33B8"/>
    <w:rsid w:val="00CF34CE"/>
    <w:rsid w:val="00CF3796"/>
    <w:rsid w:val="00CF3896"/>
    <w:rsid w:val="00CF3BC6"/>
    <w:rsid w:val="00CF3DEF"/>
    <w:rsid w:val="00CF3EBB"/>
    <w:rsid w:val="00CF3EC0"/>
    <w:rsid w:val="00CF4295"/>
    <w:rsid w:val="00CF4332"/>
    <w:rsid w:val="00CF4492"/>
    <w:rsid w:val="00CF44CE"/>
    <w:rsid w:val="00CF4767"/>
    <w:rsid w:val="00CF4A56"/>
    <w:rsid w:val="00CF4BB3"/>
    <w:rsid w:val="00CF4D77"/>
    <w:rsid w:val="00CF4DC1"/>
    <w:rsid w:val="00CF4E17"/>
    <w:rsid w:val="00CF4EC3"/>
    <w:rsid w:val="00CF4FC7"/>
    <w:rsid w:val="00CF5056"/>
    <w:rsid w:val="00CF51DC"/>
    <w:rsid w:val="00CF51E9"/>
    <w:rsid w:val="00CF52E2"/>
    <w:rsid w:val="00CF54E7"/>
    <w:rsid w:val="00CF5776"/>
    <w:rsid w:val="00CF5842"/>
    <w:rsid w:val="00CF5F67"/>
    <w:rsid w:val="00CF618C"/>
    <w:rsid w:val="00CF645E"/>
    <w:rsid w:val="00CF6572"/>
    <w:rsid w:val="00CF6985"/>
    <w:rsid w:val="00CF699B"/>
    <w:rsid w:val="00CF6A2E"/>
    <w:rsid w:val="00CF6B89"/>
    <w:rsid w:val="00CF6E1F"/>
    <w:rsid w:val="00CF700D"/>
    <w:rsid w:val="00CF7197"/>
    <w:rsid w:val="00CF7244"/>
    <w:rsid w:val="00CF7392"/>
    <w:rsid w:val="00CF7480"/>
    <w:rsid w:val="00CF76A7"/>
    <w:rsid w:val="00CF77C2"/>
    <w:rsid w:val="00CF78F4"/>
    <w:rsid w:val="00CF7932"/>
    <w:rsid w:val="00CF7A7E"/>
    <w:rsid w:val="00CF7A94"/>
    <w:rsid w:val="00CF7AC9"/>
    <w:rsid w:val="00CF7B75"/>
    <w:rsid w:val="00CF7B96"/>
    <w:rsid w:val="00CF7D11"/>
    <w:rsid w:val="00CF7DA2"/>
    <w:rsid w:val="00CF7DDA"/>
    <w:rsid w:val="00CF7DF6"/>
    <w:rsid w:val="00CF7E7B"/>
    <w:rsid w:val="00CF7F5B"/>
    <w:rsid w:val="00D00041"/>
    <w:rsid w:val="00D008FB"/>
    <w:rsid w:val="00D009BA"/>
    <w:rsid w:val="00D00AA1"/>
    <w:rsid w:val="00D00BA5"/>
    <w:rsid w:val="00D01073"/>
    <w:rsid w:val="00D011FA"/>
    <w:rsid w:val="00D01288"/>
    <w:rsid w:val="00D0154F"/>
    <w:rsid w:val="00D01AEA"/>
    <w:rsid w:val="00D01B01"/>
    <w:rsid w:val="00D01D33"/>
    <w:rsid w:val="00D01D39"/>
    <w:rsid w:val="00D01D54"/>
    <w:rsid w:val="00D0229B"/>
    <w:rsid w:val="00D0236B"/>
    <w:rsid w:val="00D026A0"/>
    <w:rsid w:val="00D0275C"/>
    <w:rsid w:val="00D02810"/>
    <w:rsid w:val="00D02D37"/>
    <w:rsid w:val="00D02DC5"/>
    <w:rsid w:val="00D03478"/>
    <w:rsid w:val="00D034C1"/>
    <w:rsid w:val="00D03A2D"/>
    <w:rsid w:val="00D03E12"/>
    <w:rsid w:val="00D03F3B"/>
    <w:rsid w:val="00D03F84"/>
    <w:rsid w:val="00D03FBE"/>
    <w:rsid w:val="00D03FBF"/>
    <w:rsid w:val="00D04318"/>
    <w:rsid w:val="00D044E1"/>
    <w:rsid w:val="00D048BC"/>
    <w:rsid w:val="00D04966"/>
    <w:rsid w:val="00D04B85"/>
    <w:rsid w:val="00D04C17"/>
    <w:rsid w:val="00D04D5D"/>
    <w:rsid w:val="00D04D65"/>
    <w:rsid w:val="00D04F36"/>
    <w:rsid w:val="00D04F74"/>
    <w:rsid w:val="00D051ED"/>
    <w:rsid w:val="00D05227"/>
    <w:rsid w:val="00D05669"/>
    <w:rsid w:val="00D05ABA"/>
    <w:rsid w:val="00D062C0"/>
    <w:rsid w:val="00D06301"/>
    <w:rsid w:val="00D0632D"/>
    <w:rsid w:val="00D06A5D"/>
    <w:rsid w:val="00D071EA"/>
    <w:rsid w:val="00D07689"/>
    <w:rsid w:val="00D07D1B"/>
    <w:rsid w:val="00D07E62"/>
    <w:rsid w:val="00D07EE3"/>
    <w:rsid w:val="00D07F05"/>
    <w:rsid w:val="00D101E1"/>
    <w:rsid w:val="00D10294"/>
    <w:rsid w:val="00D1071B"/>
    <w:rsid w:val="00D1079B"/>
    <w:rsid w:val="00D109A2"/>
    <w:rsid w:val="00D10EBC"/>
    <w:rsid w:val="00D1113E"/>
    <w:rsid w:val="00D112E4"/>
    <w:rsid w:val="00D11561"/>
    <w:rsid w:val="00D1172C"/>
    <w:rsid w:val="00D11C27"/>
    <w:rsid w:val="00D11D4F"/>
    <w:rsid w:val="00D121DB"/>
    <w:rsid w:val="00D1227B"/>
    <w:rsid w:val="00D12549"/>
    <w:rsid w:val="00D12606"/>
    <w:rsid w:val="00D12641"/>
    <w:rsid w:val="00D12721"/>
    <w:rsid w:val="00D127E3"/>
    <w:rsid w:val="00D1288D"/>
    <w:rsid w:val="00D129CB"/>
    <w:rsid w:val="00D12A7D"/>
    <w:rsid w:val="00D12E40"/>
    <w:rsid w:val="00D12F6F"/>
    <w:rsid w:val="00D12F73"/>
    <w:rsid w:val="00D130C6"/>
    <w:rsid w:val="00D13157"/>
    <w:rsid w:val="00D1333E"/>
    <w:rsid w:val="00D13574"/>
    <w:rsid w:val="00D13919"/>
    <w:rsid w:val="00D13B48"/>
    <w:rsid w:val="00D13CC5"/>
    <w:rsid w:val="00D13D85"/>
    <w:rsid w:val="00D13DE4"/>
    <w:rsid w:val="00D1401D"/>
    <w:rsid w:val="00D141B4"/>
    <w:rsid w:val="00D141D1"/>
    <w:rsid w:val="00D14271"/>
    <w:rsid w:val="00D14364"/>
    <w:rsid w:val="00D14520"/>
    <w:rsid w:val="00D148EB"/>
    <w:rsid w:val="00D14B2D"/>
    <w:rsid w:val="00D14CE0"/>
    <w:rsid w:val="00D14D34"/>
    <w:rsid w:val="00D14D9C"/>
    <w:rsid w:val="00D14E7B"/>
    <w:rsid w:val="00D14F9E"/>
    <w:rsid w:val="00D15129"/>
    <w:rsid w:val="00D15195"/>
    <w:rsid w:val="00D1524C"/>
    <w:rsid w:val="00D152A2"/>
    <w:rsid w:val="00D152D6"/>
    <w:rsid w:val="00D1552B"/>
    <w:rsid w:val="00D15819"/>
    <w:rsid w:val="00D15E19"/>
    <w:rsid w:val="00D15E53"/>
    <w:rsid w:val="00D160FF"/>
    <w:rsid w:val="00D16565"/>
    <w:rsid w:val="00D16966"/>
    <w:rsid w:val="00D16B26"/>
    <w:rsid w:val="00D16C5D"/>
    <w:rsid w:val="00D16D60"/>
    <w:rsid w:val="00D16F75"/>
    <w:rsid w:val="00D17199"/>
    <w:rsid w:val="00D17261"/>
    <w:rsid w:val="00D17454"/>
    <w:rsid w:val="00D174A1"/>
    <w:rsid w:val="00D17668"/>
    <w:rsid w:val="00D1781F"/>
    <w:rsid w:val="00D17943"/>
    <w:rsid w:val="00D17A1C"/>
    <w:rsid w:val="00D17BB1"/>
    <w:rsid w:val="00D17C2C"/>
    <w:rsid w:val="00D17D4A"/>
    <w:rsid w:val="00D17FCE"/>
    <w:rsid w:val="00D202A2"/>
    <w:rsid w:val="00D20473"/>
    <w:rsid w:val="00D205C7"/>
    <w:rsid w:val="00D20672"/>
    <w:rsid w:val="00D206C0"/>
    <w:rsid w:val="00D20781"/>
    <w:rsid w:val="00D20867"/>
    <w:rsid w:val="00D208E9"/>
    <w:rsid w:val="00D20914"/>
    <w:rsid w:val="00D20936"/>
    <w:rsid w:val="00D20B00"/>
    <w:rsid w:val="00D20BBB"/>
    <w:rsid w:val="00D20CD0"/>
    <w:rsid w:val="00D20D7F"/>
    <w:rsid w:val="00D20E05"/>
    <w:rsid w:val="00D20FB1"/>
    <w:rsid w:val="00D20FF8"/>
    <w:rsid w:val="00D211B8"/>
    <w:rsid w:val="00D21432"/>
    <w:rsid w:val="00D21723"/>
    <w:rsid w:val="00D21957"/>
    <w:rsid w:val="00D21983"/>
    <w:rsid w:val="00D2199B"/>
    <w:rsid w:val="00D21B68"/>
    <w:rsid w:val="00D221CB"/>
    <w:rsid w:val="00D225C0"/>
    <w:rsid w:val="00D22B48"/>
    <w:rsid w:val="00D22D8B"/>
    <w:rsid w:val="00D23135"/>
    <w:rsid w:val="00D231D9"/>
    <w:rsid w:val="00D23255"/>
    <w:rsid w:val="00D23280"/>
    <w:rsid w:val="00D233D5"/>
    <w:rsid w:val="00D235D8"/>
    <w:rsid w:val="00D23806"/>
    <w:rsid w:val="00D2388D"/>
    <w:rsid w:val="00D2391B"/>
    <w:rsid w:val="00D23A5B"/>
    <w:rsid w:val="00D23B45"/>
    <w:rsid w:val="00D23E3B"/>
    <w:rsid w:val="00D23FD1"/>
    <w:rsid w:val="00D244EA"/>
    <w:rsid w:val="00D24548"/>
    <w:rsid w:val="00D24739"/>
    <w:rsid w:val="00D248BA"/>
    <w:rsid w:val="00D24A05"/>
    <w:rsid w:val="00D24BD1"/>
    <w:rsid w:val="00D24C14"/>
    <w:rsid w:val="00D24C97"/>
    <w:rsid w:val="00D24D10"/>
    <w:rsid w:val="00D24D8F"/>
    <w:rsid w:val="00D251C1"/>
    <w:rsid w:val="00D2520F"/>
    <w:rsid w:val="00D255F7"/>
    <w:rsid w:val="00D2592F"/>
    <w:rsid w:val="00D25B7C"/>
    <w:rsid w:val="00D25CA6"/>
    <w:rsid w:val="00D25D2E"/>
    <w:rsid w:val="00D25D9D"/>
    <w:rsid w:val="00D25E8D"/>
    <w:rsid w:val="00D25E96"/>
    <w:rsid w:val="00D25F48"/>
    <w:rsid w:val="00D25F69"/>
    <w:rsid w:val="00D26222"/>
    <w:rsid w:val="00D2639E"/>
    <w:rsid w:val="00D26419"/>
    <w:rsid w:val="00D264A6"/>
    <w:rsid w:val="00D26673"/>
    <w:rsid w:val="00D2688D"/>
    <w:rsid w:val="00D2693A"/>
    <w:rsid w:val="00D26BDE"/>
    <w:rsid w:val="00D26FAC"/>
    <w:rsid w:val="00D271B8"/>
    <w:rsid w:val="00D271B9"/>
    <w:rsid w:val="00D27244"/>
    <w:rsid w:val="00D27377"/>
    <w:rsid w:val="00D27485"/>
    <w:rsid w:val="00D27875"/>
    <w:rsid w:val="00D27E03"/>
    <w:rsid w:val="00D30038"/>
    <w:rsid w:val="00D30084"/>
    <w:rsid w:val="00D30429"/>
    <w:rsid w:val="00D306CB"/>
    <w:rsid w:val="00D30906"/>
    <w:rsid w:val="00D309DC"/>
    <w:rsid w:val="00D30B7A"/>
    <w:rsid w:val="00D30EBA"/>
    <w:rsid w:val="00D30FAC"/>
    <w:rsid w:val="00D31150"/>
    <w:rsid w:val="00D31229"/>
    <w:rsid w:val="00D31258"/>
    <w:rsid w:val="00D312A5"/>
    <w:rsid w:val="00D31328"/>
    <w:rsid w:val="00D31513"/>
    <w:rsid w:val="00D31707"/>
    <w:rsid w:val="00D31739"/>
    <w:rsid w:val="00D31943"/>
    <w:rsid w:val="00D31DF4"/>
    <w:rsid w:val="00D31F00"/>
    <w:rsid w:val="00D3227D"/>
    <w:rsid w:val="00D3247D"/>
    <w:rsid w:val="00D3252C"/>
    <w:rsid w:val="00D3278F"/>
    <w:rsid w:val="00D32893"/>
    <w:rsid w:val="00D3290B"/>
    <w:rsid w:val="00D32985"/>
    <w:rsid w:val="00D32A22"/>
    <w:rsid w:val="00D32A2D"/>
    <w:rsid w:val="00D3338D"/>
    <w:rsid w:val="00D3348C"/>
    <w:rsid w:val="00D337B9"/>
    <w:rsid w:val="00D33899"/>
    <w:rsid w:val="00D33AFA"/>
    <w:rsid w:val="00D33DF1"/>
    <w:rsid w:val="00D33E41"/>
    <w:rsid w:val="00D33E4C"/>
    <w:rsid w:val="00D33E57"/>
    <w:rsid w:val="00D33FB7"/>
    <w:rsid w:val="00D3415E"/>
    <w:rsid w:val="00D34202"/>
    <w:rsid w:val="00D3429D"/>
    <w:rsid w:val="00D3444B"/>
    <w:rsid w:val="00D34675"/>
    <w:rsid w:val="00D347D4"/>
    <w:rsid w:val="00D347D9"/>
    <w:rsid w:val="00D34853"/>
    <w:rsid w:val="00D349F1"/>
    <w:rsid w:val="00D34C05"/>
    <w:rsid w:val="00D34C38"/>
    <w:rsid w:val="00D3543D"/>
    <w:rsid w:val="00D357A9"/>
    <w:rsid w:val="00D357CE"/>
    <w:rsid w:val="00D358AC"/>
    <w:rsid w:val="00D35943"/>
    <w:rsid w:val="00D35A1B"/>
    <w:rsid w:val="00D35B75"/>
    <w:rsid w:val="00D35CC1"/>
    <w:rsid w:val="00D35E0D"/>
    <w:rsid w:val="00D35EA4"/>
    <w:rsid w:val="00D35F13"/>
    <w:rsid w:val="00D35F26"/>
    <w:rsid w:val="00D360E7"/>
    <w:rsid w:val="00D36156"/>
    <w:rsid w:val="00D36738"/>
    <w:rsid w:val="00D36855"/>
    <w:rsid w:val="00D36964"/>
    <w:rsid w:val="00D3697C"/>
    <w:rsid w:val="00D36A11"/>
    <w:rsid w:val="00D36DAF"/>
    <w:rsid w:val="00D36F4C"/>
    <w:rsid w:val="00D370B8"/>
    <w:rsid w:val="00D37339"/>
    <w:rsid w:val="00D373FB"/>
    <w:rsid w:val="00D3751B"/>
    <w:rsid w:val="00D37580"/>
    <w:rsid w:val="00D37606"/>
    <w:rsid w:val="00D37796"/>
    <w:rsid w:val="00D378E4"/>
    <w:rsid w:val="00D37D60"/>
    <w:rsid w:val="00D37E85"/>
    <w:rsid w:val="00D37FEC"/>
    <w:rsid w:val="00D4000D"/>
    <w:rsid w:val="00D40288"/>
    <w:rsid w:val="00D40499"/>
    <w:rsid w:val="00D4049A"/>
    <w:rsid w:val="00D40672"/>
    <w:rsid w:val="00D406CD"/>
    <w:rsid w:val="00D406D5"/>
    <w:rsid w:val="00D40760"/>
    <w:rsid w:val="00D407F3"/>
    <w:rsid w:val="00D40864"/>
    <w:rsid w:val="00D40BD2"/>
    <w:rsid w:val="00D40C15"/>
    <w:rsid w:val="00D40D31"/>
    <w:rsid w:val="00D413E8"/>
    <w:rsid w:val="00D417D6"/>
    <w:rsid w:val="00D41A75"/>
    <w:rsid w:val="00D41C26"/>
    <w:rsid w:val="00D41C93"/>
    <w:rsid w:val="00D41D61"/>
    <w:rsid w:val="00D42334"/>
    <w:rsid w:val="00D42358"/>
    <w:rsid w:val="00D42668"/>
    <w:rsid w:val="00D426A8"/>
    <w:rsid w:val="00D42760"/>
    <w:rsid w:val="00D427E3"/>
    <w:rsid w:val="00D427F3"/>
    <w:rsid w:val="00D42853"/>
    <w:rsid w:val="00D429E7"/>
    <w:rsid w:val="00D42A4E"/>
    <w:rsid w:val="00D42BB1"/>
    <w:rsid w:val="00D433FE"/>
    <w:rsid w:val="00D435A5"/>
    <w:rsid w:val="00D435C8"/>
    <w:rsid w:val="00D435E6"/>
    <w:rsid w:val="00D440D1"/>
    <w:rsid w:val="00D440F5"/>
    <w:rsid w:val="00D443A5"/>
    <w:rsid w:val="00D444D4"/>
    <w:rsid w:val="00D445D0"/>
    <w:rsid w:val="00D447FD"/>
    <w:rsid w:val="00D44990"/>
    <w:rsid w:val="00D44B39"/>
    <w:rsid w:val="00D44E4D"/>
    <w:rsid w:val="00D44FDF"/>
    <w:rsid w:val="00D4508A"/>
    <w:rsid w:val="00D45352"/>
    <w:rsid w:val="00D45851"/>
    <w:rsid w:val="00D45AAE"/>
    <w:rsid w:val="00D45BD2"/>
    <w:rsid w:val="00D45E29"/>
    <w:rsid w:val="00D45EF7"/>
    <w:rsid w:val="00D45EFF"/>
    <w:rsid w:val="00D45FF9"/>
    <w:rsid w:val="00D462D4"/>
    <w:rsid w:val="00D462DF"/>
    <w:rsid w:val="00D46498"/>
    <w:rsid w:val="00D464A6"/>
    <w:rsid w:val="00D46660"/>
    <w:rsid w:val="00D46878"/>
    <w:rsid w:val="00D469E5"/>
    <w:rsid w:val="00D46DF5"/>
    <w:rsid w:val="00D4717E"/>
    <w:rsid w:val="00D475AB"/>
    <w:rsid w:val="00D475D6"/>
    <w:rsid w:val="00D47631"/>
    <w:rsid w:val="00D4770C"/>
    <w:rsid w:val="00D4771D"/>
    <w:rsid w:val="00D478CC"/>
    <w:rsid w:val="00D4797A"/>
    <w:rsid w:val="00D47A19"/>
    <w:rsid w:val="00D47A3D"/>
    <w:rsid w:val="00D47F6D"/>
    <w:rsid w:val="00D47F74"/>
    <w:rsid w:val="00D50077"/>
    <w:rsid w:val="00D50166"/>
    <w:rsid w:val="00D502C7"/>
    <w:rsid w:val="00D5031D"/>
    <w:rsid w:val="00D503E7"/>
    <w:rsid w:val="00D507D2"/>
    <w:rsid w:val="00D50B0E"/>
    <w:rsid w:val="00D50CB1"/>
    <w:rsid w:val="00D51183"/>
    <w:rsid w:val="00D5132C"/>
    <w:rsid w:val="00D5146E"/>
    <w:rsid w:val="00D518B2"/>
    <w:rsid w:val="00D518B8"/>
    <w:rsid w:val="00D5197C"/>
    <w:rsid w:val="00D51A5F"/>
    <w:rsid w:val="00D51BED"/>
    <w:rsid w:val="00D51DDA"/>
    <w:rsid w:val="00D52186"/>
    <w:rsid w:val="00D5221B"/>
    <w:rsid w:val="00D5227B"/>
    <w:rsid w:val="00D523FD"/>
    <w:rsid w:val="00D524A2"/>
    <w:rsid w:val="00D5264D"/>
    <w:rsid w:val="00D52A3E"/>
    <w:rsid w:val="00D52B2E"/>
    <w:rsid w:val="00D52C8D"/>
    <w:rsid w:val="00D52D88"/>
    <w:rsid w:val="00D52E53"/>
    <w:rsid w:val="00D52E94"/>
    <w:rsid w:val="00D52F64"/>
    <w:rsid w:val="00D53050"/>
    <w:rsid w:val="00D5323C"/>
    <w:rsid w:val="00D53583"/>
    <w:rsid w:val="00D53975"/>
    <w:rsid w:val="00D53A59"/>
    <w:rsid w:val="00D53A92"/>
    <w:rsid w:val="00D53B33"/>
    <w:rsid w:val="00D53C3E"/>
    <w:rsid w:val="00D53F10"/>
    <w:rsid w:val="00D5407E"/>
    <w:rsid w:val="00D541AD"/>
    <w:rsid w:val="00D541B8"/>
    <w:rsid w:val="00D54A76"/>
    <w:rsid w:val="00D54C29"/>
    <w:rsid w:val="00D54C4E"/>
    <w:rsid w:val="00D54D1F"/>
    <w:rsid w:val="00D54D29"/>
    <w:rsid w:val="00D54FBB"/>
    <w:rsid w:val="00D55130"/>
    <w:rsid w:val="00D5527F"/>
    <w:rsid w:val="00D55377"/>
    <w:rsid w:val="00D55393"/>
    <w:rsid w:val="00D55408"/>
    <w:rsid w:val="00D55870"/>
    <w:rsid w:val="00D558D0"/>
    <w:rsid w:val="00D55A8C"/>
    <w:rsid w:val="00D55F1D"/>
    <w:rsid w:val="00D5613D"/>
    <w:rsid w:val="00D56216"/>
    <w:rsid w:val="00D5646E"/>
    <w:rsid w:val="00D565F1"/>
    <w:rsid w:val="00D56A97"/>
    <w:rsid w:val="00D56ABC"/>
    <w:rsid w:val="00D56AE6"/>
    <w:rsid w:val="00D56D33"/>
    <w:rsid w:val="00D56FA4"/>
    <w:rsid w:val="00D57161"/>
    <w:rsid w:val="00D5732E"/>
    <w:rsid w:val="00D574AF"/>
    <w:rsid w:val="00D57503"/>
    <w:rsid w:val="00D57637"/>
    <w:rsid w:val="00D57842"/>
    <w:rsid w:val="00D57946"/>
    <w:rsid w:val="00D57AFF"/>
    <w:rsid w:val="00D57D5F"/>
    <w:rsid w:val="00D57E01"/>
    <w:rsid w:val="00D57F9E"/>
    <w:rsid w:val="00D60103"/>
    <w:rsid w:val="00D60143"/>
    <w:rsid w:val="00D60276"/>
    <w:rsid w:val="00D60287"/>
    <w:rsid w:val="00D603B5"/>
    <w:rsid w:val="00D60423"/>
    <w:rsid w:val="00D6045C"/>
    <w:rsid w:val="00D604E2"/>
    <w:rsid w:val="00D6057E"/>
    <w:rsid w:val="00D608F7"/>
    <w:rsid w:val="00D60EAD"/>
    <w:rsid w:val="00D60F4F"/>
    <w:rsid w:val="00D60F53"/>
    <w:rsid w:val="00D60F55"/>
    <w:rsid w:val="00D60FCA"/>
    <w:rsid w:val="00D61206"/>
    <w:rsid w:val="00D61211"/>
    <w:rsid w:val="00D6121B"/>
    <w:rsid w:val="00D61420"/>
    <w:rsid w:val="00D61562"/>
    <w:rsid w:val="00D61628"/>
    <w:rsid w:val="00D6167A"/>
    <w:rsid w:val="00D6181F"/>
    <w:rsid w:val="00D6184C"/>
    <w:rsid w:val="00D618E9"/>
    <w:rsid w:val="00D61BB1"/>
    <w:rsid w:val="00D61CFF"/>
    <w:rsid w:val="00D61D8D"/>
    <w:rsid w:val="00D61FEF"/>
    <w:rsid w:val="00D62003"/>
    <w:rsid w:val="00D620B7"/>
    <w:rsid w:val="00D6211E"/>
    <w:rsid w:val="00D621A2"/>
    <w:rsid w:val="00D62407"/>
    <w:rsid w:val="00D62409"/>
    <w:rsid w:val="00D62453"/>
    <w:rsid w:val="00D62527"/>
    <w:rsid w:val="00D625E1"/>
    <w:rsid w:val="00D62775"/>
    <w:rsid w:val="00D6289C"/>
    <w:rsid w:val="00D628B2"/>
    <w:rsid w:val="00D62B2A"/>
    <w:rsid w:val="00D62DBE"/>
    <w:rsid w:val="00D62DC8"/>
    <w:rsid w:val="00D632C6"/>
    <w:rsid w:val="00D63541"/>
    <w:rsid w:val="00D63666"/>
    <w:rsid w:val="00D63675"/>
    <w:rsid w:val="00D6372A"/>
    <w:rsid w:val="00D638D0"/>
    <w:rsid w:val="00D63E83"/>
    <w:rsid w:val="00D63FE1"/>
    <w:rsid w:val="00D6403F"/>
    <w:rsid w:val="00D64275"/>
    <w:rsid w:val="00D64453"/>
    <w:rsid w:val="00D6458D"/>
    <w:rsid w:val="00D64655"/>
    <w:rsid w:val="00D64735"/>
    <w:rsid w:val="00D649C4"/>
    <w:rsid w:val="00D649DA"/>
    <w:rsid w:val="00D64A57"/>
    <w:rsid w:val="00D64A78"/>
    <w:rsid w:val="00D64DB7"/>
    <w:rsid w:val="00D651C3"/>
    <w:rsid w:val="00D65303"/>
    <w:rsid w:val="00D6539F"/>
    <w:rsid w:val="00D654EA"/>
    <w:rsid w:val="00D65519"/>
    <w:rsid w:val="00D656CF"/>
    <w:rsid w:val="00D6582C"/>
    <w:rsid w:val="00D65877"/>
    <w:rsid w:val="00D658F2"/>
    <w:rsid w:val="00D65A79"/>
    <w:rsid w:val="00D65AA2"/>
    <w:rsid w:val="00D65C9F"/>
    <w:rsid w:val="00D661C8"/>
    <w:rsid w:val="00D6654E"/>
    <w:rsid w:val="00D66B78"/>
    <w:rsid w:val="00D66BF6"/>
    <w:rsid w:val="00D66CA4"/>
    <w:rsid w:val="00D66CCC"/>
    <w:rsid w:val="00D66E54"/>
    <w:rsid w:val="00D67162"/>
    <w:rsid w:val="00D672B3"/>
    <w:rsid w:val="00D67385"/>
    <w:rsid w:val="00D674AA"/>
    <w:rsid w:val="00D674BA"/>
    <w:rsid w:val="00D67605"/>
    <w:rsid w:val="00D678AC"/>
    <w:rsid w:val="00D67B37"/>
    <w:rsid w:val="00D67B46"/>
    <w:rsid w:val="00D67C91"/>
    <w:rsid w:val="00D67F6D"/>
    <w:rsid w:val="00D700E8"/>
    <w:rsid w:val="00D70566"/>
    <w:rsid w:val="00D70682"/>
    <w:rsid w:val="00D7099B"/>
    <w:rsid w:val="00D70B39"/>
    <w:rsid w:val="00D70CED"/>
    <w:rsid w:val="00D70CEF"/>
    <w:rsid w:val="00D70E50"/>
    <w:rsid w:val="00D71058"/>
    <w:rsid w:val="00D710D7"/>
    <w:rsid w:val="00D710FE"/>
    <w:rsid w:val="00D7147A"/>
    <w:rsid w:val="00D7154A"/>
    <w:rsid w:val="00D71867"/>
    <w:rsid w:val="00D7192F"/>
    <w:rsid w:val="00D71C20"/>
    <w:rsid w:val="00D71CB9"/>
    <w:rsid w:val="00D72016"/>
    <w:rsid w:val="00D7202F"/>
    <w:rsid w:val="00D723A2"/>
    <w:rsid w:val="00D723AA"/>
    <w:rsid w:val="00D72672"/>
    <w:rsid w:val="00D72883"/>
    <w:rsid w:val="00D72967"/>
    <w:rsid w:val="00D72ACB"/>
    <w:rsid w:val="00D72B20"/>
    <w:rsid w:val="00D72E34"/>
    <w:rsid w:val="00D72EA2"/>
    <w:rsid w:val="00D72FBF"/>
    <w:rsid w:val="00D731AD"/>
    <w:rsid w:val="00D731D8"/>
    <w:rsid w:val="00D73551"/>
    <w:rsid w:val="00D735E1"/>
    <w:rsid w:val="00D7365A"/>
    <w:rsid w:val="00D73868"/>
    <w:rsid w:val="00D73CB9"/>
    <w:rsid w:val="00D73E44"/>
    <w:rsid w:val="00D73E45"/>
    <w:rsid w:val="00D73EC2"/>
    <w:rsid w:val="00D73EC3"/>
    <w:rsid w:val="00D73FA7"/>
    <w:rsid w:val="00D74053"/>
    <w:rsid w:val="00D740E2"/>
    <w:rsid w:val="00D7417C"/>
    <w:rsid w:val="00D74256"/>
    <w:rsid w:val="00D74331"/>
    <w:rsid w:val="00D747CD"/>
    <w:rsid w:val="00D74C46"/>
    <w:rsid w:val="00D74D95"/>
    <w:rsid w:val="00D74E2C"/>
    <w:rsid w:val="00D74E60"/>
    <w:rsid w:val="00D75009"/>
    <w:rsid w:val="00D75167"/>
    <w:rsid w:val="00D7519B"/>
    <w:rsid w:val="00D757A6"/>
    <w:rsid w:val="00D75B30"/>
    <w:rsid w:val="00D75BDC"/>
    <w:rsid w:val="00D75CC1"/>
    <w:rsid w:val="00D75D50"/>
    <w:rsid w:val="00D75E76"/>
    <w:rsid w:val="00D75E99"/>
    <w:rsid w:val="00D75F26"/>
    <w:rsid w:val="00D76230"/>
    <w:rsid w:val="00D7623C"/>
    <w:rsid w:val="00D76776"/>
    <w:rsid w:val="00D7681D"/>
    <w:rsid w:val="00D76925"/>
    <w:rsid w:val="00D76DCB"/>
    <w:rsid w:val="00D76EE9"/>
    <w:rsid w:val="00D76FF2"/>
    <w:rsid w:val="00D77253"/>
    <w:rsid w:val="00D774B3"/>
    <w:rsid w:val="00D777FA"/>
    <w:rsid w:val="00D77A92"/>
    <w:rsid w:val="00D77CAA"/>
    <w:rsid w:val="00D77EE0"/>
    <w:rsid w:val="00D77FEE"/>
    <w:rsid w:val="00D803AE"/>
    <w:rsid w:val="00D8073F"/>
    <w:rsid w:val="00D80C09"/>
    <w:rsid w:val="00D80D7C"/>
    <w:rsid w:val="00D80DB1"/>
    <w:rsid w:val="00D80E32"/>
    <w:rsid w:val="00D80F26"/>
    <w:rsid w:val="00D812B3"/>
    <w:rsid w:val="00D8168F"/>
    <w:rsid w:val="00D8180B"/>
    <w:rsid w:val="00D81986"/>
    <w:rsid w:val="00D81B3A"/>
    <w:rsid w:val="00D81B50"/>
    <w:rsid w:val="00D81BB0"/>
    <w:rsid w:val="00D81CF4"/>
    <w:rsid w:val="00D81D9E"/>
    <w:rsid w:val="00D81DDC"/>
    <w:rsid w:val="00D81E18"/>
    <w:rsid w:val="00D81E86"/>
    <w:rsid w:val="00D8205E"/>
    <w:rsid w:val="00D82489"/>
    <w:rsid w:val="00D82536"/>
    <w:rsid w:val="00D82834"/>
    <w:rsid w:val="00D82A85"/>
    <w:rsid w:val="00D82B2A"/>
    <w:rsid w:val="00D82B75"/>
    <w:rsid w:val="00D82BE1"/>
    <w:rsid w:val="00D82C16"/>
    <w:rsid w:val="00D82E35"/>
    <w:rsid w:val="00D82EED"/>
    <w:rsid w:val="00D82FFE"/>
    <w:rsid w:val="00D8308D"/>
    <w:rsid w:val="00D830C0"/>
    <w:rsid w:val="00D8323E"/>
    <w:rsid w:val="00D83350"/>
    <w:rsid w:val="00D8340A"/>
    <w:rsid w:val="00D837C4"/>
    <w:rsid w:val="00D839FF"/>
    <w:rsid w:val="00D83AD4"/>
    <w:rsid w:val="00D83DD3"/>
    <w:rsid w:val="00D83E71"/>
    <w:rsid w:val="00D8426C"/>
    <w:rsid w:val="00D84329"/>
    <w:rsid w:val="00D8437F"/>
    <w:rsid w:val="00D8440D"/>
    <w:rsid w:val="00D84485"/>
    <w:rsid w:val="00D8454C"/>
    <w:rsid w:val="00D84680"/>
    <w:rsid w:val="00D847F7"/>
    <w:rsid w:val="00D84876"/>
    <w:rsid w:val="00D84CA9"/>
    <w:rsid w:val="00D84CDC"/>
    <w:rsid w:val="00D84E6F"/>
    <w:rsid w:val="00D84ED4"/>
    <w:rsid w:val="00D84F77"/>
    <w:rsid w:val="00D84FE4"/>
    <w:rsid w:val="00D8505C"/>
    <w:rsid w:val="00D8505D"/>
    <w:rsid w:val="00D859DE"/>
    <w:rsid w:val="00D859FD"/>
    <w:rsid w:val="00D85B52"/>
    <w:rsid w:val="00D85B58"/>
    <w:rsid w:val="00D85C30"/>
    <w:rsid w:val="00D85E75"/>
    <w:rsid w:val="00D860BA"/>
    <w:rsid w:val="00D86206"/>
    <w:rsid w:val="00D865C6"/>
    <w:rsid w:val="00D8679A"/>
    <w:rsid w:val="00D86E50"/>
    <w:rsid w:val="00D86F5F"/>
    <w:rsid w:val="00D87149"/>
    <w:rsid w:val="00D8761C"/>
    <w:rsid w:val="00D877A0"/>
    <w:rsid w:val="00D87B34"/>
    <w:rsid w:val="00D87E6B"/>
    <w:rsid w:val="00D9010F"/>
    <w:rsid w:val="00D9056F"/>
    <w:rsid w:val="00D9064A"/>
    <w:rsid w:val="00D90BFB"/>
    <w:rsid w:val="00D90C03"/>
    <w:rsid w:val="00D90D11"/>
    <w:rsid w:val="00D90DAF"/>
    <w:rsid w:val="00D90DBD"/>
    <w:rsid w:val="00D90DD9"/>
    <w:rsid w:val="00D90F5C"/>
    <w:rsid w:val="00D91210"/>
    <w:rsid w:val="00D912A5"/>
    <w:rsid w:val="00D913E4"/>
    <w:rsid w:val="00D91442"/>
    <w:rsid w:val="00D914C7"/>
    <w:rsid w:val="00D916CE"/>
    <w:rsid w:val="00D91731"/>
    <w:rsid w:val="00D91B5E"/>
    <w:rsid w:val="00D91B8D"/>
    <w:rsid w:val="00D91C05"/>
    <w:rsid w:val="00D91D06"/>
    <w:rsid w:val="00D9226E"/>
    <w:rsid w:val="00D92298"/>
    <w:rsid w:val="00D92319"/>
    <w:rsid w:val="00D9236F"/>
    <w:rsid w:val="00D92412"/>
    <w:rsid w:val="00D92695"/>
    <w:rsid w:val="00D9269A"/>
    <w:rsid w:val="00D9280D"/>
    <w:rsid w:val="00D929B7"/>
    <w:rsid w:val="00D92A05"/>
    <w:rsid w:val="00D92A96"/>
    <w:rsid w:val="00D92ADD"/>
    <w:rsid w:val="00D92C57"/>
    <w:rsid w:val="00D92FBC"/>
    <w:rsid w:val="00D930AB"/>
    <w:rsid w:val="00D930B2"/>
    <w:rsid w:val="00D93127"/>
    <w:rsid w:val="00D937E1"/>
    <w:rsid w:val="00D937E4"/>
    <w:rsid w:val="00D9389D"/>
    <w:rsid w:val="00D9397E"/>
    <w:rsid w:val="00D93B06"/>
    <w:rsid w:val="00D93BD1"/>
    <w:rsid w:val="00D93C52"/>
    <w:rsid w:val="00D93CED"/>
    <w:rsid w:val="00D93E51"/>
    <w:rsid w:val="00D93ECD"/>
    <w:rsid w:val="00D94031"/>
    <w:rsid w:val="00D94124"/>
    <w:rsid w:val="00D94237"/>
    <w:rsid w:val="00D9423D"/>
    <w:rsid w:val="00D9426D"/>
    <w:rsid w:val="00D942F5"/>
    <w:rsid w:val="00D943A2"/>
    <w:rsid w:val="00D94440"/>
    <w:rsid w:val="00D94442"/>
    <w:rsid w:val="00D94462"/>
    <w:rsid w:val="00D9446F"/>
    <w:rsid w:val="00D9447E"/>
    <w:rsid w:val="00D9459C"/>
    <w:rsid w:val="00D94932"/>
    <w:rsid w:val="00D94A4D"/>
    <w:rsid w:val="00D94BC2"/>
    <w:rsid w:val="00D94F51"/>
    <w:rsid w:val="00D95097"/>
    <w:rsid w:val="00D950FC"/>
    <w:rsid w:val="00D951B1"/>
    <w:rsid w:val="00D95343"/>
    <w:rsid w:val="00D95384"/>
    <w:rsid w:val="00D95552"/>
    <w:rsid w:val="00D95684"/>
    <w:rsid w:val="00D9592F"/>
    <w:rsid w:val="00D95D20"/>
    <w:rsid w:val="00D95D93"/>
    <w:rsid w:val="00D960CE"/>
    <w:rsid w:val="00D96153"/>
    <w:rsid w:val="00D9633F"/>
    <w:rsid w:val="00D964CC"/>
    <w:rsid w:val="00D96599"/>
    <w:rsid w:val="00D9667B"/>
    <w:rsid w:val="00D96A54"/>
    <w:rsid w:val="00D96C42"/>
    <w:rsid w:val="00D971AA"/>
    <w:rsid w:val="00D97456"/>
    <w:rsid w:val="00D97677"/>
    <w:rsid w:val="00D97A3D"/>
    <w:rsid w:val="00D97A6F"/>
    <w:rsid w:val="00D97A92"/>
    <w:rsid w:val="00D97BFD"/>
    <w:rsid w:val="00D97C7B"/>
    <w:rsid w:val="00D97CB9"/>
    <w:rsid w:val="00D97DEF"/>
    <w:rsid w:val="00D97ECD"/>
    <w:rsid w:val="00DA0096"/>
    <w:rsid w:val="00DA00B0"/>
    <w:rsid w:val="00DA04F6"/>
    <w:rsid w:val="00DA0631"/>
    <w:rsid w:val="00DA067F"/>
    <w:rsid w:val="00DA06C3"/>
    <w:rsid w:val="00DA06C8"/>
    <w:rsid w:val="00DA08D5"/>
    <w:rsid w:val="00DA0E55"/>
    <w:rsid w:val="00DA0FEF"/>
    <w:rsid w:val="00DA10FA"/>
    <w:rsid w:val="00DA119B"/>
    <w:rsid w:val="00DA1331"/>
    <w:rsid w:val="00DA13CF"/>
    <w:rsid w:val="00DA14EB"/>
    <w:rsid w:val="00DA19DA"/>
    <w:rsid w:val="00DA1A4F"/>
    <w:rsid w:val="00DA1B78"/>
    <w:rsid w:val="00DA1BF6"/>
    <w:rsid w:val="00DA1DC5"/>
    <w:rsid w:val="00DA2077"/>
    <w:rsid w:val="00DA22DE"/>
    <w:rsid w:val="00DA22F4"/>
    <w:rsid w:val="00DA2413"/>
    <w:rsid w:val="00DA24B7"/>
    <w:rsid w:val="00DA2608"/>
    <w:rsid w:val="00DA27CA"/>
    <w:rsid w:val="00DA27DD"/>
    <w:rsid w:val="00DA2911"/>
    <w:rsid w:val="00DA2BF1"/>
    <w:rsid w:val="00DA2D37"/>
    <w:rsid w:val="00DA30DA"/>
    <w:rsid w:val="00DA33EB"/>
    <w:rsid w:val="00DA3433"/>
    <w:rsid w:val="00DA349D"/>
    <w:rsid w:val="00DA34E3"/>
    <w:rsid w:val="00DA3558"/>
    <w:rsid w:val="00DA36BD"/>
    <w:rsid w:val="00DA37B3"/>
    <w:rsid w:val="00DA3830"/>
    <w:rsid w:val="00DA3881"/>
    <w:rsid w:val="00DA3B04"/>
    <w:rsid w:val="00DA3DC1"/>
    <w:rsid w:val="00DA4006"/>
    <w:rsid w:val="00DA4016"/>
    <w:rsid w:val="00DA40E9"/>
    <w:rsid w:val="00DA428B"/>
    <w:rsid w:val="00DA47F1"/>
    <w:rsid w:val="00DA49A6"/>
    <w:rsid w:val="00DA4A35"/>
    <w:rsid w:val="00DA4D47"/>
    <w:rsid w:val="00DA4EA5"/>
    <w:rsid w:val="00DA5114"/>
    <w:rsid w:val="00DA5127"/>
    <w:rsid w:val="00DA52F6"/>
    <w:rsid w:val="00DA54CB"/>
    <w:rsid w:val="00DA571F"/>
    <w:rsid w:val="00DA5AC3"/>
    <w:rsid w:val="00DA5CEC"/>
    <w:rsid w:val="00DA5DD1"/>
    <w:rsid w:val="00DA5ED3"/>
    <w:rsid w:val="00DA62C7"/>
    <w:rsid w:val="00DA63F3"/>
    <w:rsid w:val="00DA6418"/>
    <w:rsid w:val="00DA644A"/>
    <w:rsid w:val="00DA658C"/>
    <w:rsid w:val="00DA65E4"/>
    <w:rsid w:val="00DA66C2"/>
    <w:rsid w:val="00DA6756"/>
    <w:rsid w:val="00DA67B0"/>
    <w:rsid w:val="00DA6B24"/>
    <w:rsid w:val="00DA6BEA"/>
    <w:rsid w:val="00DA6E30"/>
    <w:rsid w:val="00DA6E5A"/>
    <w:rsid w:val="00DA702B"/>
    <w:rsid w:val="00DA72C4"/>
    <w:rsid w:val="00DA7306"/>
    <w:rsid w:val="00DA7316"/>
    <w:rsid w:val="00DA731D"/>
    <w:rsid w:val="00DA7334"/>
    <w:rsid w:val="00DA7BAD"/>
    <w:rsid w:val="00DA7D6E"/>
    <w:rsid w:val="00DB0215"/>
    <w:rsid w:val="00DB02C8"/>
    <w:rsid w:val="00DB03DF"/>
    <w:rsid w:val="00DB040C"/>
    <w:rsid w:val="00DB06EC"/>
    <w:rsid w:val="00DB0A80"/>
    <w:rsid w:val="00DB0BEE"/>
    <w:rsid w:val="00DB0D66"/>
    <w:rsid w:val="00DB0DF8"/>
    <w:rsid w:val="00DB10A5"/>
    <w:rsid w:val="00DB1180"/>
    <w:rsid w:val="00DB143B"/>
    <w:rsid w:val="00DB14EC"/>
    <w:rsid w:val="00DB14F3"/>
    <w:rsid w:val="00DB158D"/>
    <w:rsid w:val="00DB1901"/>
    <w:rsid w:val="00DB1B72"/>
    <w:rsid w:val="00DB1D7D"/>
    <w:rsid w:val="00DB1DC9"/>
    <w:rsid w:val="00DB1EBE"/>
    <w:rsid w:val="00DB1F37"/>
    <w:rsid w:val="00DB1F92"/>
    <w:rsid w:val="00DB2298"/>
    <w:rsid w:val="00DB23C7"/>
    <w:rsid w:val="00DB25F2"/>
    <w:rsid w:val="00DB2629"/>
    <w:rsid w:val="00DB262D"/>
    <w:rsid w:val="00DB278A"/>
    <w:rsid w:val="00DB29A2"/>
    <w:rsid w:val="00DB2BA0"/>
    <w:rsid w:val="00DB2C8B"/>
    <w:rsid w:val="00DB2E12"/>
    <w:rsid w:val="00DB2F2F"/>
    <w:rsid w:val="00DB31F3"/>
    <w:rsid w:val="00DB32AB"/>
    <w:rsid w:val="00DB3553"/>
    <w:rsid w:val="00DB35D6"/>
    <w:rsid w:val="00DB3733"/>
    <w:rsid w:val="00DB3A71"/>
    <w:rsid w:val="00DB3AAA"/>
    <w:rsid w:val="00DB3B09"/>
    <w:rsid w:val="00DB3B51"/>
    <w:rsid w:val="00DB3B73"/>
    <w:rsid w:val="00DB3C3D"/>
    <w:rsid w:val="00DB4132"/>
    <w:rsid w:val="00DB41E1"/>
    <w:rsid w:val="00DB43E9"/>
    <w:rsid w:val="00DB4547"/>
    <w:rsid w:val="00DB464A"/>
    <w:rsid w:val="00DB4A06"/>
    <w:rsid w:val="00DB4BA2"/>
    <w:rsid w:val="00DB4E84"/>
    <w:rsid w:val="00DB4F97"/>
    <w:rsid w:val="00DB4FE6"/>
    <w:rsid w:val="00DB50A6"/>
    <w:rsid w:val="00DB5114"/>
    <w:rsid w:val="00DB5220"/>
    <w:rsid w:val="00DB563B"/>
    <w:rsid w:val="00DB5A07"/>
    <w:rsid w:val="00DB5A9B"/>
    <w:rsid w:val="00DB5AD1"/>
    <w:rsid w:val="00DB5E22"/>
    <w:rsid w:val="00DB5E5B"/>
    <w:rsid w:val="00DB5EA4"/>
    <w:rsid w:val="00DB60DD"/>
    <w:rsid w:val="00DB60FE"/>
    <w:rsid w:val="00DB61E7"/>
    <w:rsid w:val="00DB61EB"/>
    <w:rsid w:val="00DB6686"/>
    <w:rsid w:val="00DB674C"/>
    <w:rsid w:val="00DB68BF"/>
    <w:rsid w:val="00DB6905"/>
    <w:rsid w:val="00DB6967"/>
    <w:rsid w:val="00DB69C8"/>
    <w:rsid w:val="00DB6A33"/>
    <w:rsid w:val="00DB6C2A"/>
    <w:rsid w:val="00DB6F42"/>
    <w:rsid w:val="00DB72E3"/>
    <w:rsid w:val="00DB7339"/>
    <w:rsid w:val="00DB73A0"/>
    <w:rsid w:val="00DB76D5"/>
    <w:rsid w:val="00DB791C"/>
    <w:rsid w:val="00DB7A4C"/>
    <w:rsid w:val="00DB7B01"/>
    <w:rsid w:val="00DB7CAE"/>
    <w:rsid w:val="00DB7CCE"/>
    <w:rsid w:val="00DB7E05"/>
    <w:rsid w:val="00DB7E06"/>
    <w:rsid w:val="00DB7F56"/>
    <w:rsid w:val="00DB7F5C"/>
    <w:rsid w:val="00DC0164"/>
    <w:rsid w:val="00DC044A"/>
    <w:rsid w:val="00DC0524"/>
    <w:rsid w:val="00DC069E"/>
    <w:rsid w:val="00DC079C"/>
    <w:rsid w:val="00DC0A07"/>
    <w:rsid w:val="00DC0FBA"/>
    <w:rsid w:val="00DC16B1"/>
    <w:rsid w:val="00DC1C01"/>
    <w:rsid w:val="00DC1DC5"/>
    <w:rsid w:val="00DC1E05"/>
    <w:rsid w:val="00DC1F90"/>
    <w:rsid w:val="00DC1FF6"/>
    <w:rsid w:val="00DC206A"/>
    <w:rsid w:val="00DC21A4"/>
    <w:rsid w:val="00DC23D3"/>
    <w:rsid w:val="00DC26BD"/>
    <w:rsid w:val="00DC27DF"/>
    <w:rsid w:val="00DC293F"/>
    <w:rsid w:val="00DC2B6F"/>
    <w:rsid w:val="00DC2D9D"/>
    <w:rsid w:val="00DC2E91"/>
    <w:rsid w:val="00DC32D3"/>
    <w:rsid w:val="00DC370C"/>
    <w:rsid w:val="00DC39B1"/>
    <w:rsid w:val="00DC3DB5"/>
    <w:rsid w:val="00DC3DF4"/>
    <w:rsid w:val="00DC4030"/>
    <w:rsid w:val="00DC4047"/>
    <w:rsid w:val="00DC41F5"/>
    <w:rsid w:val="00DC4509"/>
    <w:rsid w:val="00DC457D"/>
    <w:rsid w:val="00DC4608"/>
    <w:rsid w:val="00DC46A8"/>
    <w:rsid w:val="00DC48D2"/>
    <w:rsid w:val="00DC4AD7"/>
    <w:rsid w:val="00DC4B40"/>
    <w:rsid w:val="00DC4D95"/>
    <w:rsid w:val="00DC4DA0"/>
    <w:rsid w:val="00DC4E79"/>
    <w:rsid w:val="00DC4F64"/>
    <w:rsid w:val="00DC4F69"/>
    <w:rsid w:val="00DC4FAA"/>
    <w:rsid w:val="00DC5076"/>
    <w:rsid w:val="00DC512C"/>
    <w:rsid w:val="00DC52DB"/>
    <w:rsid w:val="00DC541A"/>
    <w:rsid w:val="00DC580D"/>
    <w:rsid w:val="00DC58C3"/>
    <w:rsid w:val="00DC5983"/>
    <w:rsid w:val="00DC5990"/>
    <w:rsid w:val="00DC5ADC"/>
    <w:rsid w:val="00DC5B68"/>
    <w:rsid w:val="00DC5BBA"/>
    <w:rsid w:val="00DC5E59"/>
    <w:rsid w:val="00DC5E78"/>
    <w:rsid w:val="00DC608C"/>
    <w:rsid w:val="00DC6258"/>
    <w:rsid w:val="00DC62F6"/>
    <w:rsid w:val="00DC650E"/>
    <w:rsid w:val="00DC6585"/>
    <w:rsid w:val="00DC6614"/>
    <w:rsid w:val="00DC673A"/>
    <w:rsid w:val="00DC6781"/>
    <w:rsid w:val="00DC68A2"/>
    <w:rsid w:val="00DC6E7C"/>
    <w:rsid w:val="00DC6F56"/>
    <w:rsid w:val="00DC6FAB"/>
    <w:rsid w:val="00DC713E"/>
    <w:rsid w:val="00DC7328"/>
    <w:rsid w:val="00DC770F"/>
    <w:rsid w:val="00DC7985"/>
    <w:rsid w:val="00DC7A74"/>
    <w:rsid w:val="00DC7C32"/>
    <w:rsid w:val="00DC7D33"/>
    <w:rsid w:val="00DC7EB1"/>
    <w:rsid w:val="00DC7FB3"/>
    <w:rsid w:val="00DC7FEE"/>
    <w:rsid w:val="00DD0160"/>
    <w:rsid w:val="00DD0244"/>
    <w:rsid w:val="00DD0C0F"/>
    <w:rsid w:val="00DD0D46"/>
    <w:rsid w:val="00DD0E06"/>
    <w:rsid w:val="00DD0F10"/>
    <w:rsid w:val="00DD0FD3"/>
    <w:rsid w:val="00DD1215"/>
    <w:rsid w:val="00DD12F6"/>
    <w:rsid w:val="00DD1509"/>
    <w:rsid w:val="00DD1672"/>
    <w:rsid w:val="00DD1B52"/>
    <w:rsid w:val="00DD1B6E"/>
    <w:rsid w:val="00DD1E8D"/>
    <w:rsid w:val="00DD24F7"/>
    <w:rsid w:val="00DD2565"/>
    <w:rsid w:val="00DD2608"/>
    <w:rsid w:val="00DD27A0"/>
    <w:rsid w:val="00DD2837"/>
    <w:rsid w:val="00DD2849"/>
    <w:rsid w:val="00DD2A24"/>
    <w:rsid w:val="00DD2B51"/>
    <w:rsid w:val="00DD2F14"/>
    <w:rsid w:val="00DD2F24"/>
    <w:rsid w:val="00DD2FDF"/>
    <w:rsid w:val="00DD326B"/>
    <w:rsid w:val="00DD3348"/>
    <w:rsid w:val="00DD35DF"/>
    <w:rsid w:val="00DD360F"/>
    <w:rsid w:val="00DD36E1"/>
    <w:rsid w:val="00DD37AA"/>
    <w:rsid w:val="00DD39D7"/>
    <w:rsid w:val="00DD3C2E"/>
    <w:rsid w:val="00DD3C34"/>
    <w:rsid w:val="00DD3EBE"/>
    <w:rsid w:val="00DD3F2E"/>
    <w:rsid w:val="00DD41F1"/>
    <w:rsid w:val="00DD4989"/>
    <w:rsid w:val="00DD4998"/>
    <w:rsid w:val="00DD49E8"/>
    <w:rsid w:val="00DD4ADE"/>
    <w:rsid w:val="00DD4B88"/>
    <w:rsid w:val="00DD5326"/>
    <w:rsid w:val="00DD5398"/>
    <w:rsid w:val="00DD5443"/>
    <w:rsid w:val="00DD5478"/>
    <w:rsid w:val="00DD55C6"/>
    <w:rsid w:val="00DD5D20"/>
    <w:rsid w:val="00DD5D8F"/>
    <w:rsid w:val="00DD5D90"/>
    <w:rsid w:val="00DD5EE6"/>
    <w:rsid w:val="00DD5F8A"/>
    <w:rsid w:val="00DD5FDF"/>
    <w:rsid w:val="00DD612E"/>
    <w:rsid w:val="00DD65CF"/>
    <w:rsid w:val="00DD6628"/>
    <w:rsid w:val="00DD6936"/>
    <w:rsid w:val="00DD69C7"/>
    <w:rsid w:val="00DD6EF7"/>
    <w:rsid w:val="00DD71C6"/>
    <w:rsid w:val="00DD74B8"/>
    <w:rsid w:val="00DD7553"/>
    <w:rsid w:val="00DD76EF"/>
    <w:rsid w:val="00DD77D2"/>
    <w:rsid w:val="00DD783D"/>
    <w:rsid w:val="00DD78AA"/>
    <w:rsid w:val="00DD7A29"/>
    <w:rsid w:val="00DD7B1C"/>
    <w:rsid w:val="00DD7B35"/>
    <w:rsid w:val="00DD7B5D"/>
    <w:rsid w:val="00DD7C33"/>
    <w:rsid w:val="00DD7D3C"/>
    <w:rsid w:val="00DD7F63"/>
    <w:rsid w:val="00DE00CB"/>
    <w:rsid w:val="00DE0104"/>
    <w:rsid w:val="00DE0306"/>
    <w:rsid w:val="00DE0B63"/>
    <w:rsid w:val="00DE0CCC"/>
    <w:rsid w:val="00DE0D15"/>
    <w:rsid w:val="00DE0DF3"/>
    <w:rsid w:val="00DE0F25"/>
    <w:rsid w:val="00DE1173"/>
    <w:rsid w:val="00DE11C6"/>
    <w:rsid w:val="00DE12FD"/>
    <w:rsid w:val="00DE16B5"/>
    <w:rsid w:val="00DE1AB8"/>
    <w:rsid w:val="00DE1E40"/>
    <w:rsid w:val="00DE1EF9"/>
    <w:rsid w:val="00DE20CA"/>
    <w:rsid w:val="00DE227A"/>
    <w:rsid w:val="00DE23D4"/>
    <w:rsid w:val="00DE2402"/>
    <w:rsid w:val="00DE26FD"/>
    <w:rsid w:val="00DE28B8"/>
    <w:rsid w:val="00DE2962"/>
    <w:rsid w:val="00DE29AA"/>
    <w:rsid w:val="00DE2C15"/>
    <w:rsid w:val="00DE2D98"/>
    <w:rsid w:val="00DE3034"/>
    <w:rsid w:val="00DE3058"/>
    <w:rsid w:val="00DE3105"/>
    <w:rsid w:val="00DE3425"/>
    <w:rsid w:val="00DE3466"/>
    <w:rsid w:val="00DE34EF"/>
    <w:rsid w:val="00DE384E"/>
    <w:rsid w:val="00DE3A30"/>
    <w:rsid w:val="00DE3BBF"/>
    <w:rsid w:val="00DE3E54"/>
    <w:rsid w:val="00DE4037"/>
    <w:rsid w:val="00DE4484"/>
    <w:rsid w:val="00DE467E"/>
    <w:rsid w:val="00DE4690"/>
    <w:rsid w:val="00DE4BCD"/>
    <w:rsid w:val="00DE4C25"/>
    <w:rsid w:val="00DE4CC3"/>
    <w:rsid w:val="00DE513A"/>
    <w:rsid w:val="00DE5314"/>
    <w:rsid w:val="00DE5393"/>
    <w:rsid w:val="00DE53BC"/>
    <w:rsid w:val="00DE5442"/>
    <w:rsid w:val="00DE5453"/>
    <w:rsid w:val="00DE55C3"/>
    <w:rsid w:val="00DE5673"/>
    <w:rsid w:val="00DE578D"/>
    <w:rsid w:val="00DE58F9"/>
    <w:rsid w:val="00DE5B44"/>
    <w:rsid w:val="00DE5B80"/>
    <w:rsid w:val="00DE5D08"/>
    <w:rsid w:val="00DE5D24"/>
    <w:rsid w:val="00DE5D6C"/>
    <w:rsid w:val="00DE5E0A"/>
    <w:rsid w:val="00DE5F13"/>
    <w:rsid w:val="00DE6206"/>
    <w:rsid w:val="00DE62C0"/>
    <w:rsid w:val="00DE64DB"/>
    <w:rsid w:val="00DE66F0"/>
    <w:rsid w:val="00DE6714"/>
    <w:rsid w:val="00DE68BE"/>
    <w:rsid w:val="00DE6CAE"/>
    <w:rsid w:val="00DE6E21"/>
    <w:rsid w:val="00DE6F57"/>
    <w:rsid w:val="00DE71E8"/>
    <w:rsid w:val="00DE733D"/>
    <w:rsid w:val="00DE7512"/>
    <w:rsid w:val="00DE7585"/>
    <w:rsid w:val="00DE77BD"/>
    <w:rsid w:val="00DE7822"/>
    <w:rsid w:val="00DE78D2"/>
    <w:rsid w:val="00DE7A79"/>
    <w:rsid w:val="00DE7C2C"/>
    <w:rsid w:val="00DE7C77"/>
    <w:rsid w:val="00DF000A"/>
    <w:rsid w:val="00DF0242"/>
    <w:rsid w:val="00DF0267"/>
    <w:rsid w:val="00DF0420"/>
    <w:rsid w:val="00DF04EE"/>
    <w:rsid w:val="00DF0613"/>
    <w:rsid w:val="00DF0C94"/>
    <w:rsid w:val="00DF0E32"/>
    <w:rsid w:val="00DF0EB3"/>
    <w:rsid w:val="00DF10CD"/>
    <w:rsid w:val="00DF1261"/>
    <w:rsid w:val="00DF1433"/>
    <w:rsid w:val="00DF1927"/>
    <w:rsid w:val="00DF1A46"/>
    <w:rsid w:val="00DF1AA2"/>
    <w:rsid w:val="00DF1B70"/>
    <w:rsid w:val="00DF1BBE"/>
    <w:rsid w:val="00DF1C1F"/>
    <w:rsid w:val="00DF1CF0"/>
    <w:rsid w:val="00DF1D5F"/>
    <w:rsid w:val="00DF1DC8"/>
    <w:rsid w:val="00DF1F2E"/>
    <w:rsid w:val="00DF1F74"/>
    <w:rsid w:val="00DF1FAE"/>
    <w:rsid w:val="00DF2058"/>
    <w:rsid w:val="00DF2065"/>
    <w:rsid w:val="00DF232D"/>
    <w:rsid w:val="00DF23DB"/>
    <w:rsid w:val="00DF23DE"/>
    <w:rsid w:val="00DF25F2"/>
    <w:rsid w:val="00DF278F"/>
    <w:rsid w:val="00DF299B"/>
    <w:rsid w:val="00DF29DF"/>
    <w:rsid w:val="00DF2B0F"/>
    <w:rsid w:val="00DF2EA7"/>
    <w:rsid w:val="00DF2FB1"/>
    <w:rsid w:val="00DF326D"/>
    <w:rsid w:val="00DF3488"/>
    <w:rsid w:val="00DF3833"/>
    <w:rsid w:val="00DF3A1F"/>
    <w:rsid w:val="00DF3B09"/>
    <w:rsid w:val="00DF3C4B"/>
    <w:rsid w:val="00DF3C89"/>
    <w:rsid w:val="00DF3D08"/>
    <w:rsid w:val="00DF3DF7"/>
    <w:rsid w:val="00DF3FD6"/>
    <w:rsid w:val="00DF4599"/>
    <w:rsid w:val="00DF46CB"/>
    <w:rsid w:val="00DF46FB"/>
    <w:rsid w:val="00DF47D4"/>
    <w:rsid w:val="00DF481A"/>
    <w:rsid w:val="00DF4877"/>
    <w:rsid w:val="00DF4A0A"/>
    <w:rsid w:val="00DF4E1D"/>
    <w:rsid w:val="00DF5090"/>
    <w:rsid w:val="00DF50AB"/>
    <w:rsid w:val="00DF528D"/>
    <w:rsid w:val="00DF52CE"/>
    <w:rsid w:val="00DF53F1"/>
    <w:rsid w:val="00DF5442"/>
    <w:rsid w:val="00DF55B1"/>
    <w:rsid w:val="00DF569E"/>
    <w:rsid w:val="00DF5A37"/>
    <w:rsid w:val="00DF5AC1"/>
    <w:rsid w:val="00DF5B38"/>
    <w:rsid w:val="00DF5C7D"/>
    <w:rsid w:val="00DF5CE0"/>
    <w:rsid w:val="00DF60A3"/>
    <w:rsid w:val="00DF619A"/>
    <w:rsid w:val="00DF625A"/>
    <w:rsid w:val="00DF62E5"/>
    <w:rsid w:val="00DF631B"/>
    <w:rsid w:val="00DF6329"/>
    <w:rsid w:val="00DF6346"/>
    <w:rsid w:val="00DF6460"/>
    <w:rsid w:val="00DF6502"/>
    <w:rsid w:val="00DF6599"/>
    <w:rsid w:val="00DF6624"/>
    <w:rsid w:val="00DF672F"/>
    <w:rsid w:val="00DF679F"/>
    <w:rsid w:val="00DF6828"/>
    <w:rsid w:val="00DF6991"/>
    <w:rsid w:val="00DF69C2"/>
    <w:rsid w:val="00DF6B81"/>
    <w:rsid w:val="00DF6DA6"/>
    <w:rsid w:val="00DF6EE7"/>
    <w:rsid w:val="00DF6EFB"/>
    <w:rsid w:val="00DF7042"/>
    <w:rsid w:val="00DF7373"/>
    <w:rsid w:val="00DF73A0"/>
    <w:rsid w:val="00DF7404"/>
    <w:rsid w:val="00DF740C"/>
    <w:rsid w:val="00DF7920"/>
    <w:rsid w:val="00DF7973"/>
    <w:rsid w:val="00DF7F6D"/>
    <w:rsid w:val="00E001BC"/>
    <w:rsid w:val="00E001E0"/>
    <w:rsid w:val="00E00218"/>
    <w:rsid w:val="00E00289"/>
    <w:rsid w:val="00E002AA"/>
    <w:rsid w:val="00E0034C"/>
    <w:rsid w:val="00E004A1"/>
    <w:rsid w:val="00E004A7"/>
    <w:rsid w:val="00E00637"/>
    <w:rsid w:val="00E00A48"/>
    <w:rsid w:val="00E00E05"/>
    <w:rsid w:val="00E00E7E"/>
    <w:rsid w:val="00E01013"/>
    <w:rsid w:val="00E0102C"/>
    <w:rsid w:val="00E0146D"/>
    <w:rsid w:val="00E014C4"/>
    <w:rsid w:val="00E0187A"/>
    <w:rsid w:val="00E01A26"/>
    <w:rsid w:val="00E01C8C"/>
    <w:rsid w:val="00E01D9E"/>
    <w:rsid w:val="00E020C0"/>
    <w:rsid w:val="00E0255F"/>
    <w:rsid w:val="00E02612"/>
    <w:rsid w:val="00E02618"/>
    <w:rsid w:val="00E02758"/>
    <w:rsid w:val="00E028EA"/>
    <w:rsid w:val="00E02A06"/>
    <w:rsid w:val="00E02B28"/>
    <w:rsid w:val="00E02BDE"/>
    <w:rsid w:val="00E02BF9"/>
    <w:rsid w:val="00E02DA9"/>
    <w:rsid w:val="00E03092"/>
    <w:rsid w:val="00E031ED"/>
    <w:rsid w:val="00E033DD"/>
    <w:rsid w:val="00E03569"/>
    <w:rsid w:val="00E03630"/>
    <w:rsid w:val="00E036EF"/>
    <w:rsid w:val="00E0375D"/>
    <w:rsid w:val="00E038B9"/>
    <w:rsid w:val="00E038E1"/>
    <w:rsid w:val="00E038EE"/>
    <w:rsid w:val="00E03964"/>
    <w:rsid w:val="00E0396A"/>
    <w:rsid w:val="00E03B72"/>
    <w:rsid w:val="00E03DFB"/>
    <w:rsid w:val="00E03E70"/>
    <w:rsid w:val="00E03F0E"/>
    <w:rsid w:val="00E04021"/>
    <w:rsid w:val="00E04093"/>
    <w:rsid w:val="00E0432F"/>
    <w:rsid w:val="00E04760"/>
    <w:rsid w:val="00E047B8"/>
    <w:rsid w:val="00E04917"/>
    <w:rsid w:val="00E04DD3"/>
    <w:rsid w:val="00E04E58"/>
    <w:rsid w:val="00E05018"/>
    <w:rsid w:val="00E05196"/>
    <w:rsid w:val="00E05373"/>
    <w:rsid w:val="00E053D9"/>
    <w:rsid w:val="00E05520"/>
    <w:rsid w:val="00E0557A"/>
    <w:rsid w:val="00E055E3"/>
    <w:rsid w:val="00E05609"/>
    <w:rsid w:val="00E058D7"/>
    <w:rsid w:val="00E05A4C"/>
    <w:rsid w:val="00E05A6D"/>
    <w:rsid w:val="00E05ADC"/>
    <w:rsid w:val="00E05D4D"/>
    <w:rsid w:val="00E05E0F"/>
    <w:rsid w:val="00E05E99"/>
    <w:rsid w:val="00E05F9F"/>
    <w:rsid w:val="00E06078"/>
    <w:rsid w:val="00E06452"/>
    <w:rsid w:val="00E06762"/>
    <w:rsid w:val="00E06814"/>
    <w:rsid w:val="00E068CB"/>
    <w:rsid w:val="00E06C8B"/>
    <w:rsid w:val="00E07055"/>
    <w:rsid w:val="00E072E9"/>
    <w:rsid w:val="00E0743D"/>
    <w:rsid w:val="00E07968"/>
    <w:rsid w:val="00E07D7D"/>
    <w:rsid w:val="00E10719"/>
    <w:rsid w:val="00E10991"/>
    <w:rsid w:val="00E10A00"/>
    <w:rsid w:val="00E10B77"/>
    <w:rsid w:val="00E10ECA"/>
    <w:rsid w:val="00E11003"/>
    <w:rsid w:val="00E11094"/>
    <w:rsid w:val="00E11191"/>
    <w:rsid w:val="00E11307"/>
    <w:rsid w:val="00E114CF"/>
    <w:rsid w:val="00E1171C"/>
    <w:rsid w:val="00E1186C"/>
    <w:rsid w:val="00E118D1"/>
    <w:rsid w:val="00E11946"/>
    <w:rsid w:val="00E11AB3"/>
    <w:rsid w:val="00E11B5F"/>
    <w:rsid w:val="00E11CE8"/>
    <w:rsid w:val="00E11D43"/>
    <w:rsid w:val="00E11D54"/>
    <w:rsid w:val="00E121B8"/>
    <w:rsid w:val="00E121CA"/>
    <w:rsid w:val="00E1233A"/>
    <w:rsid w:val="00E1234E"/>
    <w:rsid w:val="00E12A64"/>
    <w:rsid w:val="00E12D4B"/>
    <w:rsid w:val="00E12D64"/>
    <w:rsid w:val="00E12FB0"/>
    <w:rsid w:val="00E131E3"/>
    <w:rsid w:val="00E13206"/>
    <w:rsid w:val="00E1365C"/>
    <w:rsid w:val="00E1391A"/>
    <w:rsid w:val="00E13B38"/>
    <w:rsid w:val="00E13B97"/>
    <w:rsid w:val="00E13E8E"/>
    <w:rsid w:val="00E1408B"/>
    <w:rsid w:val="00E141E7"/>
    <w:rsid w:val="00E14828"/>
    <w:rsid w:val="00E1482E"/>
    <w:rsid w:val="00E14931"/>
    <w:rsid w:val="00E14D40"/>
    <w:rsid w:val="00E15138"/>
    <w:rsid w:val="00E15149"/>
    <w:rsid w:val="00E15537"/>
    <w:rsid w:val="00E1555E"/>
    <w:rsid w:val="00E156E7"/>
    <w:rsid w:val="00E156FF"/>
    <w:rsid w:val="00E15872"/>
    <w:rsid w:val="00E1593D"/>
    <w:rsid w:val="00E15CB7"/>
    <w:rsid w:val="00E15D0F"/>
    <w:rsid w:val="00E160A4"/>
    <w:rsid w:val="00E16325"/>
    <w:rsid w:val="00E164C9"/>
    <w:rsid w:val="00E1652B"/>
    <w:rsid w:val="00E1685A"/>
    <w:rsid w:val="00E168F1"/>
    <w:rsid w:val="00E16A78"/>
    <w:rsid w:val="00E16CE7"/>
    <w:rsid w:val="00E17119"/>
    <w:rsid w:val="00E17275"/>
    <w:rsid w:val="00E1735D"/>
    <w:rsid w:val="00E177F3"/>
    <w:rsid w:val="00E1788E"/>
    <w:rsid w:val="00E17A15"/>
    <w:rsid w:val="00E17A87"/>
    <w:rsid w:val="00E17DE4"/>
    <w:rsid w:val="00E20011"/>
    <w:rsid w:val="00E20020"/>
    <w:rsid w:val="00E201A9"/>
    <w:rsid w:val="00E20305"/>
    <w:rsid w:val="00E20371"/>
    <w:rsid w:val="00E20540"/>
    <w:rsid w:val="00E2063C"/>
    <w:rsid w:val="00E207A1"/>
    <w:rsid w:val="00E207E9"/>
    <w:rsid w:val="00E208C3"/>
    <w:rsid w:val="00E208DC"/>
    <w:rsid w:val="00E2093A"/>
    <w:rsid w:val="00E20AA5"/>
    <w:rsid w:val="00E20C5C"/>
    <w:rsid w:val="00E20DD8"/>
    <w:rsid w:val="00E20E1C"/>
    <w:rsid w:val="00E20F9D"/>
    <w:rsid w:val="00E2142D"/>
    <w:rsid w:val="00E21456"/>
    <w:rsid w:val="00E2149E"/>
    <w:rsid w:val="00E214B3"/>
    <w:rsid w:val="00E21654"/>
    <w:rsid w:val="00E217E0"/>
    <w:rsid w:val="00E217EA"/>
    <w:rsid w:val="00E2182E"/>
    <w:rsid w:val="00E21A4C"/>
    <w:rsid w:val="00E21C0E"/>
    <w:rsid w:val="00E21C1E"/>
    <w:rsid w:val="00E21E74"/>
    <w:rsid w:val="00E220AB"/>
    <w:rsid w:val="00E22168"/>
    <w:rsid w:val="00E22219"/>
    <w:rsid w:val="00E2222F"/>
    <w:rsid w:val="00E2233D"/>
    <w:rsid w:val="00E224CB"/>
    <w:rsid w:val="00E22680"/>
    <w:rsid w:val="00E22770"/>
    <w:rsid w:val="00E22786"/>
    <w:rsid w:val="00E22944"/>
    <w:rsid w:val="00E22C61"/>
    <w:rsid w:val="00E22DB3"/>
    <w:rsid w:val="00E22DFE"/>
    <w:rsid w:val="00E22F41"/>
    <w:rsid w:val="00E22F90"/>
    <w:rsid w:val="00E23022"/>
    <w:rsid w:val="00E233C0"/>
    <w:rsid w:val="00E23676"/>
    <w:rsid w:val="00E23705"/>
    <w:rsid w:val="00E2396F"/>
    <w:rsid w:val="00E23972"/>
    <w:rsid w:val="00E239A0"/>
    <w:rsid w:val="00E23A65"/>
    <w:rsid w:val="00E23B7A"/>
    <w:rsid w:val="00E23BBF"/>
    <w:rsid w:val="00E23C5B"/>
    <w:rsid w:val="00E23DBD"/>
    <w:rsid w:val="00E23E8F"/>
    <w:rsid w:val="00E23EA7"/>
    <w:rsid w:val="00E240B1"/>
    <w:rsid w:val="00E240F4"/>
    <w:rsid w:val="00E2468F"/>
    <w:rsid w:val="00E247A8"/>
    <w:rsid w:val="00E247B5"/>
    <w:rsid w:val="00E249A4"/>
    <w:rsid w:val="00E249E8"/>
    <w:rsid w:val="00E24B8D"/>
    <w:rsid w:val="00E24C17"/>
    <w:rsid w:val="00E24C4B"/>
    <w:rsid w:val="00E24C97"/>
    <w:rsid w:val="00E24F52"/>
    <w:rsid w:val="00E2519D"/>
    <w:rsid w:val="00E2550A"/>
    <w:rsid w:val="00E256BC"/>
    <w:rsid w:val="00E25760"/>
    <w:rsid w:val="00E257E9"/>
    <w:rsid w:val="00E25A08"/>
    <w:rsid w:val="00E25A50"/>
    <w:rsid w:val="00E25ABD"/>
    <w:rsid w:val="00E25B21"/>
    <w:rsid w:val="00E25C80"/>
    <w:rsid w:val="00E25D31"/>
    <w:rsid w:val="00E25DFA"/>
    <w:rsid w:val="00E25FFB"/>
    <w:rsid w:val="00E2655C"/>
    <w:rsid w:val="00E26AC8"/>
    <w:rsid w:val="00E26DBC"/>
    <w:rsid w:val="00E26F33"/>
    <w:rsid w:val="00E26F35"/>
    <w:rsid w:val="00E272F1"/>
    <w:rsid w:val="00E27330"/>
    <w:rsid w:val="00E27439"/>
    <w:rsid w:val="00E2789A"/>
    <w:rsid w:val="00E27CB3"/>
    <w:rsid w:val="00E27D39"/>
    <w:rsid w:val="00E27DD1"/>
    <w:rsid w:val="00E27ECA"/>
    <w:rsid w:val="00E30036"/>
    <w:rsid w:val="00E30185"/>
    <w:rsid w:val="00E30188"/>
    <w:rsid w:val="00E301A0"/>
    <w:rsid w:val="00E3040B"/>
    <w:rsid w:val="00E30BEF"/>
    <w:rsid w:val="00E30C8F"/>
    <w:rsid w:val="00E30EA8"/>
    <w:rsid w:val="00E310D0"/>
    <w:rsid w:val="00E311CF"/>
    <w:rsid w:val="00E3122B"/>
    <w:rsid w:val="00E313A3"/>
    <w:rsid w:val="00E313EA"/>
    <w:rsid w:val="00E316C7"/>
    <w:rsid w:val="00E31941"/>
    <w:rsid w:val="00E31AC3"/>
    <w:rsid w:val="00E31DC6"/>
    <w:rsid w:val="00E31E61"/>
    <w:rsid w:val="00E322FD"/>
    <w:rsid w:val="00E32410"/>
    <w:rsid w:val="00E32440"/>
    <w:rsid w:val="00E32526"/>
    <w:rsid w:val="00E3253F"/>
    <w:rsid w:val="00E3265A"/>
    <w:rsid w:val="00E326DD"/>
    <w:rsid w:val="00E327A1"/>
    <w:rsid w:val="00E32D53"/>
    <w:rsid w:val="00E32F3E"/>
    <w:rsid w:val="00E33022"/>
    <w:rsid w:val="00E333DC"/>
    <w:rsid w:val="00E33713"/>
    <w:rsid w:val="00E33728"/>
    <w:rsid w:val="00E33812"/>
    <w:rsid w:val="00E3398D"/>
    <w:rsid w:val="00E339CA"/>
    <w:rsid w:val="00E33AD7"/>
    <w:rsid w:val="00E33B03"/>
    <w:rsid w:val="00E33DDA"/>
    <w:rsid w:val="00E33E33"/>
    <w:rsid w:val="00E33F3E"/>
    <w:rsid w:val="00E33F7B"/>
    <w:rsid w:val="00E34521"/>
    <w:rsid w:val="00E345A8"/>
    <w:rsid w:val="00E34623"/>
    <w:rsid w:val="00E348A7"/>
    <w:rsid w:val="00E34B44"/>
    <w:rsid w:val="00E34B88"/>
    <w:rsid w:val="00E34FAD"/>
    <w:rsid w:val="00E350A4"/>
    <w:rsid w:val="00E3518A"/>
    <w:rsid w:val="00E351B3"/>
    <w:rsid w:val="00E3522D"/>
    <w:rsid w:val="00E3531F"/>
    <w:rsid w:val="00E3565E"/>
    <w:rsid w:val="00E35854"/>
    <w:rsid w:val="00E35AF0"/>
    <w:rsid w:val="00E360E4"/>
    <w:rsid w:val="00E36133"/>
    <w:rsid w:val="00E362BA"/>
    <w:rsid w:val="00E36462"/>
    <w:rsid w:val="00E365D1"/>
    <w:rsid w:val="00E369DC"/>
    <w:rsid w:val="00E36A96"/>
    <w:rsid w:val="00E36E2A"/>
    <w:rsid w:val="00E3718E"/>
    <w:rsid w:val="00E371F0"/>
    <w:rsid w:val="00E3722B"/>
    <w:rsid w:val="00E3748F"/>
    <w:rsid w:val="00E375BB"/>
    <w:rsid w:val="00E37688"/>
    <w:rsid w:val="00E376C5"/>
    <w:rsid w:val="00E3773A"/>
    <w:rsid w:val="00E37761"/>
    <w:rsid w:val="00E3786B"/>
    <w:rsid w:val="00E37A1C"/>
    <w:rsid w:val="00E37AA1"/>
    <w:rsid w:val="00E37C4D"/>
    <w:rsid w:val="00E37E48"/>
    <w:rsid w:val="00E37EB9"/>
    <w:rsid w:val="00E37F8C"/>
    <w:rsid w:val="00E37FAA"/>
    <w:rsid w:val="00E40091"/>
    <w:rsid w:val="00E40189"/>
    <w:rsid w:val="00E401D8"/>
    <w:rsid w:val="00E40260"/>
    <w:rsid w:val="00E403C1"/>
    <w:rsid w:val="00E404EF"/>
    <w:rsid w:val="00E40554"/>
    <w:rsid w:val="00E405E7"/>
    <w:rsid w:val="00E4066A"/>
    <w:rsid w:val="00E40C0A"/>
    <w:rsid w:val="00E40C6C"/>
    <w:rsid w:val="00E40CBF"/>
    <w:rsid w:val="00E41283"/>
    <w:rsid w:val="00E4140B"/>
    <w:rsid w:val="00E41634"/>
    <w:rsid w:val="00E41656"/>
    <w:rsid w:val="00E41A90"/>
    <w:rsid w:val="00E41A9E"/>
    <w:rsid w:val="00E41BF1"/>
    <w:rsid w:val="00E41C29"/>
    <w:rsid w:val="00E41EC6"/>
    <w:rsid w:val="00E41EE8"/>
    <w:rsid w:val="00E41F44"/>
    <w:rsid w:val="00E4207B"/>
    <w:rsid w:val="00E4244C"/>
    <w:rsid w:val="00E427A3"/>
    <w:rsid w:val="00E42933"/>
    <w:rsid w:val="00E429F2"/>
    <w:rsid w:val="00E42AA7"/>
    <w:rsid w:val="00E42AC5"/>
    <w:rsid w:val="00E42AFF"/>
    <w:rsid w:val="00E42CBD"/>
    <w:rsid w:val="00E42DBB"/>
    <w:rsid w:val="00E42E46"/>
    <w:rsid w:val="00E431AB"/>
    <w:rsid w:val="00E43377"/>
    <w:rsid w:val="00E4337B"/>
    <w:rsid w:val="00E434A7"/>
    <w:rsid w:val="00E43796"/>
    <w:rsid w:val="00E43870"/>
    <w:rsid w:val="00E439BC"/>
    <w:rsid w:val="00E43EDC"/>
    <w:rsid w:val="00E43F0E"/>
    <w:rsid w:val="00E43F68"/>
    <w:rsid w:val="00E44076"/>
    <w:rsid w:val="00E440E0"/>
    <w:rsid w:val="00E44211"/>
    <w:rsid w:val="00E44311"/>
    <w:rsid w:val="00E44420"/>
    <w:rsid w:val="00E444E2"/>
    <w:rsid w:val="00E4460C"/>
    <w:rsid w:val="00E44640"/>
    <w:rsid w:val="00E4472E"/>
    <w:rsid w:val="00E4488A"/>
    <w:rsid w:val="00E44905"/>
    <w:rsid w:val="00E44C6E"/>
    <w:rsid w:val="00E44CB2"/>
    <w:rsid w:val="00E44D09"/>
    <w:rsid w:val="00E44DA2"/>
    <w:rsid w:val="00E45191"/>
    <w:rsid w:val="00E452DA"/>
    <w:rsid w:val="00E45361"/>
    <w:rsid w:val="00E453C6"/>
    <w:rsid w:val="00E453E0"/>
    <w:rsid w:val="00E454FA"/>
    <w:rsid w:val="00E45517"/>
    <w:rsid w:val="00E455D5"/>
    <w:rsid w:val="00E4562C"/>
    <w:rsid w:val="00E457A4"/>
    <w:rsid w:val="00E4597D"/>
    <w:rsid w:val="00E45ACD"/>
    <w:rsid w:val="00E45C36"/>
    <w:rsid w:val="00E45CDA"/>
    <w:rsid w:val="00E460F1"/>
    <w:rsid w:val="00E4619F"/>
    <w:rsid w:val="00E462A7"/>
    <w:rsid w:val="00E4635D"/>
    <w:rsid w:val="00E46383"/>
    <w:rsid w:val="00E463CC"/>
    <w:rsid w:val="00E46404"/>
    <w:rsid w:val="00E465E6"/>
    <w:rsid w:val="00E46773"/>
    <w:rsid w:val="00E467EE"/>
    <w:rsid w:val="00E46805"/>
    <w:rsid w:val="00E4693B"/>
    <w:rsid w:val="00E469B0"/>
    <w:rsid w:val="00E46A2F"/>
    <w:rsid w:val="00E46BF6"/>
    <w:rsid w:val="00E46C50"/>
    <w:rsid w:val="00E46F42"/>
    <w:rsid w:val="00E4722D"/>
    <w:rsid w:val="00E47284"/>
    <w:rsid w:val="00E474FE"/>
    <w:rsid w:val="00E47693"/>
    <w:rsid w:val="00E47842"/>
    <w:rsid w:val="00E47843"/>
    <w:rsid w:val="00E47930"/>
    <w:rsid w:val="00E47C63"/>
    <w:rsid w:val="00E47D1C"/>
    <w:rsid w:val="00E47FBA"/>
    <w:rsid w:val="00E50274"/>
    <w:rsid w:val="00E504EB"/>
    <w:rsid w:val="00E50657"/>
    <w:rsid w:val="00E50A11"/>
    <w:rsid w:val="00E50BD0"/>
    <w:rsid w:val="00E50D2E"/>
    <w:rsid w:val="00E50DDF"/>
    <w:rsid w:val="00E50E4B"/>
    <w:rsid w:val="00E50F46"/>
    <w:rsid w:val="00E51107"/>
    <w:rsid w:val="00E511F5"/>
    <w:rsid w:val="00E51261"/>
    <w:rsid w:val="00E513BC"/>
    <w:rsid w:val="00E5150D"/>
    <w:rsid w:val="00E51705"/>
    <w:rsid w:val="00E51817"/>
    <w:rsid w:val="00E51A05"/>
    <w:rsid w:val="00E51A4D"/>
    <w:rsid w:val="00E51C42"/>
    <w:rsid w:val="00E51CCE"/>
    <w:rsid w:val="00E52193"/>
    <w:rsid w:val="00E521DE"/>
    <w:rsid w:val="00E52436"/>
    <w:rsid w:val="00E52613"/>
    <w:rsid w:val="00E52A8A"/>
    <w:rsid w:val="00E52B1B"/>
    <w:rsid w:val="00E52E26"/>
    <w:rsid w:val="00E52E98"/>
    <w:rsid w:val="00E52F77"/>
    <w:rsid w:val="00E53021"/>
    <w:rsid w:val="00E53036"/>
    <w:rsid w:val="00E5362D"/>
    <w:rsid w:val="00E53762"/>
    <w:rsid w:val="00E5381C"/>
    <w:rsid w:val="00E5386C"/>
    <w:rsid w:val="00E53F67"/>
    <w:rsid w:val="00E5401F"/>
    <w:rsid w:val="00E54137"/>
    <w:rsid w:val="00E5418C"/>
    <w:rsid w:val="00E54378"/>
    <w:rsid w:val="00E545B3"/>
    <w:rsid w:val="00E5473F"/>
    <w:rsid w:val="00E548E6"/>
    <w:rsid w:val="00E54963"/>
    <w:rsid w:val="00E54B8E"/>
    <w:rsid w:val="00E54CFC"/>
    <w:rsid w:val="00E54D0E"/>
    <w:rsid w:val="00E54D0F"/>
    <w:rsid w:val="00E54E8E"/>
    <w:rsid w:val="00E54EE7"/>
    <w:rsid w:val="00E54FF9"/>
    <w:rsid w:val="00E55164"/>
    <w:rsid w:val="00E55236"/>
    <w:rsid w:val="00E552D6"/>
    <w:rsid w:val="00E55388"/>
    <w:rsid w:val="00E555A9"/>
    <w:rsid w:val="00E55634"/>
    <w:rsid w:val="00E557C6"/>
    <w:rsid w:val="00E557DF"/>
    <w:rsid w:val="00E557F6"/>
    <w:rsid w:val="00E55854"/>
    <w:rsid w:val="00E55F7F"/>
    <w:rsid w:val="00E55FD0"/>
    <w:rsid w:val="00E563EA"/>
    <w:rsid w:val="00E5640C"/>
    <w:rsid w:val="00E565EA"/>
    <w:rsid w:val="00E5666A"/>
    <w:rsid w:val="00E566FC"/>
    <w:rsid w:val="00E567B2"/>
    <w:rsid w:val="00E5688B"/>
    <w:rsid w:val="00E568B6"/>
    <w:rsid w:val="00E5695F"/>
    <w:rsid w:val="00E56AC3"/>
    <w:rsid w:val="00E56CDC"/>
    <w:rsid w:val="00E56ED3"/>
    <w:rsid w:val="00E56EDA"/>
    <w:rsid w:val="00E56FD5"/>
    <w:rsid w:val="00E57036"/>
    <w:rsid w:val="00E570B4"/>
    <w:rsid w:val="00E57373"/>
    <w:rsid w:val="00E5762F"/>
    <w:rsid w:val="00E57696"/>
    <w:rsid w:val="00E57757"/>
    <w:rsid w:val="00E57C0F"/>
    <w:rsid w:val="00E57EA1"/>
    <w:rsid w:val="00E60026"/>
    <w:rsid w:val="00E600DE"/>
    <w:rsid w:val="00E601F8"/>
    <w:rsid w:val="00E602CD"/>
    <w:rsid w:val="00E6039B"/>
    <w:rsid w:val="00E60428"/>
    <w:rsid w:val="00E60588"/>
    <w:rsid w:val="00E605FD"/>
    <w:rsid w:val="00E6073B"/>
    <w:rsid w:val="00E6074B"/>
    <w:rsid w:val="00E6087C"/>
    <w:rsid w:val="00E60B67"/>
    <w:rsid w:val="00E60B99"/>
    <w:rsid w:val="00E60D1A"/>
    <w:rsid w:val="00E60D21"/>
    <w:rsid w:val="00E60D79"/>
    <w:rsid w:val="00E60F20"/>
    <w:rsid w:val="00E61057"/>
    <w:rsid w:val="00E6135C"/>
    <w:rsid w:val="00E613F1"/>
    <w:rsid w:val="00E6150F"/>
    <w:rsid w:val="00E615A1"/>
    <w:rsid w:val="00E61796"/>
    <w:rsid w:val="00E61956"/>
    <w:rsid w:val="00E61AF8"/>
    <w:rsid w:val="00E61B85"/>
    <w:rsid w:val="00E61C17"/>
    <w:rsid w:val="00E61D65"/>
    <w:rsid w:val="00E61DE2"/>
    <w:rsid w:val="00E61DE8"/>
    <w:rsid w:val="00E61E1C"/>
    <w:rsid w:val="00E61F58"/>
    <w:rsid w:val="00E6200C"/>
    <w:rsid w:val="00E621B2"/>
    <w:rsid w:val="00E622A5"/>
    <w:rsid w:val="00E6234B"/>
    <w:rsid w:val="00E62438"/>
    <w:rsid w:val="00E62714"/>
    <w:rsid w:val="00E62B8E"/>
    <w:rsid w:val="00E62D15"/>
    <w:rsid w:val="00E62F16"/>
    <w:rsid w:val="00E632CE"/>
    <w:rsid w:val="00E63542"/>
    <w:rsid w:val="00E63739"/>
    <w:rsid w:val="00E639F8"/>
    <w:rsid w:val="00E63B13"/>
    <w:rsid w:val="00E63B27"/>
    <w:rsid w:val="00E63B2E"/>
    <w:rsid w:val="00E63CBF"/>
    <w:rsid w:val="00E63E62"/>
    <w:rsid w:val="00E63FF7"/>
    <w:rsid w:val="00E6400B"/>
    <w:rsid w:val="00E640BC"/>
    <w:rsid w:val="00E64189"/>
    <w:rsid w:val="00E6449D"/>
    <w:rsid w:val="00E646BC"/>
    <w:rsid w:val="00E64A78"/>
    <w:rsid w:val="00E64A8F"/>
    <w:rsid w:val="00E64C0A"/>
    <w:rsid w:val="00E64D3E"/>
    <w:rsid w:val="00E64FE9"/>
    <w:rsid w:val="00E65113"/>
    <w:rsid w:val="00E65141"/>
    <w:rsid w:val="00E6530D"/>
    <w:rsid w:val="00E65642"/>
    <w:rsid w:val="00E656FE"/>
    <w:rsid w:val="00E65732"/>
    <w:rsid w:val="00E65766"/>
    <w:rsid w:val="00E6589F"/>
    <w:rsid w:val="00E65A6B"/>
    <w:rsid w:val="00E65CB8"/>
    <w:rsid w:val="00E65F5F"/>
    <w:rsid w:val="00E6620F"/>
    <w:rsid w:val="00E6636E"/>
    <w:rsid w:val="00E66423"/>
    <w:rsid w:val="00E66595"/>
    <w:rsid w:val="00E66E5B"/>
    <w:rsid w:val="00E66EE8"/>
    <w:rsid w:val="00E66FBF"/>
    <w:rsid w:val="00E671C1"/>
    <w:rsid w:val="00E672ED"/>
    <w:rsid w:val="00E6754D"/>
    <w:rsid w:val="00E677C1"/>
    <w:rsid w:val="00E67984"/>
    <w:rsid w:val="00E67C55"/>
    <w:rsid w:val="00E67D49"/>
    <w:rsid w:val="00E67FA0"/>
    <w:rsid w:val="00E701CE"/>
    <w:rsid w:val="00E7020A"/>
    <w:rsid w:val="00E70637"/>
    <w:rsid w:val="00E70940"/>
    <w:rsid w:val="00E709CC"/>
    <w:rsid w:val="00E70DB1"/>
    <w:rsid w:val="00E70FD8"/>
    <w:rsid w:val="00E71199"/>
    <w:rsid w:val="00E713BC"/>
    <w:rsid w:val="00E71416"/>
    <w:rsid w:val="00E7145B"/>
    <w:rsid w:val="00E715F4"/>
    <w:rsid w:val="00E71A45"/>
    <w:rsid w:val="00E71B99"/>
    <w:rsid w:val="00E72245"/>
    <w:rsid w:val="00E7226B"/>
    <w:rsid w:val="00E72299"/>
    <w:rsid w:val="00E724B0"/>
    <w:rsid w:val="00E72800"/>
    <w:rsid w:val="00E72A3E"/>
    <w:rsid w:val="00E72B6E"/>
    <w:rsid w:val="00E72E45"/>
    <w:rsid w:val="00E72E70"/>
    <w:rsid w:val="00E72FD7"/>
    <w:rsid w:val="00E73026"/>
    <w:rsid w:val="00E73058"/>
    <w:rsid w:val="00E731A8"/>
    <w:rsid w:val="00E7366A"/>
    <w:rsid w:val="00E736F6"/>
    <w:rsid w:val="00E7378B"/>
    <w:rsid w:val="00E73B69"/>
    <w:rsid w:val="00E742C5"/>
    <w:rsid w:val="00E7433F"/>
    <w:rsid w:val="00E7435E"/>
    <w:rsid w:val="00E74548"/>
    <w:rsid w:val="00E748E9"/>
    <w:rsid w:val="00E751D8"/>
    <w:rsid w:val="00E7565E"/>
    <w:rsid w:val="00E759A4"/>
    <w:rsid w:val="00E75DCC"/>
    <w:rsid w:val="00E75F10"/>
    <w:rsid w:val="00E75F29"/>
    <w:rsid w:val="00E76028"/>
    <w:rsid w:val="00E76391"/>
    <w:rsid w:val="00E76400"/>
    <w:rsid w:val="00E76555"/>
    <w:rsid w:val="00E76738"/>
    <w:rsid w:val="00E7675E"/>
    <w:rsid w:val="00E7683F"/>
    <w:rsid w:val="00E76A4C"/>
    <w:rsid w:val="00E76B0F"/>
    <w:rsid w:val="00E76C3F"/>
    <w:rsid w:val="00E76CF4"/>
    <w:rsid w:val="00E76D01"/>
    <w:rsid w:val="00E76FD8"/>
    <w:rsid w:val="00E77139"/>
    <w:rsid w:val="00E77576"/>
    <w:rsid w:val="00E7770C"/>
    <w:rsid w:val="00E777B0"/>
    <w:rsid w:val="00E777B4"/>
    <w:rsid w:val="00E77E0D"/>
    <w:rsid w:val="00E8010B"/>
    <w:rsid w:val="00E80112"/>
    <w:rsid w:val="00E80201"/>
    <w:rsid w:val="00E8034F"/>
    <w:rsid w:val="00E8059B"/>
    <w:rsid w:val="00E8090A"/>
    <w:rsid w:val="00E80917"/>
    <w:rsid w:val="00E809A8"/>
    <w:rsid w:val="00E80A5E"/>
    <w:rsid w:val="00E80D53"/>
    <w:rsid w:val="00E80D6D"/>
    <w:rsid w:val="00E8102A"/>
    <w:rsid w:val="00E81093"/>
    <w:rsid w:val="00E81094"/>
    <w:rsid w:val="00E8119E"/>
    <w:rsid w:val="00E81232"/>
    <w:rsid w:val="00E812D7"/>
    <w:rsid w:val="00E813AE"/>
    <w:rsid w:val="00E81483"/>
    <w:rsid w:val="00E81648"/>
    <w:rsid w:val="00E8181F"/>
    <w:rsid w:val="00E818E6"/>
    <w:rsid w:val="00E818FA"/>
    <w:rsid w:val="00E819A8"/>
    <w:rsid w:val="00E81A44"/>
    <w:rsid w:val="00E81DF9"/>
    <w:rsid w:val="00E820C4"/>
    <w:rsid w:val="00E82583"/>
    <w:rsid w:val="00E82629"/>
    <w:rsid w:val="00E8276A"/>
    <w:rsid w:val="00E827AF"/>
    <w:rsid w:val="00E82864"/>
    <w:rsid w:val="00E82997"/>
    <w:rsid w:val="00E82AE5"/>
    <w:rsid w:val="00E82CC3"/>
    <w:rsid w:val="00E82DE3"/>
    <w:rsid w:val="00E82E0E"/>
    <w:rsid w:val="00E82E50"/>
    <w:rsid w:val="00E82EF7"/>
    <w:rsid w:val="00E83119"/>
    <w:rsid w:val="00E8320B"/>
    <w:rsid w:val="00E83599"/>
    <w:rsid w:val="00E8359B"/>
    <w:rsid w:val="00E83792"/>
    <w:rsid w:val="00E8398E"/>
    <w:rsid w:val="00E83B1E"/>
    <w:rsid w:val="00E83C3B"/>
    <w:rsid w:val="00E83EB6"/>
    <w:rsid w:val="00E840A9"/>
    <w:rsid w:val="00E840D4"/>
    <w:rsid w:val="00E841C6"/>
    <w:rsid w:val="00E842D3"/>
    <w:rsid w:val="00E8498E"/>
    <w:rsid w:val="00E84D8D"/>
    <w:rsid w:val="00E85007"/>
    <w:rsid w:val="00E85063"/>
    <w:rsid w:val="00E850E1"/>
    <w:rsid w:val="00E8553B"/>
    <w:rsid w:val="00E856AB"/>
    <w:rsid w:val="00E8573F"/>
    <w:rsid w:val="00E8584C"/>
    <w:rsid w:val="00E85927"/>
    <w:rsid w:val="00E8598F"/>
    <w:rsid w:val="00E85AAF"/>
    <w:rsid w:val="00E85AB3"/>
    <w:rsid w:val="00E85C4A"/>
    <w:rsid w:val="00E85C8C"/>
    <w:rsid w:val="00E85D8A"/>
    <w:rsid w:val="00E8603C"/>
    <w:rsid w:val="00E8654E"/>
    <w:rsid w:val="00E86589"/>
    <w:rsid w:val="00E86719"/>
    <w:rsid w:val="00E8687C"/>
    <w:rsid w:val="00E86948"/>
    <w:rsid w:val="00E86A56"/>
    <w:rsid w:val="00E86BD8"/>
    <w:rsid w:val="00E86CE4"/>
    <w:rsid w:val="00E870C6"/>
    <w:rsid w:val="00E8799A"/>
    <w:rsid w:val="00E879FC"/>
    <w:rsid w:val="00E87A91"/>
    <w:rsid w:val="00E87B2B"/>
    <w:rsid w:val="00E87B56"/>
    <w:rsid w:val="00E87BCB"/>
    <w:rsid w:val="00E87C26"/>
    <w:rsid w:val="00E87F93"/>
    <w:rsid w:val="00E90006"/>
    <w:rsid w:val="00E90131"/>
    <w:rsid w:val="00E90182"/>
    <w:rsid w:val="00E90184"/>
    <w:rsid w:val="00E904C4"/>
    <w:rsid w:val="00E906C3"/>
    <w:rsid w:val="00E90B90"/>
    <w:rsid w:val="00E90BD3"/>
    <w:rsid w:val="00E90BE3"/>
    <w:rsid w:val="00E90CB0"/>
    <w:rsid w:val="00E90EE3"/>
    <w:rsid w:val="00E90FF9"/>
    <w:rsid w:val="00E912DD"/>
    <w:rsid w:val="00E91489"/>
    <w:rsid w:val="00E918A1"/>
    <w:rsid w:val="00E91B3C"/>
    <w:rsid w:val="00E91CF1"/>
    <w:rsid w:val="00E91D1C"/>
    <w:rsid w:val="00E91D9F"/>
    <w:rsid w:val="00E91F9A"/>
    <w:rsid w:val="00E920EE"/>
    <w:rsid w:val="00E920FC"/>
    <w:rsid w:val="00E921C8"/>
    <w:rsid w:val="00E921DC"/>
    <w:rsid w:val="00E9234B"/>
    <w:rsid w:val="00E923F7"/>
    <w:rsid w:val="00E92BE8"/>
    <w:rsid w:val="00E92DE9"/>
    <w:rsid w:val="00E93080"/>
    <w:rsid w:val="00E93403"/>
    <w:rsid w:val="00E9349B"/>
    <w:rsid w:val="00E93565"/>
    <w:rsid w:val="00E93BF1"/>
    <w:rsid w:val="00E93C86"/>
    <w:rsid w:val="00E93D28"/>
    <w:rsid w:val="00E93ED7"/>
    <w:rsid w:val="00E9428B"/>
    <w:rsid w:val="00E94421"/>
    <w:rsid w:val="00E94584"/>
    <w:rsid w:val="00E94923"/>
    <w:rsid w:val="00E94A33"/>
    <w:rsid w:val="00E94AF2"/>
    <w:rsid w:val="00E94B0E"/>
    <w:rsid w:val="00E94C2B"/>
    <w:rsid w:val="00E94E35"/>
    <w:rsid w:val="00E94F8F"/>
    <w:rsid w:val="00E95256"/>
    <w:rsid w:val="00E95268"/>
    <w:rsid w:val="00E95285"/>
    <w:rsid w:val="00E9534C"/>
    <w:rsid w:val="00E954A8"/>
    <w:rsid w:val="00E955D5"/>
    <w:rsid w:val="00E95804"/>
    <w:rsid w:val="00E95B3D"/>
    <w:rsid w:val="00E95B9A"/>
    <w:rsid w:val="00E95C4C"/>
    <w:rsid w:val="00E95C87"/>
    <w:rsid w:val="00E95C8E"/>
    <w:rsid w:val="00E95EE3"/>
    <w:rsid w:val="00E95F1B"/>
    <w:rsid w:val="00E95FBC"/>
    <w:rsid w:val="00E96035"/>
    <w:rsid w:val="00E962EC"/>
    <w:rsid w:val="00E96306"/>
    <w:rsid w:val="00E963C1"/>
    <w:rsid w:val="00E96404"/>
    <w:rsid w:val="00E96425"/>
    <w:rsid w:val="00E96466"/>
    <w:rsid w:val="00E96629"/>
    <w:rsid w:val="00E967ED"/>
    <w:rsid w:val="00E969F0"/>
    <w:rsid w:val="00E96D40"/>
    <w:rsid w:val="00E97007"/>
    <w:rsid w:val="00E970B5"/>
    <w:rsid w:val="00E970DF"/>
    <w:rsid w:val="00E97225"/>
    <w:rsid w:val="00E9747F"/>
    <w:rsid w:val="00E974F1"/>
    <w:rsid w:val="00E975CE"/>
    <w:rsid w:val="00E97619"/>
    <w:rsid w:val="00E9764F"/>
    <w:rsid w:val="00E97719"/>
    <w:rsid w:val="00E97895"/>
    <w:rsid w:val="00E979E4"/>
    <w:rsid w:val="00E97BDD"/>
    <w:rsid w:val="00E97D30"/>
    <w:rsid w:val="00E97D4B"/>
    <w:rsid w:val="00E97E74"/>
    <w:rsid w:val="00E97FB6"/>
    <w:rsid w:val="00EA013E"/>
    <w:rsid w:val="00EA036A"/>
    <w:rsid w:val="00EA0404"/>
    <w:rsid w:val="00EA04C7"/>
    <w:rsid w:val="00EA09E0"/>
    <w:rsid w:val="00EA0A34"/>
    <w:rsid w:val="00EA0A4D"/>
    <w:rsid w:val="00EA0AC8"/>
    <w:rsid w:val="00EA0B33"/>
    <w:rsid w:val="00EA0BCC"/>
    <w:rsid w:val="00EA0F5E"/>
    <w:rsid w:val="00EA10BE"/>
    <w:rsid w:val="00EA11C3"/>
    <w:rsid w:val="00EA15C8"/>
    <w:rsid w:val="00EA15FC"/>
    <w:rsid w:val="00EA1755"/>
    <w:rsid w:val="00EA181B"/>
    <w:rsid w:val="00EA1996"/>
    <w:rsid w:val="00EA1B66"/>
    <w:rsid w:val="00EA1C14"/>
    <w:rsid w:val="00EA1C3B"/>
    <w:rsid w:val="00EA1D7F"/>
    <w:rsid w:val="00EA1DDA"/>
    <w:rsid w:val="00EA1E2C"/>
    <w:rsid w:val="00EA1F6E"/>
    <w:rsid w:val="00EA2213"/>
    <w:rsid w:val="00EA2253"/>
    <w:rsid w:val="00EA24C3"/>
    <w:rsid w:val="00EA291B"/>
    <w:rsid w:val="00EA2B73"/>
    <w:rsid w:val="00EA2C2F"/>
    <w:rsid w:val="00EA2D9D"/>
    <w:rsid w:val="00EA2F2B"/>
    <w:rsid w:val="00EA30AB"/>
    <w:rsid w:val="00EA30F8"/>
    <w:rsid w:val="00EA3164"/>
    <w:rsid w:val="00EA322B"/>
    <w:rsid w:val="00EA323F"/>
    <w:rsid w:val="00EA343E"/>
    <w:rsid w:val="00EA37FD"/>
    <w:rsid w:val="00EA3AF0"/>
    <w:rsid w:val="00EA3B3B"/>
    <w:rsid w:val="00EA3B72"/>
    <w:rsid w:val="00EA3B8B"/>
    <w:rsid w:val="00EA3C55"/>
    <w:rsid w:val="00EA3CDA"/>
    <w:rsid w:val="00EA3D2F"/>
    <w:rsid w:val="00EA4079"/>
    <w:rsid w:val="00EA4096"/>
    <w:rsid w:val="00EA4528"/>
    <w:rsid w:val="00EA47E2"/>
    <w:rsid w:val="00EA49E7"/>
    <w:rsid w:val="00EA4B81"/>
    <w:rsid w:val="00EA4C1F"/>
    <w:rsid w:val="00EA4F30"/>
    <w:rsid w:val="00EA59EC"/>
    <w:rsid w:val="00EA5BDF"/>
    <w:rsid w:val="00EA5BE8"/>
    <w:rsid w:val="00EA5C1E"/>
    <w:rsid w:val="00EA5D90"/>
    <w:rsid w:val="00EA5DB8"/>
    <w:rsid w:val="00EA5E71"/>
    <w:rsid w:val="00EA5EC5"/>
    <w:rsid w:val="00EA5F8E"/>
    <w:rsid w:val="00EA608C"/>
    <w:rsid w:val="00EA617B"/>
    <w:rsid w:val="00EA61A5"/>
    <w:rsid w:val="00EA6478"/>
    <w:rsid w:val="00EA6890"/>
    <w:rsid w:val="00EA6B3C"/>
    <w:rsid w:val="00EA6BA6"/>
    <w:rsid w:val="00EA6BD2"/>
    <w:rsid w:val="00EA6C1E"/>
    <w:rsid w:val="00EA6DFD"/>
    <w:rsid w:val="00EA6E1C"/>
    <w:rsid w:val="00EA6EA3"/>
    <w:rsid w:val="00EA717B"/>
    <w:rsid w:val="00EA738E"/>
    <w:rsid w:val="00EA748D"/>
    <w:rsid w:val="00EA758D"/>
    <w:rsid w:val="00EA767E"/>
    <w:rsid w:val="00EA76D9"/>
    <w:rsid w:val="00EA76DE"/>
    <w:rsid w:val="00EA7B2B"/>
    <w:rsid w:val="00EA7BB9"/>
    <w:rsid w:val="00EA7D66"/>
    <w:rsid w:val="00EB00C3"/>
    <w:rsid w:val="00EB01DA"/>
    <w:rsid w:val="00EB0303"/>
    <w:rsid w:val="00EB063C"/>
    <w:rsid w:val="00EB0704"/>
    <w:rsid w:val="00EB0D5A"/>
    <w:rsid w:val="00EB0E22"/>
    <w:rsid w:val="00EB0EBE"/>
    <w:rsid w:val="00EB111C"/>
    <w:rsid w:val="00EB121D"/>
    <w:rsid w:val="00EB12CF"/>
    <w:rsid w:val="00EB1356"/>
    <w:rsid w:val="00EB13BF"/>
    <w:rsid w:val="00EB1408"/>
    <w:rsid w:val="00EB14B6"/>
    <w:rsid w:val="00EB15C6"/>
    <w:rsid w:val="00EB1690"/>
    <w:rsid w:val="00EB16EA"/>
    <w:rsid w:val="00EB1719"/>
    <w:rsid w:val="00EB1768"/>
    <w:rsid w:val="00EB17FA"/>
    <w:rsid w:val="00EB1826"/>
    <w:rsid w:val="00EB1D9C"/>
    <w:rsid w:val="00EB1E2C"/>
    <w:rsid w:val="00EB20D3"/>
    <w:rsid w:val="00EB237D"/>
    <w:rsid w:val="00EB241A"/>
    <w:rsid w:val="00EB270F"/>
    <w:rsid w:val="00EB2867"/>
    <w:rsid w:val="00EB292E"/>
    <w:rsid w:val="00EB2ABC"/>
    <w:rsid w:val="00EB2E3C"/>
    <w:rsid w:val="00EB3006"/>
    <w:rsid w:val="00EB3414"/>
    <w:rsid w:val="00EB381B"/>
    <w:rsid w:val="00EB3836"/>
    <w:rsid w:val="00EB3D1C"/>
    <w:rsid w:val="00EB3D25"/>
    <w:rsid w:val="00EB3F69"/>
    <w:rsid w:val="00EB41A8"/>
    <w:rsid w:val="00EB47AE"/>
    <w:rsid w:val="00EB4827"/>
    <w:rsid w:val="00EB48C2"/>
    <w:rsid w:val="00EB494F"/>
    <w:rsid w:val="00EB4A3D"/>
    <w:rsid w:val="00EB4A99"/>
    <w:rsid w:val="00EB4B24"/>
    <w:rsid w:val="00EB4C50"/>
    <w:rsid w:val="00EB4C8F"/>
    <w:rsid w:val="00EB4F63"/>
    <w:rsid w:val="00EB5026"/>
    <w:rsid w:val="00EB51D3"/>
    <w:rsid w:val="00EB525B"/>
    <w:rsid w:val="00EB53A4"/>
    <w:rsid w:val="00EB544C"/>
    <w:rsid w:val="00EB5634"/>
    <w:rsid w:val="00EB5858"/>
    <w:rsid w:val="00EB5905"/>
    <w:rsid w:val="00EB597B"/>
    <w:rsid w:val="00EB5981"/>
    <w:rsid w:val="00EB5A2D"/>
    <w:rsid w:val="00EB5A35"/>
    <w:rsid w:val="00EB5DFF"/>
    <w:rsid w:val="00EB6132"/>
    <w:rsid w:val="00EB6240"/>
    <w:rsid w:val="00EB644C"/>
    <w:rsid w:val="00EB64B3"/>
    <w:rsid w:val="00EB6661"/>
    <w:rsid w:val="00EB67BF"/>
    <w:rsid w:val="00EB6A30"/>
    <w:rsid w:val="00EB6BED"/>
    <w:rsid w:val="00EB6D43"/>
    <w:rsid w:val="00EB6D6B"/>
    <w:rsid w:val="00EB6DBD"/>
    <w:rsid w:val="00EB6F6F"/>
    <w:rsid w:val="00EB73D2"/>
    <w:rsid w:val="00EB7516"/>
    <w:rsid w:val="00EB7571"/>
    <w:rsid w:val="00EB775B"/>
    <w:rsid w:val="00EB778F"/>
    <w:rsid w:val="00EB7A5F"/>
    <w:rsid w:val="00EB7B3A"/>
    <w:rsid w:val="00EB7BF9"/>
    <w:rsid w:val="00EB7DBE"/>
    <w:rsid w:val="00EC0080"/>
    <w:rsid w:val="00EC02C4"/>
    <w:rsid w:val="00EC0311"/>
    <w:rsid w:val="00EC0642"/>
    <w:rsid w:val="00EC0B28"/>
    <w:rsid w:val="00EC0C27"/>
    <w:rsid w:val="00EC0D0A"/>
    <w:rsid w:val="00EC0D9C"/>
    <w:rsid w:val="00EC0EF6"/>
    <w:rsid w:val="00EC0FC5"/>
    <w:rsid w:val="00EC0FDE"/>
    <w:rsid w:val="00EC107F"/>
    <w:rsid w:val="00EC1186"/>
    <w:rsid w:val="00EC1223"/>
    <w:rsid w:val="00EC15AC"/>
    <w:rsid w:val="00EC178B"/>
    <w:rsid w:val="00EC1891"/>
    <w:rsid w:val="00EC18D3"/>
    <w:rsid w:val="00EC1A80"/>
    <w:rsid w:val="00EC1CAC"/>
    <w:rsid w:val="00EC1DB1"/>
    <w:rsid w:val="00EC1E0A"/>
    <w:rsid w:val="00EC20E1"/>
    <w:rsid w:val="00EC24BD"/>
    <w:rsid w:val="00EC2596"/>
    <w:rsid w:val="00EC2607"/>
    <w:rsid w:val="00EC27CD"/>
    <w:rsid w:val="00EC2BFD"/>
    <w:rsid w:val="00EC2D33"/>
    <w:rsid w:val="00EC2D99"/>
    <w:rsid w:val="00EC2FFE"/>
    <w:rsid w:val="00EC3007"/>
    <w:rsid w:val="00EC319E"/>
    <w:rsid w:val="00EC3262"/>
    <w:rsid w:val="00EC3338"/>
    <w:rsid w:val="00EC348A"/>
    <w:rsid w:val="00EC3A0B"/>
    <w:rsid w:val="00EC3A7A"/>
    <w:rsid w:val="00EC3B55"/>
    <w:rsid w:val="00EC3B95"/>
    <w:rsid w:val="00EC4076"/>
    <w:rsid w:val="00EC414D"/>
    <w:rsid w:val="00EC4305"/>
    <w:rsid w:val="00EC432A"/>
    <w:rsid w:val="00EC4340"/>
    <w:rsid w:val="00EC475C"/>
    <w:rsid w:val="00EC4879"/>
    <w:rsid w:val="00EC4BC0"/>
    <w:rsid w:val="00EC4D26"/>
    <w:rsid w:val="00EC4FA2"/>
    <w:rsid w:val="00EC548F"/>
    <w:rsid w:val="00EC54F4"/>
    <w:rsid w:val="00EC574B"/>
    <w:rsid w:val="00EC57D5"/>
    <w:rsid w:val="00EC58E2"/>
    <w:rsid w:val="00EC5917"/>
    <w:rsid w:val="00EC59D0"/>
    <w:rsid w:val="00EC5A0D"/>
    <w:rsid w:val="00EC5B3B"/>
    <w:rsid w:val="00EC5C13"/>
    <w:rsid w:val="00EC5F06"/>
    <w:rsid w:val="00EC5F4A"/>
    <w:rsid w:val="00EC5F72"/>
    <w:rsid w:val="00EC603D"/>
    <w:rsid w:val="00EC6192"/>
    <w:rsid w:val="00EC627D"/>
    <w:rsid w:val="00EC6315"/>
    <w:rsid w:val="00EC6384"/>
    <w:rsid w:val="00EC64CA"/>
    <w:rsid w:val="00EC6703"/>
    <w:rsid w:val="00EC680B"/>
    <w:rsid w:val="00EC6919"/>
    <w:rsid w:val="00EC6BF3"/>
    <w:rsid w:val="00EC6CF6"/>
    <w:rsid w:val="00EC7023"/>
    <w:rsid w:val="00EC741F"/>
    <w:rsid w:val="00EC7611"/>
    <w:rsid w:val="00EC767F"/>
    <w:rsid w:val="00EC77CD"/>
    <w:rsid w:val="00EC78A0"/>
    <w:rsid w:val="00EC79A4"/>
    <w:rsid w:val="00EC7A75"/>
    <w:rsid w:val="00EC7AC2"/>
    <w:rsid w:val="00EC7CC3"/>
    <w:rsid w:val="00EC7F78"/>
    <w:rsid w:val="00EC7F84"/>
    <w:rsid w:val="00ED008E"/>
    <w:rsid w:val="00ED0140"/>
    <w:rsid w:val="00ED0301"/>
    <w:rsid w:val="00ED0320"/>
    <w:rsid w:val="00ED03D8"/>
    <w:rsid w:val="00ED049F"/>
    <w:rsid w:val="00ED0582"/>
    <w:rsid w:val="00ED0B75"/>
    <w:rsid w:val="00ED0C05"/>
    <w:rsid w:val="00ED0FAB"/>
    <w:rsid w:val="00ED110C"/>
    <w:rsid w:val="00ED1185"/>
    <w:rsid w:val="00ED1198"/>
    <w:rsid w:val="00ED125B"/>
    <w:rsid w:val="00ED16B0"/>
    <w:rsid w:val="00ED1978"/>
    <w:rsid w:val="00ED1A72"/>
    <w:rsid w:val="00ED1D3F"/>
    <w:rsid w:val="00ED1D5F"/>
    <w:rsid w:val="00ED1D98"/>
    <w:rsid w:val="00ED1E21"/>
    <w:rsid w:val="00ED2123"/>
    <w:rsid w:val="00ED2339"/>
    <w:rsid w:val="00ED2369"/>
    <w:rsid w:val="00ED23A0"/>
    <w:rsid w:val="00ED26FD"/>
    <w:rsid w:val="00ED2892"/>
    <w:rsid w:val="00ED2899"/>
    <w:rsid w:val="00ED28D3"/>
    <w:rsid w:val="00ED313E"/>
    <w:rsid w:val="00ED3156"/>
    <w:rsid w:val="00ED3206"/>
    <w:rsid w:val="00ED3294"/>
    <w:rsid w:val="00ED3368"/>
    <w:rsid w:val="00ED33B2"/>
    <w:rsid w:val="00ED3805"/>
    <w:rsid w:val="00ED39B7"/>
    <w:rsid w:val="00ED3A78"/>
    <w:rsid w:val="00ED4144"/>
    <w:rsid w:val="00ED4691"/>
    <w:rsid w:val="00ED4B9D"/>
    <w:rsid w:val="00ED4D92"/>
    <w:rsid w:val="00ED4E91"/>
    <w:rsid w:val="00ED4EB4"/>
    <w:rsid w:val="00ED4FDA"/>
    <w:rsid w:val="00ED5123"/>
    <w:rsid w:val="00ED51EB"/>
    <w:rsid w:val="00ED5328"/>
    <w:rsid w:val="00ED58C5"/>
    <w:rsid w:val="00ED58FE"/>
    <w:rsid w:val="00ED5B66"/>
    <w:rsid w:val="00ED5E9C"/>
    <w:rsid w:val="00ED6040"/>
    <w:rsid w:val="00ED67F7"/>
    <w:rsid w:val="00ED68D5"/>
    <w:rsid w:val="00ED6B3C"/>
    <w:rsid w:val="00ED6C1D"/>
    <w:rsid w:val="00ED6D0B"/>
    <w:rsid w:val="00ED6EC2"/>
    <w:rsid w:val="00ED6FC0"/>
    <w:rsid w:val="00ED70B9"/>
    <w:rsid w:val="00ED7525"/>
    <w:rsid w:val="00ED7636"/>
    <w:rsid w:val="00ED768A"/>
    <w:rsid w:val="00ED7867"/>
    <w:rsid w:val="00ED7BAC"/>
    <w:rsid w:val="00ED7D6B"/>
    <w:rsid w:val="00ED7F30"/>
    <w:rsid w:val="00EE0292"/>
    <w:rsid w:val="00EE0884"/>
    <w:rsid w:val="00EE0958"/>
    <w:rsid w:val="00EE0ABF"/>
    <w:rsid w:val="00EE0BBA"/>
    <w:rsid w:val="00EE0BC9"/>
    <w:rsid w:val="00EE0D77"/>
    <w:rsid w:val="00EE0E95"/>
    <w:rsid w:val="00EE12E7"/>
    <w:rsid w:val="00EE1308"/>
    <w:rsid w:val="00EE13CD"/>
    <w:rsid w:val="00EE16D5"/>
    <w:rsid w:val="00EE1716"/>
    <w:rsid w:val="00EE184F"/>
    <w:rsid w:val="00EE1AF1"/>
    <w:rsid w:val="00EE1B44"/>
    <w:rsid w:val="00EE1E34"/>
    <w:rsid w:val="00EE1EFA"/>
    <w:rsid w:val="00EE214C"/>
    <w:rsid w:val="00EE2272"/>
    <w:rsid w:val="00EE27A7"/>
    <w:rsid w:val="00EE27FC"/>
    <w:rsid w:val="00EE281A"/>
    <w:rsid w:val="00EE28D5"/>
    <w:rsid w:val="00EE2ADC"/>
    <w:rsid w:val="00EE2B19"/>
    <w:rsid w:val="00EE32FD"/>
    <w:rsid w:val="00EE384D"/>
    <w:rsid w:val="00EE3972"/>
    <w:rsid w:val="00EE39AE"/>
    <w:rsid w:val="00EE3A04"/>
    <w:rsid w:val="00EE3E50"/>
    <w:rsid w:val="00EE3ED0"/>
    <w:rsid w:val="00EE401B"/>
    <w:rsid w:val="00EE4091"/>
    <w:rsid w:val="00EE4147"/>
    <w:rsid w:val="00EE4191"/>
    <w:rsid w:val="00EE4769"/>
    <w:rsid w:val="00EE47CE"/>
    <w:rsid w:val="00EE49D5"/>
    <w:rsid w:val="00EE4B04"/>
    <w:rsid w:val="00EE4B09"/>
    <w:rsid w:val="00EE4B3E"/>
    <w:rsid w:val="00EE4C18"/>
    <w:rsid w:val="00EE4D5C"/>
    <w:rsid w:val="00EE4E78"/>
    <w:rsid w:val="00EE4EC8"/>
    <w:rsid w:val="00EE4ED0"/>
    <w:rsid w:val="00EE50E0"/>
    <w:rsid w:val="00EE510F"/>
    <w:rsid w:val="00EE511B"/>
    <w:rsid w:val="00EE5366"/>
    <w:rsid w:val="00EE54C3"/>
    <w:rsid w:val="00EE5519"/>
    <w:rsid w:val="00EE5581"/>
    <w:rsid w:val="00EE56DD"/>
    <w:rsid w:val="00EE576D"/>
    <w:rsid w:val="00EE5852"/>
    <w:rsid w:val="00EE5AED"/>
    <w:rsid w:val="00EE5B7D"/>
    <w:rsid w:val="00EE5ED8"/>
    <w:rsid w:val="00EE5F81"/>
    <w:rsid w:val="00EE6562"/>
    <w:rsid w:val="00EE6712"/>
    <w:rsid w:val="00EE680F"/>
    <w:rsid w:val="00EE6B22"/>
    <w:rsid w:val="00EE6C43"/>
    <w:rsid w:val="00EE6D7E"/>
    <w:rsid w:val="00EE70F4"/>
    <w:rsid w:val="00EE7190"/>
    <w:rsid w:val="00EE72B0"/>
    <w:rsid w:val="00EE7430"/>
    <w:rsid w:val="00EE7545"/>
    <w:rsid w:val="00EE7994"/>
    <w:rsid w:val="00EE79EC"/>
    <w:rsid w:val="00EE7B87"/>
    <w:rsid w:val="00EE7C71"/>
    <w:rsid w:val="00EE7EAD"/>
    <w:rsid w:val="00EE7F23"/>
    <w:rsid w:val="00EF00E7"/>
    <w:rsid w:val="00EF03C0"/>
    <w:rsid w:val="00EF04F3"/>
    <w:rsid w:val="00EF0637"/>
    <w:rsid w:val="00EF0672"/>
    <w:rsid w:val="00EF08C8"/>
    <w:rsid w:val="00EF0AB7"/>
    <w:rsid w:val="00EF0C1A"/>
    <w:rsid w:val="00EF0D96"/>
    <w:rsid w:val="00EF0E4F"/>
    <w:rsid w:val="00EF0EA4"/>
    <w:rsid w:val="00EF0FFC"/>
    <w:rsid w:val="00EF102B"/>
    <w:rsid w:val="00EF1384"/>
    <w:rsid w:val="00EF142B"/>
    <w:rsid w:val="00EF14DF"/>
    <w:rsid w:val="00EF16A2"/>
    <w:rsid w:val="00EF174A"/>
    <w:rsid w:val="00EF1915"/>
    <w:rsid w:val="00EF1D74"/>
    <w:rsid w:val="00EF200D"/>
    <w:rsid w:val="00EF2265"/>
    <w:rsid w:val="00EF25C6"/>
    <w:rsid w:val="00EF26E0"/>
    <w:rsid w:val="00EF270E"/>
    <w:rsid w:val="00EF2879"/>
    <w:rsid w:val="00EF2987"/>
    <w:rsid w:val="00EF2B94"/>
    <w:rsid w:val="00EF2BA2"/>
    <w:rsid w:val="00EF2D1F"/>
    <w:rsid w:val="00EF3069"/>
    <w:rsid w:val="00EF31A1"/>
    <w:rsid w:val="00EF31EE"/>
    <w:rsid w:val="00EF3336"/>
    <w:rsid w:val="00EF3961"/>
    <w:rsid w:val="00EF3B5C"/>
    <w:rsid w:val="00EF3C5D"/>
    <w:rsid w:val="00EF3D15"/>
    <w:rsid w:val="00EF40FB"/>
    <w:rsid w:val="00EF428F"/>
    <w:rsid w:val="00EF470A"/>
    <w:rsid w:val="00EF4777"/>
    <w:rsid w:val="00EF47FB"/>
    <w:rsid w:val="00EF4984"/>
    <w:rsid w:val="00EF498A"/>
    <w:rsid w:val="00EF49F6"/>
    <w:rsid w:val="00EF4BAD"/>
    <w:rsid w:val="00EF4C28"/>
    <w:rsid w:val="00EF4EE0"/>
    <w:rsid w:val="00EF4F82"/>
    <w:rsid w:val="00EF4FDC"/>
    <w:rsid w:val="00EF507F"/>
    <w:rsid w:val="00EF513C"/>
    <w:rsid w:val="00EF57FC"/>
    <w:rsid w:val="00EF58A3"/>
    <w:rsid w:val="00EF5935"/>
    <w:rsid w:val="00EF5B6B"/>
    <w:rsid w:val="00EF5C73"/>
    <w:rsid w:val="00EF5DCA"/>
    <w:rsid w:val="00EF5FA7"/>
    <w:rsid w:val="00EF61EC"/>
    <w:rsid w:val="00EF626C"/>
    <w:rsid w:val="00EF6287"/>
    <w:rsid w:val="00EF634F"/>
    <w:rsid w:val="00EF6383"/>
    <w:rsid w:val="00EF63AC"/>
    <w:rsid w:val="00EF64C5"/>
    <w:rsid w:val="00EF6559"/>
    <w:rsid w:val="00EF6569"/>
    <w:rsid w:val="00EF65C4"/>
    <w:rsid w:val="00EF666A"/>
    <w:rsid w:val="00EF6699"/>
    <w:rsid w:val="00EF6B6D"/>
    <w:rsid w:val="00EF6D15"/>
    <w:rsid w:val="00EF6D87"/>
    <w:rsid w:val="00EF6DB7"/>
    <w:rsid w:val="00EF6E37"/>
    <w:rsid w:val="00EF6EA5"/>
    <w:rsid w:val="00EF6FD2"/>
    <w:rsid w:val="00EF7134"/>
    <w:rsid w:val="00EF72DC"/>
    <w:rsid w:val="00EF7313"/>
    <w:rsid w:val="00EF7AA4"/>
    <w:rsid w:val="00EF7B4F"/>
    <w:rsid w:val="00EF7B85"/>
    <w:rsid w:val="00EF7BD9"/>
    <w:rsid w:val="00EF7DA3"/>
    <w:rsid w:val="00EF7EC2"/>
    <w:rsid w:val="00EF7EDE"/>
    <w:rsid w:val="00EF7FF8"/>
    <w:rsid w:val="00F00158"/>
    <w:rsid w:val="00F0040F"/>
    <w:rsid w:val="00F00461"/>
    <w:rsid w:val="00F0079A"/>
    <w:rsid w:val="00F00C44"/>
    <w:rsid w:val="00F00E11"/>
    <w:rsid w:val="00F00EC9"/>
    <w:rsid w:val="00F01044"/>
    <w:rsid w:val="00F010BE"/>
    <w:rsid w:val="00F010E3"/>
    <w:rsid w:val="00F0123E"/>
    <w:rsid w:val="00F01286"/>
    <w:rsid w:val="00F0129F"/>
    <w:rsid w:val="00F01409"/>
    <w:rsid w:val="00F018A4"/>
    <w:rsid w:val="00F01993"/>
    <w:rsid w:val="00F019F5"/>
    <w:rsid w:val="00F01AAC"/>
    <w:rsid w:val="00F01AC3"/>
    <w:rsid w:val="00F01B44"/>
    <w:rsid w:val="00F01B61"/>
    <w:rsid w:val="00F01CEB"/>
    <w:rsid w:val="00F020BA"/>
    <w:rsid w:val="00F02115"/>
    <w:rsid w:val="00F02144"/>
    <w:rsid w:val="00F02275"/>
    <w:rsid w:val="00F0227C"/>
    <w:rsid w:val="00F02307"/>
    <w:rsid w:val="00F025C2"/>
    <w:rsid w:val="00F02802"/>
    <w:rsid w:val="00F028EF"/>
    <w:rsid w:val="00F02B09"/>
    <w:rsid w:val="00F02C6E"/>
    <w:rsid w:val="00F02CEB"/>
    <w:rsid w:val="00F02DC1"/>
    <w:rsid w:val="00F02DF7"/>
    <w:rsid w:val="00F02E06"/>
    <w:rsid w:val="00F02F22"/>
    <w:rsid w:val="00F02FAA"/>
    <w:rsid w:val="00F0304B"/>
    <w:rsid w:val="00F0312A"/>
    <w:rsid w:val="00F036F5"/>
    <w:rsid w:val="00F03791"/>
    <w:rsid w:val="00F037C2"/>
    <w:rsid w:val="00F0395D"/>
    <w:rsid w:val="00F03B39"/>
    <w:rsid w:val="00F03C50"/>
    <w:rsid w:val="00F03D79"/>
    <w:rsid w:val="00F03D8B"/>
    <w:rsid w:val="00F03DA5"/>
    <w:rsid w:val="00F03E5E"/>
    <w:rsid w:val="00F03FFE"/>
    <w:rsid w:val="00F0408F"/>
    <w:rsid w:val="00F0447C"/>
    <w:rsid w:val="00F044CD"/>
    <w:rsid w:val="00F0472A"/>
    <w:rsid w:val="00F047B7"/>
    <w:rsid w:val="00F0486A"/>
    <w:rsid w:val="00F04D89"/>
    <w:rsid w:val="00F0503D"/>
    <w:rsid w:val="00F052FE"/>
    <w:rsid w:val="00F054CB"/>
    <w:rsid w:val="00F055D9"/>
    <w:rsid w:val="00F05CAA"/>
    <w:rsid w:val="00F05E94"/>
    <w:rsid w:val="00F05F36"/>
    <w:rsid w:val="00F05F39"/>
    <w:rsid w:val="00F06041"/>
    <w:rsid w:val="00F0638B"/>
    <w:rsid w:val="00F06557"/>
    <w:rsid w:val="00F065B0"/>
    <w:rsid w:val="00F06720"/>
    <w:rsid w:val="00F068C5"/>
    <w:rsid w:val="00F068EB"/>
    <w:rsid w:val="00F068EF"/>
    <w:rsid w:val="00F06A13"/>
    <w:rsid w:val="00F06A30"/>
    <w:rsid w:val="00F06A8F"/>
    <w:rsid w:val="00F06C76"/>
    <w:rsid w:val="00F06CAD"/>
    <w:rsid w:val="00F06DD7"/>
    <w:rsid w:val="00F06ED9"/>
    <w:rsid w:val="00F06FEB"/>
    <w:rsid w:val="00F07057"/>
    <w:rsid w:val="00F0707D"/>
    <w:rsid w:val="00F072E0"/>
    <w:rsid w:val="00F0760B"/>
    <w:rsid w:val="00F07624"/>
    <w:rsid w:val="00F078D2"/>
    <w:rsid w:val="00F079CA"/>
    <w:rsid w:val="00F07A39"/>
    <w:rsid w:val="00F07C99"/>
    <w:rsid w:val="00F10012"/>
    <w:rsid w:val="00F10116"/>
    <w:rsid w:val="00F10434"/>
    <w:rsid w:val="00F10472"/>
    <w:rsid w:val="00F10595"/>
    <w:rsid w:val="00F10772"/>
    <w:rsid w:val="00F10912"/>
    <w:rsid w:val="00F10B8B"/>
    <w:rsid w:val="00F10BB0"/>
    <w:rsid w:val="00F10BBC"/>
    <w:rsid w:val="00F10DD7"/>
    <w:rsid w:val="00F10E44"/>
    <w:rsid w:val="00F10EF4"/>
    <w:rsid w:val="00F10F4F"/>
    <w:rsid w:val="00F11092"/>
    <w:rsid w:val="00F114FB"/>
    <w:rsid w:val="00F117E4"/>
    <w:rsid w:val="00F118B9"/>
    <w:rsid w:val="00F11A3E"/>
    <w:rsid w:val="00F11C00"/>
    <w:rsid w:val="00F11CE9"/>
    <w:rsid w:val="00F11D8B"/>
    <w:rsid w:val="00F120B3"/>
    <w:rsid w:val="00F1237F"/>
    <w:rsid w:val="00F12476"/>
    <w:rsid w:val="00F126E9"/>
    <w:rsid w:val="00F1282B"/>
    <w:rsid w:val="00F129DE"/>
    <w:rsid w:val="00F12C6A"/>
    <w:rsid w:val="00F12CF4"/>
    <w:rsid w:val="00F12D14"/>
    <w:rsid w:val="00F12D4A"/>
    <w:rsid w:val="00F12F5D"/>
    <w:rsid w:val="00F1300E"/>
    <w:rsid w:val="00F13103"/>
    <w:rsid w:val="00F132C9"/>
    <w:rsid w:val="00F13561"/>
    <w:rsid w:val="00F135DB"/>
    <w:rsid w:val="00F13664"/>
    <w:rsid w:val="00F13A7D"/>
    <w:rsid w:val="00F13BC2"/>
    <w:rsid w:val="00F13BF9"/>
    <w:rsid w:val="00F13D0A"/>
    <w:rsid w:val="00F13D37"/>
    <w:rsid w:val="00F13E56"/>
    <w:rsid w:val="00F141DB"/>
    <w:rsid w:val="00F14355"/>
    <w:rsid w:val="00F1479D"/>
    <w:rsid w:val="00F148BA"/>
    <w:rsid w:val="00F149BC"/>
    <w:rsid w:val="00F14BA8"/>
    <w:rsid w:val="00F14C84"/>
    <w:rsid w:val="00F14CB5"/>
    <w:rsid w:val="00F14CE7"/>
    <w:rsid w:val="00F14E94"/>
    <w:rsid w:val="00F14EF2"/>
    <w:rsid w:val="00F1509A"/>
    <w:rsid w:val="00F150F0"/>
    <w:rsid w:val="00F150F5"/>
    <w:rsid w:val="00F150F9"/>
    <w:rsid w:val="00F15110"/>
    <w:rsid w:val="00F15180"/>
    <w:rsid w:val="00F1534A"/>
    <w:rsid w:val="00F15396"/>
    <w:rsid w:val="00F15AB0"/>
    <w:rsid w:val="00F15B9B"/>
    <w:rsid w:val="00F15BE3"/>
    <w:rsid w:val="00F15E91"/>
    <w:rsid w:val="00F160B8"/>
    <w:rsid w:val="00F16257"/>
    <w:rsid w:val="00F16500"/>
    <w:rsid w:val="00F16740"/>
    <w:rsid w:val="00F16AC2"/>
    <w:rsid w:val="00F16CA1"/>
    <w:rsid w:val="00F16D27"/>
    <w:rsid w:val="00F16E89"/>
    <w:rsid w:val="00F1705C"/>
    <w:rsid w:val="00F17494"/>
    <w:rsid w:val="00F174BF"/>
    <w:rsid w:val="00F17509"/>
    <w:rsid w:val="00F17578"/>
    <w:rsid w:val="00F17847"/>
    <w:rsid w:val="00F17875"/>
    <w:rsid w:val="00F179C8"/>
    <w:rsid w:val="00F179D2"/>
    <w:rsid w:val="00F17A13"/>
    <w:rsid w:val="00F20020"/>
    <w:rsid w:val="00F20204"/>
    <w:rsid w:val="00F20275"/>
    <w:rsid w:val="00F20372"/>
    <w:rsid w:val="00F204E1"/>
    <w:rsid w:val="00F204E2"/>
    <w:rsid w:val="00F206BC"/>
    <w:rsid w:val="00F2070F"/>
    <w:rsid w:val="00F2097F"/>
    <w:rsid w:val="00F209AF"/>
    <w:rsid w:val="00F20B2F"/>
    <w:rsid w:val="00F20BCA"/>
    <w:rsid w:val="00F20D06"/>
    <w:rsid w:val="00F20DD3"/>
    <w:rsid w:val="00F20F63"/>
    <w:rsid w:val="00F210E1"/>
    <w:rsid w:val="00F21100"/>
    <w:rsid w:val="00F21373"/>
    <w:rsid w:val="00F21553"/>
    <w:rsid w:val="00F21601"/>
    <w:rsid w:val="00F21634"/>
    <w:rsid w:val="00F2176E"/>
    <w:rsid w:val="00F21910"/>
    <w:rsid w:val="00F21E71"/>
    <w:rsid w:val="00F21EEA"/>
    <w:rsid w:val="00F22127"/>
    <w:rsid w:val="00F22376"/>
    <w:rsid w:val="00F22570"/>
    <w:rsid w:val="00F2264F"/>
    <w:rsid w:val="00F22BF1"/>
    <w:rsid w:val="00F22DDB"/>
    <w:rsid w:val="00F22DFE"/>
    <w:rsid w:val="00F23198"/>
    <w:rsid w:val="00F23449"/>
    <w:rsid w:val="00F234C8"/>
    <w:rsid w:val="00F23524"/>
    <w:rsid w:val="00F238F9"/>
    <w:rsid w:val="00F23A4B"/>
    <w:rsid w:val="00F23C03"/>
    <w:rsid w:val="00F23C3E"/>
    <w:rsid w:val="00F23DFB"/>
    <w:rsid w:val="00F23E8B"/>
    <w:rsid w:val="00F24172"/>
    <w:rsid w:val="00F242AD"/>
    <w:rsid w:val="00F243B2"/>
    <w:rsid w:val="00F24526"/>
    <w:rsid w:val="00F24911"/>
    <w:rsid w:val="00F24972"/>
    <w:rsid w:val="00F24A20"/>
    <w:rsid w:val="00F24B3A"/>
    <w:rsid w:val="00F24B5B"/>
    <w:rsid w:val="00F24BB9"/>
    <w:rsid w:val="00F24CE4"/>
    <w:rsid w:val="00F24D18"/>
    <w:rsid w:val="00F24FDE"/>
    <w:rsid w:val="00F2501F"/>
    <w:rsid w:val="00F25053"/>
    <w:rsid w:val="00F2541B"/>
    <w:rsid w:val="00F25479"/>
    <w:rsid w:val="00F257E1"/>
    <w:rsid w:val="00F259DE"/>
    <w:rsid w:val="00F25B12"/>
    <w:rsid w:val="00F25C06"/>
    <w:rsid w:val="00F25E2C"/>
    <w:rsid w:val="00F25F5B"/>
    <w:rsid w:val="00F26028"/>
    <w:rsid w:val="00F26194"/>
    <w:rsid w:val="00F2620A"/>
    <w:rsid w:val="00F2620C"/>
    <w:rsid w:val="00F26557"/>
    <w:rsid w:val="00F2671B"/>
    <w:rsid w:val="00F2680C"/>
    <w:rsid w:val="00F26AD3"/>
    <w:rsid w:val="00F26BE1"/>
    <w:rsid w:val="00F26C39"/>
    <w:rsid w:val="00F26EBF"/>
    <w:rsid w:val="00F26FF1"/>
    <w:rsid w:val="00F270FA"/>
    <w:rsid w:val="00F27494"/>
    <w:rsid w:val="00F275C5"/>
    <w:rsid w:val="00F27600"/>
    <w:rsid w:val="00F27658"/>
    <w:rsid w:val="00F277FC"/>
    <w:rsid w:val="00F27801"/>
    <w:rsid w:val="00F27B5A"/>
    <w:rsid w:val="00F27C19"/>
    <w:rsid w:val="00F27C4A"/>
    <w:rsid w:val="00F27D7A"/>
    <w:rsid w:val="00F27E26"/>
    <w:rsid w:val="00F3013E"/>
    <w:rsid w:val="00F302BB"/>
    <w:rsid w:val="00F3032E"/>
    <w:rsid w:val="00F303E7"/>
    <w:rsid w:val="00F3040C"/>
    <w:rsid w:val="00F3059D"/>
    <w:rsid w:val="00F30606"/>
    <w:rsid w:val="00F306AE"/>
    <w:rsid w:val="00F30774"/>
    <w:rsid w:val="00F30796"/>
    <w:rsid w:val="00F30C45"/>
    <w:rsid w:val="00F30E0A"/>
    <w:rsid w:val="00F30F2B"/>
    <w:rsid w:val="00F3147A"/>
    <w:rsid w:val="00F3163A"/>
    <w:rsid w:val="00F316F3"/>
    <w:rsid w:val="00F319D1"/>
    <w:rsid w:val="00F31A37"/>
    <w:rsid w:val="00F31A40"/>
    <w:rsid w:val="00F31C15"/>
    <w:rsid w:val="00F31EC5"/>
    <w:rsid w:val="00F3250A"/>
    <w:rsid w:val="00F326D3"/>
    <w:rsid w:val="00F32739"/>
    <w:rsid w:val="00F3278B"/>
    <w:rsid w:val="00F3280C"/>
    <w:rsid w:val="00F32D05"/>
    <w:rsid w:val="00F32E8A"/>
    <w:rsid w:val="00F32E9F"/>
    <w:rsid w:val="00F3322F"/>
    <w:rsid w:val="00F33359"/>
    <w:rsid w:val="00F333E5"/>
    <w:rsid w:val="00F336A4"/>
    <w:rsid w:val="00F33897"/>
    <w:rsid w:val="00F33900"/>
    <w:rsid w:val="00F33B32"/>
    <w:rsid w:val="00F33B58"/>
    <w:rsid w:val="00F33C76"/>
    <w:rsid w:val="00F33ECF"/>
    <w:rsid w:val="00F33EF7"/>
    <w:rsid w:val="00F34120"/>
    <w:rsid w:val="00F34405"/>
    <w:rsid w:val="00F345E1"/>
    <w:rsid w:val="00F346FC"/>
    <w:rsid w:val="00F3473C"/>
    <w:rsid w:val="00F34830"/>
    <w:rsid w:val="00F34AF6"/>
    <w:rsid w:val="00F34BA8"/>
    <w:rsid w:val="00F34C57"/>
    <w:rsid w:val="00F352B8"/>
    <w:rsid w:val="00F35383"/>
    <w:rsid w:val="00F35609"/>
    <w:rsid w:val="00F3568C"/>
    <w:rsid w:val="00F356B7"/>
    <w:rsid w:val="00F359FD"/>
    <w:rsid w:val="00F35BEA"/>
    <w:rsid w:val="00F35D90"/>
    <w:rsid w:val="00F36080"/>
    <w:rsid w:val="00F36118"/>
    <w:rsid w:val="00F3656E"/>
    <w:rsid w:val="00F365B7"/>
    <w:rsid w:val="00F36687"/>
    <w:rsid w:val="00F36CD2"/>
    <w:rsid w:val="00F36E1A"/>
    <w:rsid w:val="00F370E8"/>
    <w:rsid w:val="00F3759D"/>
    <w:rsid w:val="00F37903"/>
    <w:rsid w:val="00F37B68"/>
    <w:rsid w:val="00F37C95"/>
    <w:rsid w:val="00F37CA2"/>
    <w:rsid w:val="00F40057"/>
    <w:rsid w:val="00F40075"/>
    <w:rsid w:val="00F40151"/>
    <w:rsid w:val="00F401EA"/>
    <w:rsid w:val="00F402B9"/>
    <w:rsid w:val="00F40582"/>
    <w:rsid w:val="00F40621"/>
    <w:rsid w:val="00F40A96"/>
    <w:rsid w:val="00F40D28"/>
    <w:rsid w:val="00F40D9A"/>
    <w:rsid w:val="00F40DB1"/>
    <w:rsid w:val="00F40E46"/>
    <w:rsid w:val="00F40FB5"/>
    <w:rsid w:val="00F412EC"/>
    <w:rsid w:val="00F41390"/>
    <w:rsid w:val="00F4140C"/>
    <w:rsid w:val="00F41482"/>
    <w:rsid w:val="00F41645"/>
    <w:rsid w:val="00F417CC"/>
    <w:rsid w:val="00F41A51"/>
    <w:rsid w:val="00F41A9C"/>
    <w:rsid w:val="00F41C74"/>
    <w:rsid w:val="00F41CCE"/>
    <w:rsid w:val="00F41CED"/>
    <w:rsid w:val="00F420E6"/>
    <w:rsid w:val="00F4211F"/>
    <w:rsid w:val="00F4230A"/>
    <w:rsid w:val="00F42351"/>
    <w:rsid w:val="00F42431"/>
    <w:rsid w:val="00F42583"/>
    <w:rsid w:val="00F42642"/>
    <w:rsid w:val="00F42648"/>
    <w:rsid w:val="00F42934"/>
    <w:rsid w:val="00F42C4C"/>
    <w:rsid w:val="00F42CF5"/>
    <w:rsid w:val="00F430A7"/>
    <w:rsid w:val="00F43238"/>
    <w:rsid w:val="00F434DF"/>
    <w:rsid w:val="00F435E2"/>
    <w:rsid w:val="00F4368C"/>
    <w:rsid w:val="00F43696"/>
    <w:rsid w:val="00F436AA"/>
    <w:rsid w:val="00F43717"/>
    <w:rsid w:val="00F43857"/>
    <w:rsid w:val="00F43A43"/>
    <w:rsid w:val="00F43BF8"/>
    <w:rsid w:val="00F43D9E"/>
    <w:rsid w:val="00F43F07"/>
    <w:rsid w:val="00F43F7D"/>
    <w:rsid w:val="00F44069"/>
    <w:rsid w:val="00F440CD"/>
    <w:rsid w:val="00F441C4"/>
    <w:rsid w:val="00F443EB"/>
    <w:rsid w:val="00F445F1"/>
    <w:rsid w:val="00F4463D"/>
    <w:rsid w:val="00F44B69"/>
    <w:rsid w:val="00F44B9F"/>
    <w:rsid w:val="00F44C7A"/>
    <w:rsid w:val="00F44D8B"/>
    <w:rsid w:val="00F45209"/>
    <w:rsid w:val="00F452ED"/>
    <w:rsid w:val="00F455F9"/>
    <w:rsid w:val="00F45955"/>
    <w:rsid w:val="00F459E3"/>
    <w:rsid w:val="00F45A31"/>
    <w:rsid w:val="00F4601E"/>
    <w:rsid w:val="00F46133"/>
    <w:rsid w:val="00F463C1"/>
    <w:rsid w:val="00F464B2"/>
    <w:rsid w:val="00F464FE"/>
    <w:rsid w:val="00F4689F"/>
    <w:rsid w:val="00F468A1"/>
    <w:rsid w:val="00F46B26"/>
    <w:rsid w:val="00F46B79"/>
    <w:rsid w:val="00F46D3A"/>
    <w:rsid w:val="00F46F40"/>
    <w:rsid w:val="00F46FBB"/>
    <w:rsid w:val="00F47506"/>
    <w:rsid w:val="00F475D2"/>
    <w:rsid w:val="00F475EB"/>
    <w:rsid w:val="00F47978"/>
    <w:rsid w:val="00F47B2D"/>
    <w:rsid w:val="00F47D22"/>
    <w:rsid w:val="00F500C4"/>
    <w:rsid w:val="00F5028D"/>
    <w:rsid w:val="00F502C6"/>
    <w:rsid w:val="00F5038C"/>
    <w:rsid w:val="00F504F2"/>
    <w:rsid w:val="00F5050A"/>
    <w:rsid w:val="00F509D9"/>
    <w:rsid w:val="00F50CC1"/>
    <w:rsid w:val="00F5122C"/>
    <w:rsid w:val="00F51265"/>
    <w:rsid w:val="00F512EB"/>
    <w:rsid w:val="00F516CC"/>
    <w:rsid w:val="00F517E3"/>
    <w:rsid w:val="00F5199E"/>
    <w:rsid w:val="00F51CA7"/>
    <w:rsid w:val="00F51D11"/>
    <w:rsid w:val="00F51E1B"/>
    <w:rsid w:val="00F51F30"/>
    <w:rsid w:val="00F520FF"/>
    <w:rsid w:val="00F52206"/>
    <w:rsid w:val="00F5226F"/>
    <w:rsid w:val="00F523FC"/>
    <w:rsid w:val="00F524D6"/>
    <w:rsid w:val="00F529C3"/>
    <w:rsid w:val="00F52BD6"/>
    <w:rsid w:val="00F52C93"/>
    <w:rsid w:val="00F52F67"/>
    <w:rsid w:val="00F53224"/>
    <w:rsid w:val="00F534C2"/>
    <w:rsid w:val="00F53719"/>
    <w:rsid w:val="00F53E83"/>
    <w:rsid w:val="00F540D3"/>
    <w:rsid w:val="00F5439A"/>
    <w:rsid w:val="00F5443C"/>
    <w:rsid w:val="00F54555"/>
    <w:rsid w:val="00F549DE"/>
    <w:rsid w:val="00F54B99"/>
    <w:rsid w:val="00F54BA4"/>
    <w:rsid w:val="00F54C2F"/>
    <w:rsid w:val="00F54D7F"/>
    <w:rsid w:val="00F55098"/>
    <w:rsid w:val="00F5532D"/>
    <w:rsid w:val="00F554CD"/>
    <w:rsid w:val="00F55ACC"/>
    <w:rsid w:val="00F55CEA"/>
    <w:rsid w:val="00F55F90"/>
    <w:rsid w:val="00F56101"/>
    <w:rsid w:val="00F56162"/>
    <w:rsid w:val="00F56A26"/>
    <w:rsid w:val="00F57071"/>
    <w:rsid w:val="00F57343"/>
    <w:rsid w:val="00F5768A"/>
    <w:rsid w:val="00F5770B"/>
    <w:rsid w:val="00F57853"/>
    <w:rsid w:val="00F578AF"/>
    <w:rsid w:val="00F57922"/>
    <w:rsid w:val="00F57C77"/>
    <w:rsid w:val="00F60116"/>
    <w:rsid w:val="00F601DD"/>
    <w:rsid w:val="00F602DD"/>
    <w:rsid w:val="00F6036B"/>
    <w:rsid w:val="00F60472"/>
    <w:rsid w:val="00F60637"/>
    <w:rsid w:val="00F60845"/>
    <w:rsid w:val="00F608D2"/>
    <w:rsid w:val="00F609F9"/>
    <w:rsid w:val="00F60C91"/>
    <w:rsid w:val="00F61068"/>
    <w:rsid w:val="00F6106B"/>
    <w:rsid w:val="00F612AD"/>
    <w:rsid w:val="00F613A5"/>
    <w:rsid w:val="00F6144C"/>
    <w:rsid w:val="00F615FF"/>
    <w:rsid w:val="00F61762"/>
    <w:rsid w:val="00F6186B"/>
    <w:rsid w:val="00F619E6"/>
    <w:rsid w:val="00F61B86"/>
    <w:rsid w:val="00F61BBF"/>
    <w:rsid w:val="00F61D90"/>
    <w:rsid w:val="00F61F37"/>
    <w:rsid w:val="00F61F71"/>
    <w:rsid w:val="00F62136"/>
    <w:rsid w:val="00F62679"/>
    <w:rsid w:val="00F626A9"/>
    <w:rsid w:val="00F6286B"/>
    <w:rsid w:val="00F628BE"/>
    <w:rsid w:val="00F62929"/>
    <w:rsid w:val="00F62934"/>
    <w:rsid w:val="00F6298D"/>
    <w:rsid w:val="00F62A34"/>
    <w:rsid w:val="00F62AA5"/>
    <w:rsid w:val="00F62AD4"/>
    <w:rsid w:val="00F62B75"/>
    <w:rsid w:val="00F62C75"/>
    <w:rsid w:val="00F6303B"/>
    <w:rsid w:val="00F63042"/>
    <w:rsid w:val="00F63203"/>
    <w:rsid w:val="00F63420"/>
    <w:rsid w:val="00F63475"/>
    <w:rsid w:val="00F63517"/>
    <w:rsid w:val="00F6360B"/>
    <w:rsid w:val="00F63721"/>
    <w:rsid w:val="00F63765"/>
    <w:rsid w:val="00F6382B"/>
    <w:rsid w:val="00F6393D"/>
    <w:rsid w:val="00F63941"/>
    <w:rsid w:val="00F639E9"/>
    <w:rsid w:val="00F639FE"/>
    <w:rsid w:val="00F63B74"/>
    <w:rsid w:val="00F63C05"/>
    <w:rsid w:val="00F63E47"/>
    <w:rsid w:val="00F63EEA"/>
    <w:rsid w:val="00F63F44"/>
    <w:rsid w:val="00F64063"/>
    <w:rsid w:val="00F642E7"/>
    <w:rsid w:val="00F64498"/>
    <w:rsid w:val="00F64555"/>
    <w:rsid w:val="00F645FB"/>
    <w:rsid w:val="00F6467C"/>
    <w:rsid w:val="00F64887"/>
    <w:rsid w:val="00F649F9"/>
    <w:rsid w:val="00F64B13"/>
    <w:rsid w:val="00F64C36"/>
    <w:rsid w:val="00F64E60"/>
    <w:rsid w:val="00F64F9B"/>
    <w:rsid w:val="00F64FBD"/>
    <w:rsid w:val="00F650D2"/>
    <w:rsid w:val="00F651CA"/>
    <w:rsid w:val="00F65531"/>
    <w:rsid w:val="00F656C3"/>
    <w:rsid w:val="00F6583E"/>
    <w:rsid w:val="00F65841"/>
    <w:rsid w:val="00F658AE"/>
    <w:rsid w:val="00F658CA"/>
    <w:rsid w:val="00F659E0"/>
    <w:rsid w:val="00F65D20"/>
    <w:rsid w:val="00F65D3F"/>
    <w:rsid w:val="00F6628F"/>
    <w:rsid w:val="00F663FF"/>
    <w:rsid w:val="00F66411"/>
    <w:rsid w:val="00F664D0"/>
    <w:rsid w:val="00F66545"/>
    <w:rsid w:val="00F66693"/>
    <w:rsid w:val="00F666C4"/>
    <w:rsid w:val="00F6673D"/>
    <w:rsid w:val="00F66BDB"/>
    <w:rsid w:val="00F66D50"/>
    <w:rsid w:val="00F66D9B"/>
    <w:rsid w:val="00F66DCB"/>
    <w:rsid w:val="00F66DD1"/>
    <w:rsid w:val="00F66E2D"/>
    <w:rsid w:val="00F66E75"/>
    <w:rsid w:val="00F66F26"/>
    <w:rsid w:val="00F67088"/>
    <w:rsid w:val="00F6731E"/>
    <w:rsid w:val="00F67573"/>
    <w:rsid w:val="00F676EA"/>
    <w:rsid w:val="00F677FA"/>
    <w:rsid w:val="00F67E08"/>
    <w:rsid w:val="00F67F12"/>
    <w:rsid w:val="00F67F9D"/>
    <w:rsid w:val="00F702A9"/>
    <w:rsid w:val="00F70408"/>
    <w:rsid w:val="00F7046D"/>
    <w:rsid w:val="00F704DF"/>
    <w:rsid w:val="00F705F4"/>
    <w:rsid w:val="00F70628"/>
    <w:rsid w:val="00F7067C"/>
    <w:rsid w:val="00F70722"/>
    <w:rsid w:val="00F7078B"/>
    <w:rsid w:val="00F708DE"/>
    <w:rsid w:val="00F70C11"/>
    <w:rsid w:val="00F70E01"/>
    <w:rsid w:val="00F70E2B"/>
    <w:rsid w:val="00F710C5"/>
    <w:rsid w:val="00F711C0"/>
    <w:rsid w:val="00F71403"/>
    <w:rsid w:val="00F715FE"/>
    <w:rsid w:val="00F71A30"/>
    <w:rsid w:val="00F71C98"/>
    <w:rsid w:val="00F71D6B"/>
    <w:rsid w:val="00F71DFC"/>
    <w:rsid w:val="00F71F72"/>
    <w:rsid w:val="00F720C4"/>
    <w:rsid w:val="00F720D5"/>
    <w:rsid w:val="00F72135"/>
    <w:rsid w:val="00F72262"/>
    <w:rsid w:val="00F723C4"/>
    <w:rsid w:val="00F72552"/>
    <w:rsid w:val="00F72637"/>
    <w:rsid w:val="00F72A08"/>
    <w:rsid w:val="00F72DAE"/>
    <w:rsid w:val="00F72EAE"/>
    <w:rsid w:val="00F733CE"/>
    <w:rsid w:val="00F736AE"/>
    <w:rsid w:val="00F736EB"/>
    <w:rsid w:val="00F73716"/>
    <w:rsid w:val="00F737A2"/>
    <w:rsid w:val="00F737A3"/>
    <w:rsid w:val="00F73938"/>
    <w:rsid w:val="00F739E0"/>
    <w:rsid w:val="00F73B50"/>
    <w:rsid w:val="00F73D4C"/>
    <w:rsid w:val="00F73F77"/>
    <w:rsid w:val="00F74321"/>
    <w:rsid w:val="00F74357"/>
    <w:rsid w:val="00F74387"/>
    <w:rsid w:val="00F744C5"/>
    <w:rsid w:val="00F74504"/>
    <w:rsid w:val="00F747B2"/>
    <w:rsid w:val="00F74B5B"/>
    <w:rsid w:val="00F74D80"/>
    <w:rsid w:val="00F7504E"/>
    <w:rsid w:val="00F750BA"/>
    <w:rsid w:val="00F751C9"/>
    <w:rsid w:val="00F75381"/>
    <w:rsid w:val="00F753BC"/>
    <w:rsid w:val="00F75483"/>
    <w:rsid w:val="00F754AB"/>
    <w:rsid w:val="00F754CF"/>
    <w:rsid w:val="00F75598"/>
    <w:rsid w:val="00F756D6"/>
    <w:rsid w:val="00F75941"/>
    <w:rsid w:val="00F75D49"/>
    <w:rsid w:val="00F75DB8"/>
    <w:rsid w:val="00F7606D"/>
    <w:rsid w:val="00F76289"/>
    <w:rsid w:val="00F76350"/>
    <w:rsid w:val="00F765AB"/>
    <w:rsid w:val="00F768DB"/>
    <w:rsid w:val="00F76C95"/>
    <w:rsid w:val="00F76DA9"/>
    <w:rsid w:val="00F76ED8"/>
    <w:rsid w:val="00F76EDC"/>
    <w:rsid w:val="00F76F42"/>
    <w:rsid w:val="00F76FC0"/>
    <w:rsid w:val="00F772E6"/>
    <w:rsid w:val="00F772F9"/>
    <w:rsid w:val="00F77440"/>
    <w:rsid w:val="00F776F8"/>
    <w:rsid w:val="00F77778"/>
    <w:rsid w:val="00F7784F"/>
    <w:rsid w:val="00F7794F"/>
    <w:rsid w:val="00F77B61"/>
    <w:rsid w:val="00F77BD0"/>
    <w:rsid w:val="00F77FC7"/>
    <w:rsid w:val="00F80017"/>
    <w:rsid w:val="00F8018C"/>
    <w:rsid w:val="00F80485"/>
    <w:rsid w:val="00F808D5"/>
    <w:rsid w:val="00F80964"/>
    <w:rsid w:val="00F80A49"/>
    <w:rsid w:val="00F80B63"/>
    <w:rsid w:val="00F81397"/>
    <w:rsid w:val="00F81708"/>
    <w:rsid w:val="00F81E56"/>
    <w:rsid w:val="00F8239B"/>
    <w:rsid w:val="00F82409"/>
    <w:rsid w:val="00F8246B"/>
    <w:rsid w:val="00F82496"/>
    <w:rsid w:val="00F82692"/>
    <w:rsid w:val="00F826BB"/>
    <w:rsid w:val="00F827D8"/>
    <w:rsid w:val="00F82A0F"/>
    <w:rsid w:val="00F82A91"/>
    <w:rsid w:val="00F82A9D"/>
    <w:rsid w:val="00F82E15"/>
    <w:rsid w:val="00F83057"/>
    <w:rsid w:val="00F83492"/>
    <w:rsid w:val="00F83608"/>
    <w:rsid w:val="00F8383B"/>
    <w:rsid w:val="00F838F7"/>
    <w:rsid w:val="00F83E0F"/>
    <w:rsid w:val="00F840A9"/>
    <w:rsid w:val="00F8417D"/>
    <w:rsid w:val="00F8424A"/>
    <w:rsid w:val="00F8466D"/>
    <w:rsid w:val="00F84692"/>
    <w:rsid w:val="00F84BF4"/>
    <w:rsid w:val="00F84E66"/>
    <w:rsid w:val="00F84EFE"/>
    <w:rsid w:val="00F852C6"/>
    <w:rsid w:val="00F85418"/>
    <w:rsid w:val="00F8544D"/>
    <w:rsid w:val="00F85726"/>
    <w:rsid w:val="00F858BB"/>
    <w:rsid w:val="00F858CD"/>
    <w:rsid w:val="00F8591B"/>
    <w:rsid w:val="00F85A17"/>
    <w:rsid w:val="00F85D6C"/>
    <w:rsid w:val="00F86122"/>
    <w:rsid w:val="00F862F2"/>
    <w:rsid w:val="00F8638D"/>
    <w:rsid w:val="00F8658A"/>
    <w:rsid w:val="00F8682C"/>
    <w:rsid w:val="00F8685E"/>
    <w:rsid w:val="00F868C0"/>
    <w:rsid w:val="00F868C4"/>
    <w:rsid w:val="00F86A5B"/>
    <w:rsid w:val="00F86BA4"/>
    <w:rsid w:val="00F86D43"/>
    <w:rsid w:val="00F8703F"/>
    <w:rsid w:val="00F870A4"/>
    <w:rsid w:val="00F871F9"/>
    <w:rsid w:val="00F873AF"/>
    <w:rsid w:val="00F87612"/>
    <w:rsid w:val="00F8789D"/>
    <w:rsid w:val="00F87992"/>
    <w:rsid w:val="00F87A95"/>
    <w:rsid w:val="00F87BB5"/>
    <w:rsid w:val="00F87D01"/>
    <w:rsid w:val="00F87FE3"/>
    <w:rsid w:val="00F904E1"/>
    <w:rsid w:val="00F90543"/>
    <w:rsid w:val="00F905C3"/>
    <w:rsid w:val="00F906BB"/>
    <w:rsid w:val="00F90930"/>
    <w:rsid w:val="00F90B7A"/>
    <w:rsid w:val="00F90B9D"/>
    <w:rsid w:val="00F90BA3"/>
    <w:rsid w:val="00F90FCA"/>
    <w:rsid w:val="00F90FD4"/>
    <w:rsid w:val="00F910D0"/>
    <w:rsid w:val="00F910E6"/>
    <w:rsid w:val="00F9135A"/>
    <w:rsid w:val="00F91429"/>
    <w:rsid w:val="00F9185D"/>
    <w:rsid w:val="00F918F1"/>
    <w:rsid w:val="00F91D2A"/>
    <w:rsid w:val="00F91E6A"/>
    <w:rsid w:val="00F91ED7"/>
    <w:rsid w:val="00F922CE"/>
    <w:rsid w:val="00F922EF"/>
    <w:rsid w:val="00F9257E"/>
    <w:rsid w:val="00F92820"/>
    <w:rsid w:val="00F9286D"/>
    <w:rsid w:val="00F92DFB"/>
    <w:rsid w:val="00F92EED"/>
    <w:rsid w:val="00F92F06"/>
    <w:rsid w:val="00F93315"/>
    <w:rsid w:val="00F93379"/>
    <w:rsid w:val="00F93679"/>
    <w:rsid w:val="00F93BB8"/>
    <w:rsid w:val="00F93FB7"/>
    <w:rsid w:val="00F94001"/>
    <w:rsid w:val="00F940E0"/>
    <w:rsid w:val="00F94107"/>
    <w:rsid w:val="00F941B8"/>
    <w:rsid w:val="00F94230"/>
    <w:rsid w:val="00F9453D"/>
    <w:rsid w:val="00F945E2"/>
    <w:rsid w:val="00F94728"/>
    <w:rsid w:val="00F948D5"/>
    <w:rsid w:val="00F949A0"/>
    <w:rsid w:val="00F94B51"/>
    <w:rsid w:val="00F94E95"/>
    <w:rsid w:val="00F94F3B"/>
    <w:rsid w:val="00F94F4E"/>
    <w:rsid w:val="00F94F54"/>
    <w:rsid w:val="00F955C3"/>
    <w:rsid w:val="00F95638"/>
    <w:rsid w:val="00F9589A"/>
    <w:rsid w:val="00F95EDE"/>
    <w:rsid w:val="00F96232"/>
    <w:rsid w:val="00F9658D"/>
    <w:rsid w:val="00F967AF"/>
    <w:rsid w:val="00F96872"/>
    <w:rsid w:val="00F96911"/>
    <w:rsid w:val="00F96B3A"/>
    <w:rsid w:val="00F96BAE"/>
    <w:rsid w:val="00F96C39"/>
    <w:rsid w:val="00F96CAC"/>
    <w:rsid w:val="00F96DCB"/>
    <w:rsid w:val="00F96E2C"/>
    <w:rsid w:val="00F96E72"/>
    <w:rsid w:val="00F96EC6"/>
    <w:rsid w:val="00F96EFE"/>
    <w:rsid w:val="00F97077"/>
    <w:rsid w:val="00F970F6"/>
    <w:rsid w:val="00F97397"/>
    <w:rsid w:val="00F9743B"/>
    <w:rsid w:val="00F97634"/>
    <w:rsid w:val="00F9763B"/>
    <w:rsid w:val="00F9766D"/>
    <w:rsid w:val="00F97679"/>
    <w:rsid w:val="00F97AFB"/>
    <w:rsid w:val="00F97B7F"/>
    <w:rsid w:val="00F97DCE"/>
    <w:rsid w:val="00F97DD6"/>
    <w:rsid w:val="00FA0198"/>
    <w:rsid w:val="00FA020A"/>
    <w:rsid w:val="00FA0421"/>
    <w:rsid w:val="00FA04D4"/>
    <w:rsid w:val="00FA06AE"/>
    <w:rsid w:val="00FA06B0"/>
    <w:rsid w:val="00FA06E9"/>
    <w:rsid w:val="00FA075C"/>
    <w:rsid w:val="00FA0A5B"/>
    <w:rsid w:val="00FA0B6F"/>
    <w:rsid w:val="00FA0C0B"/>
    <w:rsid w:val="00FA0CE3"/>
    <w:rsid w:val="00FA0F2D"/>
    <w:rsid w:val="00FA1020"/>
    <w:rsid w:val="00FA10E1"/>
    <w:rsid w:val="00FA128F"/>
    <w:rsid w:val="00FA1395"/>
    <w:rsid w:val="00FA1687"/>
    <w:rsid w:val="00FA189D"/>
    <w:rsid w:val="00FA18C5"/>
    <w:rsid w:val="00FA1925"/>
    <w:rsid w:val="00FA19D6"/>
    <w:rsid w:val="00FA1A22"/>
    <w:rsid w:val="00FA1BFD"/>
    <w:rsid w:val="00FA1EBF"/>
    <w:rsid w:val="00FA2007"/>
    <w:rsid w:val="00FA20E3"/>
    <w:rsid w:val="00FA20ED"/>
    <w:rsid w:val="00FA21A2"/>
    <w:rsid w:val="00FA21B7"/>
    <w:rsid w:val="00FA21DC"/>
    <w:rsid w:val="00FA2301"/>
    <w:rsid w:val="00FA2957"/>
    <w:rsid w:val="00FA2F17"/>
    <w:rsid w:val="00FA2FAA"/>
    <w:rsid w:val="00FA30AD"/>
    <w:rsid w:val="00FA31A2"/>
    <w:rsid w:val="00FA3200"/>
    <w:rsid w:val="00FA32DF"/>
    <w:rsid w:val="00FA385F"/>
    <w:rsid w:val="00FA3A4E"/>
    <w:rsid w:val="00FA3B06"/>
    <w:rsid w:val="00FA3C98"/>
    <w:rsid w:val="00FA3D26"/>
    <w:rsid w:val="00FA3D2C"/>
    <w:rsid w:val="00FA3E9F"/>
    <w:rsid w:val="00FA3EBD"/>
    <w:rsid w:val="00FA3F15"/>
    <w:rsid w:val="00FA456D"/>
    <w:rsid w:val="00FA48FC"/>
    <w:rsid w:val="00FA4905"/>
    <w:rsid w:val="00FA49E4"/>
    <w:rsid w:val="00FA4A32"/>
    <w:rsid w:val="00FA4C0E"/>
    <w:rsid w:val="00FA4C22"/>
    <w:rsid w:val="00FA4CFD"/>
    <w:rsid w:val="00FA4F09"/>
    <w:rsid w:val="00FA4F16"/>
    <w:rsid w:val="00FA4F6B"/>
    <w:rsid w:val="00FA51F9"/>
    <w:rsid w:val="00FA5341"/>
    <w:rsid w:val="00FA5374"/>
    <w:rsid w:val="00FA55B3"/>
    <w:rsid w:val="00FA58F9"/>
    <w:rsid w:val="00FA5B70"/>
    <w:rsid w:val="00FA5BA2"/>
    <w:rsid w:val="00FA5F57"/>
    <w:rsid w:val="00FA6061"/>
    <w:rsid w:val="00FA6453"/>
    <w:rsid w:val="00FA6705"/>
    <w:rsid w:val="00FA6746"/>
    <w:rsid w:val="00FA688E"/>
    <w:rsid w:val="00FA69F2"/>
    <w:rsid w:val="00FA6CD7"/>
    <w:rsid w:val="00FA6E79"/>
    <w:rsid w:val="00FA7033"/>
    <w:rsid w:val="00FA70BA"/>
    <w:rsid w:val="00FA73B0"/>
    <w:rsid w:val="00FA74F5"/>
    <w:rsid w:val="00FA7517"/>
    <w:rsid w:val="00FA760D"/>
    <w:rsid w:val="00FA7790"/>
    <w:rsid w:val="00FA79F9"/>
    <w:rsid w:val="00FB02C0"/>
    <w:rsid w:val="00FB037B"/>
    <w:rsid w:val="00FB0386"/>
    <w:rsid w:val="00FB0597"/>
    <w:rsid w:val="00FB08D8"/>
    <w:rsid w:val="00FB0B29"/>
    <w:rsid w:val="00FB0B37"/>
    <w:rsid w:val="00FB0D19"/>
    <w:rsid w:val="00FB0D2A"/>
    <w:rsid w:val="00FB0E3D"/>
    <w:rsid w:val="00FB0F18"/>
    <w:rsid w:val="00FB0FE7"/>
    <w:rsid w:val="00FB10C3"/>
    <w:rsid w:val="00FB14A4"/>
    <w:rsid w:val="00FB1594"/>
    <w:rsid w:val="00FB16D1"/>
    <w:rsid w:val="00FB1898"/>
    <w:rsid w:val="00FB18A0"/>
    <w:rsid w:val="00FB19DB"/>
    <w:rsid w:val="00FB1AB3"/>
    <w:rsid w:val="00FB1BE6"/>
    <w:rsid w:val="00FB23AF"/>
    <w:rsid w:val="00FB23F4"/>
    <w:rsid w:val="00FB2465"/>
    <w:rsid w:val="00FB2517"/>
    <w:rsid w:val="00FB2592"/>
    <w:rsid w:val="00FB26F3"/>
    <w:rsid w:val="00FB2A0B"/>
    <w:rsid w:val="00FB2A57"/>
    <w:rsid w:val="00FB2CF9"/>
    <w:rsid w:val="00FB2DB7"/>
    <w:rsid w:val="00FB2DEF"/>
    <w:rsid w:val="00FB2FC4"/>
    <w:rsid w:val="00FB3045"/>
    <w:rsid w:val="00FB312A"/>
    <w:rsid w:val="00FB3826"/>
    <w:rsid w:val="00FB3A3B"/>
    <w:rsid w:val="00FB3D75"/>
    <w:rsid w:val="00FB3D8E"/>
    <w:rsid w:val="00FB3F85"/>
    <w:rsid w:val="00FB3FBF"/>
    <w:rsid w:val="00FB4395"/>
    <w:rsid w:val="00FB47F5"/>
    <w:rsid w:val="00FB4882"/>
    <w:rsid w:val="00FB4979"/>
    <w:rsid w:val="00FB4B92"/>
    <w:rsid w:val="00FB4DF1"/>
    <w:rsid w:val="00FB500A"/>
    <w:rsid w:val="00FB535D"/>
    <w:rsid w:val="00FB53A6"/>
    <w:rsid w:val="00FB53C1"/>
    <w:rsid w:val="00FB5660"/>
    <w:rsid w:val="00FB5804"/>
    <w:rsid w:val="00FB5821"/>
    <w:rsid w:val="00FB5870"/>
    <w:rsid w:val="00FB5AD3"/>
    <w:rsid w:val="00FB5CF5"/>
    <w:rsid w:val="00FB5DE2"/>
    <w:rsid w:val="00FB5DFD"/>
    <w:rsid w:val="00FB62DE"/>
    <w:rsid w:val="00FB65FA"/>
    <w:rsid w:val="00FB6793"/>
    <w:rsid w:val="00FB68D3"/>
    <w:rsid w:val="00FB691B"/>
    <w:rsid w:val="00FB6BA1"/>
    <w:rsid w:val="00FB7122"/>
    <w:rsid w:val="00FB73FB"/>
    <w:rsid w:val="00FB7646"/>
    <w:rsid w:val="00FB775E"/>
    <w:rsid w:val="00FB7BEC"/>
    <w:rsid w:val="00FB7C3A"/>
    <w:rsid w:val="00FC0558"/>
    <w:rsid w:val="00FC062D"/>
    <w:rsid w:val="00FC06B8"/>
    <w:rsid w:val="00FC0758"/>
    <w:rsid w:val="00FC07D3"/>
    <w:rsid w:val="00FC0BAF"/>
    <w:rsid w:val="00FC0CA8"/>
    <w:rsid w:val="00FC115A"/>
    <w:rsid w:val="00FC131C"/>
    <w:rsid w:val="00FC1684"/>
    <w:rsid w:val="00FC1BEC"/>
    <w:rsid w:val="00FC1DA8"/>
    <w:rsid w:val="00FC1EEE"/>
    <w:rsid w:val="00FC215B"/>
    <w:rsid w:val="00FC24A0"/>
    <w:rsid w:val="00FC2821"/>
    <w:rsid w:val="00FC292E"/>
    <w:rsid w:val="00FC2952"/>
    <w:rsid w:val="00FC2A24"/>
    <w:rsid w:val="00FC2CE5"/>
    <w:rsid w:val="00FC2D60"/>
    <w:rsid w:val="00FC2DB6"/>
    <w:rsid w:val="00FC315B"/>
    <w:rsid w:val="00FC341E"/>
    <w:rsid w:val="00FC34BF"/>
    <w:rsid w:val="00FC381F"/>
    <w:rsid w:val="00FC3830"/>
    <w:rsid w:val="00FC3C73"/>
    <w:rsid w:val="00FC3CA4"/>
    <w:rsid w:val="00FC3CB5"/>
    <w:rsid w:val="00FC3DFD"/>
    <w:rsid w:val="00FC408D"/>
    <w:rsid w:val="00FC41A1"/>
    <w:rsid w:val="00FC422F"/>
    <w:rsid w:val="00FC436D"/>
    <w:rsid w:val="00FC4D5B"/>
    <w:rsid w:val="00FC4E9F"/>
    <w:rsid w:val="00FC50D5"/>
    <w:rsid w:val="00FC5314"/>
    <w:rsid w:val="00FC53AA"/>
    <w:rsid w:val="00FC560F"/>
    <w:rsid w:val="00FC56D2"/>
    <w:rsid w:val="00FC5777"/>
    <w:rsid w:val="00FC5869"/>
    <w:rsid w:val="00FC59DD"/>
    <w:rsid w:val="00FC5C5F"/>
    <w:rsid w:val="00FC6063"/>
    <w:rsid w:val="00FC6065"/>
    <w:rsid w:val="00FC61EF"/>
    <w:rsid w:val="00FC6404"/>
    <w:rsid w:val="00FC646E"/>
    <w:rsid w:val="00FC667C"/>
    <w:rsid w:val="00FC66B0"/>
    <w:rsid w:val="00FC67C4"/>
    <w:rsid w:val="00FC69F2"/>
    <w:rsid w:val="00FC6B29"/>
    <w:rsid w:val="00FC6B8B"/>
    <w:rsid w:val="00FC6C29"/>
    <w:rsid w:val="00FC6C41"/>
    <w:rsid w:val="00FC6CA4"/>
    <w:rsid w:val="00FC6D4B"/>
    <w:rsid w:val="00FC6E9F"/>
    <w:rsid w:val="00FC6EDB"/>
    <w:rsid w:val="00FC701C"/>
    <w:rsid w:val="00FC7094"/>
    <w:rsid w:val="00FC7713"/>
    <w:rsid w:val="00FC7885"/>
    <w:rsid w:val="00FC7902"/>
    <w:rsid w:val="00FC7DD4"/>
    <w:rsid w:val="00FC7DEC"/>
    <w:rsid w:val="00FC7E15"/>
    <w:rsid w:val="00FD0108"/>
    <w:rsid w:val="00FD0127"/>
    <w:rsid w:val="00FD0568"/>
    <w:rsid w:val="00FD068D"/>
    <w:rsid w:val="00FD06A0"/>
    <w:rsid w:val="00FD084D"/>
    <w:rsid w:val="00FD096C"/>
    <w:rsid w:val="00FD0D1A"/>
    <w:rsid w:val="00FD0F5A"/>
    <w:rsid w:val="00FD0FB5"/>
    <w:rsid w:val="00FD10E1"/>
    <w:rsid w:val="00FD10FC"/>
    <w:rsid w:val="00FD129F"/>
    <w:rsid w:val="00FD1394"/>
    <w:rsid w:val="00FD14AB"/>
    <w:rsid w:val="00FD160C"/>
    <w:rsid w:val="00FD173D"/>
    <w:rsid w:val="00FD1815"/>
    <w:rsid w:val="00FD1A8B"/>
    <w:rsid w:val="00FD1D51"/>
    <w:rsid w:val="00FD1D94"/>
    <w:rsid w:val="00FD1DFA"/>
    <w:rsid w:val="00FD1E7A"/>
    <w:rsid w:val="00FD1E9C"/>
    <w:rsid w:val="00FD214C"/>
    <w:rsid w:val="00FD2191"/>
    <w:rsid w:val="00FD21B3"/>
    <w:rsid w:val="00FD2543"/>
    <w:rsid w:val="00FD25C0"/>
    <w:rsid w:val="00FD2777"/>
    <w:rsid w:val="00FD2872"/>
    <w:rsid w:val="00FD29A5"/>
    <w:rsid w:val="00FD2A19"/>
    <w:rsid w:val="00FD2A82"/>
    <w:rsid w:val="00FD2BAE"/>
    <w:rsid w:val="00FD2C3C"/>
    <w:rsid w:val="00FD2D0D"/>
    <w:rsid w:val="00FD2E84"/>
    <w:rsid w:val="00FD327B"/>
    <w:rsid w:val="00FD33AD"/>
    <w:rsid w:val="00FD33CD"/>
    <w:rsid w:val="00FD3474"/>
    <w:rsid w:val="00FD34E9"/>
    <w:rsid w:val="00FD3725"/>
    <w:rsid w:val="00FD37AD"/>
    <w:rsid w:val="00FD387E"/>
    <w:rsid w:val="00FD3906"/>
    <w:rsid w:val="00FD3A48"/>
    <w:rsid w:val="00FD3AC9"/>
    <w:rsid w:val="00FD3B49"/>
    <w:rsid w:val="00FD3BD3"/>
    <w:rsid w:val="00FD3BD8"/>
    <w:rsid w:val="00FD3DB9"/>
    <w:rsid w:val="00FD421A"/>
    <w:rsid w:val="00FD44B6"/>
    <w:rsid w:val="00FD47DA"/>
    <w:rsid w:val="00FD49CD"/>
    <w:rsid w:val="00FD4C14"/>
    <w:rsid w:val="00FD4C6C"/>
    <w:rsid w:val="00FD52F5"/>
    <w:rsid w:val="00FD54B6"/>
    <w:rsid w:val="00FD5C2F"/>
    <w:rsid w:val="00FD5C78"/>
    <w:rsid w:val="00FD5CA2"/>
    <w:rsid w:val="00FD5E36"/>
    <w:rsid w:val="00FD5F38"/>
    <w:rsid w:val="00FD6065"/>
    <w:rsid w:val="00FD615C"/>
    <w:rsid w:val="00FD6180"/>
    <w:rsid w:val="00FD6220"/>
    <w:rsid w:val="00FD636F"/>
    <w:rsid w:val="00FD649E"/>
    <w:rsid w:val="00FD6573"/>
    <w:rsid w:val="00FD66C8"/>
    <w:rsid w:val="00FD6724"/>
    <w:rsid w:val="00FD6B27"/>
    <w:rsid w:val="00FD6D17"/>
    <w:rsid w:val="00FD6DB0"/>
    <w:rsid w:val="00FD6E39"/>
    <w:rsid w:val="00FD727A"/>
    <w:rsid w:val="00FD72C4"/>
    <w:rsid w:val="00FD76CF"/>
    <w:rsid w:val="00FD7839"/>
    <w:rsid w:val="00FD784F"/>
    <w:rsid w:val="00FD7879"/>
    <w:rsid w:val="00FD7A7B"/>
    <w:rsid w:val="00FD7A7F"/>
    <w:rsid w:val="00FD7A85"/>
    <w:rsid w:val="00FD7B5A"/>
    <w:rsid w:val="00FD7CD5"/>
    <w:rsid w:val="00FD7F49"/>
    <w:rsid w:val="00FD7FE2"/>
    <w:rsid w:val="00FE0424"/>
    <w:rsid w:val="00FE0449"/>
    <w:rsid w:val="00FE0490"/>
    <w:rsid w:val="00FE04DA"/>
    <w:rsid w:val="00FE061A"/>
    <w:rsid w:val="00FE0832"/>
    <w:rsid w:val="00FE0A55"/>
    <w:rsid w:val="00FE0DDA"/>
    <w:rsid w:val="00FE0DDB"/>
    <w:rsid w:val="00FE0F59"/>
    <w:rsid w:val="00FE0F9A"/>
    <w:rsid w:val="00FE1111"/>
    <w:rsid w:val="00FE168D"/>
    <w:rsid w:val="00FE17D3"/>
    <w:rsid w:val="00FE1AAD"/>
    <w:rsid w:val="00FE1AFF"/>
    <w:rsid w:val="00FE1C62"/>
    <w:rsid w:val="00FE20D8"/>
    <w:rsid w:val="00FE2441"/>
    <w:rsid w:val="00FE245D"/>
    <w:rsid w:val="00FE262A"/>
    <w:rsid w:val="00FE26B5"/>
    <w:rsid w:val="00FE274B"/>
    <w:rsid w:val="00FE27DC"/>
    <w:rsid w:val="00FE2805"/>
    <w:rsid w:val="00FE284B"/>
    <w:rsid w:val="00FE2CA0"/>
    <w:rsid w:val="00FE2D11"/>
    <w:rsid w:val="00FE2D84"/>
    <w:rsid w:val="00FE2EFC"/>
    <w:rsid w:val="00FE2F42"/>
    <w:rsid w:val="00FE3519"/>
    <w:rsid w:val="00FE3716"/>
    <w:rsid w:val="00FE3E7F"/>
    <w:rsid w:val="00FE3F90"/>
    <w:rsid w:val="00FE407F"/>
    <w:rsid w:val="00FE4157"/>
    <w:rsid w:val="00FE41AB"/>
    <w:rsid w:val="00FE422D"/>
    <w:rsid w:val="00FE449A"/>
    <w:rsid w:val="00FE452A"/>
    <w:rsid w:val="00FE471F"/>
    <w:rsid w:val="00FE47FE"/>
    <w:rsid w:val="00FE4968"/>
    <w:rsid w:val="00FE4A40"/>
    <w:rsid w:val="00FE4B46"/>
    <w:rsid w:val="00FE4C38"/>
    <w:rsid w:val="00FE4D7B"/>
    <w:rsid w:val="00FE4DE0"/>
    <w:rsid w:val="00FE4E2E"/>
    <w:rsid w:val="00FE50E8"/>
    <w:rsid w:val="00FE52C5"/>
    <w:rsid w:val="00FE531D"/>
    <w:rsid w:val="00FE572F"/>
    <w:rsid w:val="00FE5B2D"/>
    <w:rsid w:val="00FE5D73"/>
    <w:rsid w:val="00FE609F"/>
    <w:rsid w:val="00FE64D2"/>
    <w:rsid w:val="00FE66FA"/>
    <w:rsid w:val="00FE6889"/>
    <w:rsid w:val="00FE6912"/>
    <w:rsid w:val="00FE69CE"/>
    <w:rsid w:val="00FE69FA"/>
    <w:rsid w:val="00FE6E8A"/>
    <w:rsid w:val="00FE6EF1"/>
    <w:rsid w:val="00FE7090"/>
    <w:rsid w:val="00FE7192"/>
    <w:rsid w:val="00FE71F8"/>
    <w:rsid w:val="00FE7367"/>
    <w:rsid w:val="00FE77E9"/>
    <w:rsid w:val="00FE78C4"/>
    <w:rsid w:val="00FE7A28"/>
    <w:rsid w:val="00FE7A69"/>
    <w:rsid w:val="00FE7A90"/>
    <w:rsid w:val="00FE7DD8"/>
    <w:rsid w:val="00FF01E8"/>
    <w:rsid w:val="00FF0454"/>
    <w:rsid w:val="00FF0519"/>
    <w:rsid w:val="00FF05FA"/>
    <w:rsid w:val="00FF0A88"/>
    <w:rsid w:val="00FF0C62"/>
    <w:rsid w:val="00FF0D4E"/>
    <w:rsid w:val="00FF13D6"/>
    <w:rsid w:val="00FF18B4"/>
    <w:rsid w:val="00FF1960"/>
    <w:rsid w:val="00FF1A00"/>
    <w:rsid w:val="00FF1AEF"/>
    <w:rsid w:val="00FF1F7D"/>
    <w:rsid w:val="00FF20ED"/>
    <w:rsid w:val="00FF21B9"/>
    <w:rsid w:val="00FF21C4"/>
    <w:rsid w:val="00FF22C2"/>
    <w:rsid w:val="00FF25F9"/>
    <w:rsid w:val="00FF2670"/>
    <w:rsid w:val="00FF28C2"/>
    <w:rsid w:val="00FF2B53"/>
    <w:rsid w:val="00FF2D24"/>
    <w:rsid w:val="00FF2D76"/>
    <w:rsid w:val="00FF2EA2"/>
    <w:rsid w:val="00FF306F"/>
    <w:rsid w:val="00FF32D1"/>
    <w:rsid w:val="00FF34BE"/>
    <w:rsid w:val="00FF34EC"/>
    <w:rsid w:val="00FF3575"/>
    <w:rsid w:val="00FF38DB"/>
    <w:rsid w:val="00FF3A9E"/>
    <w:rsid w:val="00FF3AEF"/>
    <w:rsid w:val="00FF3B96"/>
    <w:rsid w:val="00FF3C21"/>
    <w:rsid w:val="00FF3D3A"/>
    <w:rsid w:val="00FF3E82"/>
    <w:rsid w:val="00FF3F11"/>
    <w:rsid w:val="00FF423B"/>
    <w:rsid w:val="00FF43B9"/>
    <w:rsid w:val="00FF4477"/>
    <w:rsid w:val="00FF4796"/>
    <w:rsid w:val="00FF47E6"/>
    <w:rsid w:val="00FF4853"/>
    <w:rsid w:val="00FF4B0B"/>
    <w:rsid w:val="00FF4C0A"/>
    <w:rsid w:val="00FF4DBB"/>
    <w:rsid w:val="00FF4DC1"/>
    <w:rsid w:val="00FF4FFD"/>
    <w:rsid w:val="00FF506D"/>
    <w:rsid w:val="00FF51AF"/>
    <w:rsid w:val="00FF539A"/>
    <w:rsid w:val="00FF55F7"/>
    <w:rsid w:val="00FF56F3"/>
    <w:rsid w:val="00FF57C1"/>
    <w:rsid w:val="00FF5847"/>
    <w:rsid w:val="00FF58FE"/>
    <w:rsid w:val="00FF59DF"/>
    <w:rsid w:val="00FF5A0B"/>
    <w:rsid w:val="00FF5F74"/>
    <w:rsid w:val="00FF5FA6"/>
    <w:rsid w:val="00FF6398"/>
    <w:rsid w:val="00FF6448"/>
    <w:rsid w:val="00FF649C"/>
    <w:rsid w:val="00FF6752"/>
    <w:rsid w:val="00FF6815"/>
    <w:rsid w:val="00FF6A3F"/>
    <w:rsid w:val="00FF6C4B"/>
    <w:rsid w:val="00FF6E6F"/>
    <w:rsid w:val="00FF7187"/>
    <w:rsid w:val="00FF726B"/>
    <w:rsid w:val="00FF72FA"/>
    <w:rsid w:val="00FF75CC"/>
    <w:rsid w:val="00FF7609"/>
    <w:rsid w:val="00FF766C"/>
    <w:rsid w:val="00FF7822"/>
    <w:rsid w:val="00FF7857"/>
    <w:rsid w:val="00FF7B53"/>
    <w:rsid w:val="00FF7B7F"/>
    <w:rsid w:val="00FF7E3E"/>
    <w:rsid w:val="00FF7E56"/>
    <w:rsid w:val="00FF7F27"/>
    <w:rsid w:val="01BC51D0"/>
    <w:rsid w:val="0215D21A"/>
    <w:rsid w:val="024F62F6"/>
    <w:rsid w:val="034676B3"/>
    <w:rsid w:val="09C623C5"/>
    <w:rsid w:val="0C44A420"/>
    <w:rsid w:val="158A7C35"/>
    <w:rsid w:val="17117650"/>
    <w:rsid w:val="17CA6BE6"/>
    <w:rsid w:val="1C28A425"/>
    <w:rsid w:val="2913E2E9"/>
    <w:rsid w:val="2DB60786"/>
    <w:rsid w:val="2FA2B9B0"/>
    <w:rsid w:val="3CBE3FC4"/>
    <w:rsid w:val="415123E6"/>
    <w:rsid w:val="529F83D6"/>
    <w:rsid w:val="57AFFD75"/>
    <w:rsid w:val="59904A9D"/>
    <w:rsid w:val="59FAA8A2"/>
    <w:rsid w:val="6C8816DC"/>
    <w:rsid w:val="6E35F9AB"/>
    <w:rsid w:val="76DBFF5D"/>
    <w:rsid w:val="76F34C8F"/>
    <w:rsid w:val="7B14524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63847C7"/>
  <w15:docId w15:val="{7272C661-2863-9A4C-B786-C236C7174F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iPriority="0" w:unhideWhenUsed="1" w:qFormat="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iPriority="0"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2" w:uiPriority="42"/>
    <w:lsdException w:name="Grid Table Light" w:uiPriority="40"/>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Table and Charts"/>
    <w:qFormat/>
    <w:rsid w:val="003A0CC7"/>
    <w:rPr>
      <w:rFonts w:eastAsia="Times New Roman" w:cs="Times New Roman"/>
      <w:color w:val="000000" w:themeColor="text1"/>
      <w:sz w:val="22"/>
    </w:rPr>
  </w:style>
  <w:style w:type="paragraph" w:styleId="Heading1">
    <w:name w:val="heading 1"/>
    <w:basedOn w:val="Normal"/>
    <w:next w:val="Normal"/>
    <w:link w:val="Heading1Char"/>
    <w:uiPriority w:val="9"/>
    <w:qFormat/>
    <w:rsid w:val="0078752E"/>
    <w:pPr>
      <w:keepNext/>
      <w:keepLines/>
      <w:spacing w:before="120" w:after="120"/>
      <w:outlineLvl w:val="0"/>
    </w:pPr>
    <w:rPr>
      <w:rFonts w:asciiTheme="majorHAnsi" w:eastAsiaTheme="majorEastAsia" w:hAnsiTheme="majorHAnsi" w:cstheme="majorBidi"/>
      <w:b/>
      <w:color w:val="642667"/>
      <w:sz w:val="32"/>
      <w:szCs w:val="32"/>
    </w:rPr>
  </w:style>
  <w:style w:type="paragraph" w:styleId="Heading2">
    <w:name w:val="heading 2"/>
    <w:aliases w:val="Heading 2A"/>
    <w:basedOn w:val="Normal"/>
    <w:next w:val="Normal"/>
    <w:link w:val="Heading2Char"/>
    <w:uiPriority w:val="9"/>
    <w:unhideWhenUsed/>
    <w:rsid w:val="00C042A9"/>
    <w:pPr>
      <w:keepNext/>
      <w:keepLines/>
      <w:spacing w:before="240" w:after="120"/>
      <w:outlineLvl w:val="1"/>
    </w:pPr>
    <w:rPr>
      <w:rFonts w:asciiTheme="majorHAnsi" w:eastAsiaTheme="majorEastAsia" w:hAnsiTheme="majorHAnsi" w:cstheme="majorBidi"/>
      <w:b/>
      <w:color w:val="086281" w:themeColor="accent5"/>
    </w:rPr>
  </w:style>
  <w:style w:type="paragraph" w:styleId="Heading3">
    <w:name w:val="heading 3"/>
    <w:aliases w:val="Heading 3-not in content"/>
    <w:basedOn w:val="Normal"/>
    <w:next w:val="Normal"/>
    <w:link w:val="Heading3Char"/>
    <w:uiPriority w:val="9"/>
    <w:unhideWhenUsed/>
    <w:qFormat/>
    <w:rsid w:val="0078752E"/>
    <w:pPr>
      <w:keepNext/>
      <w:keepLines/>
      <w:spacing w:before="40"/>
      <w:outlineLvl w:val="2"/>
    </w:pPr>
    <w:rPr>
      <w:rFonts w:asciiTheme="majorHAnsi" w:eastAsiaTheme="majorEastAsia" w:hAnsiTheme="majorHAnsi" w:cstheme="majorHAnsi"/>
      <w:b/>
      <w:color w:val="642667"/>
      <w:sz w:val="24"/>
      <w:szCs w:val="22"/>
    </w:rPr>
  </w:style>
  <w:style w:type="paragraph" w:styleId="Heading4">
    <w:name w:val="heading 4"/>
    <w:basedOn w:val="Normal"/>
    <w:next w:val="Normal"/>
    <w:link w:val="Heading4Char"/>
    <w:uiPriority w:val="9"/>
    <w:unhideWhenUsed/>
    <w:qFormat/>
    <w:rsid w:val="004E0CF2"/>
    <w:pPr>
      <w:keepNext/>
      <w:keepLines/>
      <w:spacing w:before="40"/>
      <w:outlineLvl w:val="3"/>
    </w:pPr>
    <w:rPr>
      <w:rFonts w:asciiTheme="majorHAnsi" w:eastAsiaTheme="majorEastAsia" w:hAnsiTheme="majorHAnsi" w:cstheme="majorBidi"/>
      <w:b/>
      <w:iCs/>
    </w:rPr>
  </w:style>
  <w:style w:type="paragraph" w:styleId="Heading5">
    <w:name w:val="heading 5"/>
    <w:aliases w:val="Table and Charts Heading"/>
    <w:basedOn w:val="Normal"/>
    <w:next w:val="Normal"/>
    <w:link w:val="Heading5Char"/>
    <w:uiPriority w:val="9"/>
    <w:unhideWhenUsed/>
    <w:qFormat/>
    <w:rsid w:val="00652302"/>
    <w:pPr>
      <w:keepNext/>
      <w:keepLines/>
      <w:spacing w:before="160" w:after="120"/>
      <w:outlineLvl w:val="4"/>
    </w:pPr>
    <w:rPr>
      <w:rFonts w:eastAsiaTheme="majorEastAsia" w:cstheme="majorBidi"/>
      <w:b/>
      <w:color w:val="642667"/>
      <w:sz w:val="20"/>
    </w:rPr>
  </w:style>
  <w:style w:type="paragraph" w:styleId="Heading6">
    <w:name w:val="heading 6"/>
    <w:basedOn w:val="Normal"/>
    <w:next w:val="Normal"/>
    <w:link w:val="Heading6Char"/>
    <w:uiPriority w:val="9"/>
    <w:unhideWhenUsed/>
    <w:rsid w:val="003167FB"/>
    <w:pPr>
      <w:keepNext/>
      <w:keepLines/>
      <w:spacing w:before="40"/>
      <w:outlineLvl w:val="5"/>
    </w:pPr>
    <w:rPr>
      <w:rFonts w:asciiTheme="majorHAnsi" w:eastAsiaTheme="majorEastAsia" w:hAnsiTheme="majorHAnsi" w:cstheme="majorBidi"/>
      <w:color w:val="2D8189"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8752E"/>
    <w:rPr>
      <w:rFonts w:asciiTheme="majorHAnsi" w:eastAsiaTheme="majorEastAsia" w:hAnsiTheme="majorHAnsi" w:cstheme="majorBidi"/>
      <w:b/>
      <w:color w:val="642667"/>
      <w:sz w:val="32"/>
      <w:szCs w:val="32"/>
    </w:rPr>
  </w:style>
  <w:style w:type="character" w:customStyle="1" w:styleId="Heading2Char">
    <w:name w:val="Heading 2 Char"/>
    <w:aliases w:val="Heading 2A Char"/>
    <w:basedOn w:val="DefaultParagraphFont"/>
    <w:link w:val="Heading2"/>
    <w:uiPriority w:val="9"/>
    <w:rsid w:val="0040121C"/>
    <w:rPr>
      <w:rFonts w:asciiTheme="majorHAnsi" w:eastAsiaTheme="majorEastAsia" w:hAnsiTheme="majorHAnsi" w:cstheme="majorBidi"/>
      <w:b/>
      <w:color w:val="086281" w:themeColor="accent5"/>
    </w:rPr>
  </w:style>
  <w:style w:type="paragraph" w:styleId="ListParagraph">
    <w:name w:val="List Paragraph"/>
    <w:basedOn w:val="Normal"/>
    <w:uiPriority w:val="34"/>
    <w:qFormat/>
    <w:rsid w:val="004C4193"/>
    <w:pPr>
      <w:ind w:left="720"/>
      <w:contextualSpacing/>
    </w:pPr>
  </w:style>
  <w:style w:type="character" w:customStyle="1" w:styleId="Heading3Char">
    <w:name w:val="Heading 3 Char"/>
    <w:aliases w:val="Heading 3-not in content Char"/>
    <w:basedOn w:val="DefaultParagraphFont"/>
    <w:link w:val="Heading3"/>
    <w:uiPriority w:val="9"/>
    <w:rsid w:val="0078752E"/>
    <w:rPr>
      <w:rFonts w:asciiTheme="majorHAnsi" w:eastAsiaTheme="majorEastAsia" w:hAnsiTheme="majorHAnsi" w:cstheme="majorHAnsi"/>
      <w:b/>
      <w:color w:val="642667"/>
      <w:szCs w:val="22"/>
    </w:rPr>
  </w:style>
  <w:style w:type="character" w:customStyle="1" w:styleId="Heading4Char">
    <w:name w:val="Heading 4 Char"/>
    <w:basedOn w:val="DefaultParagraphFont"/>
    <w:link w:val="Heading4"/>
    <w:uiPriority w:val="9"/>
    <w:rsid w:val="004E0CF2"/>
    <w:rPr>
      <w:rFonts w:asciiTheme="majorHAnsi" w:eastAsiaTheme="majorEastAsia" w:hAnsiTheme="majorHAnsi" w:cstheme="majorBidi"/>
      <w:b/>
      <w:iCs/>
      <w:color w:val="000000" w:themeColor="text1"/>
      <w:sz w:val="22"/>
    </w:rPr>
  </w:style>
  <w:style w:type="paragraph" w:styleId="TOC1">
    <w:name w:val="toc 1"/>
    <w:basedOn w:val="Normal"/>
    <w:next w:val="Normal"/>
    <w:autoRedefine/>
    <w:uiPriority w:val="39"/>
    <w:unhideWhenUsed/>
    <w:rsid w:val="00B36A69"/>
    <w:pPr>
      <w:tabs>
        <w:tab w:val="right" w:leader="dot" w:pos="9010"/>
      </w:tabs>
      <w:spacing w:after="100"/>
    </w:pPr>
  </w:style>
  <w:style w:type="paragraph" w:styleId="TOC2">
    <w:name w:val="toc 2"/>
    <w:basedOn w:val="Normal"/>
    <w:next w:val="Normal"/>
    <w:autoRedefine/>
    <w:uiPriority w:val="39"/>
    <w:unhideWhenUsed/>
    <w:rsid w:val="005A3091"/>
    <w:pPr>
      <w:spacing w:after="100"/>
      <w:ind w:left="220"/>
    </w:pPr>
  </w:style>
  <w:style w:type="paragraph" w:styleId="TOC3">
    <w:name w:val="toc 3"/>
    <w:basedOn w:val="Normal"/>
    <w:next w:val="Normal"/>
    <w:autoRedefine/>
    <w:uiPriority w:val="39"/>
    <w:unhideWhenUsed/>
    <w:rsid w:val="005A3091"/>
    <w:pPr>
      <w:spacing w:after="100"/>
      <w:ind w:left="440"/>
    </w:pPr>
  </w:style>
  <w:style w:type="paragraph" w:styleId="TOC4">
    <w:name w:val="toc 4"/>
    <w:basedOn w:val="Normal"/>
    <w:next w:val="Normal"/>
    <w:autoRedefine/>
    <w:uiPriority w:val="39"/>
    <w:unhideWhenUsed/>
    <w:rsid w:val="005A3091"/>
    <w:pPr>
      <w:spacing w:after="100"/>
      <w:ind w:left="660"/>
    </w:pPr>
  </w:style>
  <w:style w:type="character" w:styleId="Strong">
    <w:name w:val="Strong"/>
    <w:basedOn w:val="DefaultParagraphFont"/>
    <w:uiPriority w:val="22"/>
    <w:rsid w:val="003F4B95"/>
    <w:rPr>
      <w:b/>
      <w:bCs/>
    </w:rPr>
  </w:style>
  <w:style w:type="paragraph" w:styleId="Header">
    <w:name w:val="header"/>
    <w:basedOn w:val="Normal"/>
    <w:link w:val="HeaderChar"/>
    <w:uiPriority w:val="99"/>
    <w:unhideWhenUsed/>
    <w:rsid w:val="00DF0C94"/>
    <w:pPr>
      <w:tabs>
        <w:tab w:val="center" w:pos="4513"/>
        <w:tab w:val="right" w:pos="9026"/>
      </w:tabs>
    </w:pPr>
  </w:style>
  <w:style w:type="character" w:customStyle="1" w:styleId="HeaderChar">
    <w:name w:val="Header Char"/>
    <w:basedOn w:val="DefaultParagraphFont"/>
    <w:link w:val="Header"/>
    <w:uiPriority w:val="99"/>
    <w:rsid w:val="00DF0C94"/>
    <w:rPr>
      <w:sz w:val="22"/>
    </w:rPr>
  </w:style>
  <w:style w:type="paragraph" w:styleId="Footer">
    <w:name w:val="footer"/>
    <w:basedOn w:val="Normal"/>
    <w:link w:val="FooterChar"/>
    <w:uiPriority w:val="99"/>
    <w:unhideWhenUsed/>
    <w:rsid w:val="00DF0C94"/>
    <w:pPr>
      <w:tabs>
        <w:tab w:val="center" w:pos="4513"/>
        <w:tab w:val="right" w:pos="9026"/>
      </w:tabs>
    </w:pPr>
  </w:style>
  <w:style w:type="character" w:customStyle="1" w:styleId="FooterChar">
    <w:name w:val="Footer Char"/>
    <w:basedOn w:val="DefaultParagraphFont"/>
    <w:link w:val="Footer"/>
    <w:uiPriority w:val="99"/>
    <w:rsid w:val="00DF0C94"/>
    <w:rPr>
      <w:sz w:val="22"/>
    </w:rPr>
  </w:style>
  <w:style w:type="character" w:styleId="PageNumber">
    <w:name w:val="page number"/>
    <w:basedOn w:val="DefaultParagraphFont"/>
    <w:uiPriority w:val="99"/>
    <w:semiHidden/>
    <w:unhideWhenUsed/>
    <w:rsid w:val="00DF0C94"/>
  </w:style>
  <w:style w:type="table" w:styleId="TableGrid">
    <w:name w:val="Table Grid"/>
    <w:basedOn w:val="TableNormal"/>
    <w:uiPriority w:val="39"/>
    <w:rsid w:val="00F677FA"/>
    <w:pPr>
      <w:spacing w:before="60" w:after="60" w:line="220" w:lineRule="atLeast"/>
      <w:ind w:left="113" w:right="113"/>
      <w:jc w:val="center"/>
    </w:pPr>
    <w:rPr>
      <w:rFonts w:eastAsia="Times New Roman" w:cs="Times New Roman"/>
      <w:color w:val="000000" w:themeColor="text1"/>
      <w:sz w:val="18"/>
      <w:szCs w:val="20"/>
      <w:lang w:eastAsia="en-AU"/>
    </w:rPr>
    <w:tblPr>
      <w:tblStyleColBandSize w:val="1"/>
      <w:tblBorders>
        <w:top w:val="single" w:sz="8" w:space="0" w:color="44546A" w:themeColor="text2"/>
        <w:bottom w:val="single" w:sz="8" w:space="0" w:color="44546A" w:themeColor="text2"/>
        <w:insideH w:val="single" w:sz="8" w:space="0" w:color="44546A" w:themeColor="text2"/>
      </w:tblBorders>
      <w:tblCellMar>
        <w:left w:w="0" w:type="dxa"/>
        <w:right w:w="0" w:type="dxa"/>
      </w:tblCellMar>
    </w:tblPr>
    <w:tcPr>
      <w:vAlign w:val="center"/>
    </w:tcPr>
    <w:tblStylePr w:type="firstRow">
      <w:pPr>
        <w:wordWrap/>
        <w:spacing w:beforeLines="0" w:before="60" w:beforeAutospacing="0" w:afterLines="0" w:after="60" w:afterAutospacing="0" w:line="220" w:lineRule="atLeast"/>
        <w:jc w:val="center"/>
      </w:pPr>
      <w:rPr>
        <w:rFonts w:asciiTheme="minorHAnsi" w:hAnsiTheme="minorHAnsi"/>
        <w:b/>
        <w:color w:val="FFFFFF" w:themeColor="background1"/>
        <w:sz w:val="18"/>
      </w:rPr>
      <w:tblPr/>
      <w:tcPr>
        <w:shd w:val="clear" w:color="auto" w:fill="4D446C"/>
      </w:tcPr>
    </w:tblStylePr>
    <w:tblStylePr w:type="lastRow">
      <w:rPr>
        <w:b/>
      </w:rPr>
    </w:tblStylePr>
    <w:tblStylePr w:type="firstCol">
      <w:pPr>
        <w:jc w:val="left"/>
      </w:pPr>
    </w:tblStylePr>
    <w:tblStylePr w:type="lastCol">
      <w:pPr>
        <w:jc w:val="center"/>
      </w:pPr>
    </w:tblStylePr>
    <w:tblStylePr w:type="band1Vert">
      <w:tblPr/>
      <w:tcPr>
        <w:shd w:val="clear" w:color="auto" w:fill="E7E6E6" w:themeFill="background2"/>
      </w:tcPr>
    </w:tblStylePr>
    <w:tblStylePr w:type="nwCell">
      <w:pPr>
        <w:jc w:val="left"/>
      </w:pPr>
    </w:tblStylePr>
  </w:style>
  <w:style w:type="paragraph" w:styleId="BodyText">
    <w:name w:val="Body Text"/>
    <w:basedOn w:val="Normal"/>
    <w:link w:val="BodyTextChar"/>
    <w:qFormat/>
    <w:rsid w:val="004B091E"/>
    <w:pPr>
      <w:spacing w:before="60" w:after="120" w:line="240" w:lineRule="atLeast"/>
    </w:pPr>
    <w:rPr>
      <w:rFonts w:cstheme="minorHAnsi"/>
      <w:sz w:val="20"/>
      <w:szCs w:val="20"/>
    </w:rPr>
  </w:style>
  <w:style w:type="character" w:customStyle="1" w:styleId="BodyTextChar">
    <w:name w:val="Body Text Char"/>
    <w:basedOn w:val="DefaultParagraphFont"/>
    <w:link w:val="BodyText"/>
    <w:rsid w:val="004B091E"/>
    <w:rPr>
      <w:rFonts w:eastAsia="Times New Roman" w:cstheme="minorHAnsi"/>
      <w:color w:val="000000" w:themeColor="text1"/>
      <w:sz w:val="20"/>
      <w:szCs w:val="20"/>
    </w:rPr>
  </w:style>
  <w:style w:type="character" w:customStyle="1" w:styleId="Heading6Char">
    <w:name w:val="Heading 6 Char"/>
    <w:basedOn w:val="DefaultParagraphFont"/>
    <w:link w:val="Heading6"/>
    <w:uiPriority w:val="9"/>
    <w:rsid w:val="003167FB"/>
    <w:rPr>
      <w:rFonts w:asciiTheme="majorHAnsi" w:eastAsiaTheme="majorEastAsia" w:hAnsiTheme="majorHAnsi" w:cstheme="majorBidi"/>
      <w:color w:val="2D8189" w:themeColor="accent1" w:themeShade="7F"/>
      <w:sz w:val="22"/>
    </w:rPr>
  </w:style>
  <w:style w:type="paragraph" w:styleId="BalloonText">
    <w:name w:val="Balloon Text"/>
    <w:basedOn w:val="Normal"/>
    <w:link w:val="BalloonTextChar"/>
    <w:uiPriority w:val="99"/>
    <w:semiHidden/>
    <w:unhideWhenUsed/>
    <w:rsid w:val="0044580A"/>
    <w:rPr>
      <w:sz w:val="18"/>
      <w:szCs w:val="18"/>
    </w:rPr>
  </w:style>
  <w:style w:type="character" w:customStyle="1" w:styleId="BalloonTextChar">
    <w:name w:val="Balloon Text Char"/>
    <w:basedOn w:val="DefaultParagraphFont"/>
    <w:link w:val="BalloonText"/>
    <w:uiPriority w:val="99"/>
    <w:semiHidden/>
    <w:rsid w:val="0044580A"/>
    <w:rPr>
      <w:rFonts w:ascii="Times New Roman" w:hAnsi="Times New Roman" w:cs="Times New Roman"/>
      <w:sz w:val="18"/>
      <w:szCs w:val="18"/>
    </w:rPr>
  </w:style>
  <w:style w:type="paragraph" w:styleId="NormalWeb">
    <w:name w:val="Normal (Web)"/>
    <w:basedOn w:val="Normal"/>
    <w:uiPriority w:val="99"/>
    <w:unhideWhenUsed/>
    <w:rsid w:val="00CF4A56"/>
    <w:pPr>
      <w:spacing w:before="100" w:beforeAutospacing="1" w:after="100" w:afterAutospacing="1"/>
    </w:pPr>
  </w:style>
  <w:style w:type="paragraph" w:customStyle="1" w:styleId="TableListNumber">
    <w:name w:val="Table List Number"/>
    <w:basedOn w:val="Normal"/>
    <w:uiPriority w:val="16"/>
    <w:rsid w:val="00956645"/>
    <w:pPr>
      <w:numPr>
        <w:numId w:val="10"/>
      </w:numPr>
      <w:spacing w:before="160" w:after="60" w:line="276" w:lineRule="auto"/>
    </w:pPr>
    <w:rPr>
      <w:rFonts w:ascii="Verdana" w:hAnsi="Verdana"/>
      <w:bCs/>
      <w:sz w:val="18"/>
      <w:lang w:eastAsia="en-GB"/>
    </w:rPr>
  </w:style>
  <w:style w:type="numbering" w:customStyle="1" w:styleId="TableListNumbermaster">
    <w:name w:val="Table List Number (master)"/>
    <w:rsid w:val="00956645"/>
    <w:pPr>
      <w:numPr>
        <w:numId w:val="9"/>
      </w:numPr>
    </w:pPr>
  </w:style>
  <w:style w:type="paragraph" w:customStyle="1" w:styleId="TableListNumber2">
    <w:name w:val="Table List Number 2"/>
    <w:basedOn w:val="TableListNumber"/>
    <w:uiPriority w:val="16"/>
    <w:rsid w:val="00956645"/>
    <w:pPr>
      <w:numPr>
        <w:ilvl w:val="1"/>
      </w:numPr>
    </w:pPr>
  </w:style>
  <w:style w:type="character" w:styleId="CommentReference">
    <w:name w:val="annotation reference"/>
    <w:basedOn w:val="DefaultParagraphFont"/>
    <w:uiPriority w:val="99"/>
    <w:semiHidden/>
    <w:rsid w:val="0003491C"/>
    <w:rPr>
      <w:sz w:val="16"/>
      <w:szCs w:val="16"/>
    </w:rPr>
  </w:style>
  <w:style w:type="paragraph" w:styleId="CommentText">
    <w:name w:val="annotation text"/>
    <w:basedOn w:val="Normal"/>
    <w:link w:val="CommentTextChar"/>
    <w:uiPriority w:val="99"/>
    <w:semiHidden/>
    <w:rsid w:val="0003491C"/>
    <w:rPr>
      <w:rFonts w:cs="Arial"/>
      <w:sz w:val="20"/>
      <w:szCs w:val="20"/>
      <w:lang w:eastAsia="en-AU"/>
    </w:rPr>
  </w:style>
  <w:style w:type="character" w:customStyle="1" w:styleId="CommentTextChar">
    <w:name w:val="Comment Text Char"/>
    <w:basedOn w:val="DefaultParagraphFont"/>
    <w:link w:val="CommentText"/>
    <w:uiPriority w:val="99"/>
    <w:semiHidden/>
    <w:rsid w:val="0003491C"/>
    <w:rPr>
      <w:rFonts w:eastAsia="Times New Roman" w:cs="Arial"/>
      <w:color w:val="000000" w:themeColor="text1"/>
      <w:sz w:val="20"/>
      <w:szCs w:val="20"/>
      <w:lang w:eastAsia="en-AU"/>
    </w:rPr>
  </w:style>
  <w:style w:type="paragraph" w:styleId="EndnoteText">
    <w:name w:val="endnote text"/>
    <w:basedOn w:val="Normal"/>
    <w:link w:val="EndnoteTextChar"/>
    <w:uiPriority w:val="99"/>
    <w:unhideWhenUsed/>
    <w:rsid w:val="00F10472"/>
    <w:rPr>
      <w:rFonts w:eastAsiaTheme="minorEastAsia"/>
      <w:sz w:val="20"/>
      <w:szCs w:val="20"/>
      <w:lang w:eastAsia="en-AU"/>
    </w:rPr>
  </w:style>
  <w:style w:type="character" w:customStyle="1" w:styleId="EndnoteTextChar">
    <w:name w:val="Endnote Text Char"/>
    <w:basedOn w:val="DefaultParagraphFont"/>
    <w:link w:val="EndnoteText"/>
    <w:uiPriority w:val="99"/>
    <w:rsid w:val="00F10472"/>
    <w:rPr>
      <w:rFonts w:eastAsiaTheme="minorEastAsia"/>
      <w:sz w:val="20"/>
      <w:szCs w:val="20"/>
      <w:lang w:eastAsia="en-AU"/>
    </w:rPr>
  </w:style>
  <w:style w:type="character" w:styleId="EndnoteReference">
    <w:name w:val="endnote reference"/>
    <w:basedOn w:val="DefaultParagraphFont"/>
    <w:uiPriority w:val="99"/>
    <w:semiHidden/>
    <w:unhideWhenUsed/>
    <w:rsid w:val="00F10472"/>
    <w:rPr>
      <w:vertAlign w:val="superscript"/>
    </w:rPr>
  </w:style>
  <w:style w:type="table" w:customStyle="1" w:styleId="GridTable4-Accent11">
    <w:name w:val="Grid Table 4 - Accent 11"/>
    <w:basedOn w:val="TableNormal"/>
    <w:uiPriority w:val="49"/>
    <w:rsid w:val="00902B01"/>
    <w:rPr>
      <w:rFonts w:eastAsiaTheme="minorEastAsia"/>
      <w:sz w:val="22"/>
      <w:szCs w:val="22"/>
      <w:lang w:eastAsia="en-GB"/>
    </w:rPr>
    <w:tblPr>
      <w:tblStyleRowBandSize w:val="1"/>
      <w:tblStyleColBandSize w:val="1"/>
      <w:tblBorders>
        <w:top w:val="single" w:sz="4" w:space="0" w:color="BEE6EA" w:themeColor="accent1" w:themeTint="99"/>
        <w:left w:val="single" w:sz="4" w:space="0" w:color="BEE6EA" w:themeColor="accent1" w:themeTint="99"/>
        <w:bottom w:val="single" w:sz="4" w:space="0" w:color="BEE6EA" w:themeColor="accent1" w:themeTint="99"/>
        <w:right w:val="single" w:sz="4" w:space="0" w:color="BEE6EA" w:themeColor="accent1" w:themeTint="99"/>
        <w:insideH w:val="single" w:sz="4" w:space="0" w:color="BEE6EA" w:themeColor="accent1" w:themeTint="99"/>
        <w:insideV w:val="single" w:sz="4" w:space="0" w:color="BEE6EA" w:themeColor="accent1" w:themeTint="99"/>
      </w:tblBorders>
    </w:tblPr>
    <w:tblStylePr w:type="firstRow">
      <w:rPr>
        <w:b/>
        <w:bCs/>
        <w:color w:val="FFFFFF" w:themeColor="background1"/>
      </w:rPr>
      <w:tblPr/>
      <w:tcPr>
        <w:tcBorders>
          <w:top w:val="single" w:sz="4" w:space="0" w:color="94D6DC" w:themeColor="accent1"/>
          <w:left w:val="single" w:sz="4" w:space="0" w:color="94D6DC" w:themeColor="accent1"/>
          <w:bottom w:val="single" w:sz="4" w:space="0" w:color="94D6DC" w:themeColor="accent1"/>
          <w:right w:val="single" w:sz="4" w:space="0" w:color="94D6DC" w:themeColor="accent1"/>
          <w:insideH w:val="nil"/>
          <w:insideV w:val="nil"/>
        </w:tcBorders>
        <w:shd w:val="clear" w:color="auto" w:fill="94D6DC" w:themeFill="accent1"/>
      </w:tcPr>
    </w:tblStylePr>
    <w:tblStylePr w:type="lastRow">
      <w:rPr>
        <w:b/>
        <w:bCs/>
      </w:rPr>
      <w:tblPr/>
      <w:tcPr>
        <w:tcBorders>
          <w:top w:val="double" w:sz="4" w:space="0" w:color="94D6DC" w:themeColor="accent1"/>
        </w:tcBorders>
      </w:tcPr>
    </w:tblStylePr>
    <w:tblStylePr w:type="firstCol">
      <w:rPr>
        <w:b/>
        <w:bCs/>
      </w:rPr>
    </w:tblStylePr>
    <w:tblStylePr w:type="lastCol">
      <w:rPr>
        <w:b/>
        <w:bCs/>
      </w:rPr>
    </w:tblStylePr>
    <w:tblStylePr w:type="band1Vert">
      <w:tblPr/>
      <w:tcPr>
        <w:shd w:val="clear" w:color="auto" w:fill="E9F6F8" w:themeFill="accent1" w:themeFillTint="33"/>
      </w:tcPr>
    </w:tblStylePr>
    <w:tblStylePr w:type="band1Horz">
      <w:tblPr/>
      <w:tcPr>
        <w:shd w:val="clear" w:color="auto" w:fill="E9F6F8" w:themeFill="accent1" w:themeFillTint="33"/>
      </w:tcPr>
    </w:tblStylePr>
  </w:style>
  <w:style w:type="paragraph" w:styleId="CommentSubject">
    <w:name w:val="annotation subject"/>
    <w:basedOn w:val="CommentText"/>
    <w:next w:val="CommentText"/>
    <w:link w:val="CommentSubjectChar"/>
    <w:uiPriority w:val="99"/>
    <w:semiHidden/>
    <w:unhideWhenUsed/>
    <w:rsid w:val="00B94787"/>
    <w:rPr>
      <w:rFonts w:ascii="Times New Roman" w:eastAsiaTheme="minorHAnsi" w:hAnsi="Times New Roman" w:cstheme="minorBidi"/>
      <w:b/>
      <w:bCs/>
      <w:color w:val="auto"/>
      <w:lang w:eastAsia="en-US"/>
    </w:rPr>
  </w:style>
  <w:style w:type="character" w:customStyle="1" w:styleId="CommentSubjectChar">
    <w:name w:val="Comment Subject Char"/>
    <w:basedOn w:val="CommentTextChar"/>
    <w:link w:val="CommentSubject"/>
    <w:uiPriority w:val="99"/>
    <w:semiHidden/>
    <w:rsid w:val="00B94787"/>
    <w:rPr>
      <w:rFonts w:ascii="Times New Roman" w:eastAsia="Times New Roman" w:hAnsi="Times New Roman" w:cs="Arial"/>
      <w:b/>
      <w:bCs/>
      <w:color w:val="000000" w:themeColor="text1"/>
      <w:sz w:val="20"/>
      <w:szCs w:val="20"/>
      <w:lang w:eastAsia="en-AU"/>
    </w:rPr>
  </w:style>
  <w:style w:type="table" w:styleId="TableSimple2">
    <w:name w:val="Table Simple 2"/>
    <w:basedOn w:val="TableNormal"/>
    <w:rsid w:val="00D444D4"/>
    <w:pPr>
      <w:spacing w:line="240" w:lineRule="atLeast"/>
    </w:pPr>
    <w:rPr>
      <w:rFonts w:eastAsia="Times New Roman" w:cs="Arial"/>
      <w:color w:val="000000" w:themeColor="text1"/>
      <w:sz w:val="16"/>
      <w:szCs w:val="20"/>
      <w:lang w:eastAsia="en-AU"/>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44546A"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styleId="Revision">
    <w:name w:val="Revision"/>
    <w:hidden/>
    <w:uiPriority w:val="99"/>
    <w:semiHidden/>
    <w:rsid w:val="00A70ED6"/>
    <w:rPr>
      <w:sz w:val="22"/>
    </w:rPr>
  </w:style>
  <w:style w:type="paragraph" w:customStyle="1" w:styleId="Heading2-Contenttable">
    <w:name w:val="Heading 2-Content table"/>
    <w:qFormat/>
    <w:rsid w:val="0078752E"/>
    <w:pPr>
      <w:outlineLvl w:val="1"/>
    </w:pPr>
    <w:rPr>
      <w:rFonts w:asciiTheme="majorHAnsi" w:eastAsiaTheme="majorEastAsia" w:hAnsiTheme="majorHAnsi" w:cstheme="majorBidi"/>
      <w:b/>
      <w:color w:val="642667"/>
      <w:sz w:val="28"/>
    </w:rPr>
  </w:style>
  <w:style w:type="character" w:styleId="Hyperlink">
    <w:name w:val="Hyperlink"/>
    <w:basedOn w:val="DefaultParagraphFont"/>
    <w:uiPriority w:val="99"/>
    <w:unhideWhenUsed/>
    <w:rsid w:val="00CD790F"/>
    <w:rPr>
      <w:color w:val="0563C1" w:themeColor="hyperlink"/>
      <w:u w:val="single"/>
    </w:rPr>
  </w:style>
  <w:style w:type="character" w:styleId="UnresolvedMention">
    <w:name w:val="Unresolved Mention"/>
    <w:basedOn w:val="DefaultParagraphFont"/>
    <w:uiPriority w:val="99"/>
    <w:semiHidden/>
    <w:unhideWhenUsed/>
    <w:rsid w:val="00CD790F"/>
    <w:rPr>
      <w:color w:val="605E5C"/>
      <w:shd w:val="clear" w:color="auto" w:fill="E1DFDD"/>
    </w:rPr>
  </w:style>
  <w:style w:type="paragraph" w:customStyle="1" w:styleId="Pa33">
    <w:name w:val="Pa33"/>
    <w:basedOn w:val="Normal"/>
    <w:next w:val="Normal"/>
    <w:uiPriority w:val="99"/>
    <w:rsid w:val="00367EAE"/>
    <w:pPr>
      <w:autoSpaceDE w:val="0"/>
      <w:autoSpaceDN w:val="0"/>
      <w:adjustRightInd w:val="0"/>
      <w:spacing w:line="161" w:lineRule="atLeast"/>
    </w:pPr>
    <w:rPr>
      <w:rFonts w:ascii="Network Sans Light" w:eastAsiaTheme="minorHAnsi" w:hAnsi="Network Sans Light" w:cstheme="minorBidi"/>
    </w:rPr>
  </w:style>
  <w:style w:type="table" w:styleId="GridTable4-Accent1">
    <w:name w:val="Grid Table 4 Accent 1"/>
    <w:basedOn w:val="TableNormal"/>
    <w:uiPriority w:val="49"/>
    <w:rsid w:val="0097714A"/>
    <w:tblPr>
      <w:tblStyleRowBandSize w:val="1"/>
      <w:tblStyleColBandSize w:val="1"/>
      <w:tblBorders>
        <w:top w:val="single" w:sz="4" w:space="0" w:color="BEE6EA" w:themeColor="accent1" w:themeTint="99"/>
        <w:left w:val="single" w:sz="4" w:space="0" w:color="BEE6EA" w:themeColor="accent1" w:themeTint="99"/>
        <w:bottom w:val="single" w:sz="4" w:space="0" w:color="BEE6EA" w:themeColor="accent1" w:themeTint="99"/>
        <w:right w:val="single" w:sz="4" w:space="0" w:color="BEE6EA" w:themeColor="accent1" w:themeTint="99"/>
        <w:insideH w:val="single" w:sz="4" w:space="0" w:color="BEE6EA" w:themeColor="accent1" w:themeTint="99"/>
        <w:insideV w:val="single" w:sz="4" w:space="0" w:color="BEE6EA" w:themeColor="accent1" w:themeTint="99"/>
      </w:tblBorders>
    </w:tblPr>
    <w:tblStylePr w:type="firstRow">
      <w:rPr>
        <w:b/>
        <w:bCs/>
        <w:color w:val="FFFFFF" w:themeColor="background1"/>
      </w:rPr>
      <w:tblPr/>
      <w:tcPr>
        <w:tcBorders>
          <w:top w:val="single" w:sz="4" w:space="0" w:color="94D6DC" w:themeColor="accent1"/>
          <w:left w:val="single" w:sz="4" w:space="0" w:color="94D6DC" w:themeColor="accent1"/>
          <w:bottom w:val="single" w:sz="4" w:space="0" w:color="94D6DC" w:themeColor="accent1"/>
          <w:right w:val="single" w:sz="4" w:space="0" w:color="94D6DC" w:themeColor="accent1"/>
          <w:insideH w:val="nil"/>
          <w:insideV w:val="nil"/>
        </w:tcBorders>
        <w:shd w:val="clear" w:color="auto" w:fill="94D6DC" w:themeFill="accent1"/>
      </w:tcPr>
    </w:tblStylePr>
    <w:tblStylePr w:type="lastRow">
      <w:rPr>
        <w:b/>
        <w:bCs/>
      </w:rPr>
      <w:tblPr/>
      <w:tcPr>
        <w:tcBorders>
          <w:top w:val="double" w:sz="4" w:space="0" w:color="94D6DC" w:themeColor="accent1"/>
        </w:tcBorders>
      </w:tcPr>
    </w:tblStylePr>
    <w:tblStylePr w:type="firstCol">
      <w:rPr>
        <w:b/>
        <w:bCs/>
      </w:rPr>
    </w:tblStylePr>
    <w:tblStylePr w:type="lastCol">
      <w:rPr>
        <w:b/>
        <w:bCs/>
      </w:rPr>
    </w:tblStylePr>
    <w:tblStylePr w:type="band1Vert">
      <w:tblPr/>
      <w:tcPr>
        <w:shd w:val="clear" w:color="auto" w:fill="E9F6F8" w:themeFill="accent1" w:themeFillTint="33"/>
      </w:tcPr>
    </w:tblStylePr>
    <w:tblStylePr w:type="band1Horz">
      <w:tblPr/>
      <w:tcPr>
        <w:shd w:val="clear" w:color="auto" w:fill="E9F6F8" w:themeFill="accent1" w:themeFillTint="33"/>
      </w:tcPr>
    </w:tblStylePr>
  </w:style>
  <w:style w:type="table" w:styleId="GridTable4-Accent5">
    <w:name w:val="Grid Table 4 Accent 5"/>
    <w:basedOn w:val="TableNormal"/>
    <w:uiPriority w:val="49"/>
    <w:rsid w:val="0097714A"/>
    <w:tblPr>
      <w:tblStyleRowBandSize w:val="1"/>
      <w:tblStyleColBandSize w:val="1"/>
      <w:tblBorders>
        <w:top w:val="single" w:sz="4" w:space="0" w:color="2CBEF2" w:themeColor="accent5" w:themeTint="99"/>
        <w:left w:val="single" w:sz="4" w:space="0" w:color="2CBEF2" w:themeColor="accent5" w:themeTint="99"/>
        <w:bottom w:val="single" w:sz="4" w:space="0" w:color="2CBEF2" w:themeColor="accent5" w:themeTint="99"/>
        <w:right w:val="single" w:sz="4" w:space="0" w:color="2CBEF2" w:themeColor="accent5" w:themeTint="99"/>
        <w:insideH w:val="single" w:sz="4" w:space="0" w:color="2CBEF2" w:themeColor="accent5" w:themeTint="99"/>
        <w:insideV w:val="single" w:sz="4" w:space="0" w:color="2CBEF2" w:themeColor="accent5" w:themeTint="99"/>
      </w:tblBorders>
    </w:tblPr>
    <w:tblStylePr w:type="firstRow">
      <w:rPr>
        <w:b/>
        <w:bCs/>
        <w:color w:val="FFFFFF" w:themeColor="background1"/>
      </w:rPr>
      <w:tblPr/>
      <w:tcPr>
        <w:tcBorders>
          <w:top w:val="single" w:sz="4" w:space="0" w:color="086281" w:themeColor="accent5"/>
          <w:left w:val="single" w:sz="4" w:space="0" w:color="086281" w:themeColor="accent5"/>
          <w:bottom w:val="single" w:sz="4" w:space="0" w:color="086281" w:themeColor="accent5"/>
          <w:right w:val="single" w:sz="4" w:space="0" w:color="086281" w:themeColor="accent5"/>
          <w:insideH w:val="nil"/>
          <w:insideV w:val="nil"/>
        </w:tcBorders>
        <w:shd w:val="clear" w:color="auto" w:fill="086281" w:themeFill="accent5"/>
      </w:tcPr>
    </w:tblStylePr>
    <w:tblStylePr w:type="lastRow">
      <w:rPr>
        <w:b/>
        <w:bCs/>
      </w:rPr>
      <w:tblPr/>
      <w:tcPr>
        <w:tcBorders>
          <w:top w:val="double" w:sz="4" w:space="0" w:color="086281" w:themeColor="accent5"/>
        </w:tcBorders>
      </w:tcPr>
    </w:tblStylePr>
    <w:tblStylePr w:type="firstCol">
      <w:rPr>
        <w:b/>
        <w:bCs/>
      </w:rPr>
    </w:tblStylePr>
    <w:tblStylePr w:type="lastCol">
      <w:rPr>
        <w:b/>
        <w:bCs/>
      </w:rPr>
    </w:tblStylePr>
    <w:tblStylePr w:type="band1Vert">
      <w:tblPr/>
      <w:tcPr>
        <w:shd w:val="clear" w:color="auto" w:fill="B8E9FA" w:themeFill="accent5" w:themeFillTint="33"/>
      </w:tcPr>
    </w:tblStylePr>
    <w:tblStylePr w:type="band1Horz">
      <w:tblPr/>
      <w:tcPr>
        <w:shd w:val="clear" w:color="auto" w:fill="B8E9FA" w:themeFill="accent5" w:themeFillTint="33"/>
      </w:tcPr>
    </w:tblStylePr>
  </w:style>
  <w:style w:type="table" w:styleId="PlainTable2">
    <w:name w:val="Plain Table 2"/>
    <w:basedOn w:val="TableNormal"/>
    <w:uiPriority w:val="42"/>
    <w:rsid w:val="0097714A"/>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normaltextrun">
    <w:name w:val="normaltextrun"/>
    <w:basedOn w:val="DefaultParagraphFont"/>
    <w:rsid w:val="0097714A"/>
  </w:style>
  <w:style w:type="paragraph" w:customStyle="1" w:styleId="paragraph">
    <w:name w:val="paragraph"/>
    <w:basedOn w:val="Normal"/>
    <w:rsid w:val="0097714A"/>
    <w:pPr>
      <w:spacing w:before="100" w:beforeAutospacing="1" w:after="100" w:afterAutospacing="1"/>
    </w:pPr>
    <w:rPr>
      <w:lang w:eastAsia="en-AU"/>
    </w:rPr>
  </w:style>
  <w:style w:type="table" w:styleId="GridTable1Light-Accent1">
    <w:name w:val="Grid Table 1 Light Accent 1"/>
    <w:basedOn w:val="TableNormal"/>
    <w:uiPriority w:val="46"/>
    <w:rsid w:val="002A5B72"/>
    <w:tblPr>
      <w:tblStyleRowBandSize w:val="1"/>
      <w:tblStyleColBandSize w:val="1"/>
      <w:tblBorders>
        <w:top w:val="single" w:sz="4" w:space="0" w:color="D4EEF1" w:themeColor="accent1" w:themeTint="66"/>
        <w:left w:val="single" w:sz="4" w:space="0" w:color="D4EEF1" w:themeColor="accent1" w:themeTint="66"/>
        <w:bottom w:val="single" w:sz="4" w:space="0" w:color="D4EEF1" w:themeColor="accent1" w:themeTint="66"/>
        <w:right w:val="single" w:sz="4" w:space="0" w:color="D4EEF1" w:themeColor="accent1" w:themeTint="66"/>
        <w:insideH w:val="single" w:sz="4" w:space="0" w:color="D4EEF1" w:themeColor="accent1" w:themeTint="66"/>
        <w:insideV w:val="single" w:sz="4" w:space="0" w:color="D4EEF1" w:themeColor="accent1" w:themeTint="66"/>
      </w:tblBorders>
    </w:tblPr>
    <w:tblStylePr w:type="firstRow">
      <w:rPr>
        <w:b/>
        <w:bCs/>
      </w:rPr>
      <w:tblPr/>
      <w:tcPr>
        <w:tcBorders>
          <w:bottom w:val="single" w:sz="12" w:space="0" w:color="BEE6EA" w:themeColor="accent1" w:themeTint="99"/>
        </w:tcBorders>
      </w:tcPr>
    </w:tblStylePr>
    <w:tblStylePr w:type="lastRow">
      <w:rPr>
        <w:b/>
        <w:bCs/>
      </w:rPr>
      <w:tblPr/>
      <w:tcPr>
        <w:tcBorders>
          <w:top w:val="double" w:sz="2" w:space="0" w:color="BEE6EA" w:themeColor="accent1"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2A5B72"/>
    <w:tblPr>
      <w:tblStyleRowBandSize w:val="1"/>
      <w:tblStyleColBandSize w:val="1"/>
      <w:tblBorders>
        <w:top w:val="single" w:sz="2" w:space="0" w:color="BEE6EA" w:themeColor="accent1" w:themeTint="99"/>
        <w:bottom w:val="single" w:sz="2" w:space="0" w:color="BEE6EA" w:themeColor="accent1" w:themeTint="99"/>
        <w:insideH w:val="single" w:sz="2" w:space="0" w:color="BEE6EA" w:themeColor="accent1" w:themeTint="99"/>
        <w:insideV w:val="single" w:sz="2" w:space="0" w:color="BEE6EA" w:themeColor="accent1" w:themeTint="99"/>
      </w:tblBorders>
    </w:tblPr>
    <w:tblStylePr w:type="firstRow">
      <w:rPr>
        <w:b/>
        <w:bCs/>
      </w:rPr>
      <w:tblPr/>
      <w:tcPr>
        <w:tcBorders>
          <w:top w:val="nil"/>
          <w:bottom w:val="single" w:sz="12" w:space="0" w:color="BEE6EA" w:themeColor="accent1" w:themeTint="99"/>
          <w:insideH w:val="nil"/>
          <w:insideV w:val="nil"/>
        </w:tcBorders>
        <w:shd w:val="clear" w:color="auto" w:fill="FFFFFF" w:themeFill="background1"/>
      </w:tcPr>
    </w:tblStylePr>
    <w:tblStylePr w:type="lastRow">
      <w:rPr>
        <w:b/>
        <w:bCs/>
      </w:rPr>
      <w:tblPr/>
      <w:tcPr>
        <w:tcBorders>
          <w:top w:val="double" w:sz="2" w:space="0" w:color="BEE6EA"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F6F8" w:themeFill="accent1" w:themeFillTint="33"/>
      </w:tcPr>
    </w:tblStylePr>
    <w:tblStylePr w:type="band1Horz">
      <w:tblPr/>
      <w:tcPr>
        <w:shd w:val="clear" w:color="auto" w:fill="E9F6F8" w:themeFill="accent1" w:themeFillTint="33"/>
      </w:tcPr>
    </w:tblStylePr>
  </w:style>
  <w:style w:type="character" w:styleId="PlaceholderText">
    <w:name w:val="Placeholder Text"/>
    <w:basedOn w:val="DefaultParagraphFont"/>
    <w:uiPriority w:val="99"/>
    <w:semiHidden/>
    <w:rsid w:val="002A5B72"/>
    <w:rPr>
      <w:color w:val="808080"/>
    </w:rPr>
  </w:style>
  <w:style w:type="table" w:styleId="GridTable4">
    <w:name w:val="Grid Table 4"/>
    <w:basedOn w:val="TableNormal"/>
    <w:uiPriority w:val="49"/>
    <w:rsid w:val="0075498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5Char">
    <w:name w:val="Heading 5 Char"/>
    <w:aliases w:val="Table and Charts Heading Char"/>
    <w:basedOn w:val="DefaultParagraphFont"/>
    <w:link w:val="Heading5"/>
    <w:uiPriority w:val="9"/>
    <w:rsid w:val="0008685F"/>
    <w:rPr>
      <w:rFonts w:eastAsiaTheme="majorEastAsia" w:cstheme="majorBidi"/>
      <w:b/>
      <w:color w:val="642667"/>
      <w:sz w:val="20"/>
    </w:rPr>
  </w:style>
  <w:style w:type="paragraph" w:styleId="Quote">
    <w:name w:val="Quote"/>
    <w:aliases w:val="Source"/>
    <w:basedOn w:val="Normal"/>
    <w:next w:val="Normal"/>
    <w:link w:val="QuoteChar"/>
    <w:uiPriority w:val="29"/>
    <w:qFormat/>
    <w:rsid w:val="002C1CD4"/>
    <w:pPr>
      <w:spacing w:after="120"/>
    </w:pPr>
    <w:rPr>
      <w:i/>
      <w:iCs/>
      <w:color w:val="404040" w:themeColor="text1" w:themeTint="BF"/>
      <w:sz w:val="18"/>
    </w:rPr>
  </w:style>
  <w:style w:type="character" w:customStyle="1" w:styleId="QuoteChar">
    <w:name w:val="Quote Char"/>
    <w:aliases w:val="Source Char"/>
    <w:basedOn w:val="DefaultParagraphFont"/>
    <w:link w:val="Quote"/>
    <w:uiPriority w:val="29"/>
    <w:rsid w:val="002C1CD4"/>
    <w:rPr>
      <w:rFonts w:eastAsia="Times New Roman" w:cs="Times New Roman"/>
      <w:i/>
      <w:iCs/>
      <w:color w:val="404040" w:themeColor="text1" w:themeTint="BF"/>
      <w:sz w:val="18"/>
    </w:rPr>
  </w:style>
  <w:style w:type="paragraph" w:styleId="Subtitle">
    <w:name w:val="Subtitle"/>
    <w:basedOn w:val="Normal"/>
    <w:next w:val="Normal"/>
    <w:link w:val="SubtitleChar"/>
    <w:uiPriority w:val="11"/>
    <w:rsid w:val="00075B79"/>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rsid w:val="00075B79"/>
    <w:rPr>
      <w:rFonts w:eastAsiaTheme="minorEastAsia"/>
      <w:color w:val="5A5A5A" w:themeColor="text1" w:themeTint="A5"/>
      <w:spacing w:val="15"/>
      <w:sz w:val="22"/>
      <w:szCs w:val="22"/>
    </w:rPr>
  </w:style>
  <w:style w:type="table" w:styleId="TableGridLight">
    <w:name w:val="Grid Table Light"/>
    <w:basedOn w:val="TableNormal"/>
    <w:uiPriority w:val="40"/>
    <w:rsid w:val="00D3429D"/>
    <w:rPr>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odyText12ptBefore">
    <w:name w:val="Body Text 12pt Before"/>
    <w:basedOn w:val="BodyText"/>
    <w:next w:val="BodyText"/>
    <w:rsid w:val="00F676EA"/>
    <w:pPr>
      <w:spacing w:before="240"/>
    </w:pPr>
    <w:rPr>
      <w:rFonts w:cs="Times New Roman"/>
    </w:rPr>
  </w:style>
  <w:style w:type="paragraph" w:customStyle="1" w:styleId="Default">
    <w:name w:val="Default"/>
    <w:rsid w:val="00F676EA"/>
    <w:pPr>
      <w:autoSpaceDE w:val="0"/>
      <w:autoSpaceDN w:val="0"/>
      <w:adjustRightInd w:val="0"/>
    </w:pPr>
    <w:rPr>
      <w:rFonts w:ascii="Arial" w:hAnsi="Arial" w:cs="Arial"/>
      <w:color w:val="000000"/>
    </w:rPr>
  </w:style>
  <w:style w:type="character" w:customStyle="1" w:styleId="apple-converted-space">
    <w:name w:val="apple-converted-space"/>
    <w:basedOn w:val="DefaultParagraphFont"/>
    <w:rsid w:val="00A842C3"/>
  </w:style>
  <w:style w:type="character" w:customStyle="1" w:styleId="eop">
    <w:name w:val="eop"/>
    <w:basedOn w:val="DefaultParagraphFont"/>
    <w:rsid w:val="00575B55"/>
  </w:style>
  <w:style w:type="paragraph" w:customStyle="1" w:styleId="xDisclaimertext3">
    <w:name w:val="xDisclaimer text 3"/>
    <w:basedOn w:val="xDisclaimerText"/>
    <w:rsid w:val="000F6992"/>
    <w:pPr>
      <w:spacing w:before="60" w:after="60"/>
    </w:pPr>
  </w:style>
  <w:style w:type="paragraph" w:customStyle="1" w:styleId="xDisclaimerHeading">
    <w:name w:val="xDisclaimer Heading"/>
    <w:basedOn w:val="Normal"/>
    <w:rsid w:val="000F6992"/>
    <w:pPr>
      <w:spacing w:before="170" w:after="20" w:line="170" w:lineRule="atLeast"/>
    </w:pPr>
    <w:rPr>
      <w:rFonts w:cs="Arial"/>
      <w:b/>
      <w:sz w:val="16"/>
      <w:szCs w:val="20"/>
      <w:lang w:eastAsia="en-AU"/>
    </w:rPr>
  </w:style>
  <w:style w:type="paragraph" w:customStyle="1" w:styleId="xDisclaimerText">
    <w:name w:val="xDisclaimer Text"/>
    <w:basedOn w:val="Normal"/>
    <w:rsid w:val="000F6992"/>
    <w:pPr>
      <w:spacing w:line="175" w:lineRule="atLeast"/>
    </w:pPr>
    <w:rPr>
      <w:rFonts w:cs="Arial"/>
      <w:sz w:val="16"/>
      <w:szCs w:val="20"/>
      <w:lang w:eastAsia="en-AU"/>
    </w:rPr>
  </w:style>
  <w:style w:type="paragraph" w:customStyle="1" w:styleId="xAccessibilityHeading">
    <w:name w:val="xAccessibility Heading"/>
    <w:basedOn w:val="Normal"/>
    <w:semiHidden/>
    <w:qFormat/>
    <w:rsid w:val="000F6992"/>
    <w:pPr>
      <w:spacing w:before="170" w:after="20" w:line="300" w:lineRule="exact"/>
    </w:pPr>
    <w:rPr>
      <w:rFonts w:ascii="Times New Roman" w:hAnsi="Times New Roman" w:cs="Arial"/>
      <w:b/>
      <w:color w:val="auto"/>
      <w:sz w:val="24"/>
      <w:szCs w:val="20"/>
      <w:lang w:eastAsia="en-AU"/>
    </w:rPr>
  </w:style>
  <w:style w:type="paragraph" w:styleId="ListNumber">
    <w:name w:val="List Number"/>
    <w:basedOn w:val="Normal"/>
    <w:qFormat/>
    <w:rsid w:val="00294552"/>
    <w:pPr>
      <w:tabs>
        <w:tab w:val="num" w:pos="340"/>
      </w:tabs>
      <w:spacing w:before="120" w:after="120" w:line="240" w:lineRule="atLeast"/>
      <w:ind w:left="340" w:hanging="340"/>
    </w:pPr>
    <w:rPr>
      <w:rFonts w:eastAsia="SimSun" w:cs="Arial"/>
      <w:sz w:val="20"/>
      <w:szCs w:val="20"/>
      <w:lang w:eastAsia="en-AU"/>
    </w:rPr>
  </w:style>
  <w:style w:type="paragraph" w:styleId="ListNumber2">
    <w:name w:val="List Number 2"/>
    <w:basedOn w:val="Normal"/>
    <w:qFormat/>
    <w:rsid w:val="00294552"/>
    <w:pPr>
      <w:tabs>
        <w:tab w:val="num" w:pos="680"/>
      </w:tabs>
      <w:spacing w:before="120" w:after="120" w:line="240" w:lineRule="atLeast"/>
      <w:ind w:left="680" w:hanging="340"/>
    </w:pPr>
    <w:rPr>
      <w:rFonts w:eastAsia="SimSun" w:cs="Arial"/>
      <w:sz w:val="20"/>
      <w:szCs w:val="20"/>
      <w:lang w:eastAsia="en-AU"/>
    </w:rPr>
  </w:style>
  <w:style w:type="paragraph" w:styleId="ListNumber3">
    <w:name w:val="List Number 3"/>
    <w:basedOn w:val="Normal"/>
    <w:qFormat/>
    <w:rsid w:val="00294552"/>
    <w:pPr>
      <w:tabs>
        <w:tab w:val="num" w:pos="1049"/>
      </w:tabs>
      <w:spacing w:before="120" w:after="120" w:line="240" w:lineRule="atLeast"/>
      <w:ind w:left="1049" w:hanging="369"/>
    </w:pPr>
    <w:rPr>
      <w:rFonts w:eastAsia="SimSun" w:cs="Arial"/>
      <w:sz w:val="20"/>
      <w:szCs w:val="20"/>
      <w:lang w:eastAsia="en-AU"/>
    </w:rPr>
  </w:style>
  <w:style w:type="paragraph" w:customStyle="1" w:styleId="QuoteBullet">
    <w:name w:val="Quote Bullet"/>
    <w:basedOn w:val="Quote"/>
    <w:qFormat/>
    <w:rsid w:val="00294552"/>
    <w:pPr>
      <w:numPr>
        <w:numId w:val="83"/>
      </w:numPr>
      <w:tabs>
        <w:tab w:val="left" w:pos="1134"/>
      </w:tabs>
      <w:spacing w:before="120" w:line="240" w:lineRule="atLeast"/>
    </w:pPr>
    <w:rPr>
      <w:rFonts w:ascii="Times New Roman" w:eastAsia="SimSun" w:hAnsi="Times New Roman" w:cs="Arial"/>
      <w:color w:val="000000" w:themeColor="text1"/>
      <w:sz w:val="20"/>
      <w:szCs w:val="20"/>
      <w:lang w:eastAsia="en-AU"/>
    </w:rPr>
  </w:style>
  <w:style w:type="paragraph" w:customStyle="1" w:styleId="QuoteBullet2">
    <w:name w:val="Quote Bullet 2"/>
    <w:basedOn w:val="Quote"/>
    <w:qFormat/>
    <w:rsid w:val="00294552"/>
    <w:pPr>
      <w:numPr>
        <w:ilvl w:val="1"/>
        <w:numId w:val="83"/>
      </w:numPr>
      <w:spacing w:before="120" w:line="240" w:lineRule="atLeast"/>
    </w:pPr>
    <w:rPr>
      <w:rFonts w:eastAsia="SimSun" w:cs="Arial"/>
      <w:color w:val="000000" w:themeColor="text1"/>
      <w:sz w:val="20"/>
      <w:szCs w:val="20"/>
      <w:lang w:eastAsia="en-AU"/>
    </w:rPr>
  </w:style>
  <w:style w:type="paragraph" w:customStyle="1" w:styleId="TableHeaderRow">
    <w:name w:val="Table Header Row"/>
    <w:basedOn w:val="Normal"/>
    <w:qFormat/>
    <w:rsid w:val="00AF1F24"/>
    <w:rPr>
      <w:rFonts w:cstheme="minorHAnsi"/>
      <w:b/>
      <w:bCs/>
      <w:color w:val="FFFFFF"/>
      <w:sz w:val="18"/>
      <w:szCs w:val="18"/>
      <w:lang w:eastAsia="en-AU"/>
    </w:rPr>
  </w:style>
  <w:style w:type="character" w:styleId="BookTitle">
    <w:name w:val="Book Title"/>
    <w:basedOn w:val="DefaultParagraphFont"/>
    <w:uiPriority w:val="33"/>
    <w:rsid w:val="000D583C"/>
    <w:rPr>
      <w:b/>
      <w:bCs/>
      <w:i/>
      <w:iCs/>
      <w:spacing w:val="5"/>
    </w:rPr>
  </w:style>
  <w:style w:type="paragraph" w:styleId="Title">
    <w:name w:val="Title"/>
    <w:basedOn w:val="Normal"/>
    <w:next w:val="Normal"/>
    <w:link w:val="TitleChar"/>
    <w:uiPriority w:val="10"/>
    <w:rsid w:val="000D583C"/>
    <w:pPr>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0D583C"/>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093255">
      <w:bodyDiv w:val="1"/>
      <w:marLeft w:val="0"/>
      <w:marRight w:val="0"/>
      <w:marTop w:val="0"/>
      <w:marBottom w:val="0"/>
      <w:divBdr>
        <w:top w:val="none" w:sz="0" w:space="0" w:color="auto"/>
        <w:left w:val="none" w:sz="0" w:space="0" w:color="auto"/>
        <w:bottom w:val="none" w:sz="0" w:space="0" w:color="auto"/>
        <w:right w:val="none" w:sz="0" w:space="0" w:color="auto"/>
      </w:divBdr>
    </w:div>
    <w:div w:id="24260392">
      <w:bodyDiv w:val="1"/>
      <w:marLeft w:val="0"/>
      <w:marRight w:val="0"/>
      <w:marTop w:val="0"/>
      <w:marBottom w:val="0"/>
      <w:divBdr>
        <w:top w:val="none" w:sz="0" w:space="0" w:color="auto"/>
        <w:left w:val="none" w:sz="0" w:space="0" w:color="auto"/>
        <w:bottom w:val="none" w:sz="0" w:space="0" w:color="auto"/>
        <w:right w:val="none" w:sz="0" w:space="0" w:color="auto"/>
      </w:divBdr>
    </w:div>
    <w:div w:id="26683450">
      <w:bodyDiv w:val="1"/>
      <w:marLeft w:val="0"/>
      <w:marRight w:val="0"/>
      <w:marTop w:val="0"/>
      <w:marBottom w:val="0"/>
      <w:divBdr>
        <w:top w:val="none" w:sz="0" w:space="0" w:color="auto"/>
        <w:left w:val="none" w:sz="0" w:space="0" w:color="auto"/>
        <w:bottom w:val="none" w:sz="0" w:space="0" w:color="auto"/>
        <w:right w:val="none" w:sz="0" w:space="0" w:color="auto"/>
      </w:divBdr>
    </w:div>
    <w:div w:id="33312350">
      <w:bodyDiv w:val="1"/>
      <w:marLeft w:val="0"/>
      <w:marRight w:val="0"/>
      <w:marTop w:val="0"/>
      <w:marBottom w:val="0"/>
      <w:divBdr>
        <w:top w:val="none" w:sz="0" w:space="0" w:color="auto"/>
        <w:left w:val="none" w:sz="0" w:space="0" w:color="auto"/>
        <w:bottom w:val="none" w:sz="0" w:space="0" w:color="auto"/>
        <w:right w:val="none" w:sz="0" w:space="0" w:color="auto"/>
      </w:divBdr>
    </w:div>
    <w:div w:id="34814411">
      <w:bodyDiv w:val="1"/>
      <w:marLeft w:val="0"/>
      <w:marRight w:val="0"/>
      <w:marTop w:val="0"/>
      <w:marBottom w:val="0"/>
      <w:divBdr>
        <w:top w:val="none" w:sz="0" w:space="0" w:color="auto"/>
        <w:left w:val="none" w:sz="0" w:space="0" w:color="auto"/>
        <w:bottom w:val="none" w:sz="0" w:space="0" w:color="auto"/>
        <w:right w:val="none" w:sz="0" w:space="0" w:color="auto"/>
      </w:divBdr>
    </w:div>
    <w:div w:id="47457097">
      <w:bodyDiv w:val="1"/>
      <w:marLeft w:val="0"/>
      <w:marRight w:val="0"/>
      <w:marTop w:val="0"/>
      <w:marBottom w:val="0"/>
      <w:divBdr>
        <w:top w:val="none" w:sz="0" w:space="0" w:color="auto"/>
        <w:left w:val="none" w:sz="0" w:space="0" w:color="auto"/>
        <w:bottom w:val="none" w:sz="0" w:space="0" w:color="auto"/>
        <w:right w:val="none" w:sz="0" w:space="0" w:color="auto"/>
      </w:divBdr>
    </w:div>
    <w:div w:id="51855639">
      <w:bodyDiv w:val="1"/>
      <w:marLeft w:val="0"/>
      <w:marRight w:val="0"/>
      <w:marTop w:val="0"/>
      <w:marBottom w:val="0"/>
      <w:divBdr>
        <w:top w:val="none" w:sz="0" w:space="0" w:color="auto"/>
        <w:left w:val="none" w:sz="0" w:space="0" w:color="auto"/>
        <w:bottom w:val="none" w:sz="0" w:space="0" w:color="auto"/>
        <w:right w:val="none" w:sz="0" w:space="0" w:color="auto"/>
      </w:divBdr>
    </w:div>
    <w:div w:id="52705566">
      <w:bodyDiv w:val="1"/>
      <w:marLeft w:val="0"/>
      <w:marRight w:val="0"/>
      <w:marTop w:val="0"/>
      <w:marBottom w:val="0"/>
      <w:divBdr>
        <w:top w:val="none" w:sz="0" w:space="0" w:color="auto"/>
        <w:left w:val="none" w:sz="0" w:space="0" w:color="auto"/>
        <w:bottom w:val="none" w:sz="0" w:space="0" w:color="auto"/>
        <w:right w:val="none" w:sz="0" w:space="0" w:color="auto"/>
      </w:divBdr>
    </w:div>
    <w:div w:id="55785110">
      <w:bodyDiv w:val="1"/>
      <w:marLeft w:val="0"/>
      <w:marRight w:val="0"/>
      <w:marTop w:val="0"/>
      <w:marBottom w:val="0"/>
      <w:divBdr>
        <w:top w:val="none" w:sz="0" w:space="0" w:color="auto"/>
        <w:left w:val="none" w:sz="0" w:space="0" w:color="auto"/>
        <w:bottom w:val="none" w:sz="0" w:space="0" w:color="auto"/>
        <w:right w:val="none" w:sz="0" w:space="0" w:color="auto"/>
      </w:divBdr>
    </w:div>
    <w:div w:id="56053481">
      <w:bodyDiv w:val="1"/>
      <w:marLeft w:val="0"/>
      <w:marRight w:val="0"/>
      <w:marTop w:val="0"/>
      <w:marBottom w:val="0"/>
      <w:divBdr>
        <w:top w:val="none" w:sz="0" w:space="0" w:color="auto"/>
        <w:left w:val="none" w:sz="0" w:space="0" w:color="auto"/>
        <w:bottom w:val="none" w:sz="0" w:space="0" w:color="auto"/>
        <w:right w:val="none" w:sz="0" w:space="0" w:color="auto"/>
      </w:divBdr>
    </w:div>
    <w:div w:id="57675976">
      <w:bodyDiv w:val="1"/>
      <w:marLeft w:val="0"/>
      <w:marRight w:val="0"/>
      <w:marTop w:val="0"/>
      <w:marBottom w:val="0"/>
      <w:divBdr>
        <w:top w:val="none" w:sz="0" w:space="0" w:color="auto"/>
        <w:left w:val="none" w:sz="0" w:space="0" w:color="auto"/>
        <w:bottom w:val="none" w:sz="0" w:space="0" w:color="auto"/>
        <w:right w:val="none" w:sz="0" w:space="0" w:color="auto"/>
      </w:divBdr>
    </w:div>
    <w:div w:id="63988495">
      <w:bodyDiv w:val="1"/>
      <w:marLeft w:val="0"/>
      <w:marRight w:val="0"/>
      <w:marTop w:val="0"/>
      <w:marBottom w:val="0"/>
      <w:divBdr>
        <w:top w:val="none" w:sz="0" w:space="0" w:color="auto"/>
        <w:left w:val="none" w:sz="0" w:space="0" w:color="auto"/>
        <w:bottom w:val="none" w:sz="0" w:space="0" w:color="auto"/>
        <w:right w:val="none" w:sz="0" w:space="0" w:color="auto"/>
      </w:divBdr>
    </w:div>
    <w:div w:id="68427400">
      <w:bodyDiv w:val="1"/>
      <w:marLeft w:val="0"/>
      <w:marRight w:val="0"/>
      <w:marTop w:val="0"/>
      <w:marBottom w:val="0"/>
      <w:divBdr>
        <w:top w:val="none" w:sz="0" w:space="0" w:color="auto"/>
        <w:left w:val="none" w:sz="0" w:space="0" w:color="auto"/>
        <w:bottom w:val="none" w:sz="0" w:space="0" w:color="auto"/>
        <w:right w:val="none" w:sz="0" w:space="0" w:color="auto"/>
      </w:divBdr>
    </w:div>
    <w:div w:id="80763386">
      <w:bodyDiv w:val="1"/>
      <w:marLeft w:val="0"/>
      <w:marRight w:val="0"/>
      <w:marTop w:val="0"/>
      <w:marBottom w:val="0"/>
      <w:divBdr>
        <w:top w:val="none" w:sz="0" w:space="0" w:color="auto"/>
        <w:left w:val="none" w:sz="0" w:space="0" w:color="auto"/>
        <w:bottom w:val="none" w:sz="0" w:space="0" w:color="auto"/>
        <w:right w:val="none" w:sz="0" w:space="0" w:color="auto"/>
      </w:divBdr>
    </w:div>
    <w:div w:id="90275833">
      <w:bodyDiv w:val="1"/>
      <w:marLeft w:val="0"/>
      <w:marRight w:val="0"/>
      <w:marTop w:val="0"/>
      <w:marBottom w:val="0"/>
      <w:divBdr>
        <w:top w:val="none" w:sz="0" w:space="0" w:color="auto"/>
        <w:left w:val="none" w:sz="0" w:space="0" w:color="auto"/>
        <w:bottom w:val="none" w:sz="0" w:space="0" w:color="auto"/>
        <w:right w:val="none" w:sz="0" w:space="0" w:color="auto"/>
      </w:divBdr>
    </w:div>
    <w:div w:id="108866334">
      <w:bodyDiv w:val="1"/>
      <w:marLeft w:val="0"/>
      <w:marRight w:val="0"/>
      <w:marTop w:val="0"/>
      <w:marBottom w:val="0"/>
      <w:divBdr>
        <w:top w:val="none" w:sz="0" w:space="0" w:color="auto"/>
        <w:left w:val="none" w:sz="0" w:space="0" w:color="auto"/>
        <w:bottom w:val="none" w:sz="0" w:space="0" w:color="auto"/>
        <w:right w:val="none" w:sz="0" w:space="0" w:color="auto"/>
      </w:divBdr>
    </w:div>
    <w:div w:id="110519585">
      <w:bodyDiv w:val="1"/>
      <w:marLeft w:val="0"/>
      <w:marRight w:val="0"/>
      <w:marTop w:val="0"/>
      <w:marBottom w:val="0"/>
      <w:divBdr>
        <w:top w:val="none" w:sz="0" w:space="0" w:color="auto"/>
        <w:left w:val="none" w:sz="0" w:space="0" w:color="auto"/>
        <w:bottom w:val="none" w:sz="0" w:space="0" w:color="auto"/>
        <w:right w:val="none" w:sz="0" w:space="0" w:color="auto"/>
      </w:divBdr>
    </w:div>
    <w:div w:id="124128948">
      <w:bodyDiv w:val="1"/>
      <w:marLeft w:val="0"/>
      <w:marRight w:val="0"/>
      <w:marTop w:val="0"/>
      <w:marBottom w:val="0"/>
      <w:divBdr>
        <w:top w:val="none" w:sz="0" w:space="0" w:color="auto"/>
        <w:left w:val="none" w:sz="0" w:space="0" w:color="auto"/>
        <w:bottom w:val="none" w:sz="0" w:space="0" w:color="auto"/>
        <w:right w:val="none" w:sz="0" w:space="0" w:color="auto"/>
      </w:divBdr>
    </w:div>
    <w:div w:id="134686393">
      <w:bodyDiv w:val="1"/>
      <w:marLeft w:val="0"/>
      <w:marRight w:val="0"/>
      <w:marTop w:val="0"/>
      <w:marBottom w:val="0"/>
      <w:divBdr>
        <w:top w:val="none" w:sz="0" w:space="0" w:color="auto"/>
        <w:left w:val="none" w:sz="0" w:space="0" w:color="auto"/>
        <w:bottom w:val="none" w:sz="0" w:space="0" w:color="auto"/>
        <w:right w:val="none" w:sz="0" w:space="0" w:color="auto"/>
      </w:divBdr>
      <w:divsChild>
        <w:div w:id="1905292827">
          <w:marLeft w:val="0"/>
          <w:marRight w:val="0"/>
          <w:marTop w:val="0"/>
          <w:marBottom w:val="0"/>
          <w:divBdr>
            <w:top w:val="none" w:sz="0" w:space="0" w:color="auto"/>
            <w:left w:val="none" w:sz="0" w:space="0" w:color="auto"/>
            <w:bottom w:val="none" w:sz="0" w:space="0" w:color="auto"/>
            <w:right w:val="none" w:sz="0" w:space="0" w:color="auto"/>
          </w:divBdr>
          <w:divsChild>
            <w:div w:id="504365412">
              <w:marLeft w:val="0"/>
              <w:marRight w:val="0"/>
              <w:marTop w:val="0"/>
              <w:marBottom w:val="0"/>
              <w:divBdr>
                <w:top w:val="none" w:sz="0" w:space="0" w:color="auto"/>
                <w:left w:val="none" w:sz="0" w:space="0" w:color="auto"/>
                <w:bottom w:val="none" w:sz="0" w:space="0" w:color="auto"/>
                <w:right w:val="none" w:sz="0" w:space="0" w:color="auto"/>
              </w:divBdr>
              <w:divsChild>
                <w:div w:id="721439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538302">
      <w:bodyDiv w:val="1"/>
      <w:marLeft w:val="0"/>
      <w:marRight w:val="0"/>
      <w:marTop w:val="0"/>
      <w:marBottom w:val="0"/>
      <w:divBdr>
        <w:top w:val="none" w:sz="0" w:space="0" w:color="auto"/>
        <w:left w:val="none" w:sz="0" w:space="0" w:color="auto"/>
        <w:bottom w:val="none" w:sz="0" w:space="0" w:color="auto"/>
        <w:right w:val="none" w:sz="0" w:space="0" w:color="auto"/>
      </w:divBdr>
    </w:div>
    <w:div w:id="166138340">
      <w:bodyDiv w:val="1"/>
      <w:marLeft w:val="0"/>
      <w:marRight w:val="0"/>
      <w:marTop w:val="0"/>
      <w:marBottom w:val="0"/>
      <w:divBdr>
        <w:top w:val="none" w:sz="0" w:space="0" w:color="auto"/>
        <w:left w:val="none" w:sz="0" w:space="0" w:color="auto"/>
        <w:bottom w:val="none" w:sz="0" w:space="0" w:color="auto"/>
        <w:right w:val="none" w:sz="0" w:space="0" w:color="auto"/>
      </w:divBdr>
      <w:divsChild>
        <w:div w:id="875460300">
          <w:marLeft w:val="0"/>
          <w:marRight w:val="0"/>
          <w:marTop w:val="0"/>
          <w:marBottom w:val="0"/>
          <w:divBdr>
            <w:top w:val="none" w:sz="0" w:space="0" w:color="auto"/>
            <w:left w:val="none" w:sz="0" w:space="0" w:color="auto"/>
            <w:bottom w:val="none" w:sz="0" w:space="0" w:color="auto"/>
            <w:right w:val="none" w:sz="0" w:space="0" w:color="auto"/>
          </w:divBdr>
          <w:divsChild>
            <w:div w:id="2041004805">
              <w:marLeft w:val="0"/>
              <w:marRight w:val="0"/>
              <w:marTop w:val="0"/>
              <w:marBottom w:val="0"/>
              <w:divBdr>
                <w:top w:val="none" w:sz="0" w:space="0" w:color="auto"/>
                <w:left w:val="none" w:sz="0" w:space="0" w:color="auto"/>
                <w:bottom w:val="none" w:sz="0" w:space="0" w:color="auto"/>
                <w:right w:val="none" w:sz="0" w:space="0" w:color="auto"/>
              </w:divBdr>
              <w:divsChild>
                <w:div w:id="855660119">
                  <w:marLeft w:val="0"/>
                  <w:marRight w:val="0"/>
                  <w:marTop w:val="0"/>
                  <w:marBottom w:val="0"/>
                  <w:divBdr>
                    <w:top w:val="none" w:sz="0" w:space="0" w:color="auto"/>
                    <w:left w:val="none" w:sz="0" w:space="0" w:color="auto"/>
                    <w:bottom w:val="none" w:sz="0" w:space="0" w:color="auto"/>
                    <w:right w:val="none" w:sz="0" w:space="0" w:color="auto"/>
                  </w:divBdr>
                  <w:divsChild>
                    <w:div w:id="1069764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646104">
      <w:bodyDiv w:val="1"/>
      <w:marLeft w:val="0"/>
      <w:marRight w:val="0"/>
      <w:marTop w:val="0"/>
      <w:marBottom w:val="0"/>
      <w:divBdr>
        <w:top w:val="none" w:sz="0" w:space="0" w:color="auto"/>
        <w:left w:val="none" w:sz="0" w:space="0" w:color="auto"/>
        <w:bottom w:val="none" w:sz="0" w:space="0" w:color="auto"/>
        <w:right w:val="none" w:sz="0" w:space="0" w:color="auto"/>
      </w:divBdr>
    </w:div>
    <w:div w:id="192426926">
      <w:bodyDiv w:val="1"/>
      <w:marLeft w:val="0"/>
      <w:marRight w:val="0"/>
      <w:marTop w:val="0"/>
      <w:marBottom w:val="0"/>
      <w:divBdr>
        <w:top w:val="none" w:sz="0" w:space="0" w:color="auto"/>
        <w:left w:val="none" w:sz="0" w:space="0" w:color="auto"/>
        <w:bottom w:val="none" w:sz="0" w:space="0" w:color="auto"/>
        <w:right w:val="none" w:sz="0" w:space="0" w:color="auto"/>
      </w:divBdr>
      <w:divsChild>
        <w:div w:id="1355962898">
          <w:marLeft w:val="0"/>
          <w:marRight w:val="0"/>
          <w:marTop w:val="0"/>
          <w:marBottom w:val="0"/>
          <w:divBdr>
            <w:top w:val="none" w:sz="0" w:space="0" w:color="auto"/>
            <w:left w:val="none" w:sz="0" w:space="0" w:color="auto"/>
            <w:bottom w:val="none" w:sz="0" w:space="0" w:color="auto"/>
            <w:right w:val="none" w:sz="0" w:space="0" w:color="auto"/>
          </w:divBdr>
          <w:divsChild>
            <w:div w:id="1172178946">
              <w:marLeft w:val="0"/>
              <w:marRight w:val="0"/>
              <w:marTop w:val="0"/>
              <w:marBottom w:val="0"/>
              <w:divBdr>
                <w:top w:val="none" w:sz="0" w:space="0" w:color="auto"/>
                <w:left w:val="none" w:sz="0" w:space="0" w:color="auto"/>
                <w:bottom w:val="none" w:sz="0" w:space="0" w:color="auto"/>
                <w:right w:val="none" w:sz="0" w:space="0" w:color="auto"/>
              </w:divBdr>
              <w:divsChild>
                <w:div w:id="857037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82537">
      <w:bodyDiv w:val="1"/>
      <w:marLeft w:val="0"/>
      <w:marRight w:val="0"/>
      <w:marTop w:val="0"/>
      <w:marBottom w:val="0"/>
      <w:divBdr>
        <w:top w:val="none" w:sz="0" w:space="0" w:color="auto"/>
        <w:left w:val="none" w:sz="0" w:space="0" w:color="auto"/>
        <w:bottom w:val="none" w:sz="0" w:space="0" w:color="auto"/>
        <w:right w:val="none" w:sz="0" w:space="0" w:color="auto"/>
      </w:divBdr>
    </w:div>
    <w:div w:id="205606449">
      <w:bodyDiv w:val="1"/>
      <w:marLeft w:val="0"/>
      <w:marRight w:val="0"/>
      <w:marTop w:val="0"/>
      <w:marBottom w:val="0"/>
      <w:divBdr>
        <w:top w:val="none" w:sz="0" w:space="0" w:color="auto"/>
        <w:left w:val="none" w:sz="0" w:space="0" w:color="auto"/>
        <w:bottom w:val="none" w:sz="0" w:space="0" w:color="auto"/>
        <w:right w:val="none" w:sz="0" w:space="0" w:color="auto"/>
      </w:divBdr>
    </w:div>
    <w:div w:id="208568111">
      <w:bodyDiv w:val="1"/>
      <w:marLeft w:val="0"/>
      <w:marRight w:val="0"/>
      <w:marTop w:val="0"/>
      <w:marBottom w:val="0"/>
      <w:divBdr>
        <w:top w:val="none" w:sz="0" w:space="0" w:color="auto"/>
        <w:left w:val="none" w:sz="0" w:space="0" w:color="auto"/>
        <w:bottom w:val="none" w:sz="0" w:space="0" w:color="auto"/>
        <w:right w:val="none" w:sz="0" w:space="0" w:color="auto"/>
      </w:divBdr>
      <w:divsChild>
        <w:div w:id="166140967">
          <w:marLeft w:val="0"/>
          <w:marRight w:val="0"/>
          <w:marTop w:val="0"/>
          <w:marBottom w:val="0"/>
          <w:divBdr>
            <w:top w:val="none" w:sz="0" w:space="0" w:color="auto"/>
            <w:left w:val="none" w:sz="0" w:space="0" w:color="auto"/>
            <w:bottom w:val="none" w:sz="0" w:space="0" w:color="auto"/>
            <w:right w:val="none" w:sz="0" w:space="0" w:color="auto"/>
          </w:divBdr>
          <w:divsChild>
            <w:div w:id="543642183">
              <w:marLeft w:val="0"/>
              <w:marRight w:val="0"/>
              <w:marTop w:val="0"/>
              <w:marBottom w:val="0"/>
              <w:divBdr>
                <w:top w:val="none" w:sz="0" w:space="0" w:color="auto"/>
                <w:left w:val="none" w:sz="0" w:space="0" w:color="auto"/>
                <w:bottom w:val="none" w:sz="0" w:space="0" w:color="auto"/>
                <w:right w:val="none" w:sz="0" w:space="0" w:color="auto"/>
              </w:divBdr>
              <w:divsChild>
                <w:div w:id="710345395">
                  <w:marLeft w:val="0"/>
                  <w:marRight w:val="0"/>
                  <w:marTop w:val="0"/>
                  <w:marBottom w:val="0"/>
                  <w:divBdr>
                    <w:top w:val="none" w:sz="0" w:space="0" w:color="auto"/>
                    <w:left w:val="none" w:sz="0" w:space="0" w:color="auto"/>
                    <w:bottom w:val="none" w:sz="0" w:space="0" w:color="auto"/>
                    <w:right w:val="none" w:sz="0" w:space="0" w:color="auto"/>
                  </w:divBdr>
                  <w:divsChild>
                    <w:div w:id="1004091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7018332">
      <w:bodyDiv w:val="1"/>
      <w:marLeft w:val="0"/>
      <w:marRight w:val="0"/>
      <w:marTop w:val="0"/>
      <w:marBottom w:val="0"/>
      <w:divBdr>
        <w:top w:val="none" w:sz="0" w:space="0" w:color="auto"/>
        <w:left w:val="none" w:sz="0" w:space="0" w:color="auto"/>
        <w:bottom w:val="none" w:sz="0" w:space="0" w:color="auto"/>
        <w:right w:val="none" w:sz="0" w:space="0" w:color="auto"/>
      </w:divBdr>
    </w:div>
    <w:div w:id="231626031">
      <w:bodyDiv w:val="1"/>
      <w:marLeft w:val="0"/>
      <w:marRight w:val="0"/>
      <w:marTop w:val="0"/>
      <w:marBottom w:val="0"/>
      <w:divBdr>
        <w:top w:val="none" w:sz="0" w:space="0" w:color="auto"/>
        <w:left w:val="none" w:sz="0" w:space="0" w:color="auto"/>
        <w:bottom w:val="none" w:sz="0" w:space="0" w:color="auto"/>
        <w:right w:val="none" w:sz="0" w:space="0" w:color="auto"/>
      </w:divBdr>
    </w:div>
    <w:div w:id="244611200">
      <w:bodyDiv w:val="1"/>
      <w:marLeft w:val="0"/>
      <w:marRight w:val="0"/>
      <w:marTop w:val="0"/>
      <w:marBottom w:val="0"/>
      <w:divBdr>
        <w:top w:val="none" w:sz="0" w:space="0" w:color="auto"/>
        <w:left w:val="none" w:sz="0" w:space="0" w:color="auto"/>
        <w:bottom w:val="none" w:sz="0" w:space="0" w:color="auto"/>
        <w:right w:val="none" w:sz="0" w:space="0" w:color="auto"/>
      </w:divBdr>
    </w:div>
    <w:div w:id="253900793">
      <w:bodyDiv w:val="1"/>
      <w:marLeft w:val="0"/>
      <w:marRight w:val="0"/>
      <w:marTop w:val="0"/>
      <w:marBottom w:val="0"/>
      <w:divBdr>
        <w:top w:val="none" w:sz="0" w:space="0" w:color="auto"/>
        <w:left w:val="none" w:sz="0" w:space="0" w:color="auto"/>
        <w:bottom w:val="none" w:sz="0" w:space="0" w:color="auto"/>
        <w:right w:val="none" w:sz="0" w:space="0" w:color="auto"/>
      </w:divBdr>
    </w:div>
    <w:div w:id="255094310">
      <w:bodyDiv w:val="1"/>
      <w:marLeft w:val="0"/>
      <w:marRight w:val="0"/>
      <w:marTop w:val="0"/>
      <w:marBottom w:val="0"/>
      <w:divBdr>
        <w:top w:val="none" w:sz="0" w:space="0" w:color="auto"/>
        <w:left w:val="none" w:sz="0" w:space="0" w:color="auto"/>
        <w:bottom w:val="none" w:sz="0" w:space="0" w:color="auto"/>
        <w:right w:val="none" w:sz="0" w:space="0" w:color="auto"/>
      </w:divBdr>
    </w:div>
    <w:div w:id="260115315">
      <w:bodyDiv w:val="1"/>
      <w:marLeft w:val="0"/>
      <w:marRight w:val="0"/>
      <w:marTop w:val="0"/>
      <w:marBottom w:val="0"/>
      <w:divBdr>
        <w:top w:val="none" w:sz="0" w:space="0" w:color="auto"/>
        <w:left w:val="none" w:sz="0" w:space="0" w:color="auto"/>
        <w:bottom w:val="none" w:sz="0" w:space="0" w:color="auto"/>
        <w:right w:val="none" w:sz="0" w:space="0" w:color="auto"/>
      </w:divBdr>
      <w:divsChild>
        <w:div w:id="1000308608">
          <w:marLeft w:val="0"/>
          <w:marRight w:val="0"/>
          <w:marTop w:val="0"/>
          <w:marBottom w:val="0"/>
          <w:divBdr>
            <w:top w:val="none" w:sz="0" w:space="0" w:color="auto"/>
            <w:left w:val="none" w:sz="0" w:space="0" w:color="auto"/>
            <w:bottom w:val="none" w:sz="0" w:space="0" w:color="auto"/>
            <w:right w:val="none" w:sz="0" w:space="0" w:color="auto"/>
          </w:divBdr>
          <w:divsChild>
            <w:div w:id="361639624">
              <w:marLeft w:val="0"/>
              <w:marRight w:val="0"/>
              <w:marTop w:val="0"/>
              <w:marBottom w:val="0"/>
              <w:divBdr>
                <w:top w:val="none" w:sz="0" w:space="0" w:color="auto"/>
                <w:left w:val="none" w:sz="0" w:space="0" w:color="auto"/>
                <w:bottom w:val="none" w:sz="0" w:space="0" w:color="auto"/>
                <w:right w:val="none" w:sz="0" w:space="0" w:color="auto"/>
              </w:divBdr>
              <w:divsChild>
                <w:div w:id="1382096388">
                  <w:marLeft w:val="0"/>
                  <w:marRight w:val="0"/>
                  <w:marTop w:val="0"/>
                  <w:marBottom w:val="0"/>
                  <w:divBdr>
                    <w:top w:val="none" w:sz="0" w:space="0" w:color="auto"/>
                    <w:left w:val="none" w:sz="0" w:space="0" w:color="auto"/>
                    <w:bottom w:val="none" w:sz="0" w:space="0" w:color="auto"/>
                    <w:right w:val="none" w:sz="0" w:space="0" w:color="auto"/>
                  </w:divBdr>
                  <w:divsChild>
                    <w:div w:id="106151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0921633">
      <w:bodyDiv w:val="1"/>
      <w:marLeft w:val="0"/>
      <w:marRight w:val="0"/>
      <w:marTop w:val="0"/>
      <w:marBottom w:val="0"/>
      <w:divBdr>
        <w:top w:val="none" w:sz="0" w:space="0" w:color="auto"/>
        <w:left w:val="none" w:sz="0" w:space="0" w:color="auto"/>
        <w:bottom w:val="none" w:sz="0" w:space="0" w:color="auto"/>
        <w:right w:val="none" w:sz="0" w:space="0" w:color="auto"/>
      </w:divBdr>
    </w:div>
    <w:div w:id="273639515">
      <w:bodyDiv w:val="1"/>
      <w:marLeft w:val="0"/>
      <w:marRight w:val="0"/>
      <w:marTop w:val="0"/>
      <w:marBottom w:val="0"/>
      <w:divBdr>
        <w:top w:val="none" w:sz="0" w:space="0" w:color="auto"/>
        <w:left w:val="none" w:sz="0" w:space="0" w:color="auto"/>
        <w:bottom w:val="none" w:sz="0" w:space="0" w:color="auto"/>
        <w:right w:val="none" w:sz="0" w:space="0" w:color="auto"/>
      </w:divBdr>
    </w:div>
    <w:div w:id="274292765">
      <w:bodyDiv w:val="1"/>
      <w:marLeft w:val="0"/>
      <w:marRight w:val="0"/>
      <w:marTop w:val="0"/>
      <w:marBottom w:val="0"/>
      <w:divBdr>
        <w:top w:val="none" w:sz="0" w:space="0" w:color="auto"/>
        <w:left w:val="none" w:sz="0" w:space="0" w:color="auto"/>
        <w:bottom w:val="none" w:sz="0" w:space="0" w:color="auto"/>
        <w:right w:val="none" w:sz="0" w:space="0" w:color="auto"/>
      </w:divBdr>
    </w:div>
    <w:div w:id="283777278">
      <w:bodyDiv w:val="1"/>
      <w:marLeft w:val="0"/>
      <w:marRight w:val="0"/>
      <w:marTop w:val="0"/>
      <w:marBottom w:val="0"/>
      <w:divBdr>
        <w:top w:val="none" w:sz="0" w:space="0" w:color="auto"/>
        <w:left w:val="none" w:sz="0" w:space="0" w:color="auto"/>
        <w:bottom w:val="none" w:sz="0" w:space="0" w:color="auto"/>
        <w:right w:val="none" w:sz="0" w:space="0" w:color="auto"/>
      </w:divBdr>
    </w:div>
    <w:div w:id="286664802">
      <w:bodyDiv w:val="1"/>
      <w:marLeft w:val="0"/>
      <w:marRight w:val="0"/>
      <w:marTop w:val="0"/>
      <w:marBottom w:val="0"/>
      <w:divBdr>
        <w:top w:val="none" w:sz="0" w:space="0" w:color="auto"/>
        <w:left w:val="none" w:sz="0" w:space="0" w:color="auto"/>
        <w:bottom w:val="none" w:sz="0" w:space="0" w:color="auto"/>
        <w:right w:val="none" w:sz="0" w:space="0" w:color="auto"/>
      </w:divBdr>
    </w:div>
    <w:div w:id="304748584">
      <w:bodyDiv w:val="1"/>
      <w:marLeft w:val="0"/>
      <w:marRight w:val="0"/>
      <w:marTop w:val="0"/>
      <w:marBottom w:val="0"/>
      <w:divBdr>
        <w:top w:val="none" w:sz="0" w:space="0" w:color="auto"/>
        <w:left w:val="none" w:sz="0" w:space="0" w:color="auto"/>
        <w:bottom w:val="none" w:sz="0" w:space="0" w:color="auto"/>
        <w:right w:val="none" w:sz="0" w:space="0" w:color="auto"/>
      </w:divBdr>
      <w:divsChild>
        <w:div w:id="1075665987">
          <w:marLeft w:val="0"/>
          <w:marRight w:val="0"/>
          <w:marTop w:val="0"/>
          <w:marBottom w:val="0"/>
          <w:divBdr>
            <w:top w:val="none" w:sz="0" w:space="0" w:color="auto"/>
            <w:left w:val="none" w:sz="0" w:space="0" w:color="auto"/>
            <w:bottom w:val="none" w:sz="0" w:space="0" w:color="auto"/>
            <w:right w:val="none" w:sz="0" w:space="0" w:color="auto"/>
          </w:divBdr>
          <w:divsChild>
            <w:div w:id="2007854896">
              <w:marLeft w:val="0"/>
              <w:marRight w:val="0"/>
              <w:marTop w:val="0"/>
              <w:marBottom w:val="0"/>
              <w:divBdr>
                <w:top w:val="none" w:sz="0" w:space="0" w:color="auto"/>
                <w:left w:val="none" w:sz="0" w:space="0" w:color="auto"/>
                <w:bottom w:val="none" w:sz="0" w:space="0" w:color="auto"/>
                <w:right w:val="none" w:sz="0" w:space="0" w:color="auto"/>
              </w:divBdr>
              <w:divsChild>
                <w:div w:id="6403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921328">
      <w:bodyDiv w:val="1"/>
      <w:marLeft w:val="0"/>
      <w:marRight w:val="0"/>
      <w:marTop w:val="0"/>
      <w:marBottom w:val="0"/>
      <w:divBdr>
        <w:top w:val="none" w:sz="0" w:space="0" w:color="auto"/>
        <w:left w:val="none" w:sz="0" w:space="0" w:color="auto"/>
        <w:bottom w:val="none" w:sz="0" w:space="0" w:color="auto"/>
        <w:right w:val="none" w:sz="0" w:space="0" w:color="auto"/>
      </w:divBdr>
    </w:div>
    <w:div w:id="329916878">
      <w:bodyDiv w:val="1"/>
      <w:marLeft w:val="0"/>
      <w:marRight w:val="0"/>
      <w:marTop w:val="0"/>
      <w:marBottom w:val="0"/>
      <w:divBdr>
        <w:top w:val="none" w:sz="0" w:space="0" w:color="auto"/>
        <w:left w:val="none" w:sz="0" w:space="0" w:color="auto"/>
        <w:bottom w:val="none" w:sz="0" w:space="0" w:color="auto"/>
        <w:right w:val="none" w:sz="0" w:space="0" w:color="auto"/>
      </w:divBdr>
    </w:div>
    <w:div w:id="337003879">
      <w:bodyDiv w:val="1"/>
      <w:marLeft w:val="0"/>
      <w:marRight w:val="0"/>
      <w:marTop w:val="0"/>
      <w:marBottom w:val="0"/>
      <w:divBdr>
        <w:top w:val="none" w:sz="0" w:space="0" w:color="auto"/>
        <w:left w:val="none" w:sz="0" w:space="0" w:color="auto"/>
        <w:bottom w:val="none" w:sz="0" w:space="0" w:color="auto"/>
        <w:right w:val="none" w:sz="0" w:space="0" w:color="auto"/>
      </w:divBdr>
    </w:div>
    <w:div w:id="338122225">
      <w:bodyDiv w:val="1"/>
      <w:marLeft w:val="0"/>
      <w:marRight w:val="0"/>
      <w:marTop w:val="0"/>
      <w:marBottom w:val="0"/>
      <w:divBdr>
        <w:top w:val="none" w:sz="0" w:space="0" w:color="auto"/>
        <w:left w:val="none" w:sz="0" w:space="0" w:color="auto"/>
        <w:bottom w:val="none" w:sz="0" w:space="0" w:color="auto"/>
        <w:right w:val="none" w:sz="0" w:space="0" w:color="auto"/>
      </w:divBdr>
    </w:div>
    <w:div w:id="339703409">
      <w:bodyDiv w:val="1"/>
      <w:marLeft w:val="0"/>
      <w:marRight w:val="0"/>
      <w:marTop w:val="0"/>
      <w:marBottom w:val="0"/>
      <w:divBdr>
        <w:top w:val="none" w:sz="0" w:space="0" w:color="auto"/>
        <w:left w:val="none" w:sz="0" w:space="0" w:color="auto"/>
        <w:bottom w:val="none" w:sz="0" w:space="0" w:color="auto"/>
        <w:right w:val="none" w:sz="0" w:space="0" w:color="auto"/>
      </w:divBdr>
    </w:div>
    <w:div w:id="348991545">
      <w:bodyDiv w:val="1"/>
      <w:marLeft w:val="0"/>
      <w:marRight w:val="0"/>
      <w:marTop w:val="0"/>
      <w:marBottom w:val="0"/>
      <w:divBdr>
        <w:top w:val="none" w:sz="0" w:space="0" w:color="auto"/>
        <w:left w:val="none" w:sz="0" w:space="0" w:color="auto"/>
        <w:bottom w:val="none" w:sz="0" w:space="0" w:color="auto"/>
        <w:right w:val="none" w:sz="0" w:space="0" w:color="auto"/>
      </w:divBdr>
    </w:div>
    <w:div w:id="350689101">
      <w:bodyDiv w:val="1"/>
      <w:marLeft w:val="0"/>
      <w:marRight w:val="0"/>
      <w:marTop w:val="0"/>
      <w:marBottom w:val="0"/>
      <w:divBdr>
        <w:top w:val="none" w:sz="0" w:space="0" w:color="auto"/>
        <w:left w:val="none" w:sz="0" w:space="0" w:color="auto"/>
        <w:bottom w:val="none" w:sz="0" w:space="0" w:color="auto"/>
        <w:right w:val="none" w:sz="0" w:space="0" w:color="auto"/>
      </w:divBdr>
    </w:div>
    <w:div w:id="354230216">
      <w:bodyDiv w:val="1"/>
      <w:marLeft w:val="0"/>
      <w:marRight w:val="0"/>
      <w:marTop w:val="0"/>
      <w:marBottom w:val="0"/>
      <w:divBdr>
        <w:top w:val="none" w:sz="0" w:space="0" w:color="auto"/>
        <w:left w:val="none" w:sz="0" w:space="0" w:color="auto"/>
        <w:bottom w:val="none" w:sz="0" w:space="0" w:color="auto"/>
        <w:right w:val="none" w:sz="0" w:space="0" w:color="auto"/>
      </w:divBdr>
    </w:div>
    <w:div w:id="358438169">
      <w:bodyDiv w:val="1"/>
      <w:marLeft w:val="0"/>
      <w:marRight w:val="0"/>
      <w:marTop w:val="0"/>
      <w:marBottom w:val="0"/>
      <w:divBdr>
        <w:top w:val="none" w:sz="0" w:space="0" w:color="auto"/>
        <w:left w:val="none" w:sz="0" w:space="0" w:color="auto"/>
        <w:bottom w:val="none" w:sz="0" w:space="0" w:color="auto"/>
        <w:right w:val="none" w:sz="0" w:space="0" w:color="auto"/>
      </w:divBdr>
      <w:divsChild>
        <w:div w:id="896016173">
          <w:marLeft w:val="0"/>
          <w:marRight w:val="0"/>
          <w:marTop w:val="0"/>
          <w:marBottom w:val="0"/>
          <w:divBdr>
            <w:top w:val="none" w:sz="0" w:space="0" w:color="auto"/>
            <w:left w:val="none" w:sz="0" w:space="0" w:color="auto"/>
            <w:bottom w:val="none" w:sz="0" w:space="0" w:color="auto"/>
            <w:right w:val="none" w:sz="0" w:space="0" w:color="auto"/>
          </w:divBdr>
          <w:divsChild>
            <w:div w:id="335306773">
              <w:marLeft w:val="0"/>
              <w:marRight w:val="0"/>
              <w:marTop w:val="0"/>
              <w:marBottom w:val="0"/>
              <w:divBdr>
                <w:top w:val="none" w:sz="0" w:space="0" w:color="auto"/>
                <w:left w:val="none" w:sz="0" w:space="0" w:color="auto"/>
                <w:bottom w:val="none" w:sz="0" w:space="0" w:color="auto"/>
                <w:right w:val="none" w:sz="0" w:space="0" w:color="auto"/>
              </w:divBdr>
              <w:divsChild>
                <w:div w:id="1071125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253142">
      <w:bodyDiv w:val="1"/>
      <w:marLeft w:val="0"/>
      <w:marRight w:val="0"/>
      <w:marTop w:val="0"/>
      <w:marBottom w:val="0"/>
      <w:divBdr>
        <w:top w:val="none" w:sz="0" w:space="0" w:color="auto"/>
        <w:left w:val="none" w:sz="0" w:space="0" w:color="auto"/>
        <w:bottom w:val="none" w:sz="0" w:space="0" w:color="auto"/>
        <w:right w:val="none" w:sz="0" w:space="0" w:color="auto"/>
      </w:divBdr>
    </w:div>
    <w:div w:id="371658996">
      <w:bodyDiv w:val="1"/>
      <w:marLeft w:val="0"/>
      <w:marRight w:val="0"/>
      <w:marTop w:val="0"/>
      <w:marBottom w:val="0"/>
      <w:divBdr>
        <w:top w:val="none" w:sz="0" w:space="0" w:color="auto"/>
        <w:left w:val="none" w:sz="0" w:space="0" w:color="auto"/>
        <w:bottom w:val="none" w:sz="0" w:space="0" w:color="auto"/>
        <w:right w:val="none" w:sz="0" w:space="0" w:color="auto"/>
      </w:divBdr>
    </w:div>
    <w:div w:id="375466254">
      <w:bodyDiv w:val="1"/>
      <w:marLeft w:val="0"/>
      <w:marRight w:val="0"/>
      <w:marTop w:val="0"/>
      <w:marBottom w:val="0"/>
      <w:divBdr>
        <w:top w:val="none" w:sz="0" w:space="0" w:color="auto"/>
        <w:left w:val="none" w:sz="0" w:space="0" w:color="auto"/>
        <w:bottom w:val="none" w:sz="0" w:space="0" w:color="auto"/>
        <w:right w:val="none" w:sz="0" w:space="0" w:color="auto"/>
      </w:divBdr>
    </w:div>
    <w:div w:id="378018671">
      <w:bodyDiv w:val="1"/>
      <w:marLeft w:val="0"/>
      <w:marRight w:val="0"/>
      <w:marTop w:val="0"/>
      <w:marBottom w:val="0"/>
      <w:divBdr>
        <w:top w:val="none" w:sz="0" w:space="0" w:color="auto"/>
        <w:left w:val="none" w:sz="0" w:space="0" w:color="auto"/>
        <w:bottom w:val="none" w:sz="0" w:space="0" w:color="auto"/>
        <w:right w:val="none" w:sz="0" w:space="0" w:color="auto"/>
      </w:divBdr>
      <w:divsChild>
        <w:div w:id="908809823">
          <w:marLeft w:val="0"/>
          <w:marRight w:val="0"/>
          <w:marTop w:val="0"/>
          <w:marBottom w:val="0"/>
          <w:divBdr>
            <w:top w:val="none" w:sz="0" w:space="0" w:color="auto"/>
            <w:left w:val="none" w:sz="0" w:space="0" w:color="auto"/>
            <w:bottom w:val="none" w:sz="0" w:space="0" w:color="auto"/>
            <w:right w:val="none" w:sz="0" w:space="0" w:color="auto"/>
          </w:divBdr>
          <w:divsChild>
            <w:div w:id="12153925">
              <w:marLeft w:val="0"/>
              <w:marRight w:val="0"/>
              <w:marTop w:val="0"/>
              <w:marBottom w:val="0"/>
              <w:divBdr>
                <w:top w:val="none" w:sz="0" w:space="0" w:color="auto"/>
                <w:left w:val="none" w:sz="0" w:space="0" w:color="auto"/>
                <w:bottom w:val="none" w:sz="0" w:space="0" w:color="auto"/>
                <w:right w:val="none" w:sz="0" w:space="0" w:color="auto"/>
              </w:divBdr>
              <w:divsChild>
                <w:div w:id="814030680">
                  <w:marLeft w:val="0"/>
                  <w:marRight w:val="0"/>
                  <w:marTop w:val="0"/>
                  <w:marBottom w:val="0"/>
                  <w:divBdr>
                    <w:top w:val="none" w:sz="0" w:space="0" w:color="auto"/>
                    <w:left w:val="none" w:sz="0" w:space="0" w:color="auto"/>
                    <w:bottom w:val="none" w:sz="0" w:space="0" w:color="auto"/>
                    <w:right w:val="none" w:sz="0" w:space="0" w:color="auto"/>
                  </w:divBdr>
                  <w:divsChild>
                    <w:div w:id="126880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4185485">
      <w:bodyDiv w:val="1"/>
      <w:marLeft w:val="0"/>
      <w:marRight w:val="0"/>
      <w:marTop w:val="0"/>
      <w:marBottom w:val="0"/>
      <w:divBdr>
        <w:top w:val="none" w:sz="0" w:space="0" w:color="auto"/>
        <w:left w:val="none" w:sz="0" w:space="0" w:color="auto"/>
        <w:bottom w:val="none" w:sz="0" w:space="0" w:color="auto"/>
        <w:right w:val="none" w:sz="0" w:space="0" w:color="auto"/>
      </w:divBdr>
      <w:divsChild>
        <w:div w:id="1552424676">
          <w:marLeft w:val="0"/>
          <w:marRight w:val="0"/>
          <w:marTop w:val="0"/>
          <w:marBottom w:val="0"/>
          <w:divBdr>
            <w:top w:val="none" w:sz="0" w:space="0" w:color="auto"/>
            <w:left w:val="none" w:sz="0" w:space="0" w:color="auto"/>
            <w:bottom w:val="none" w:sz="0" w:space="0" w:color="auto"/>
            <w:right w:val="none" w:sz="0" w:space="0" w:color="auto"/>
          </w:divBdr>
          <w:divsChild>
            <w:div w:id="341973687">
              <w:marLeft w:val="0"/>
              <w:marRight w:val="0"/>
              <w:marTop w:val="0"/>
              <w:marBottom w:val="0"/>
              <w:divBdr>
                <w:top w:val="none" w:sz="0" w:space="0" w:color="auto"/>
                <w:left w:val="none" w:sz="0" w:space="0" w:color="auto"/>
                <w:bottom w:val="none" w:sz="0" w:space="0" w:color="auto"/>
                <w:right w:val="none" w:sz="0" w:space="0" w:color="auto"/>
              </w:divBdr>
              <w:divsChild>
                <w:div w:id="1365714780">
                  <w:marLeft w:val="0"/>
                  <w:marRight w:val="0"/>
                  <w:marTop w:val="0"/>
                  <w:marBottom w:val="0"/>
                  <w:divBdr>
                    <w:top w:val="none" w:sz="0" w:space="0" w:color="auto"/>
                    <w:left w:val="none" w:sz="0" w:space="0" w:color="auto"/>
                    <w:bottom w:val="none" w:sz="0" w:space="0" w:color="auto"/>
                    <w:right w:val="none" w:sz="0" w:space="0" w:color="auto"/>
                  </w:divBdr>
                  <w:divsChild>
                    <w:div w:id="2060281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6030699">
      <w:bodyDiv w:val="1"/>
      <w:marLeft w:val="0"/>
      <w:marRight w:val="0"/>
      <w:marTop w:val="0"/>
      <w:marBottom w:val="0"/>
      <w:divBdr>
        <w:top w:val="none" w:sz="0" w:space="0" w:color="auto"/>
        <w:left w:val="none" w:sz="0" w:space="0" w:color="auto"/>
        <w:bottom w:val="none" w:sz="0" w:space="0" w:color="auto"/>
        <w:right w:val="none" w:sz="0" w:space="0" w:color="auto"/>
      </w:divBdr>
    </w:div>
    <w:div w:id="386149295">
      <w:bodyDiv w:val="1"/>
      <w:marLeft w:val="0"/>
      <w:marRight w:val="0"/>
      <w:marTop w:val="0"/>
      <w:marBottom w:val="0"/>
      <w:divBdr>
        <w:top w:val="none" w:sz="0" w:space="0" w:color="auto"/>
        <w:left w:val="none" w:sz="0" w:space="0" w:color="auto"/>
        <w:bottom w:val="none" w:sz="0" w:space="0" w:color="auto"/>
        <w:right w:val="none" w:sz="0" w:space="0" w:color="auto"/>
      </w:divBdr>
      <w:divsChild>
        <w:div w:id="1853837685">
          <w:marLeft w:val="0"/>
          <w:marRight w:val="0"/>
          <w:marTop w:val="0"/>
          <w:marBottom w:val="0"/>
          <w:divBdr>
            <w:top w:val="none" w:sz="0" w:space="0" w:color="auto"/>
            <w:left w:val="none" w:sz="0" w:space="0" w:color="auto"/>
            <w:bottom w:val="none" w:sz="0" w:space="0" w:color="auto"/>
            <w:right w:val="none" w:sz="0" w:space="0" w:color="auto"/>
          </w:divBdr>
          <w:divsChild>
            <w:div w:id="1484203067">
              <w:marLeft w:val="0"/>
              <w:marRight w:val="0"/>
              <w:marTop w:val="0"/>
              <w:marBottom w:val="0"/>
              <w:divBdr>
                <w:top w:val="none" w:sz="0" w:space="0" w:color="auto"/>
                <w:left w:val="none" w:sz="0" w:space="0" w:color="auto"/>
                <w:bottom w:val="none" w:sz="0" w:space="0" w:color="auto"/>
                <w:right w:val="none" w:sz="0" w:space="0" w:color="auto"/>
              </w:divBdr>
              <w:divsChild>
                <w:div w:id="96450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571168">
      <w:bodyDiv w:val="1"/>
      <w:marLeft w:val="0"/>
      <w:marRight w:val="0"/>
      <w:marTop w:val="0"/>
      <w:marBottom w:val="0"/>
      <w:divBdr>
        <w:top w:val="none" w:sz="0" w:space="0" w:color="auto"/>
        <w:left w:val="none" w:sz="0" w:space="0" w:color="auto"/>
        <w:bottom w:val="none" w:sz="0" w:space="0" w:color="auto"/>
        <w:right w:val="none" w:sz="0" w:space="0" w:color="auto"/>
      </w:divBdr>
    </w:div>
    <w:div w:id="400567230">
      <w:bodyDiv w:val="1"/>
      <w:marLeft w:val="0"/>
      <w:marRight w:val="0"/>
      <w:marTop w:val="0"/>
      <w:marBottom w:val="0"/>
      <w:divBdr>
        <w:top w:val="none" w:sz="0" w:space="0" w:color="auto"/>
        <w:left w:val="none" w:sz="0" w:space="0" w:color="auto"/>
        <w:bottom w:val="none" w:sz="0" w:space="0" w:color="auto"/>
        <w:right w:val="none" w:sz="0" w:space="0" w:color="auto"/>
      </w:divBdr>
    </w:div>
    <w:div w:id="400719283">
      <w:bodyDiv w:val="1"/>
      <w:marLeft w:val="0"/>
      <w:marRight w:val="0"/>
      <w:marTop w:val="0"/>
      <w:marBottom w:val="0"/>
      <w:divBdr>
        <w:top w:val="none" w:sz="0" w:space="0" w:color="auto"/>
        <w:left w:val="none" w:sz="0" w:space="0" w:color="auto"/>
        <w:bottom w:val="none" w:sz="0" w:space="0" w:color="auto"/>
        <w:right w:val="none" w:sz="0" w:space="0" w:color="auto"/>
      </w:divBdr>
      <w:divsChild>
        <w:div w:id="1290893701">
          <w:marLeft w:val="0"/>
          <w:marRight w:val="0"/>
          <w:marTop w:val="0"/>
          <w:marBottom w:val="0"/>
          <w:divBdr>
            <w:top w:val="none" w:sz="0" w:space="0" w:color="auto"/>
            <w:left w:val="none" w:sz="0" w:space="0" w:color="auto"/>
            <w:bottom w:val="none" w:sz="0" w:space="0" w:color="auto"/>
            <w:right w:val="none" w:sz="0" w:space="0" w:color="auto"/>
          </w:divBdr>
          <w:divsChild>
            <w:div w:id="911348799">
              <w:marLeft w:val="0"/>
              <w:marRight w:val="0"/>
              <w:marTop w:val="0"/>
              <w:marBottom w:val="0"/>
              <w:divBdr>
                <w:top w:val="none" w:sz="0" w:space="0" w:color="auto"/>
                <w:left w:val="none" w:sz="0" w:space="0" w:color="auto"/>
                <w:bottom w:val="none" w:sz="0" w:space="0" w:color="auto"/>
                <w:right w:val="none" w:sz="0" w:space="0" w:color="auto"/>
              </w:divBdr>
              <w:divsChild>
                <w:div w:id="153450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9231086">
      <w:bodyDiv w:val="1"/>
      <w:marLeft w:val="0"/>
      <w:marRight w:val="0"/>
      <w:marTop w:val="0"/>
      <w:marBottom w:val="0"/>
      <w:divBdr>
        <w:top w:val="none" w:sz="0" w:space="0" w:color="auto"/>
        <w:left w:val="none" w:sz="0" w:space="0" w:color="auto"/>
        <w:bottom w:val="none" w:sz="0" w:space="0" w:color="auto"/>
        <w:right w:val="none" w:sz="0" w:space="0" w:color="auto"/>
      </w:divBdr>
    </w:div>
    <w:div w:id="409429873">
      <w:bodyDiv w:val="1"/>
      <w:marLeft w:val="0"/>
      <w:marRight w:val="0"/>
      <w:marTop w:val="0"/>
      <w:marBottom w:val="0"/>
      <w:divBdr>
        <w:top w:val="none" w:sz="0" w:space="0" w:color="auto"/>
        <w:left w:val="none" w:sz="0" w:space="0" w:color="auto"/>
        <w:bottom w:val="none" w:sz="0" w:space="0" w:color="auto"/>
        <w:right w:val="none" w:sz="0" w:space="0" w:color="auto"/>
      </w:divBdr>
      <w:divsChild>
        <w:div w:id="1392726316">
          <w:marLeft w:val="0"/>
          <w:marRight w:val="0"/>
          <w:marTop w:val="0"/>
          <w:marBottom w:val="0"/>
          <w:divBdr>
            <w:top w:val="none" w:sz="0" w:space="0" w:color="auto"/>
            <w:left w:val="none" w:sz="0" w:space="0" w:color="auto"/>
            <w:bottom w:val="none" w:sz="0" w:space="0" w:color="auto"/>
            <w:right w:val="none" w:sz="0" w:space="0" w:color="auto"/>
          </w:divBdr>
          <w:divsChild>
            <w:div w:id="1689599833">
              <w:marLeft w:val="0"/>
              <w:marRight w:val="0"/>
              <w:marTop w:val="0"/>
              <w:marBottom w:val="0"/>
              <w:divBdr>
                <w:top w:val="none" w:sz="0" w:space="0" w:color="auto"/>
                <w:left w:val="none" w:sz="0" w:space="0" w:color="auto"/>
                <w:bottom w:val="none" w:sz="0" w:space="0" w:color="auto"/>
                <w:right w:val="none" w:sz="0" w:space="0" w:color="auto"/>
              </w:divBdr>
              <w:divsChild>
                <w:div w:id="1782413333">
                  <w:marLeft w:val="0"/>
                  <w:marRight w:val="0"/>
                  <w:marTop w:val="0"/>
                  <w:marBottom w:val="0"/>
                  <w:divBdr>
                    <w:top w:val="none" w:sz="0" w:space="0" w:color="auto"/>
                    <w:left w:val="none" w:sz="0" w:space="0" w:color="auto"/>
                    <w:bottom w:val="none" w:sz="0" w:space="0" w:color="auto"/>
                    <w:right w:val="none" w:sz="0" w:space="0" w:color="auto"/>
                  </w:divBdr>
                  <w:divsChild>
                    <w:div w:id="295722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1703271">
      <w:bodyDiv w:val="1"/>
      <w:marLeft w:val="0"/>
      <w:marRight w:val="0"/>
      <w:marTop w:val="0"/>
      <w:marBottom w:val="0"/>
      <w:divBdr>
        <w:top w:val="none" w:sz="0" w:space="0" w:color="auto"/>
        <w:left w:val="none" w:sz="0" w:space="0" w:color="auto"/>
        <w:bottom w:val="none" w:sz="0" w:space="0" w:color="auto"/>
        <w:right w:val="none" w:sz="0" w:space="0" w:color="auto"/>
      </w:divBdr>
    </w:div>
    <w:div w:id="414478406">
      <w:bodyDiv w:val="1"/>
      <w:marLeft w:val="0"/>
      <w:marRight w:val="0"/>
      <w:marTop w:val="0"/>
      <w:marBottom w:val="0"/>
      <w:divBdr>
        <w:top w:val="none" w:sz="0" w:space="0" w:color="auto"/>
        <w:left w:val="none" w:sz="0" w:space="0" w:color="auto"/>
        <w:bottom w:val="none" w:sz="0" w:space="0" w:color="auto"/>
        <w:right w:val="none" w:sz="0" w:space="0" w:color="auto"/>
      </w:divBdr>
    </w:div>
    <w:div w:id="421797474">
      <w:bodyDiv w:val="1"/>
      <w:marLeft w:val="0"/>
      <w:marRight w:val="0"/>
      <w:marTop w:val="0"/>
      <w:marBottom w:val="0"/>
      <w:divBdr>
        <w:top w:val="none" w:sz="0" w:space="0" w:color="auto"/>
        <w:left w:val="none" w:sz="0" w:space="0" w:color="auto"/>
        <w:bottom w:val="none" w:sz="0" w:space="0" w:color="auto"/>
        <w:right w:val="none" w:sz="0" w:space="0" w:color="auto"/>
      </w:divBdr>
    </w:div>
    <w:div w:id="422260900">
      <w:bodyDiv w:val="1"/>
      <w:marLeft w:val="0"/>
      <w:marRight w:val="0"/>
      <w:marTop w:val="0"/>
      <w:marBottom w:val="0"/>
      <w:divBdr>
        <w:top w:val="none" w:sz="0" w:space="0" w:color="auto"/>
        <w:left w:val="none" w:sz="0" w:space="0" w:color="auto"/>
        <w:bottom w:val="none" w:sz="0" w:space="0" w:color="auto"/>
        <w:right w:val="none" w:sz="0" w:space="0" w:color="auto"/>
      </w:divBdr>
      <w:divsChild>
        <w:div w:id="1339499653">
          <w:marLeft w:val="0"/>
          <w:marRight w:val="0"/>
          <w:marTop w:val="0"/>
          <w:marBottom w:val="0"/>
          <w:divBdr>
            <w:top w:val="none" w:sz="0" w:space="0" w:color="auto"/>
            <w:left w:val="none" w:sz="0" w:space="0" w:color="auto"/>
            <w:bottom w:val="none" w:sz="0" w:space="0" w:color="auto"/>
            <w:right w:val="none" w:sz="0" w:space="0" w:color="auto"/>
          </w:divBdr>
          <w:divsChild>
            <w:div w:id="952907615">
              <w:marLeft w:val="0"/>
              <w:marRight w:val="0"/>
              <w:marTop w:val="0"/>
              <w:marBottom w:val="0"/>
              <w:divBdr>
                <w:top w:val="none" w:sz="0" w:space="0" w:color="auto"/>
                <w:left w:val="none" w:sz="0" w:space="0" w:color="auto"/>
                <w:bottom w:val="none" w:sz="0" w:space="0" w:color="auto"/>
                <w:right w:val="none" w:sz="0" w:space="0" w:color="auto"/>
              </w:divBdr>
              <w:divsChild>
                <w:div w:id="1322929883">
                  <w:marLeft w:val="0"/>
                  <w:marRight w:val="0"/>
                  <w:marTop w:val="0"/>
                  <w:marBottom w:val="0"/>
                  <w:divBdr>
                    <w:top w:val="none" w:sz="0" w:space="0" w:color="auto"/>
                    <w:left w:val="none" w:sz="0" w:space="0" w:color="auto"/>
                    <w:bottom w:val="none" w:sz="0" w:space="0" w:color="auto"/>
                    <w:right w:val="none" w:sz="0" w:space="0" w:color="auto"/>
                  </w:divBdr>
                  <w:divsChild>
                    <w:div w:id="52182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2261188">
      <w:bodyDiv w:val="1"/>
      <w:marLeft w:val="0"/>
      <w:marRight w:val="0"/>
      <w:marTop w:val="0"/>
      <w:marBottom w:val="0"/>
      <w:divBdr>
        <w:top w:val="none" w:sz="0" w:space="0" w:color="auto"/>
        <w:left w:val="none" w:sz="0" w:space="0" w:color="auto"/>
        <w:bottom w:val="none" w:sz="0" w:space="0" w:color="auto"/>
        <w:right w:val="none" w:sz="0" w:space="0" w:color="auto"/>
      </w:divBdr>
    </w:div>
    <w:div w:id="426269783">
      <w:bodyDiv w:val="1"/>
      <w:marLeft w:val="0"/>
      <w:marRight w:val="0"/>
      <w:marTop w:val="0"/>
      <w:marBottom w:val="0"/>
      <w:divBdr>
        <w:top w:val="none" w:sz="0" w:space="0" w:color="auto"/>
        <w:left w:val="none" w:sz="0" w:space="0" w:color="auto"/>
        <w:bottom w:val="none" w:sz="0" w:space="0" w:color="auto"/>
        <w:right w:val="none" w:sz="0" w:space="0" w:color="auto"/>
      </w:divBdr>
    </w:div>
    <w:div w:id="426653046">
      <w:bodyDiv w:val="1"/>
      <w:marLeft w:val="0"/>
      <w:marRight w:val="0"/>
      <w:marTop w:val="0"/>
      <w:marBottom w:val="0"/>
      <w:divBdr>
        <w:top w:val="none" w:sz="0" w:space="0" w:color="auto"/>
        <w:left w:val="none" w:sz="0" w:space="0" w:color="auto"/>
        <w:bottom w:val="none" w:sz="0" w:space="0" w:color="auto"/>
        <w:right w:val="none" w:sz="0" w:space="0" w:color="auto"/>
      </w:divBdr>
    </w:div>
    <w:div w:id="440298833">
      <w:bodyDiv w:val="1"/>
      <w:marLeft w:val="0"/>
      <w:marRight w:val="0"/>
      <w:marTop w:val="0"/>
      <w:marBottom w:val="0"/>
      <w:divBdr>
        <w:top w:val="none" w:sz="0" w:space="0" w:color="auto"/>
        <w:left w:val="none" w:sz="0" w:space="0" w:color="auto"/>
        <w:bottom w:val="none" w:sz="0" w:space="0" w:color="auto"/>
        <w:right w:val="none" w:sz="0" w:space="0" w:color="auto"/>
      </w:divBdr>
    </w:div>
    <w:div w:id="448671066">
      <w:bodyDiv w:val="1"/>
      <w:marLeft w:val="0"/>
      <w:marRight w:val="0"/>
      <w:marTop w:val="0"/>
      <w:marBottom w:val="0"/>
      <w:divBdr>
        <w:top w:val="none" w:sz="0" w:space="0" w:color="auto"/>
        <w:left w:val="none" w:sz="0" w:space="0" w:color="auto"/>
        <w:bottom w:val="none" w:sz="0" w:space="0" w:color="auto"/>
        <w:right w:val="none" w:sz="0" w:space="0" w:color="auto"/>
      </w:divBdr>
      <w:divsChild>
        <w:div w:id="1571229147">
          <w:marLeft w:val="0"/>
          <w:marRight w:val="0"/>
          <w:marTop w:val="0"/>
          <w:marBottom w:val="0"/>
          <w:divBdr>
            <w:top w:val="none" w:sz="0" w:space="0" w:color="auto"/>
            <w:left w:val="none" w:sz="0" w:space="0" w:color="auto"/>
            <w:bottom w:val="none" w:sz="0" w:space="0" w:color="auto"/>
            <w:right w:val="none" w:sz="0" w:space="0" w:color="auto"/>
          </w:divBdr>
          <w:divsChild>
            <w:div w:id="1698390355">
              <w:marLeft w:val="0"/>
              <w:marRight w:val="0"/>
              <w:marTop w:val="0"/>
              <w:marBottom w:val="0"/>
              <w:divBdr>
                <w:top w:val="none" w:sz="0" w:space="0" w:color="auto"/>
                <w:left w:val="none" w:sz="0" w:space="0" w:color="auto"/>
                <w:bottom w:val="none" w:sz="0" w:space="0" w:color="auto"/>
                <w:right w:val="none" w:sz="0" w:space="0" w:color="auto"/>
              </w:divBdr>
              <w:divsChild>
                <w:div w:id="614336028">
                  <w:marLeft w:val="0"/>
                  <w:marRight w:val="0"/>
                  <w:marTop w:val="0"/>
                  <w:marBottom w:val="0"/>
                  <w:divBdr>
                    <w:top w:val="none" w:sz="0" w:space="0" w:color="auto"/>
                    <w:left w:val="none" w:sz="0" w:space="0" w:color="auto"/>
                    <w:bottom w:val="none" w:sz="0" w:space="0" w:color="auto"/>
                    <w:right w:val="none" w:sz="0" w:space="0" w:color="auto"/>
                  </w:divBdr>
                  <w:divsChild>
                    <w:div w:id="212809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284667">
      <w:bodyDiv w:val="1"/>
      <w:marLeft w:val="0"/>
      <w:marRight w:val="0"/>
      <w:marTop w:val="0"/>
      <w:marBottom w:val="0"/>
      <w:divBdr>
        <w:top w:val="none" w:sz="0" w:space="0" w:color="auto"/>
        <w:left w:val="none" w:sz="0" w:space="0" w:color="auto"/>
        <w:bottom w:val="none" w:sz="0" w:space="0" w:color="auto"/>
        <w:right w:val="none" w:sz="0" w:space="0" w:color="auto"/>
      </w:divBdr>
    </w:div>
    <w:div w:id="470946624">
      <w:bodyDiv w:val="1"/>
      <w:marLeft w:val="0"/>
      <w:marRight w:val="0"/>
      <w:marTop w:val="0"/>
      <w:marBottom w:val="0"/>
      <w:divBdr>
        <w:top w:val="none" w:sz="0" w:space="0" w:color="auto"/>
        <w:left w:val="none" w:sz="0" w:space="0" w:color="auto"/>
        <w:bottom w:val="none" w:sz="0" w:space="0" w:color="auto"/>
        <w:right w:val="none" w:sz="0" w:space="0" w:color="auto"/>
      </w:divBdr>
    </w:div>
    <w:div w:id="471363151">
      <w:bodyDiv w:val="1"/>
      <w:marLeft w:val="0"/>
      <w:marRight w:val="0"/>
      <w:marTop w:val="0"/>
      <w:marBottom w:val="0"/>
      <w:divBdr>
        <w:top w:val="none" w:sz="0" w:space="0" w:color="auto"/>
        <w:left w:val="none" w:sz="0" w:space="0" w:color="auto"/>
        <w:bottom w:val="none" w:sz="0" w:space="0" w:color="auto"/>
        <w:right w:val="none" w:sz="0" w:space="0" w:color="auto"/>
      </w:divBdr>
    </w:div>
    <w:div w:id="471598442">
      <w:bodyDiv w:val="1"/>
      <w:marLeft w:val="0"/>
      <w:marRight w:val="0"/>
      <w:marTop w:val="0"/>
      <w:marBottom w:val="0"/>
      <w:divBdr>
        <w:top w:val="none" w:sz="0" w:space="0" w:color="auto"/>
        <w:left w:val="none" w:sz="0" w:space="0" w:color="auto"/>
        <w:bottom w:val="none" w:sz="0" w:space="0" w:color="auto"/>
        <w:right w:val="none" w:sz="0" w:space="0" w:color="auto"/>
      </w:divBdr>
    </w:div>
    <w:div w:id="480004375">
      <w:bodyDiv w:val="1"/>
      <w:marLeft w:val="0"/>
      <w:marRight w:val="0"/>
      <w:marTop w:val="0"/>
      <w:marBottom w:val="0"/>
      <w:divBdr>
        <w:top w:val="none" w:sz="0" w:space="0" w:color="auto"/>
        <w:left w:val="none" w:sz="0" w:space="0" w:color="auto"/>
        <w:bottom w:val="none" w:sz="0" w:space="0" w:color="auto"/>
        <w:right w:val="none" w:sz="0" w:space="0" w:color="auto"/>
      </w:divBdr>
    </w:div>
    <w:div w:id="481894408">
      <w:bodyDiv w:val="1"/>
      <w:marLeft w:val="0"/>
      <w:marRight w:val="0"/>
      <w:marTop w:val="0"/>
      <w:marBottom w:val="0"/>
      <w:divBdr>
        <w:top w:val="none" w:sz="0" w:space="0" w:color="auto"/>
        <w:left w:val="none" w:sz="0" w:space="0" w:color="auto"/>
        <w:bottom w:val="none" w:sz="0" w:space="0" w:color="auto"/>
        <w:right w:val="none" w:sz="0" w:space="0" w:color="auto"/>
      </w:divBdr>
      <w:divsChild>
        <w:div w:id="1252352765">
          <w:marLeft w:val="0"/>
          <w:marRight w:val="0"/>
          <w:marTop w:val="0"/>
          <w:marBottom w:val="0"/>
          <w:divBdr>
            <w:top w:val="none" w:sz="0" w:space="0" w:color="auto"/>
            <w:left w:val="none" w:sz="0" w:space="0" w:color="auto"/>
            <w:bottom w:val="none" w:sz="0" w:space="0" w:color="auto"/>
            <w:right w:val="none" w:sz="0" w:space="0" w:color="auto"/>
          </w:divBdr>
          <w:divsChild>
            <w:div w:id="1404376194">
              <w:marLeft w:val="0"/>
              <w:marRight w:val="0"/>
              <w:marTop w:val="0"/>
              <w:marBottom w:val="0"/>
              <w:divBdr>
                <w:top w:val="none" w:sz="0" w:space="0" w:color="auto"/>
                <w:left w:val="none" w:sz="0" w:space="0" w:color="auto"/>
                <w:bottom w:val="none" w:sz="0" w:space="0" w:color="auto"/>
                <w:right w:val="none" w:sz="0" w:space="0" w:color="auto"/>
              </w:divBdr>
              <w:divsChild>
                <w:div w:id="1005744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598060">
      <w:bodyDiv w:val="1"/>
      <w:marLeft w:val="0"/>
      <w:marRight w:val="0"/>
      <w:marTop w:val="0"/>
      <w:marBottom w:val="0"/>
      <w:divBdr>
        <w:top w:val="none" w:sz="0" w:space="0" w:color="auto"/>
        <w:left w:val="none" w:sz="0" w:space="0" w:color="auto"/>
        <w:bottom w:val="none" w:sz="0" w:space="0" w:color="auto"/>
        <w:right w:val="none" w:sz="0" w:space="0" w:color="auto"/>
      </w:divBdr>
      <w:divsChild>
        <w:div w:id="497426662">
          <w:marLeft w:val="0"/>
          <w:marRight w:val="0"/>
          <w:marTop w:val="0"/>
          <w:marBottom w:val="0"/>
          <w:divBdr>
            <w:top w:val="none" w:sz="0" w:space="0" w:color="auto"/>
            <w:left w:val="none" w:sz="0" w:space="0" w:color="auto"/>
            <w:bottom w:val="none" w:sz="0" w:space="0" w:color="auto"/>
            <w:right w:val="none" w:sz="0" w:space="0" w:color="auto"/>
          </w:divBdr>
          <w:divsChild>
            <w:div w:id="1805662349">
              <w:marLeft w:val="0"/>
              <w:marRight w:val="0"/>
              <w:marTop w:val="0"/>
              <w:marBottom w:val="0"/>
              <w:divBdr>
                <w:top w:val="none" w:sz="0" w:space="0" w:color="auto"/>
                <w:left w:val="none" w:sz="0" w:space="0" w:color="auto"/>
                <w:bottom w:val="none" w:sz="0" w:space="0" w:color="auto"/>
                <w:right w:val="none" w:sz="0" w:space="0" w:color="auto"/>
              </w:divBdr>
              <w:divsChild>
                <w:div w:id="402605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791312">
      <w:bodyDiv w:val="1"/>
      <w:marLeft w:val="0"/>
      <w:marRight w:val="0"/>
      <w:marTop w:val="0"/>
      <w:marBottom w:val="0"/>
      <w:divBdr>
        <w:top w:val="none" w:sz="0" w:space="0" w:color="auto"/>
        <w:left w:val="none" w:sz="0" w:space="0" w:color="auto"/>
        <w:bottom w:val="none" w:sz="0" w:space="0" w:color="auto"/>
        <w:right w:val="none" w:sz="0" w:space="0" w:color="auto"/>
      </w:divBdr>
    </w:div>
    <w:div w:id="513567982">
      <w:bodyDiv w:val="1"/>
      <w:marLeft w:val="0"/>
      <w:marRight w:val="0"/>
      <w:marTop w:val="0"/>
      <w:marBottom w:val="0"/>
      <w:divBdr>
        <w:top w:val="none" w:sz="0" w:space="0" w:color="auto"/>
        <w:left w:val="none" w:sz="0" w:space="0" w:color="auto"/>
        <w:bottom w:val="none" w:sz="0" w:space="0" w:color="auto"/>
        <w:right w:val="none" w:sz="0" w:space="0" w:color="auto"/>
      </w:divBdr>
    </w:div>
    <w:div w:id="515079585">
      <w:bodyDiv w:val="1"/>
      <w:marLeft w:val="0"/>
      <w:marRight w:val="0"/>
      <w:marTop w:val="0"/>
      <w:marBottom w:val="0"/>
      <w:divBdr>
        <w:top w:val="none" w:sz="0" w:space="0" w:color="auto"/>
        <w:left w:val="none" w:sz="0" w:space="0" w:color="auto"/>
        <w:bottom w:val="none" w:sz="0" w:space="0" w:color="auto"/>
        <w:right w:val="none" w:sz="0" w:space="0" w:color="auto"/>
      </w:divBdr>
      <w:divsChild>
        <w:div w:id="1080636697">
          <w:marLeft w:val="0"/>
          <w:marRight w:val="0"/>
          <w:marTop w:val="0"/>
          <w:marBottom w:val="0"/>
          <w:divBdr>
            <w:top w:val="none" w:sz="0" w:space="0" w:color="auto"/>
            <w:left w:val="none" w:sz="0" w:space="0" w:color="auto"/>
            <w:bottom w:val="none" w:sz="0" w:space="0" w:color="auto"/>
            <w:right w:val="none" w:sz="0" w:space="0" w:color="auto"/>
          </w:divBdr>
          <w:divsChild>
            <w:div w:id="876356322">
              <w:marLeft w:val="0"/>
              <w:marRight w:val="0"/>
              <w:marTop w:val="0"/>
              <w:marBottom w:val="0"/>
              <w:divBdr>
                <w:top w:val="none" w:sz="0" w:space="0" w:color="auto"/>
                <w:left w:val="none" w:sz="0" w:space="0" w:color="auto"/>
                <w:bottom w:val="none" w:sz="0" w:space="0" w:color="auto"/>
                <w:right w:val="none" w:sz="0" w:space="0" w:color="auto"/>
              </w:divBdr>
              <w:divsChild>
                <w:div w:id="377094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798943">
      <w:bodyDiv w:val="1"/>
      <w:marLeft w:val="0"/>
      <w:marRight w:val="0"/>
      <w:marTop w:val="0"/>
      <w:marBottom w:val="0"/>
      <w:divBdr>
        <w:top w:val="none" w:sz="0" w:space="0" w:color="auto"/>
        <w:left w:val="none" w:sz="0" w:space="0" w:color="auto"/>
        <w:bottom w:val="none" w:sz="0" w:space="0" w:color="auto"/>
        <w:right w:val="none" w:sz="0" w:space="0" w:color="auto"/>
      </w:divBdr>
    </w:div>
    <w:div w:id="532427014">
      <w:bodyDiv w:val="1"/>
      <w:marLeft w:val="0"/>
      <w:marRight w:val="0"/>
      <w:marTop w:val="0"/>
      <w:marBottom w:val="0"/>
      <w:divBdr>
        <w:top w:val="none" w:sz="0" w:space="0" w:color="auto"/>
        <w:left w:val="none" w:sz="0" w:space="0" w:color="auto"/>
        <w:bottom w:val="none" w:sz="0" w:space="0" w:color="auto"/>
        <w:right w:val="none" w:sz="0" w:space="0" w:color="auto"/>
      </w:divBdr>
    </w:div>
    <w:div w:id="540820539">
      <w:bodyDiv w:val="1"/>
      <w:marLeft w:val="0"/>
      <w:marRight w:val="0"/>
      <w:marTop w:val="0"/>
      <w:marBottom w:val="0"/>
      <w:divBdr>
        <w:top w:val="none" w:sz="0" w:space="0" w:color="auto"/>
        <w:left w:val="none" w:sz="0" w:space="0" w:color="auto"/>
        <w:bottom w:val="none" w:sz="0" w:space="0" w:color="auto"/>
        <w:right w:val="none" w:sz="0" w:space="0" w:color="auto"/>
      </w:divBdr>
      <w:divsChild>
        <w:div w:id="1677533794">
          <w:marLeft w:val="0"/>
          <w:marRight w:val="0"/>
          <w:marTop w:val="0"/>
          <w:marBottom w:val="0"/>
          <w:divBdr>
            <w:top w:val="none" w:sz="0" w:space="0" w:color="auto"/>
            <w:left w:val="none" w:sz="0" w:space="0" w:color="auto"/>
            <w:bottom w:val="none" w:sz="0" w:space="0" w:color="auto"/>
            <w:right w:val="none" w:sz="0" w:space="0" w:color="auto"/>
          </w:divBdr>
          <w:divsChild>
            <w:div w:id="1005402339">
              <w:marLeft w:val="0"/>
              <w:marRight w:val="0"/>
              <w:marTop w:val="0"/>
              <w:marBottom w:val="0"/>
              <w:divBdr>
                <w:top w:val="none" w:sz="0" w:space="0" w:color="auto"/>
                <w:left w:val="none" w:sz="0" w:space="0" w:color="auto"/>
                <w:bottom w:val="none" w:sz="0" w:space="0" w:color="auto"/>
                <w:right w:val="none" w:sz="0" w:space="0" w:color="auto"/>
              </w:divBdr>
              <w:divsChild>
                <w:div w:id="2082675582">
                  <w:marLeft w:val="0"/>
                  <w:marRight w:val="0"/>
                  <w:marTop w:val="0"/>
                  <w:marBottom w:val="0"/>
                  <w:divBdr>
                    <w:top w:val="none" w:sz="0" w:space="0" w:color="auto"/>
                    <w:left w:val="none" w:sz="0" w:space="0" w:color="auto"/>
                    <w:bottom w:val="none" w:sz="0" w:space="0" w:color="auto"/>
                    <w:right w:val="none" w:sz="0" w:space="0" w:color="auto"/>
                  </w:divBdr>
                  <w:divsChild>
                    <w:div w:id="1859194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067312">
      <w:bodyDiv w:val="1"/>
      <w:marLeft w:val="0"/>
      <w:marRight w:val="0"/>
      <w:marTop w:val="0"/>
      <w:marBottom w:val="0"/>
      <w:divBdr>
        <w:top w:val="none" w:sz="0" w:space="0" w:color="auto"/>
        <w:left w:val="none" w:sz="0" w:space="0" w:color="auto"/>
        <w:bottom w:val="none" w:sz="0" w:space="0" w:color="auto"/>
        <w:right w:val="none" w:sz="0" w:space="0" w:color="auto"/>
      </w:divBdr>
      <w:divsChild>
        <w:div w:id="1561557882">
          <w:marLeft w:val="0"/>
          <w:marRight w:val="0"/>
          <w:marTop w:val="0"/>
          <w:marBottom w:val="0"/>
          <w:divBdr>
            <w:top w:val="none" w:sz="0" w:space="0" w:color="auto"/>
            <w:left w:val="none" w:sz="0" w:space="0" w:color="auto"/>
            <w:bottom w:val="none" w:sz="0" w:space="0" w:color="auto"/>
            <w:right w:val="none" w:sz="0" w:space="0" w:color="auto"/>
          </w:divBdr>
          <w:divsChild>
            <w:div w:id="192116013">
              <w:marLeft w:val="0"/>
              <w:marRight w:val="0"/>
              <w:marTop w:val="0"/>
              <w:marBottom w:val="0"/>
              <w:divBdr>
                <w:top w:val="none" w:sz="0" w:space="0" w:color="auto"/>
                <w:left w:val="none" w:sz="0" w:space="0" w:color="auto"/>
                <w:bottom w:val="none" w:sz="0" w:space="0" w:color="auto"/>
                <w:right w:val="none" w:sz="0" w:space="0" w:color="auto"/>
              </w:divBdr>
              <w:divsChild>
                <w:div w:id="614869295">
                  <w:marLeft w:val="0"/>
                  <w:marRight w:val="0"/>
                  <w:marTop w:val="0"/>
                  <w:marBottom w:val="0"/>
                  <w:divBdr>
                    <w:top w:val="none" w:sz="0" w:space="0" w:color="auto"/>
                    <w:left w:val="none" w:sz="0" w:space="0" w:color="auto"/>
                    <w:bottom w:val="none" w:sz="0" w:space="0" w:color="auto"/>
                    <w:right w:val="none" w:sz="0" w:space="0" w:color="auto"/>
                  </w:divBdr>
                  <w:divsChild>
                    <w:div w:id="42827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0045100">
      <w:bodyDiv w:val="1"/>
      <w:marLeft w:val="0"/>
      <w:marRight w:val="0"/>
      <w:marTop w:val="0"/>
      <w:marBottom w:val="0"/>
      <w:divBdr>
        <w:top w:val="none" w:sz="0" w:space="0" w:color="auto"/>
        <w:left w:val="none" w:sz="0" w:space="0" w:color="auto"/>
        <w:bottom w:val="none" w:sz="0" w:space="0" w:color="auto"/>
        <w:right w:val="none" w:sz="0" w:space="0" w:color="auto"/>
      </w:divBdr>
      <w:divsChild>
        <w:div w:id="1231621922">
          <w:marLeft w:val="0"/>
          <w:marRight w:val="0"/>
          <w:marTop w:val="0"/>
          <w:marBottom w:val="0"/>
          <w:divBdr>
            <w:top w:val="none" w:sz="0" w:space="0" w:color="auto"/>
            <w:left w:val="none" w:sz="0" w:space="0" w:color="auto"/>
            <w:bottom w:val="none" w:sz="0" w:space="0" w:color="auto"/>
            <w:right w:val="none" w:sz="0" w:space="0" w:color="auto"/>
          </w:divBdr>
          <w:divsChild>
            <w:div w:id="664018815">
              <w:marLeft w:val="0"/>
              <w:marRight w:val="0"/>
              <w:marTop w:val="0"/>
              <w:marBottom w:val="0"/>
              <w:divBdr>
                <w:top w:val="none" w:sz="0" w:space="0" w:color="auto"/>
                <w:left w:val="none" w:sz="0" w:space="0" w:color="auto"/>
                <w:bottom w:val="none" w:sz="0" w:space="0" w:color="auto"/>
                <w:right w:val="none" w:sz="0" w:space="0" w:color="auto"/>
              </w:divBdr>
              <w:divsChild>
                <w:div w:id="971599167">
                  <w:marLeft w:val="0"/>
                  <w:marRight w:val="0"/>
                  <w:marTop w:val="0"/>
                  <w:marBottom w:val="0"/>
                  <w:divBdr>
                    <w:top w:val="none" w:sz="0" w:space="0" w:color="auto"/>
                    <w:left w:val="none" w:sz="0" w:space="0" w:color="auto"/>
                    <w:bottom w:val="none" w:sz="0" w:space="0" w:color="auto"/>
                    <w:right w:val="none" w:sz="0" w:space="0" w:color="auto"/>
                  </w:divBdr>
                  <w:divsChild>
                    <w:div w:id="712997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8170332">
      <w:bodyDiv w:val="1"/>
      <w:marLeft w:val="0"/>
      <w:marRight w:val="0"/>
      <w:marTop w:val="0"/>
      <w:marBottom w:val="0"/>
      <w:divBdr>
        <w:top w:val="none" w:sz="0" w:space="0" w:color="auto"/>
        <w:left w:val="none" w:sz="0" w:space="0" w:color="auto"/>
        <w:bottom w:val="none" w:sz="0" w:space="0" w:color="auto"/>
        <w:right w:val="none" w:sz="0" w:space="0" w:color="auto"/>
      </w:divBdr>
    </w:div>
    <w:div w:id="560210829">
      <w:bodyDiv w:val="1"/>
      <w:marLeft w:val="0"/>
      <w:marRight w:val="0"/>
      <w:marTop w:val="0"/>
      <w:marBottom w:val="0"/>
      <w:divBdr>
        <w:top w:val="none" w:sz="0" w:space="0" w:color="auto"/>
        <w:left w:val="none" w:sz="0" w:space="0" w:color="auto"/>
        <w:bottom w:val="none" w:sz="0" w:space="0" w:color="auto"/>
        <w:right w:val="none" w:sz="0" w:space="0" w:color="auto"/>
      </w:divBdr>
    </w:div>
    <w:div w:id="561644831">
      <w:bodyDiv w:val="1"/>
      <w:marLeft w:val="0"/>
      <w:marRight w:val="0"/>
      <w:marTop w:val="0"/>
      <w:marBottom w:val="0"/>
      <w:divBdr>
        <w:top w:val="none" w:sz="0" w:space="0" w:color="auto"/>
        <w:left w:val="none" w:sz="0" w:space="0" w:color="auto"/>
        <w:bottom w:val="none" w:sz="0" w:space="0" w:color="auto"/>
        <w:right w:val="none" w:sz="0" w:space="0" w:color="auto"/>
      </w:divBdr>
    </w:div>
    <w:div w:id="562522286">
      <w:bodyDiv w:val="1"/>
      <w:marLeft w:val="0"/>
      <w:marRight w:val="0"/>
      <w:marTop w:val="0"/>
      <w:marBottom w:val="0"/>
      <w:divBdr>
        <w:top w:val="none" w:sz="0" w:space="0" w:color="auto"/>
        <w:left w:val="none" w:sz="0" w:space="0" w:color="auto"/>
        <w:bottom w:val="none" w:sz="0" w:space="0" w:color="auto"/>
        <w:right w:val="none" w:sz="0" w:space="0" w:color="auto"/>
      </w:divBdr>
    </w:div>
    <w:div w:id="566065023">
      <w:bodyDiv w:val="1"/>
      <w:marLeft w:val="0"/>
      <w:marRight w:val="0"/>
      <w:marTop w:val="0"/>
      <w:marBottom w:val="0"/>
      <w:divBdr>
        <w:top w:val="none" w:sz="0" w:space="0" w:color="auto"/>
        <w:left w:val="none" w:sz="0" w:space="0" w:color="auto"/>
        <w:bottom w:val="none" w:sz="0" w:space="0" w:color="auto"/>
        <w:right w:val="none" w:sz="0" w:space="0" w:color="auto"/>
      </w:divBdr>
    </w:div>
    <w:div w:id="574240187">
      <w:bodyDiv w:val="1"/>
      <w:marLeft w:val="0"/>
      <w:marRight w:val="0"/>
      <w:marTop w:val="0"/>
      <w:marBottom w:val="0"/>
      <w:divBdr>
        <w:top w:val="none" w:sz="0" w:space="0" w:color="auto"/>
        <w:left w:val="none" w:sz="0" w:space="0" w:color="auto"/>
        <w:bottom w:val="none" w:sz="0" w:space="0" w:color="auto"/>
        <w:right w:val="none" w:sz="0" w:space="0" w:color="auto"/>
      </w:divBdr>
    </w:div>
    <w:div w:id="575822905">
      <w:bodyDiv w:val="1"/>
      <w:marLeft w:val="0"/>
      <w:marRight w:val="0"/>
      <w:marTop w:val="0"/>
      <w:marBottom w:val="0"/>
      <w:divBdr>
        <w:top w:val="none" w:sz="0" w:space="0" w:color="auto"/>
        <w:left w:val="none" w:sz="0" w:space="0" w:color="auto"/>
        <w:bottom w:val="none" w:sz="0" w:space="0" w:color="auto"/>
        <w:right w:val="none" w:sz="0" w:space="0" w:color="auto"/>
      </w:divBdr>
    </w:div>
    <w:div w:id="584000109">
      <w:bodyDiv w:val="1"/>
      <w:marLeft w:val="0"/>
      <w:marRight w:val="0"/>
      <w:marTop w:val="0"/>
      <w:marBottom w:val="0"/>
      <w:divBdr>
        <w:top w:val="none" w:sz="0" w:space="0" w:color="auto"/>
        <w:left w:val="none" w:sz="0" w:space="0" w:color="auto"/>
        <w:bottom w:val="none" w:sz="0" w:space="0" w:color="auto"/>
        <w:right w:val="none" w:sz="0" w:space="0" w:color="auto"/>
      </w:divBdr>
    </w:div>
    <w:div w:id="592056427">
      <w:bodyDiv w:val="1"/>
      <w:marLeft w:val="0"/>
      <w:marRight w:val="0"/>
      <w:marTop w:val="0"/>
      <w:marBottom w:val="0"/>
      <w:divBdr>
        <w:top w:val="none" w:sz="0" w:space="0" w:color="auto"/>
        <w:left w:val="none" w:sz="0" w:space="0" w:color="auto"/>
        <w:bottom w:val="none" w:sz="0" w:space="0" w:color="auto"/>
        <w:right w:val="none" w:sz="0" w:space="0" w:color="auto"/>
      </w:divBdr>
    </w:div>
    <w:div w:id="598372012">
      <w:bodyDiv w:val="1"/>
      <w:marLeft w:val="0"/>
      <w:marRight w:val="0"/>
      <w:marTop w:val="0"/>
      <w:marBottom w:val="0"/>
      <w:divBdr>
        <w:top w:val="none" w:sz="0" w:space="0" w:color="auto"/>
        <w:left w:val="none" w:sz="0" w:space="0" w:color="auto"/>
        <w:bottom w:val="none" w:sz="0" w:space="0" w:color="auto"/>
        <w:right w:val="none" w:sz="0" w:space="0" w:color="auto"/>
      </w:divBdr>
    </w:div>
    <w:div w:id="598562422">
      <w:bodyDiv w:val="1"/>
      <w:marLeft w:val="0"/>
      <w:marRight w:val="0"/>
      <w:marTop w:val="0"/>
      <w:marBottom w:val="0"/>
      <w:divBdr>
        <w:top w:val="none" w:sz="0" w:space="0" w:color="auto"/>
        <w:left w:val="none" w:sz="0" w:space="0" w:color="auto"/>
        <w:bottom w:val="none" w:sz="0" w:space="0" w:color="auto"/>
        <w:right w:val="none" w:sz="0" w:space="0" w:color="auto"/>
      </w:divBdr>
      <w:divsChild>
        <w:div w:id="687679301">
          <w:marLeft w:val="0"/>
          <w:marRight w:val="0"/>
          <w:marTop w:val="0"/>
          <w:marBottom w:val="0"/>
          <w:divBdr>
            <w:top w:val="none" w:sz="0" w:space="0" w:color="auto"/>
            <w:left w:val="none" w:sz="0" w:space="0" w:color="auto"/>
            <w:bottom w:val="none" w:sz="0" w:space="0" w:color="auto"/>
            <w:right w:val="none" w:sz="0" w:space="0" w:color="auto"/>
          </w:divBdr>
          <w:divsChild>
            <w:div w:id="165098410">
              <w:marLeft w:val="0"/>
              <w:marRight w:val="0"/>
              <w:marTop w:val="0"/>
              <w:marBottom w:val="0"/>
              <w:divBdr>
                <w:top w:val="none" w:sz="0" w:space="0" w:color="auto"/>
                <w:left w:val="none" w:sz="0" w:space="0" w:color="auto"/>
                <w:bottom w:val="none" w:sz="0" w:space="0" w:color="auto"/>
                <w:right w:val="none" w:sz="0" w:space="0" w:color="auto"/>
              </w:divBdr>
              <w:divsChild>
                <w:div w:id="1378165843">
                  <w:marLeft w:val="0"/>
                  <w:marRight w:val="0"/>
                  <w:marTop w:val="0"/>
                  <w:marBottom w:val="0"/>
                  <w:divBdr>
                    <w:top w:val="none" w:sz="0" w:space="0" w:color="auto"/>
                    <w:left w:val="none" w:sz="0" w:space="0" w:color="auto"/>
                    <w:bottom w:val="none" w:sz="0" w:space="0" w:color="auto"/>
                    <w:right w:val="none" w:sz="0" w:space="0" w:color="auto"/>
                  </w:divBdr>
                  <w:divsChild>
                    <w:div w:id="55720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0433503">
      <w:bodyDiv w:val="1"/>
      <w:marLeft w:val="0"/>
      <w:marRight w:val="0"/>
      <w:marTop w:val="0"/>
      <w:marBottom w:val="0"/>
      <w:divBdr>
        <w:top w:val="none" w:sz="0" w:space="0" w:color="auto"/>
        <w:left w:val="none" w:sz="0" w:space="0" w:color="auto"/>
        <w:bottom w:val="none" w:sz="0" w:space="0" w:color="auto"/>
        <w:right w:val="none" w:sz="0" w:space="0" w:color="auto"/>
      </w:divBdr>
      <w:divsChild>
        <w:div w:id="1190073620">
          <w:marLeft w:val="0"/>
          <w:marRight w:val="0"/>
          <w:marTop w:val="0"/>
          <w:marBottom w:val="0"/>
          <w:divBdr>
            <w:top w:val="none" w:sz="0" w:space="0" w:color="auto"/>
            <w:left w:val="none" w:sz="0" w:space="0" w:color="auto"/>
            <w:bottom w:val="none" w:sz="0" w:space="0" w:color="auto"/>
            <w:right w:val="none" w:sz="0" w:space="0" w:color="auto"/>
          </w:divBdr>
          <w:divsChild>
            <w:div w:id="441806594">
              <w:marLeft w:val="0"/>
              <w:marRight w:val="0"/>
              <w:marTop w:val="0"/>
              <w:marBottom w:val="0"/>
              <w:divBdr>
                <w:top w:val="none" w:sz="0" w:space="0" w:color="auto"/>
                <w:left w:val="none" w:sz="0" w:space="0" w:color="auto"/>
                <w:bottom w:val="none" w:sz="0" w:space="0" w:color="auto"/>
                <w:right w:val="none" w:sz="0" w:space="0" w:color="auto"/>
              </w:divBdr>
              <w:divsChild>
                <w:div w:id="2116246738">
                  <w:marLeft w:val="0"/>
                  <w:marRight w:val="0"/>
                  <w:marTop w:val="0"/>
                  <w:marBottom w:val="0"/>
                  <w:divBdr>
                    <w:top w:val="none" w:sz="0" w:space="0" w:color="auto"/>
                    <w:left w:val="none" w:sz="0" w:space="0" w:color="auto"/>
                    <w:bottom w:val="none" w:sz="0" w:space="0" w:color="auto"/>
                    <w:right w:val="none" w:sz="0" w:space="0" w:color="auto"/>
                  </w:divBdr>
                  <w:divsChild>
                    <w:div w:id="1858809385">
                      <w:marLeft w:val="0"/>
                      <w:marRight w:val="0"/>
                      <w:marTop w:val="0"/>
                      <w:marBottom w:val="0"/>
                      <w:divBdr>
                        <w:top w:val="none" w:sz="0" w:space="0" w:color="auto"/>
                        <w:left w:val="none" w:sz="0" w:space="0" w:color="auto"/>
                        <w:bottom w:val="none" w:sz="0" w:space="0" w:color="auto"/>
                        <w:right w:val="none" w:sz="0" w:space="0" w:color="auto"/>
                      </w:divBdr>
                      <w:divsChild>
                        <w:div w:id="1066759976">
                          <w:marLeft w:val="0"/>
                          <w:marRight w:val="0"/>
                          <w:marTop w:val="0"/>
                          <w:marBottom w:val="0"/>
                          <w:divBdr>
                            <w:top w:val="none" w:sz="0" w:space="0" w:color="auto"/>
                            <w:left w:val="none" w:sz="0" w:space="0" w:color="auto"/>
                            <w:bottom w:val="none" w:sz="0" w:space="0" w:color="auto"/>
                            <w:right w:val="none" w:sz="0" w:space="0" w:color="auto"/>
                          </w:divBdr>
                          <w:divsChild>
                            <w:div w:id="1870946973">
                              <w:marLeft w:val="0"/>
                              <w:marRight w:val="0"/>
                              <w:marTop w:val="0"/>
                              <w:marBottom w:val="0"/>
                              <w:divBdr>
                                <w:top w:val="none" w:sz="0" w:space="0" w:color="auto"/>
                                <w:left w:val="none" w:sz="0" w:space="0" w:color="auto"/>
                                <w:bottom w:val="none" w:sz="0" w:space="0" w:color="auto"/>
                                <w:right w:val="none" w:sz="0" w:space="0" w:color="auto"/>
                              </w:divBdr>
                              <w:divsChild>
                                <w:div w:id="1743789167">
                                  <w:marLeft w:val="0"/>
                                  <w:marRight w:val="0"/>
                                  <w:marTop w:val="0"/>
                                  <w:marBottom w:val="0"/>
                                  <w:divBdr>
                                    <w:top w:val="none" w:sz="0" w:space="0" w:color="auto"/>
                                    <w:left w:val="none" w:sz="0" w:space="0" w:color="auto"/>
                                    <w:bottom w:val="none" w:sz="0" w:space="0" w:color="auto"/>
                                    <w:right w:val="none" w:sz="0" w:space="0" w:color="auto"/>
                                  </w:divBdr>
                                  <w:divsChild>
                                    <w:div w:id="516309266">
                                      <w:marLeft w:val="0"/>
                                      <w:marRight w:val="0"/>
                                      <w:marTop w:val="0"/>
                                      <w:marBottom w:val="0"/>
                                      <w:divBdr>
                                        <w:top w:val="none" w:sz="0" w:space="0" w:color="auto"/>
                                        <w:left w:val="none" w:sz="0" w:space="0" w:color="auto"/>
                                        <w:bottom w:val="none" w:sz="0" w:space="0" w:color="auto"/>
                                        <w:right w:val="none" w:sz="0" w:space="0" w:color="auto"/>
                                      </w:divBdr>
                                      <w:divsChild>
                                        <w:div w:id="1253927117">
                                          <w:marLeft w:val="0"/>
                                          <w:marRight w:val="0"/>
                                          <w:marTop w:val="0"/>
                                          <w:marBottom w:val="0"/>
                                          <w:divBdr>
                                            <w:top w:val="none" w:sz="0" w:space="0" w:color="auto"/>
                                            <w:left w:val="none" w:sz="0" w:space="0" w:color="auto"/>
                                            <w:bottom w:val="none" w:sz="0" w:space="0" w:color="auto"/>
                                            <w:right w:val="none" w:sz="0" w:space="0" w:color="auto"/>
                                          </w:divBdr>
                                          <w:divsChild>
                                            <w:div w:id="333068280">
                                              <w:marLeft w:val="0"/>
                                              <w:marRight w:val="0"/>
                                              <w:marTop w:val="0"/>
                                              <w:marBottom w:val="0"/>
                                              <w:divBdr>
                                                <w:top w:val="none" w:sz="0" w:space="0" w:color="auto"/>
                                                <w:left w:val="none" w:sz="0" w:space="0" w:color="auto"/>
                                                <w:bottom w:val="none" w:sz="0" w:space="0" w:color="auto"/>
                                                <w:right w:val="none" w:sz="0" w:space="0" w:color="auto"/>
                                              </w:divBdr>
                                              <w:divsChild>
                                                <w:div w:id="1633170543">
                                                  <w:marLeft w:val="0"/>
                                                  <w:marRight w:val="0"/>
                                                  <w:marTop w:val="0"/>
                                                  <w:marBottom w:val="0"/>
                                                  <w:divBdr>
                                                    <w:top w:val="none" w:sz="0" w:space="0" w:color="auto"/>
                                                    <w:left w:val="none" w:sz="0" w:space="0" w:color="auto"/>
                                                    <w:bottom w:val="none" w:sz="0" w:space="0" w:color="auto"/>
                                                    <w:right w:val="none" w:sz="0" w:space="0" w:color="auto"/>
                                                  </w:divBdr>
                                                  <w:divsChild>
                                                    <w:div w:id="1739740782">
                                                      <w:marLeft w:val="0"/>
                                                      <w:marRight w:val="0"/>
                                                      <w:marTop w:val="0"/>
                                                      <w:marBottom w:val="0"/>
                                                      <w:divBdr>
                                                        <w:top w:val="single" w:sz="6" w:space="0" w:color="ABABAB"/>
                                                        <w:left w:val="single" w:sz="6" w:space="0" w:color="ABABAB"/>
                                                        <w:bottom w:val="none" w:sz="0" w:space="0" w:color="auto"/>
                                                        <w:right w:val="single" w:sz="6" w:space="0" w:color="ABABAB"/>
                                                      </w:divBdr>
                                                      <w:divsChild>
                                                        <w:div w:id="1865821039">
                                                          <w:marLeft w:val="0"/>
                                                          <w:marRight w:val="0"/>
                                                          <w:marTop w:val="0"/>
                                                          <w:marBottom w:val="0"/>
                                                          <w:divBdr>
                                                            <w:top w:val="none" w:sz="0" w:space="0" w:color="auto"/>
                                                            <w:left w:val="none" w:sz="0" w:space="0" w:color="auto"/>
                                                            <w:bottom w:val="none" w:sz="0" w:space="0" w:color="auto"/>
                                                            <w:right w:val="none" w:sz="0" w:space="0" w:color="auto"/>
                                                          </w:divBdr>
                                                          <w:divsChild>
                                                            <w:div w:id="1137334788">
                                                              <w:marLeft w:val="0"/>
                                                              <w:marRight w:val="0"/>
                                                              <w:marTop w:val="0"/>
                                                              <w:marBottom w:val="0"/>
                                                              <w:divBdr>
                                                                <w:top w:val="none" w:sz="0" w:space="0" w:color="auto"/>
                                                                <w:left w:val="none" w:sz="0" w:space="0" w:color="auto"/>
                                                                <w:bottom w:val="none" w:sz="0" w:space="0" w:color="auto"/>
                                                                <w:right w:val="none" w:sz="0" w:space="0" w:color="auto"/>
                                                              </w:divBdr>
                                                              <w:divsChild>
                                                                <w:div w:id="1514565765">
                                                                  <w:marLeft w:val="0"/>
                                                                  <w:marRight w:val="0"/>
                                                                  <w:marTop w:val="0"/>
                                                                  <w:marBottom w:val="0"/>
                                                                  <w:divBdr>
                                                                    <w:top w:val="none" w:sz="0" w:space="0" w:color="auto"/>
                                                                    <w:left w:val="none" w:sz="0" w:space="0" w:color="auto"/>
                                                                    <w:bottom w:val="none" w:sz="0" w:space="0" w:color="auto"/>
                                                                    <w:right w:val="none" w:sz="0" w:space="0" w:color="auto"/>
                                                                  </w:divBdr>
                                                                  <w:divsChild>
                                                                    <w:div w:id="596016279">
                                                                      <w:marLeft w:val="0"/>
                                                                      <w:marRight w:val="0"/>
                                                                      <w:marTop w:val="0"/>
                                                                      <w:marBottom w:val="0"/>
                                                                      <w:divBdr>
                                                                        <w:top w:val="none" w:sz="0" w:space="0" w:color="auto"/>
                                                                        <w:left w:val="none" w:sz="0" w:space="0" w:color="auto"/>
                                                                        <w:bottom w:val="none" w:sz="0" w:space="0" w:color="auto"/>
                                                                        <w:right w:val="none" w:sz="0" w:space="0" w:color="auto"/>
                                                                      </w:divBdr>
                                                                      <w:divsChild>
                                                                        <w:div w:id="849292862">
                                                                          <w:marLeft w:val="0"/>
                                                                          <w:marRight w:val="0"/>
                                                                          <w:marTop w:val="0"/>
                                                                          <w:marBottom w:val="0"/>
                                                                          <w:divBdr>
                                                                            <w:top w:val="none" w:sz="0" w:space="0" w:color="auto"/>
                                                                            <w:left w:val="none" w:sz="0" w:space="0" w:color="auto"/>
                                                                            <w:bottom w:val="none" w:sz="0" w:space="0" w:color="auto"/>
                                                                            <w:right w:val="none" w:sz="0" w:space="0" w:color="auto"/>
                                                                          </w:divBdr>
                                                                          <w:divsChild>
                                                                            <w:div w:id="1650279316">
                                                                              <w:marLeft w:val="0"/>
                                                                              <w:marRight w:val="0"/>
                                                                              <w:marTop w:val="0"/>
                                                                              <w:marBottom w:val="0"/>
                                                                              <w:divBdr>
                                                                                <w:top w:val="none" w:sz="0" w:space="0" w:color="auto"/>
                                                                                <w:left w:val="none" w:sz="0" w:space="0" w:color="auto"/>
                                                                                <w:bottom w:val="none" w:sz="0" w:space="0" w:color="auto"/>
                                                                                <w:right w:val="none" w:sz="0" w:space="0" w:color="auto"/>
                                                                              </w:divBdr>
                                                                              <w:divsChild>
                                                                                <w:div w:id="11959162">
                                                                                  <w:marLeft w:val="0"/>
                                                                                  <w:marRight w:val="0"/>
                                                                                  <w:marTop w:val="0"/>
                                                                                  <w:marBottom w:val="0"/>
                                                                                  <w:divBdr>
                                                                                    <w:top w:val="none" w:sz="0" w:space="0" w:color="auto"/>
                                                                                    <w:left w:val="none" w:sz="0" w:space="0" w:color="auto"/>
                                                                                    <w:bottom w:val="none" w:sz="0" w:space="0" w:color="auto"/>
                                                                                    <w:right w:val="none" w:sz="0" w:space="0" w:color="auto"/>
                                                                                  </w:divBdr>
                                                                                </w:div>
                                                                                <w:div w:id="28065829">
                                                                                  <w:marLeft w:val="0"/>
                                                                                  <w:marRight w:val="0"/>
                                                                                  <w:marTop w:val="0"/>
                                                                                  <w:marBottom w:val="0"/>
                                                                                  <w:divBdr>
                                                                                    <w:top w:val="none" w:sz="0" w:space="0" w:color="auto"/>
                                                                                    <w:left w:val="none" w:sz="0" w:space="0" w:color="auto"/>
                                                                                    <w:bottom w:val="none" w:sz="0" w:space="0" w:color="auto"/>
                                                                                    <w:right w:val="none" w:sz="0" w:space="0" w:color="auto"/>
                                                                                  </w:divBdr>
                                                                                </w:div>
                                                                                <w:div w:id="35011057">
                                                                                  <w:marLeft w:val="0"/>
                                                                                  <w:marRight w:val="0"/>
                                                                                  <w:marTop w:val="0"/>
                                                                                  <w:marBottom w:val="0"/>
                                                                                  <w:divBdr>
                                                                                    <w:top w:val="none" w:sz="0" w:space="0" w:color="auto"/>
                                                                                    <w:left w:val="none" w:sz="0" w:space="0" w:color="auto"/>
                                                                                    <w:bottom w:val="none" w:sz="0" w:space="0" w:color="auto"/>
                                                                                    <w:right w:val="none" w:sz="0" w:space="0" w:color="auto"/>
                                                                                  </w:divBdr>
                                                                                </w:div>
                                                                                <w:div w:id="36904172">
                                                                                  <w:marLeft w:val="0"/>
                                                                                  <w:marRight w:val="0"/>
                                                                                  <w:marTop w:val="0"/>
                                                                                  <w:marBottom w:val="0"/>
                                                                                  <w:divBdr>
                                                                                    <w:top w:val="none" w:sz="0" w:space="0" w:color="auto"/>
                                                                                    <w:left w:val="none" w:sz="0" w:space="0" w:color="auto"/>
                                                                                    <w:bottom w:val="none" w:sz="0" w:space="0" w:color="auto"/>
                                                                                    <w:right w:val="none" w:sz="0" w:space="0" w:color="auto"/>
                                                                                  </w:divBdr>
                                                                                </w:div>
                                                                                <w:div w:id="59402032">
                                                                                  <w:marLeft w:val="0"/>
                                                                                  <w:marRight w:val="0"/>
                                                                                  <w:marTop w:val="0"/>
                                                                                  <w:marBottom w:val="0"/>
                                                                                  <w:divBdr>
                                                                                    <w:top w:val="none" w:sz="0" w:space="0" w:color="auto"/>
                                                                                    <w:left w:val="none" w:sz="0" w:space="0" w:color="auto"/>
                                                                                    <w:bottom w:val="none" w:sz="0" w:space="0" w:color="auto"/>
                                                                                    <w:right w:val="none" w:sz="0" w:space="0" w:color="auto"/>
                                                                                  </w:divBdr>
                                                                                </w:div>
                                                                                <w:div w:id="64450945">
                                                                                  <w:marLeft w:val="0"/>
                                                                                  <w:marRight w:val="0"/>
                                                                                  <w:marTop w:val="0"/>
                                                                                  <w:marBottom w:val="0"/>
                                                                                  <w:divBdr>
                                                                                    <w:top w:val="none" w:sz="0" w:space="0" w:color="auto"/>
                                                                                    <w:left w:val="none" w:sz="0" w:space="0" w:color="auto"/>
                                                                                    <w:bottom w:val="none" w:sz="0" w:space="0" w:color="auto"/>
                                                                                    <w:right w:val="none" w:sz="0" w:space="0" w:color="auto"/>
                                                                                  </w:divBdr>
                                                                                  <w:divsChild>
                                                                                    <w:div w:id="320744671">
                                                                                      <w:marLeft w:val="-75"/>
                                                                                      <w:marRight w:val="0"/>
                                                                                      <w:marTop w:val="30"/>
                                                                                      <w:marBottom w:val="30"/>
                                                                                      <w:divBdr>
                                                                                        <w:top w:val="none" w:sz="0" w:space="0" w:color="auto"/>
                                                                                        <w:left w:val="none" w:sz="0" w:space="0" w:color="auto"/>
                                                                                        <w:bottom w:val="none" w:sz="0" w:space="0" w:color="auto"/>
                                                                                        <w:right w:val="none" w:sz="0" w:space="0" w:color="auto"/>
                                                                                      </w:divBdr>
                                                                                      <w:divsChild>
                                                                                        <w:div w:id="60443863">
                                                                                          <w:marLeft w:val="0"/>
                                                                                          <w:marRight w:val="0"/>
                                                                                          <w:marTop w:val="0"/>
                                                                                          <w:marBottom w:val="0"/>
                                                                                          <w:divBdr>
                                                                                            <w:top w:val="none" w:sz="0" w:space="0" w:color="auto"/>
                                                                                            <w:left w:val="none" w:sz="0" w:space="0" w:color="auto"/>
                                                                                            <w:bottom w:val="none" w:sz="0" w:space="0" w:color="auto"/>
                                                                                            <w:right w:val="none" w:sz="0" w:space="0" w:color="auto"/>
                                                                                          </w:divBdr>
                                                                                          <w:divsChild>
                                                                                            <w:div w:id="240067580">
                                                                                              <w:marLeft w:val="0"/>
                                                                                              <w:marRight w:val="0"/>
                                                                                              <w:marTop w:val="0"/>
                                                                                              <w:marBottom w:val="0"/>
                                                                                              <w:divBdr>
                                                                                                <w:top w:val="none" w:sz="0" w:space="0" w:color="auto"/>
                                                                                                <w:left w:val="none" w:sz="0" w:space="0" w:color="auto"/>
                                                                                                <w:bottom w:val="none" w:sz="0" w:space="0" w:color="auto"/>
                                                                                                <w:right w:val="none" w:sz="0" w:space="0" w:color="auto"/>
                                                                                              </w:divBdr>
                                                                                            </w:div>
                                                                                          </w:divsChild>
                                                                                        </w:div>
                                                                                        <w:div w:id="93937194">
                                                                                          <w:marLeft w:val="0"/>
                                                                                          <w:marRight w:val="0"/>
                                                                                          <w:marTop w:val="0"/>
                                                                                          <w:marBottom w:val="0"/>
                                                                                          <w:divBdr>
                                                                                            <w:top w:val="none" w:sz="0" w:space="0" w:color="auto"/>
                                                                                            <w:left w:val="none" w:sz="0" w:space="0" w:color="auto"/>
                                                                                            <w:bottom w:val="none" w:sz="0" w:space="0" w:color="auto"/>
                                                                                            <w:right w:val="none" w:sz="0" w:space="0" w:color="auto"/>
                                                                                          </w:divBdr>
                                                                                          <w:divsChild>
                                                                                            <w:div w:id="1532187340">
                                                                                              <w:marLeft w:val="0"/>
                                                                                              <w:marRight w:val="0"/>
                                                                                              <w:marTop w:val="0"/>
                                                                                              <w:marBottom w:val="0"/>
                                                                                              <w:divBdr>
                                                                                                <w:top w:val="none" w:sz="0" w:space="0" w:color="auto"/>
                                                                                                <w:left w:val="none" w:sz="0" w:space="0" w:color="auto"/>
                                                                                                <w:bottom w:val="none" w:sz="0" w:space="0" w:color="auto"/>
                                                                                                <w:right w:val="none" w:sz="0" w:space="0" w:color="auto"/>
                                                                                              </w:divBdr>
                                                                                            </w:div>
                                                                                          </w:divsChild>
                                                                                        </w:div>
                                                                                        <w:div w:id="203517869">
                                                                                          <w:marLeft w:val="0"/>
                                                                                          <w:marRight w:val="0"/>
                                                                                          <w:marTop w:val="0"/>
                                                                                          <w:marBottom w:val="0"/>
                                                                                          <w:divBdr>
                                                                                            <w:top w:val="none" w:sz="0" w:space="0" w:color="auto"/>
                                                                                            <w:left w:val="none" w:sz="0" w:space="0" w:color="auto"/>
                                                                                            <w:bottom w:val="none" w:sz="0" w:space="0" w:color="auto"/>
                                                                                            <w:right w:val="none" w:sz="0" w:space="0" w:color="auto"/>
                                                                                          </w:divBdr>
                                                                                          <w:divsChild>
                                                                                            <w:div w:id="1259755897">
                                                                                              <w:marLeft w:val="0"/>
                                                                                              <w:marRight w:val="0"/>
                                                                                              <w:marTop w:val="0"/>
                                                                                              <w:marBottom w:val="0"/>
                                                                                              <w:divBdr>
                                                                                                <w:top w:val="none" w:sz="0" w:space="0" w:color="auto"/>
                                                                                                <w:left w:val="none" w:sz="0" w:space="0" w:color="auto"/>
                                                                                                <w:bottom w:val="none" w:sz="0" w:space="0" w:color="auto"/>
                                                                                                <w:right w:val="none" w:sz="0" w:space="0" w:color="auto"/>
                                                                                              </w:divBdr>
                                                                                            </w:div>
                                                                                          </w:divsChild>
                                                                                        </w:div>
                                                                                        <w:div w:id="298925763">
                                                                                          <w:marLeft w:val="0"/>
                                                                                          <w:marRight w:val="0"/>
                                                                                          <w:marTop w:val="0"/>
                                                                                          <w:marBottom w:val="0"/>
                                                                                          <w:divBdr>
                                                                                            <w:top w:val="none" w:sz="0" w:space="0" w:color="auto"/>
                                                                                            <w:left w:val="none" w:sz="0" w:space="0" w:color="auto"/>
                                                                                            <w:bottom w:val="none" w:sz="0" w:space="0" w:color="auto"/>
                                                                                            <w:right w:val="none" w:sz="0" w:space="0" w:color="auto"/>
                                                                                          </w:divBdr>
                                                                                          <w:divsChild>
                                                                                            <w:div w:id="344135872">
                                                                                              <w:marLeft w:val="0"/>
                                                                                              <w:marRight w:val="0"/>
                                                                                              <w:marTop w:val="0"/>
                                                                                              <w:marBottom w:val="0"/>
                                                                                              <w:divBdr>
                                                                                                <w:top w:val="none" w:sz="0" w:space="0" w:color="auto"/>
                                                                                                <w:left w:val="none" w:sz="0" w:space="0" w:color="auto"/>
                                                                                                <w:bottom w:val="none" w:sz="0" w:space="0" w:color="auto"/>
                                                                                                <w:right w:val="none" w:sz="0" w:space="0" w:color="auto"/>
                                                                                              </w:divBdr>
                                                                                            </w:div>
                                                                                          </w:divsChild>
                                                                                        </w:div>
                                                                                        <w:div w:id="366101255">
                                                                                          <w:marLeft w:val="0"/>
                                                                                          <w:marRight w:val="0"/>
                                                                                          <w:marTop w:val="0"/>
                                                                                          <w:marBottom w:val="0"/>
                                                                                          <w:divBdr>
                                                                                            <w:top w:val="none" w:sz="0" w:space="0" w:color="auto"/>
                                                                                            <w:left w:val="none" w:sz="0" w:space="0" w:color="auto"/>
                                                                                            <w:bottom w:val="none" w:sz="0" w:space="0" w:color="auto"/>
                                                                                            <w:right w:val="none" w:sz="0" w:space="0" w:color="auto"/>
                                                                                          </w:divBdr>
                                                                                          <w:divsChild>
                                                                                            <w:div w:id="1751610420">
                                                                                              <w:marLeft w:val="0"/>
                                                                                              <w:marRight w:val="0"/>
                                                                                              <w:marTop w:val="0"/>
                                                                                              <w:marBottom w:val="0"/>
                                                                                              <w:divBdr>
                                                                                                <w:top w:val="none" w:sz="0" w:space="0" w:color="auto"/>
                                                                                                <w:left w:val="none" w:sz="0" w:space="0" w:color="auto"/>
                                                                                                <w:bottom w:val="none" w:sz="0" w:space="0" w:color="auto"/>
                                                                                                <w:right w:val="none" w:sz="0" w:space="0" w:color="auto"/>
                                                                                              </w:divBdr>
                                                                                            </w:div>
                                                                                          </w:divsChild>
                                                                                        </w:div>
                                                                                        <w:div w:id="593708535">
                                                                                          <w:marLeft w:val="0"/>
                                                                                          <w:marRight w:val="0"/>
                                                                                          <w:marTop w:val="0"/>
                                                                                          <w:marBottom w:val="0"/>
                                                                                          <w:divBdr>
                                                                                            <w:top w:val="none" w:sz="0" w:space="0" w:color="auto"/>
                                                                                            <w:left w:val="none" w:sz="0" w:space="0" w:color="auto"/>
                                                                                            <w:bottom w:val="none" w:sz="0" w:space="0" w:color="auto"/>
                                                                                            <w:right w:val="none" w:sz="0" w:space="0" w:color="auto"/>
                                                                                          </w:divBdr>
                                                                                          <w:divsChild>
                                                                                            <w:div w:id="1102601944">
                                                                                              <w:marLeft w:val="0"/>
                                                                                              <w:marRight w:val="0"/>
                                                                                              <w:marTop w:val="0"/>
                                                                                              <w:marBottom w:val="0"/>
                                                                                              <w:divBdr>
                                                                                                <w:top w:val="none" w:sz="0" w:space="0" w:color="auto"/>
                                                                                                <w:left w:val="none" w:sz="0" w:space="0" w:color="auto"/>
                                                                                                <w:bottom w:val="none" w:sz="0" w:space="0" w:color="auto"/>
                                                                                                <w:right w:val="none" w:sz="0" w:space="0" w:color="auto"/>
                                                                                              </w:divBdr>
                                                                                            </w:div>
                                                                                          </w:divsChild>
                                                                                        </w:div>
                                                                                        <w:div w:id="608437998">
                                                                                          <w:marLeft w:val="0"/>
                                                                                          <w:marRight w:val="0"/>
                                                                                          <w:marTop w:val="0"/>
                                                                                          <w:marBottom w:val="0"/>
                                                                                          <w:divBdr>
                                                                                            <w:top w:val="none" w:sz="0" w:space="0" w:color="auto"/>
                                                                                            <w:left w:val="none" w:sz="0" w:space="0" w:color="auto"/>
                                                                                            <w:bottom w:val="none" w:sz="0" w:space="0" w:color="auto"/>
                                                                                            <w:right w:val="none" w:sz="0" w:space="0" w:color="auto"/>
                                                                                          </w:divBdr>
                                                                                          <w:divsChild>
                                                                                            <w:div w:id="1650984247">
                                                                                              <w:marLeft w:val="0"/>
                                                                                              <w:marRight w:val="0"/>
                                                                                              <w:marTop w:val="0"/>
                                                                                              <w:marBottom w:val="0"/>
                                                                                              <w:divBdr>
                                                                                                <w:top w:val="none" w:sz="0" w:space="0" w:color="auto"/>
                                                                                                <w:left w:val="none" w:sz="0" w:space="0" w:color="auto"/>
                                                                                                <w:bottom w:val="none" w:sz="0" w:space="0" w:color="auto"/>
                                                                                                <w:right w:val="none" w:sz="0" w:space="0" w:color="auto"/>
                                                                                              </w:divBdr>
                                                                                            </w:div>
                                                                                          </w:divsChild>
                                                                                        </w:div>
                                                                                        <w:div w:id="613559704">
                                                                                          <w:marLeft w:val="0"/>
                                                                                          <w:marRight w:val="0"/>
                                                                                          <w:marTop w:val="0"/>
                                                                                          <w:marBottom w:val="0"/>
                                                                                          <w:divBdr>
                                                                                            <w:top w:val="none" w:sz="0" w:space="0" w:color="auto"/>
                                                                                            <w:left w:val="none" w:sz="0" w:space="0" w:color="auto"/>
                                                                                            <w:bottom w:val="none" w:sz="0" w:space="0" w:color="auto"/>
                                                                                            <w:right w:val="none" w:sz="0" w:space="0" w:color="auto"/>
                                                                                          </w:divBdr>
                                                                                          <w:divsChild>
                                                                                            <w:div w:id="1148664770">
                                                                                              <w:marLeft w:val="0"/>
                                                                                              <w:marRight w:val="0"/>
                                                                                              <w:marTop w:val="0"/>
                                                                                              <w:marBottom w:val="0"/>
                                                                                              <w:divBdr>
                                                                                                <w:top w:val="none" w:sz="0" w:space="0" w:color="auto"/>
                                                                                                <w:left w:val="none" w:sz="0" w:space="0" w:color="auto"/>
                                                                                                <w:bottom w:val="none" w:sz="0" w:space="0" w:color="auto"/>
                                                                                                <w:right w:val="none" w:sz="0" w:space="0" w:color="auto"/>
                                                                                              </w:divBdr>
                                                                                            </w:div>
                                                                                          </w:divsChild>
                                                                                        </w:div>
                                                                                        <w:div w:id="690451245">
                                                                                          <w:marLeft w:val="0"/>
                                                                                          <w:marRight w:val="0"/>
                                                                                          <w:marTop w:val="0"/>
                                                                                          <w:marBottom w:val="0"/>
                                                                                          <w:divBdr>
                                                                                            <w:top w:val="none" w:sz="0" w:space="0" w:color="auto"/>
                                                                                            <w:left w:val="none" w:sz="0" w:space="0" w:color="auto"/>
                                                                                            <w:bottom w:val="none" w:sz="0" w:space="0" w:color="auto"/>
                                                                                            <w:right w:val="none" w:sz="0" w:space="0" w:color="auto"/>
                                                                                          </w:divBdr>
                                                                                          <w:divsChild>
                                                                                            <w:div w:id="364019095">
                                                                                              <w:marLeft w:val="0"/>
                                                                                              <w:marRight w:val="0"/>
                                                                                              <w:marTop w:val="0"/>
                                                                                              <w:marBottom w:val="0"/>
                                                                                              <w:divBdr>
                                                                                                <w:top w:val="none" w:sz="0" w:space="0" w:color="auto"/>
                                                                                                <w:left w:val="none" w:sz="0" w:space="0" w:color="auto"/>
                                                                                                <w:bottom w:val="none" w:sz="0" w:space="0" w:color="auto"/>
                                                                                                <w:right w:val="none" w:sz="0" w:space="0" w:color="auto"/>
                                                                                              </w:divBdr>
                                                                                            </w:div>
                                                                                          </w:divsChild>
                                                                                        </w:div>
                                                                                        <w:div w:id="778111305">
                                                                                          <w:marLeft w:val="0"/>
                                                                                          <w:marRight w:val="0"/>
                                                                                          <w:marTop w:val="0"/>
                                                                                          <w:marBottom w:val="0"/>
                                                                                          <w:divBdr>
                                                                                            <w:top w:val="none" w:sz="0" w:space="0" w:color="auto"/>
                                                                                            <w:left w:val="none" w:sz="0" w:space="0" w:color="auto"/>
                                                                                            <w:bottom w:val="none" w:sz="0" w:space="0" w:color="auto"/>
                                                                                            <w:right w:val="none" w:sz="0" w:space="0" w:color="auto"/>
                                                                                          </w:divBdr>
                                                                                          <w:divsChild>
                                                                                            <w:div w:id="2011758797">
                                                                                              <w:marLeft w:val="0"/>
                                                                                              <w:marRight w:val="0"/>
                                                                                              <w:marTop w:val="0"/>
                                                                                              <w:marBottom w:val="0"/>
                                                                                              <w:divBdr>
                                                                                                <w:top w:val="none" w:sz="0" w:space="0" w:color="auto"/>
                                                                                                <w:left w:val="none" w:sz="0" w:space="0" w:color="auto"/>
                                                                                                <w:bottom w:val="none" w:sz="0" w:space="0" w:color="auto"/>
                                                                                                <w:right w:val="none" w:sz="0" w:space="0" w:color="auto"/>
                                                                                              </w:divBdr>
                                                                                            </w:div>
                                                                                          </w:divsChild>
                                                                                        </w:div>
                                                                                        <w:div w:id="796877280">
                                                                                          <w:marLeft w:val="0"/>
                                                                                          <w:marRight w:val="0"/>
                                                                                          <w:marTop w:val="0"/>
                                                                                          <w:marBottom w:val="0"/>
                                                                                          <w:divBdr>
                                                                                            <w:top w:val="none" w:sz="0" w:space="0" w:color="auto"/>
                                                                                            <w:left w:val="none" w:sz="0" w:space="0" w:color="auto"/>
                                                                                            <w:bottom w:val="none" w:sz="0" w:space="0" w:color="auto"/>
                                                                                            <w:right w:val="none" w:sz="0" w:space="0" w:color="auto"/>
                                                                                          </w:divBdr>
                                                                                          <w:divsChild>
                                                                                            <w:div w:id="1887446560">
                                                                                              <w:marLeft w:val="0"/>
                                                                                              <w:marRight w:val="0"/>
                                                                                              <w:marTop w:val="0"/>
                                                                                              <w:marBottom w:val="0"/>
                                                                                              <w:divBdr>
                                                                                                <w:top w:val="none" w:sz="0" w:space="0" w:color="auto"/>
                                                                                                <w:left w:val="none" w:sz="0" w:space="0" w:color="auto"/>
                                                                                                <w:bottom w:val="none" w:sz="0" w:space="0" w:color="auto"/>
                                                                                                <w:right w:val="none" w:sz="0" w:space="0" w:color="auto"/>
                                                                                              </w:divBdr>
                                                                                            </w:div>
                                                                                          </w:divsChild>
                                                                                        </w:div>
                                                                                        <w:div w:id="852259786">
                                                                                          <w:marLeft w:val="0"/>
                                                                                          <w:marRight w:val="0"/>
                                                                                          <w:marTop w:val="0"/>
                                                                                          <w:marBottom w:val="0"/>
                                                                                          <w:divBdr>
                                                                                            <w:top w:val="none" w:sz="0" w:space="0" w:color="auto"/>
                                                                                            <w:left w:val="none" w:sz="0" w:space="0" w:color="auto"/>
                                                                                            <w:bottom w:val="none" w:sz="0" w:space="0" w:color="auto"/>
                                                                                            <w:right w:val="none" w:sz="0" w:space="0" w:color="auto"/>
                                                                                          </w:divBdr>
                                                                                          <w:divsChild>
                                                                                            <w:div w:id="1981566843">
                                                                                              <w:marLeft w:val="0"/>
                                                                                              <w:marRight w:val="0"/>
                                                                                              <w:marTop w:val="0"/>
                                                                                              <w:marBottom w:val="0"/>
                                                                                              <w:divBdr>
                                                                                                <w:top w:val="none" w:sz="0" w:space="0" w:color="auto"/>
                                                                                                <w:left w:val="none" w:sz="0" w:space="0" w:color="auto"/>
                                                                                                <w:bottom w:val="none" w:sz="0" w:space="0" w:color="auto"/>
                                                                                                <w:right w:val="none" w:sz="0" w:space="0" w:color="auto"/>
                                                                                              </w:divBdr>
                                                                                            </w:div>
                                                                                          </w:divsChild>
                                                                                        </w:div>
                                                                                        <w:div w:id="898898881">
                                                                                          <w:marLeft w:val="0"/>
                                                                                          <w:marRight w:val="0"/>
                                                                                          <w:marTop w:val="0"/>
                                                                                          <w:marBottom w:val="0"/>
                                                                                          <w:divBdr>
                                                                                            <w:top w:val="none" w:sz="0" w:space="0" w:color="auto"/>
                                                                                            <w:left w:val="none" w:sz="0" w:space="0" w:color="auto"/>
                                                                                            <w:bottom w:val="none" w:sz="0" w:space="0" w:color="auto"/>
                                                                                            <w:right w:val="none" w:sz="0" w:space="0" w:color="auto"/>
                                                                                          </w:divBdr>
                                                                                          <w:divsChild>
                                                                                            <w:div w:id="246304128">
                                                                                              <w:marLeft w:val="0"/>
                                                                                              <w:marRight w:val="0"/>
                                                                                              <w:marTop w:val="0"/>
                                                                                              <w:marBottom w:val="0"/>
                                                                                              <w:divBdr>
                                                                                                <w:top w:val="none" w:sz="0" w:space="0" w:color="auto"/>
                                                                                                <w:left w:val="none" w:sz="0" w:space="0" w:color="auto"/>
                                                                                                <w:bottom w:val="none" w:sz="0" w:space="0" w:color="auto"/>
                                                                                                <w:right w:val="none" w:sz="0" w:space="0" w:color="auto"/>
                                                                                              </w:divBdr>
                                                                                            </w:div>
                                                                                          </w:divsChild>
                                                                                        </w:div>
                                                                                        <w:div w:id="1058437376">
                                                                                          <w:marLeft w:val="0"/>
                                                                                          <w:marRight w:val="0"/>
                                                                                          <w:marTop w:val="0"/>
                                                                                          <w:marBottom w:val="0"/>
                                                                                          <w:divBdr>
                                                                                            <w:top w:val="none" w:sz="0" w:space="0" w:color="auto"/>
                                                                                            <w:left w:val="none" w:sz="0" w:space="0" w:color="auto"/>
                                                                                            <w:bottom w:val="none" w:sz="0" w:space="0" w:color="auto"/>
                                                                                            <w:right w:val="none" w:sz="0" w:space="0" w:color="auto"/>
                                                                                          </w:divBdr>
                                                                                          <w:divsChild>
                                                                                            <w:div w:id="1924875917">
                                                                                              <w:marLeft w:val="0"/>
                                                                                              <w:marRight w:val="0"/>
                                                                                              <w:marTop w:val="0"/>
                                                                                              <w:marBottom w:val="0"/>
                                                                                              <w:divBdr>
                                                                                                <w:top w:val="none" w:sz="0" w:space="0" w:color="auto"/>
                                                                                                <w:left w:val="none" w:sz="0" w:space="0" w:color="auto"/>
                                                                                                <w:bottom w:val="none" w:sz="0" w:space="0" w:color="auto"/>
                                                                                                <w:right w:val="none" w:sz="0" w:space="0" w:color="auto"/>
                                                                                              </w:divBdr>
                                                                                            </w:div>
                                                                                          </w:divsChild>
                                                                                        </w:div>
                                                                                        <w:div w:id="1216773755">
                                                                                          <w:marLeft w:val="0"/>
                                                                                          <w:marRight w:val="0"/>
                                                                                          <w:marTop w:val="0"/>
                                                                                          <w:marBottom w:val="0"/>
                                                                                          <w:divBdr>
                                                                                            <w:top w:val="none" w:sz="0" w:space="0" w:color="auto"/>
                                                                                            <w:left w:val="none" w:sz="0" w:space="0" w:color="auto"/>
                                                                                            <w:bottom w:val="none" w:sz="0" w:space="0" w:color="auto"/>
                                                                                            <w:right w:val="none" w:sz="0" w:space="0" w:color="auto"/>
                                                                                          </w:divBdr>
                                                                                          <w:divsChild>
                                                                                            <w:div w:id="162937718">
                                                                                              <w:marLeft w:val="0"/>
                                                                                              <w:marRight w:val="0"/>
                                                                                              <w:marTop w:val="0"/>
                                                                                              <w:marBottom w:val="0"/>
                                                                                              <w:divBdr>
                                                                                                <w:top w:val="none" w:sz="0" w:space="0" w:color="auto"/>
                                                                                                <w:left w:val="none" w:sz="0" w:space="0" w:color="auto"/>
                                                                                                <w:bottom w:val="none" w:sz="0" w:space="0" w:color="auto"/>
                                                                                                <w:right w:val="none" w:sz="0" w:space="0" w:color="auto"/>
                                                                                              </w:divBdr>
                                                                                            </w:div>
                                                                                          </w:divsChild>
                                                                                        </w:div>
                                                                                        <w:div w:id="1285695367">
                                                                                          <w:marLeft w:val="0"/>
                                                                                          <w:marRight w:val="0"/>
                                                                                          <w:marTop w:val="0"/>
                                                                                          <w:marBottom w:val="0"/>
                                                                                          <w:divBdr>
                                                                                            <w:top w:val="none" w:sz="0" w:space="0" w:color="auto"/>
                                                                                            <w:left w:val="none" w:sz="0" w:space="0" w:color="auto"/>
                                                                                            <w:bottom w:val="none" w:sz="0" w:space="0" w:color="auto"/>
                                                                                            <w:right w:val="none" w:sz="0" w:space="0" w:color="auto"/>
                                                                                          </w:divBdr>
                                                                                          <w:divsChild>
                                                                                            <w:div w:id="1762137905">
                                                                                              <w:marLeft w:val="0"/>
                                                                                              <w:marRight w:val="0"/>
                                                                                              <w:marTop w:val="0"/>
                                                                                              <w:marBottom w:val="0"/>
                                                                                              <w:divBdr>
                                                                                                <w:top w:val="none" w:sz="0" w:space="0" w:color="auto"/>
                                                                                                <w:left w:val="none" w:sz="0" w:space="0" w:color="auto"/>
                                                                                                <w:bottom w:val="none" w:sz="0" w:space="0" w:color="auto"/>
                                                                                                <w:right w:val="none" w:sz="0" w:space="0" w:color="auto"/>
                                                                                              </w:divBdr>
                                                                                            </w:div>
                                                                                          </w:divsChild>
                                                                                        </w:div>
                                                                                        <w:div w:id="1422722883">
                                                                                          <w:marLeft w:val="0"/>
                                                                                          <w:marRight w:val="0"/>
                                                                                          <w:marTop w:val="0"/>
                                                                                          <w:marBottom w:val="0"/>
                                                                                          <w:divBdr>
                                                                                            <w:top w:val="none" w:sz="0" w:space="0" w:color="auto"/>
                                                                                            <w:left w:val="none" w:sz="0" w:space="0" w:color="auto"/>
                                                                                            <w:bottom w:val="none" w:sz="0" w:space="0" w:color="auto"/>
                                                                                            <w:right w:val="none" w:sz="0" w:space="0" w:color="auto"/>
                                                                                          </w:divBdr>
                                                                                          <w:divsChild>
                                                                                            <w:div w:id="1235118947">
                                                                                              <w:marLeft w:val="0"/>
                                                                                              <w:marRight w:val="0"/>
                                                                                              <w:marTop w:val="0"/>
                                                                                              <w:marBottom w:val="0"/>
                                                                                              <w:divBdr>
                                                                                                <w:top w:val="none" w:sz="0" w:space="0" w:color="auto"/>
                                                                                                <w:left w:val="none" w:sz="0" w:space="0" w:color="auto"/>
                                                                                                <w:bottom w:val="none" w:sz="0" w:space="0" w:color="auto"/>
                                                                                                <w:right w:val="none" w:sz="0" w:space="0" w:color="auto"/>
                                                                                              </w:divBdr>
                                                                                            </w:div>
                                                                                          </w:divsChild>
                                                                                        </w:div>
                                                                                        <w:div w:id="1439523547">
                                                                                          <w:marLeft w:val="0"/>
                                                                                          <w:marRight w:val="0"/>
                                                                                          <w:marTop w:val="0"/>
                                                                                          <w:marBottom w:val="0"/>
                                                                                          <w:divBdr>
                                                                                            <w:top w:val="none" w:sz="0" w:space="0" w:color="auto"/>
                                                                                            <w:left w:val="none" w:sz="0" w:space="0" w:color="auto"/>
                                                                                            <w:bottom w:val="none" w:sz="0" w:space="0" w:color="auto"/>
                                                                                            <w:right w:val="none" w:sz="0" w:space="0" w:color="auto"/>
                                                                                          </w:divBdr>
                                                                                          <w:divsChild>
                                                                                            <w:div w:id="259336601">
                                                                                              <w:marLeft w:val="0"/>
                                                                                              <w:marRight w:val="0"/>
                                                                                              <w:marTop w:val="0"/>
                                                                                              <w:marBottom w:val="0"/>
                                                                                              <w:divBdr>
                                                                                                <w:top w:val="none" w:sz="0" w:space="0" w:color="auto"/>
                                                                                                <w:left w:val="none" w:sz="0" w:space="0" w:color="auto"/>
                                                                                                <w:bottom w:val="none" w:sz="0" w:space="0" w:color="auto"/>
                                                                                                <w:right w:val="none" w:sz="0" w:space="0" w:color="auto"/>
                                                                                              </w:divBdr>
                                                                                            </w:div>
                                                                                          </w:divsChild>
                                                                                        </w:div>
                                                                                        <w:div w:id="1528637199">
                                                                                          <w:marLeft w:val="0"/>
                                                                                          <w:marRight w:val="0"/>
                                                                                          <w:marTop w:val="0"/>
                                                                                          <w:marBottom w:val="0"/>
                                                                                          <w:divBdr>
                                                                                            <w:top w:val="none" w:sz="0" w:space="0" w:color="auto"/>
                                                                                            <w:left w:val="none" w:sz="0" w:space="0" w:color="auto"/>
                                                                                            <w:bottom w:val="none" w:sz="0" w:space="0" w:color="auto"/>
                                                                                            <w:right w:val="none" w:sz="0" w:space="0" w:color="auto"/>
                                                                                          </w:divBdr>
                                                                                          <w:divsChild>
                                                                                            <w:div w:id="510610409">
                                                                                              <w:marLeft w:val="0"/>
                                                                                              <w:marRight w:val="0"/>
                                                                                              <w:marTop w:val="0"/>
                                                                                              <w:marBottom w:val="0"/>
                                                                                              <w:divBdr>
                                                                                                <w:top w:val="none" w:sz="0" w:space="0" w:color="auto"/>
                                                                                                <w:left w:val="none" w:sz="0" w:space="0" w:color="auto"/>
                                                                                                <w:bottom w:val="none" w:sz="0" w:space="0" w:color="auto"/>
                                                                                                <w:right w:val="none" w:sz="0" w:space="0" w:color="auto"/>
                                                                                              </w:divBdr>
                                                                                            </w:div>
                                                                                          </w:divsChild>
                                                                                        </w:div>
                                                                                        <w:div w:id="1634289905">
                                                                                          <w:marLeft w:val="0"/>
                                                                                          <w:marRight w:val="0"/>
                                                                                          <w:marTop w:val="0"/>
                                                                                          <w:marBottom w:val="0"/>
                                                                                          <w:divBdr>
                                                                                            <w:top w:val="none" w:sz="0" w:space="0" w:color="auto"/>
                                                                                            <w:left w:val="none" w:sz="0" w:space="0" w:color="auto"/>
                                                                                            <w:bottom w:val="none" w:sz="0" w:space="0" w:color="auto"/>
                                                                                            <w:right w:val="none" w:sz="0" w:space="0" w:color="auto"/>
                                                                                          </w:divBdr>
                                                                                          <w:divsChild>
                                                                                            <w:div w:id="612128540">
                                                                                              <w:marLeft w:val="0"/>
                                                                                              <w:marRight w:val="0"/>
                                                                                              <w:marTop w:val="0"/>
                                                                                              <w:marBottom w:val="0"/>
                                                                                              <w:divBdr>
                                                                                                <w:top w:val="none" w:sz="0" w:space="0" w:color="auto"/>
                                                                                                <w:left w:val="none" w:sz="0" w:space="0" w:color="auto"/>
                                                                                                <w:bottom w:val="none" w:sz="0" w:space="0" w:color="auto"/>
                                                                                                <w:right w:val="none" w:sz="0" w:space="0" w:color="auto"/>
                                                                                              </w:divBdr>
                                                                                            </w:div>
                                                                                          </w:divsChild>
                                                                                        </w:div>
                                                                                        <w:div w:id="1703825702">
                                                                                          <w:marLeft w:val="0"/>
                                                                                          <w:marRight w:val="0"/>
                                                                                          <w:marTop w:val="0"/>
                                                                                          <w:marBottom w:val="0"/>
                                                                                          <w:divBdr>
                                                                                            <w:top w:val="none" w:sz="0" w:space="0" w:color="auto"/>
                                                                                            <w:left w:val="none" w:sz="0" w:space="0" w:color="auto"/>
                                                                                            <w:bottom w:val="none" w:sz="0" w:space="0" w:color="auto"/>
                                                                                            <w:right w:val="none" w:sz="0" w:space="0" w:color="auto"/>
                                                                                          </w:divBdr>
                                                                                          <w:divsChild>
                                                                                            <w:div w:id="1564292993">
                                                                                              <w:marLeft w:val="0"/>
                                                                                              <w:marRight w:val="0"/>
                                                                                              <w:marTop w:val="0"/>
                                                                                              <w:marBottom w:val="0"/>
                                                                                              <w:divBdr>
                                                                                                <w:top w:val="none" w:sz="0" w:space="0" w:color="auto"/>
                                                                                                <w:left w:val="none" w:sz="0" w:space="0" w:color="auto"/>
                                                                                                <w:bottom w:val="none" w:sz="0" w:space="0" w:color="auto"/>
                                                                                                <w:right w:val="none" w:sz="0" w:space="0" w:color="auto"/>
                                                                                              </w:divBdr>
                                                                                            </w:div>
                                                                                          </w:divsChild>
                                                                                        </w:div>
                                                                                        <w:div w:id="1796175988">
                                                                                          <w:marLeft w:val="0"/>
                                                                                          <w:marRight w:val="0"/>
                                                                                          <w:marTop w:val="0"/>
                                                                                          <w:marBottom w:val="0"/>
                                                                                          <w:divBdr>
                                                                                            <w:top w:val="none" w:sz="0" w:space="0" w:color="auto"/>
                                                                                            <w:left w:val="none" w:sz="0" w:space="0" w:color="auto"/>
                                                                                            <w:bottom w:val="none" w:sz="0" w:space="0" w:color="auto"/>
                                                                                            <w:right w:val="none" w:sz="0" w:space="0" w:color="auto"/>
                                                                                          </w:divBdr>
                                                                                          <w:divsChild>
                                                                                            <w:div w:id="888881356">
                                                                                              <w:marLeft w:val="0"/>
                                                                                              <w:marRight w:val="0"/>
                                                                                              <w:marTop w:val="0"/>
                                                                                              <w:marBottom w:val="0"/>
                                                                                              <w:divBdr>
                                                                                                <w:top w:val="none" w:sz="0" w:space="0" w:color="auto"/>
                                                                                                <w:left w:val="none" w:sz="0" w:space="0" w:color="auto"/>
                                                                                                <w:bottom w:val="none" w:sz="0" w:space="0" w:color="auto"/>
                                                                                                <w:right w:val="none" w:sz="0" w:space="0" w:color="auto"/>
                                                                                              </w:divBdr>
                                                                                            </w:div>
                                                                                          </w:divsChild>
                                                                                        </w:div>
                                                                                        <w:div w:id="1957515207">
                                                                                          <w:marLeft w:val="0"/>
                                                                                          <w:marRight w:val="0"/>
                                                                                          <w:marTop w:val="0"/>
                                                                                          <w:marBottom w:val="0"/>
                                                                                          <w:divBdr>
                                                                                            <w:top w:val="none" w:sz="0" w:space="0" w:color="auto"/>
                                                                                            <w:left w:val="none" w:sz="0" w:space="0" w:color="auto"/>
                                                                                            <w:bottom w:val="none" w:sz="0" w:space="0" w:color="auto"/>
                                                                                            <w:right w:val="none" w:sz="0" w:space="0" w:color="auto"/>
                                                                                          </w:divBdr>
                                                                                          <w:divsChild>
                                                                                            <w:div w:id="1725906578">
                                                                                              <w:marLeft w:val="0"/>
                                                                                              <w:marRight w:val="0"/>
                                                                                              <w:marTop w:val="0"/>
                                                                                              <w:marBottom w:val="0"/>
                                                                                              <w:divBdr>
                                                                                                <w:top w:val="none" w:sz="0" w:space="0" w:color="auto"/>
                                                                                                <w:left w:val="none" w:sz="0" w:space="0" w:color="auto"/>
                                                                                                <w:bottom w:val="none" w:sz="0" w:space="0" w:color="auto"/>
                                                                                                <w:right w:val="none" w:sz="0" w:space="0" w:color="auto"/>
                                                                                              </w:divBdr>
                                                                                            </w:div>
                                                                                          </w:divsChild>
                                                                                        </w:div>
                                                                                        <w:div w:id="2041661254">
                                                                                          <w:marLeft w:val="0"/>
                                                                                          <w:marRight w:val="0"/>
                                                                                          <w:marTop w:val="0"/>
                                                                                          <w:marBottom w:val="0"/>
                                                                                          <w:divBdr>
                                                                                            <w:top w:val="none" w:sz="0" w:space="0" w:color="auto"/>
                                                                                            <w:left w:val="none" w:sz="0" w:space="0" w:color="auto"/>
                                                                                            <w:bottom w:val="none" w:sz="0" w:space="0" w:color="auto"/>
                                                                                            <w:right w:val="none" w:sz="0" w:space="0" w:color="auto"/>
                                                                                          </w:divBdr>
                                                                                          <w:divsChild>
                                                                                            <w:div w:id="1183086777">
                                                                                              <w:marLeft w:val="0"/>
                                                                                              <w:marRight w:val="0"/>
                                                                                              <w:marTop w:val="0"/>
                                                                                              <w:marBottom w:val="0"/>
                                                                                              <w:divBdr>
                                                                                                <w:top w:val="none" w:sz="0" w:space="0" w:color="auto"/>
                                                                                                <w:left w:val="none" w:sz="0" w:space="0" w:color="auto"/>
                                                                                                <w:bottom w:val="none" w:sz="0" w:space="0" w:color="auto"/>
                                                                                                <w:right w:val="none" w:sz="0" w:space="0" w:color="auto"/>
                                                                                              </w:divBdr>
                                                                                            </w:div>
                                                                                          </w:divsChild>
                                                                                        </w:div>
                                                                                        <w:div w:id="2092315968">
                                                                                          <w:marLeft w:val="0"/>
                                                                                          <w:marRight w:val="0"/>
                                                                                          <w:marTop w:val="0"/>
                                                                                          <w:marBottom w:val="0"/>
                                                                                          <w:divBdr>
                                                                                            <w:top w:val="none" w:sz="0" w:space="0" w:color="auto"/>
                                                                                            <w:left w:val="none" w:sz="0" w:space="0" w:color="auto"/>
                                                                                            <w:bottom w:val="none" w:sz="0" w:space="0" w:color="auto"/>
                                                                                            <w:right w:val="none" w:sz="0" w:space="0" w:color="auto"/>
                                                                                          </w:divBdr>
                                                                                          <w:divsChild>
                                                                                            <w:div w:id="90140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35038">
                                                                                  <w:marLeft w:val="0"/>
                                                                                  <w:marRight w:val="0"/>
                                                                                  <w:marTop w:val="0"/>
                                                                                  <w:marBottom w:val="0"/>
                                                                                  <w:divBdr>
                                                                                    <w:top w:val="none" w:sz="0" w:space="0" w:color="auto"/>
                                                                                    <w:left w:val="none" w:sz="0" w:space="0" w:color="auto"/>
                                                                                    <w:bottom w:val="none" w:sz="0" w:space="0" w:color="auto"/>
                                                                                    <w:right w:val="none" w:sz="0" w:space="0" w:color="auto"/>
                                                                                  </w:divBdr>
                                                                                </w:div>
                                                                                <w:div w:id="77364984">
                                                                                  <w:marLeft w:val="0"/>
                                                                                  <w:marRight w:val="0"/>
                                                                                  <w:marTop w:val="0"/>
                                                                                  <w:marBottom w:val="0"/>
                                                                                  <w:divBdr>
                                                                                    <w:top w:val="none" w:sz="0" w:space="0" w:color="auto"/>
                                                                                    <w:left w:val="none" w:sz="0" w:space="0" w:color="auto"/>
                                                                                    <w:bottom w:val="none" w:sz="0" w:space="0" w:color="auto"/>
                                                                                    <w:right w:val="none" w:sz="0" w:space="0" w:color="auto"/>
                                                                                  </w:divBdr>
                                                                                </w:div>
                                                                                <w:div w:id="87698590">
                                                                                  <w:marLeft w:val="0"/>
                                                                                  <w:marRight w:val="0"/>
                                                                                  <w:marTop w:val="0"/>
                                                                                  <w:marBottom w:val="0"/>
                                                                                  <w:divBdr>
                                                                                    <w:top w:val="none" w:sz="0" w:space="0" w:color="auto"/>
                                                                                    <w:left w:val="none" w:sz="0" w:space="0" w:color="auto"/>
                                                                                    <w:bottom w:val="none" w:sz="0" w:space="0" w:color="auto"/>
                                                                                    <w:right w:val="none" w:sz="0" w:space="0" w:color="auto"/>
                                                                                  </w:divBdr>
                                                                                </w:div>
                                                                                <w:div w:id="93481468">
                                                                                  <w:marLeft w:val="0"/>
                                                                                  <w:marRight w:val="0"/>
                                                                                  <w:marTop w:val="0"/>
                                                                                  <w:marBottom w:val="0"/>
                                                                                  <w:divBdr>
                                                                                    <w:top w:val="none" w:sz="0" w:space="0" w:color="auto"/>
                                                                                    <w:left w:val="none" w:sz="0" w:space="0" w:color="auto"/>
                                                                                    <w:bottom w:val="none" w:sz="0" w:space="0" w:color="auto"/>
                                                                                    <w:right w:val="none" w:sz="0" w:space="0" w:color="auto"/>
                                                                                  </w:divBdr>
                                                                                </w:div>
                                                                                <w:div w:id="103043447">
                                                                                  <w:marLeft w:val="0"/>
                                                                                  <w:marRight w:val="0"/>
                                                                                  <w:marTop w:val="0"/>
                                                                                  <w:marBottom w:val="0"/>
                                                                                  <w:divBdr>
                                                                                    <w:top w:val="none" w:sz="0" w:space="0" w:color="auto"/>
                                                                                    <w:left w:val="none" w:sz="0" w:space="0" w:color="auto"/>
                                                                                    <w:bottom w:val="none" w:sz="0" w:space="0" w:color="auto"/>
                                                                                    <w:right w:val="none" w:sz="0" w:space="0" w:color="auto"/>
                                                                                  </w:divBdr>
                                                                                </w:div>
                                                                                <w:div w:id="113983196">
                                                                                  <w:marLeft w:val="0"/>
                                                                                  <w:marRight w:val="0"/>
                                                                                  <w:marTop w:val="0"/>
                                                                                  <w:marBottom w:val="0"/>
                                                                                  <w:divBdr>
                                                                                    <w:top w:val="none" w:sz="0" w:space="0" w:color="auto"/>
                                                                                    <w:left w:val="none" w:sz="0" w:space="0" w:color="auto"/>
                                                                                    <w:bottom w:val="none" w:sz="0" w:space="0" w:color="auto"/>
                                                                                    <w:right w:val="none" w:sz="0" w:space="0" w:color="auto"/>
                                                                                  </w:divBdr>
                                                                                </w:div>
                                                                                <w:div w:id="155193841">
                                                                                  <w:marLeft w:val="0"/>
                                                                                  <w:marRight w:val="0"/>
                                                                                  <w:marTop w:val="0"/>
                                                                                  <w:marBottom w:val="0"/>
                                                                                  <w:divBdr>
                                                                                    <w:top w:val="none" w:sz="0" w:space="0" w:color="auto"/>
                                                                                    <w:left w:val="none" w:sz="0" w:space="0" w:color="auto"/>
                                                                                    <w:bottom w:val="none" w:sz="0" w:space="0" w:color="auto"/>
                                                                                    <w:right w:val="none" w:sz="0" w:space="0" w:color="auto"/>
                                                                                  </w:divBdr>
                                                                                </w:div>
                                                                                <w:div w:id="155659043">
                                                                                  <w:marLeft w:val="0"/>
                                                                                  <w:marRight w:val="0"/>
                                                                                  <w:marTop w:val="0"/>
                                                                                  <w:marBottom w:val="0"/>
                                                                                  <w:divBdr>
                                                                                    <w:top w:val="none" w:sz="0" w:space="0" w:color="auto"/>
                                                                                    <w:left w:val="none" w:sz="0" w:space="0" w:color="auto"/>
                                                                                    <w:bottom w:val="none" w:sz="0" w:space="0" w:color="auto"/>
                                                                                    <w:right w:val="none" w:sz="0" w:space="0" w:color="auto"/>
                                                                                  </w:divBdr>
                                                                                </w:div>
                                                                                <w:div w:id="160202559">
                                                                                  <w:marLeft w:val="0"/>
                                                                                  <w:marRight w:val="0"/>
                                                                                  <w:marTop w:val="0"/>
                                                                                  <w:marBottom w:val="0"/>
                                                                                  <w:divBdr>
                                                                                    <w:top w:val="none" w:sz="0" w:space="0" w:color="auto"/>
                                                                                    <w:left w:val="none" w:sz="0" w:space="0" w:color="auto"/>
                                                                                    <w:bottom w:val="none" w:sz="0" w:space="0" w:color="auto"/>
                                                                                    <w:right w:val="none" w:sz="0" w:space="0" w:color="auto"/>
                                                                                  </w:divBdr>
                                                                                </w:div>
                                                                                <w:div w:id="164899790">
                                                                                  <w:marLeft w:val="0"/>
                                                                                  <w:marRight w:val="0"/>
                                                                                  <w:marTop w:val="0"/>
                                                                                  <w:marBottom w:val="0"/>
                                                                                  <w:divBdr>
                                                                                    <w:top w:val="none" w:sz="0" w:space="0" w:color="auto"/>
                                                                                    <w:left w:val="none" w:sz="0" w:space="0" w:color="auto"/>
                                                                                    <w:bottom w:val="none" w:sz="0" w:space="0" w:color="auto"/>
                                                                                    <w:right w:val="none" w:sz="0" w:space="0" w:color="auto"/>
                                                                                  </w:divBdr>
                                                                                </w:div>
                                                                                <w:div w:id="168757892">
                                                                                  <w:marLeft w:val="0"/>
                                                                                  <w:marRight w:val="0"/>
                                                                                  <w:marTop w:val="0"/>
                                                                                  <w:marBottom w:val="0"/>
                                                                                  <w:divBdr>
                                                                                    <w:top w:val="none" w:sz="0" w:space="0" w:color="auto"/>
                                                                                    <w:left w:val="none" w:sz="0" w:space="0" w:color="auto"/>
                                                                                    <w:bottom w:val="none" w:sz="0" w:space="0" w:color="auto"/>
                                                                                    <w:right w:val="none" w:sz="0" w:space="0" w:color="auto"/>
                                                                                  </w:divBdr>
                                                                                </w:div>
                                                                                <w:div w:id="169881120">
                                                                                  <w:marLeft w:val="0"/>
                                                                                  <w:marRight w:val="0"/>
                                                                                  <w:marTop w:val="0"/>
                                                                                  <w:marBottom w:val="0"/>
                                                                                  <w:divBdr>
                                                                                    <w:top w:val="none" w:sz="0" w:space="0" w:color="auto"/>
                                                                                    <w:left w:val="none" w:sz="0" w:space="0" w:color="auto"/>
                                                                                    <w:bottom w:val="none" w:sz="0" w:space="0" w:color="auto"/>
                                                                                    <w:right w:val="none" w:sz="0" w:space="0" w:color="auto"/>
                                                                                  </w:divBdr>
                                                                                </w:div>
                                                                                <w:div w:id="178207228">
                                                                                  <w:marLeft w:val="0"/>
                                                                                  <w:marRight w:val="0"/>
                                                                                  <w:marTop w:val="0"/>
                                                                                  <w:marBottom w:val="0"/>
                                                                                  <w:divBdr>
                                                                                    <w:top w:val="none" w:sz="0" w:space="0" w:color="auto"/>
                                                                                    <w:left w:val="none" w:sz="0" w:space="0" w:color="auto"/>
                                                                                    <w:bottom w:val="none" w:sz="0" w:space="0" w:color="auto"/>
                                                                                    <w:right w:val="none" w:sz="0" w:space="0" w:color="auto"/>
                                                                                  </w:divBdr>
                                                                                </w:div>
                                                                                <w:div w:id="198276797">
                                                                                  <w:marLeft w:val="0"/>
                                                                                  <w:marRight w:val="0"/>
                                                                                  <w:marTop w:val="0"/>
                                                                                  <w:marBottom w:val="0"/>
                                                                                  <w:divBdr>
                                                                                    <w:top w:val="none" w:sz="0" w:space="0" w:color="auto"/>
                                                                                    <w:left w:val="none" w:sz="0" w:space="0" w:color="auto"/>
                                                                                    <w:bottom w:val="none" w:sz="0" w:space="0" w:color="auto"/>
                                                                                    <w:right w:val="none" w:sz="0" w:space="0" w:color="auto"/>
                                                                                  </w:divBdr>
                                                                                </w:div>
                                                                                <w:div w:id="198933015">
                                                                                  <w:marLeft w:val="0"/>
                                                                                  <w:marRight w:val="0"/>
                                                                                  <w:marTop w:val="0"/>
                                                                                  <w:marBottom w:val="0"/>
                                                                                  <w:divBdr>
                                                                                    <w:top w:val="none" w:sz="0" w:space="0" w:color="auto"/>
                                                                                    <w:left w:val="none" w:sz="0" w:space="0" w:color="auto"/>
                                                                                    <w:bottom w:val="none" w:sz="0" w:space="0" w:color="auto"/>
                                                                                    <w:right w:val="none" w:sz="0" w:space="0" w:color="auto"/>
                                                                                  </w:divBdr>
                                                                                </w:div>
                                                                                <w:div w:id="211381204">
                                                                                  <w:marLeft w:val="0"/>
                                                                                  <w:marRight w:val="0"/>
                                                                                  <w:marTop w:val="0"/>
                                                                                  <w:marBottom w:val="0"/>
                                                                                  <w:divBdr>
                                                                                    <w:top w:val="none" w:sz="0" w:space="0" w:color="auto"/>
                                                                                    <w:left w:val="none" w:sz="0" w:space="0" w:color="auto"/>
                                                                                    <w:bottom w:val="none" w:sz="0" w:space="0" w:color="auto"/>
                                                                                    <w:right w:val="none" w:sz="0" w:space="0" w:color="auto"/>
                                                                                  </w:divBdr>
                                                                                </w:div>
                                                                                <w:div w:id="241450237">
                                                                                  <w:marLeft w:val="0"/>
                                                                                  <w:marRight w:val="0"/>
                                                                                  <w:marTop w:val="0"/>
                                                                                  <w:marBottom w:val="0"/>
                                                                                  <w:divBdr>
                                                                                    <w:top w:val="none" w:sz="0" w:space="0" w:color="auto"/>
                                                                                    <w:left w:val="none" w:sz="0" w:space="0" w:color="auto"/>
                                                                                    <w:bottom w:val="none" w:sz="0" w:space="0" w:color="auto"/>
                                                                                    <w:right w:val="none" w:sz="0" w:space="0" w:color="auto"/>
                                                                                  </w:divBdr>
                                                                                </w:div>
                                                                                <w:div w:id="241918816">
                                                                                  <w:marLeft w:val="0"/>
                                                                                  <w:marRight w:val="0"/>
                                                                                  <w:marTop w:val="0"/>
                                                                                  <w:marBottom w:val="0"/>
                                                                                  <w:divBdr>
                                                                                    <w:top w:val="none" w:sz="0" w:space="0" w:color="auto"/>
                                                                                    <w:left w:val="none" w:sz="0" w:space="0" w:color="auto"/>
                                                                                    <w:bottom w:val="none" w:sz="0" w:space="0" w:color="auto"/>
                                                                                    <w:right w:val="none" w:sz="0" w:space="0" w:color="auto"/>
                                                                                  </w:divBdr>
                                                                                </w:div>
                                                                                <w:div w:id="288711682">
                                                                                  <w:marLeft w:val="0"/>
                                                                                  <w:marRight w:val="0"/>
                                                                                  <w:marTop w:val="0"/>
                                                                                  <w:marBottom w:val="0"/>
                                                                                  <w:divBdr>
                                                                                    <w:top w:val="none" w:sz="0" w:space="0" w:color="auto"/>
                                                                                    <w:left w:val="none" w:sz="0" w:space="0" w:color="auto"/>
                                                                                    <w:bottom w:val="none" w:sz="0" w:space="0" w:color="auto"/>
                                                                                    <w:right w:val="none" w:sz="0" w:space="0" w:color="auto"/>
                                                                                  </w:divBdr>
                                                                                </w:div>
                                                                                <w:div w:id="294798294">
                                                                                  <w:marLeft w:val="0"/>
                                                                                  <w:marRight w:val="0"/>
                                                                                  <w:marTop w:val="0"/>
                                                                                  <w:marBottom w:val="0"/>
                                                                                  <w:divBdr>
                                                                                    <w:top w:val="none" w:sz="0" w:space="0" w:color="auto"/>
                                                                                    <w:left w:val="none" w:sz="0" w:space="0" w:color="auto"/>
                                                                                    <w:bottom w:val="none" w:sz="0" w:space="0" w:color="auto"/>
                                                                                    <w:right w:val="none" w:sz="0" w:space="0" w:color="auto"/>
                                                                                  </w:divBdr>
                                                                                  <w:divsChild>
                                                                                    <w:div w:id="1833989589">
                                                                                      <w:marLeft w:val="-75"/>
                                                                                      <w:marRight w:val="0"/>
                                                                                      <w:marTop w:val="30"/>
                                                                                      <w:marBottom w:val="30"/>
                                                                                      <w:divBdr>
                                                                                        <w:top w:val="none" w:sz="0" w:space="0" w:color="auto"/>
                                                                                        <w:left w:val="none" w:sz="0" w:space="0" w:color="auto"/>
                                                                                        <w:bottom w:val="none" w:sz="0" w:space="0" w:color="auto"/>
                                                                                        <w:right w:val="none" w:sz="0" w:space="0" w:color="auto"/>
                                                                                      </w:divBdr>
                                                                                      <w:divsChild>
                                                                                        <w:div w:id="148255387">
                                                                                          <w:marLeft w:val="0"/>
                                                                                          <w:marRight w:val="0"/>
                                                                                          <w:marTop w:val="0"/>
                                                                                          <w:marBottom w:val="0"/>
                                                                                          <w:divBdr>
                                                                                            <w:top w:val="none" w:sz="0" w:space="0" w:color="auto"/>
                                                                                            <w:left w:val="none" w:sz="0" w:space="0" w:color="auto"/>
                                                                                            <w:bottom w:val="none" w:sz="0" w:space="0" w:color="auto"/>
                                                                                            <w:right w:val="none" w:sz="0" w:space="0" w:color="auto"/>
                                                                                          </w:divBdr>
                                                                                          <w:divsChild>
                                                                                            <w:div w:id="1076829119">
                                                                                              <w:marLeft w:val="0"/>
                                                                                              <w:marRight w:val="0"/>
                                                                                              <w:marTop w:val="0"/>
                                                                                              <w:marBottom w:val="0"/>
                                                                                              <w:divBdr>
                                                                                                <w:top w:val="none" w:sz="0" w:space="0" w:color="auto"/>
                                                                                                <w:left w:val="none" w:sz="0" w:space="0" w:color="auto"/>
                                                                                                <w:bottom w:val="none" w:sz="0" w:space="0" w:color="auto"/>
                                                                                                <w:right w:val="none" w:sz="0" w:space="0" w:color="auto"/>
                                                                                              </w:divBdr>
                                                                                            </w:div>
                                                                                          </w:divsChild>
                                                                                        </w:div>
                                                                                        <w:div w:id="148329527">
                                                                                          <w:marLeft w:val="0"/>
                                                                                          <w:marRight w:val="0"/>
                                                                                          <w:marTop w:val="0"/>
                                                                                          <w:marBottom w:val="0"/>
                                                                                          <w:divBdr>
                                                                                            <w:top w:val="none" w:sz="0" w:space="0" w:color="auto"/>
                                                                                            <w:left w:val="none" w:sz="0" w:space="0" w:color="auto"/>
                                                                                            <w:bottom w:val="none" w:sz="0" w:space="0" w:color="auto"/>
                                                                                            <w:right w:val="none" w:sz="0" w:space="0" w:color="auto"/>
                                                                                          </w:divBdr>
                                                                                          <w:divsChild>
                                                                                            <w:div w:id="1864132125">
                                                                                              <w:marLeft w:val="0"/>
                                                                                              <w:marRight w:val="0"/>
                                                                                              <w:marTop w:val="0"/>
                                                                                              <w:marBottom w:val="0"/>
                                                                                              <w:divBdr>
                                                                                                <w:top w:val="none" w:sz="0" w:space="0" w:color="auto"/>
                                                                                                <w:left w:val="none" w:sz="0" w:space="0" w:color="auto"/>
                                                                                                <w:bottom w:val="none" w:sz="0" w:space="0" w:color="auto"/>
                                                                                                <w:right w:val="none" w:sz="0" w:space="0" w:color="auto"/>
                                                                                              </w:divBdr>
                                                                                            </w:div>
                                                                                          </w:divsChild>
                                                                                        </w:div>
                                                                                        <w:div w:id="212036268">
                                                                                          <w:marLeft w:val="0"/>
                                                                                          <w:marRight w:val="0"/>
                                                                                          <w:marTop w:val="0"/>
                                                                                          <w:marBottom w:val="0"/>
                                                                                          <w:divBdr>
                                                                                            <w:top w:val="none" w:sz="0" w:space="0" w:color="auto"/>
                                                                                            <w:left w:val="none" w:sz="0" w:space="0" w:color="auto"/>
                                                                                            <w:bottom w:val="none" w:sz="0" w:space="0" w:color="auto"/>
                                                                                            <w:right w:val="none" w:sz="0" w:space="0" w:color="auto"/>
                                                                                          </w:divBdr>
                                                                                          <w:divsChild>
                                                                                            <w:div w:id="347297091">
                                                                                              <w:marLeft w:val="0"/>
                                                                                              <w:marRight w:val="0"/>
                                                                                              <w:marTop w:val="0"/>
                                                                                              <w:marBottom w:val="0"/>
                                                                                              <w:divBdr>
                                                                                                <w:top w:val="none" w:sz="0" w:space="0" w:color="auto"/>
                                                                                                <w:left w:val="none" w:sz="0" w:space="0" w:color="auto"/>
                                                                                                <w:bottom w:val="none" w:sz="0" w:space="0" w:color="auto"/>
                                                                                                <w:right w:val="none" w:sz="0" w:space="0" w:color="auto"/>
                                                                                              </w:divBdr>
                                                                                            </w:div>
                                                                                          </w:divsChild>
                                                                                        </w:div>
                                                                                        <w:div w:id="393821622">
                                                                                          <w:marLeft w:val="0"/>
                                                                                          <w:marRight w:val="0"/>
                                                                                          <w:marTop w:val="0"/>
                                                                                          <w:marBottom w:val="0"/>
                                                                                          <w:divBdr>
                                                                                            <w:top w:val="none" w:sz="0" w:space="0" w:color="auto"/>
                                                                                            <w:left w:val="none" w:sz="0" w:space="0" w:color="auto"/>
                                                                                            <w:bottom w:val="none" w:sz="0" w:space="0" w:color="auto"/>
                                                                                            <w:right w:val="none" w:sz="0" w:space="0" w:color="auto"/>
                                                                                          </w:divBdr>
                                                                                          <w:divsChild>
                                                                                            <w:div w:id="71434764">
                                                                                              <w:marLeft w:val="0"/>
                                                                                              <w:marRight w:val="0"/>
                                                                                              <w:marTop w:val="0"/>
                                                                                              <w:marBottom w:val="0"/>
                                                                                              <w:divBdr>
                                                                                                <w:top w:val="none" w:sz="0" w:space="0" w:color="auto"/>
                                                                                                <w:left w:val="none" w:sz="0" w:space="0" w:color="auto"/>
                                                                                                <w:bottom w:val="none" w:sz="0" w:space="0" w:color="auto"/>
                                                                                                <w:right w:val="none" w:sz="0" w:space="0" w:color="auto"/>
                                                                                              </w:divBdr>
                                                                                            </w:div>
                                                                                          </w:divsChild>
                                                                                        </w:div>
                                                                                        <w:div w:id="450906043">
                                                                                          <w:marLeft w:val="0"/>
                                                                                          <w:marRight w:val="0"/>
                                                                                          <w:marTop w:val="0"/>
                                                                                          <w:marBottom w:val="0"/>
                                                                                          <w:divBdr>
                                                                                            <w:top w:val="none" w:sz="0" w:space="0" w:color="auto"/>
                                                                                            <w:left w:val="none" w:sz="0" w:space="0" w:color="auto"/>
                                                                                            <w:bottom w:val="none" w:sz="0" w:space="0" w:color="auto"/>
                                                                                            <w:right w:val="none" w:sz="0" w:space="0" w:color="auto"/>
                                                                                          </w:divBdr>
                                                                                          <w:divsChild>
                                                                                            <w:div w:id="1500971059">
                                                                                              <w:marLeft w:val="0"/>
                                                                                              <w:marRight w:val="0"/>
                                                                                              <w:marTop w:val="0"/>
                                                                                              <w:marBottom w:val="0"/>
                                                                                              <w:divBdr>
                                                                                                <w:top w:val="none" w:sz="0" w:space="0" w:color="auto"/>
                                                                                                <w:left w:val="none" w:sz="0" w:space="0" w:color="auto"/>
                                                                                                <w:bottom w:val="none" w:sz="0" w:space="0" w:color="auto"/>
                                                                                                <w:right w:val="none" w:sz="0" w:space="0" w:color="auto"/>
                                                                                              </w:divBdr>
                                                                                            </w:div>
                                                                                          </w:divsChild>
                                                                                        </w:div>
                                                                                        <w:div w:id="451245761">
                                                                                          <w:marLeft w:val="0"/>
                                                                                          <w:marRight w:val="0"/>
                                                                                          <w:marTop w:val="0"/>
                                                                                          <w:marBottom w:val="0"/>
                                                                                          <w:divBdr>
                                                                                            <w:top w:val="none" w:sz="0" w:space="0" w:color="auto"/>
                                                                                            <w:left w:val="none" w:sz="0" w:space="0" w:color="auto"/>
                                                                                            <w:bottom w:val="none" w:sz="0" w:space="0" w:color="auto"/>
                                                                                            <w:right w:val="none" w:sz="0" w:space="0" w:color="auto"/>
                                                                                          </w:divBdr>
                                                                                          <w:divsChild>
                                                                                            <w:div w:id="394938227">
                                                                                              <w:marLeft w:val="0"/>
                                                                                              <w:marRight w:val="0"/>
                                                                                              <w:marTop w:val="0"/>
                                                                                              <w:marBottom w:val="0"/>
                                                                                              <w:divBdr>
                                                                                                <w:top w:val="none" w:sz="0" w:space="0" w:color="auto"/>
                                                                                                <w:left w:val="none" w:sz="0" w:space="0" w:color="auto"/>
                                                                                                <w:bottom w:val="none" w:sz="0" w:space="0" w:color="auto"/>
                                                                                                <w:right w:val="none" w:sz="0" w:space="0" w:color="auto"/>
                                                                                              </w:divBdr>
                                                                                            </w:div>
                                                                                          </w:divsChild>
                                                                                        </w:div>
                                                                                        <w:div w:id="458450324">
                                                                                          <w:marLeft w:val="0"/>
                                                                                          <w:marRight w:val="0"/>
                                                                                          <w:marTop w:val="0"/>
                                                                                          <w:marBottom w:val="0"/>
                                                                                          <w:divBdr>
                                                                                            <w:top w:val="none" w:sz="0" w:space="0" w:color="auto"/>
                                                                                            <w:left w:val="none" w:sz="0" w:space="0" w:color="auto"/>
                                                                                            <w:bottom w:val="none" w:sz="0" w:space="0" w:color="auto"/>
                                                                                            <w:right w:val="none" w:sz="0" w:space="0" w:color="auto"/>
                                                                                          </w:divBdr>
                                                                                          <w:divsChild>
                                                                                            <w:div w:id="115175689">
                                                                                              <w:marLeft w:val="0"/>
                                                                                              <w:marRight w:val="0"/>
                                                                                              <w:marTop w:val="0"/>
                                                                                              <w:marBottom w:val="0"/>
                                                                                              <w:divBdr>
                                                                                                <w:top w:val="none" w:sz="0" w:space="0" w:color="auto"/>
                                                                                                <w:left w:val="none" w:sz="0" w:space="0" w:color="auto"/>
                                                                                                <w:bottom w:val="none" w:sz="0" w:space="0" w:color="auto"/>
                                                                                                <w:right w:val="none" w:sz="0" w:space="0" w:color="auto"/>
                                                                                              </w:divBdr>
                                                                                            </w:div>
                                                                                          </w:divsChild>
                                                                                        </w:div>
                                                                                        <w:div w:id="466095398">
                                                                                          <w:marLeft w:val="0"/>
                                                                                          <w:marRight w:val="0"/>
                                                                                          <w:marTop w:val="0"/>
                                                                                          <w:marBottom w:val="0"/>
                                                                                          <w:divBdr>
                                                                                            <w:top w:val="none" w:sz="0" w:space="0" w:color="auto"/>
                                                                                            <w:left w:val="none" w:sz="0" w:space="0" w:color="auto"/>
                                                                                            <w:bottom w:val="none" w:sz="0" w:space="0" w:color="auto"/>
                                                                                            <w:right w:val="none" w:sz="0" w:space="0" w:color="auto"/>
                                                                                          </w:divBdr>
                                                                                          <w:divsChild>
                                                                                            <w:div w:id="1964656415">
                                                                                              <w:marLeft w:val="0"/>
                                                                                              <w:marRight w:val="0"/>
                                                                                              <w:marTop w:val="0"/>
                                                                                              <w:marBottom w:val="0"/>
                                                                                              <w:divBdr>
                                                                                                <w:top w:val="none" w:sz="0" w:space="0" w:color="auto"/>
                                                                                                <w:left w:val="none" w:sz="0" w:space="0" w:color="auto"/>
                                                                                                <w:bottom w:val="none" w:sz="0" w:space="0" w:color="auto"/>
                                                                                                <w:right w:val="none" w:sz="0" w:space="0" w:color="auto"/>
                                                                                              </w:divBdr>
                                                                                            </w:div>
                                                                                          </w:divsChild>
                                                                                        </w:div>
                                                                                        <w:div w:id="489441660">
                                                                                          <w:marLeft w:val="0"/>
                                                                                          <w:marRight w:val="0"/>
                                                                                          <w:marTop w:val="0"/>
                                                                                          <w:marBottom w:val="0"/>
                                                                                          <w:divBdr>
                                                                                            <w:top w:val="none" w:sz="0" w:space="0" w:color="auto"/>
                                                                                            <w:left w:val="none" w:sz="0" w:space="0" w:color="auto"/>
                                                                                            <w:bottom w:val="none" w:sz="0" w:space="0" w:color="auto"/>
                                                                                            <w:right w:val="none" w:sz="0" w:space="0" w:color="auto"/>
                                                                                          </w:divBdr>
                                                                                          <w:divsChild>
                                                                                            <w:div w:id="1221212935">
                                                                                              <w:marLeft w:val="0"/>
                                                                                              <w:marRight w:val="0"/>
                                                                                              <w:marTop w:val="0"/>
                                                                                              <w:marBottom w:val="0"/>
                                                                                              <w:divBdr>
                                                                                                <w:top w:val="none" w:sz="0" w:space="0" w:color="auto"/>
                                                                                                <w:left w:val="none" w:sz="0" w:space="0" w:color="auto"/>
                                                                                                <w:bottom w:val="none" w:sz="0" w:space="0" w:color="auto"/>
                                                                                                <w:right w:val="none" w:sz="0" w:space="0" w:color="auto"/>
                                                                                              </w:divBdr>
                                                                                            </w:div>
                                                                                          </w:divsChild>
                                                                                        </w:div>
                                                                                        <w:div w:id="755249746">
                                                                                          <w:marLeft w:val="0"/>
                                                                                          <w:marRight w:val="0"/>
                                                                                          <w:marTop w:val="0"/>
                                                                                          <w:marBottom w:val="0"/>
                                                                                          <w:divBdr>
                                                                                            <w:top w:val="none" w:sz="0" w:space="0" w:color="auto"/>
                                                                                            <w:left w:val="none" w:sz="0" w:space="0" w:color="auto"/>
                                                                                            <w:bottom w:val="none" w:sz="0" w:space="0" w:color="auto"/>
                                                                                            <w:right w:val="none" w:sz="0" w:space="0" w:color="auto"/>
                                                                                          </w:divBdr>
                                                                                          <w:divsChild>
                                                                                            <w:div w:id="1512260137">
                                                                                              <w:marLeft w:val="0"/>
                                                                                              <w:marRight w:val="0"/>
                                                                                              <w:marTop w:val="0"/>
                                                                                              <w:marBottom w:val="0"/>
                                                                                              <w:divBdr>
                                                                                                <w:top w:val="none" w:sz="0" w:space="0" w:color="auto"/>
                                                                                                <w:left w:val="none" w:sz="0" w:space="0" w:color="auto"/>
                                                                                                <w:bottom w:val="none" w:sz="0" w:space="0" w:color="auto"/>
                                                                                                <w:right w:val="none" w:sz="0" w:space="0" w:color="auto"/>
                                                                                              </w:divBdr>
                                                                                            </w:div>
                                                                                          </w:divsChild>
                                                                                        </w:div>
                                                                                        <w:div w:id="789978116">
                                                                                          <w:marLeft w:val="0"/>
                                                                                          <w:marRight w:val="0"/>
                                                                                          <w:marTop w:val="0"/>
                                                                                          <w:marBottom w:val="0"/>
                                                                                          <w:divBdr>
                                                                                            <w:top w:val="none" w:sz="0" w:space="0" w:color="auto"/>
                                                                                            <w:left w:val="none" w:sz="0" w:space="0" w:color="auto"/>
                                                                                            <w:bottom w:val="none" w:sz="0" w:space="0" w:color="auto"/>
                                                                                            <w:right w:val="none" w:sz="0" w:space="0" w:color="auto"/>
                                                                                          </w:divBdr>
                                                                                          <w:divsChild>
                                                                                            <w:div w:id="73816468">
                                                                                              <w:marLeft w:val="0"/>
                                                                                              <w:marRight w:val="0"/>
                                                                                              <w:marTop w:val="0"/>
                                                                                              <w:marBottom w:val="0"/>
                                                                                              <w:divBdr>
                                                                                                <w:top w:val="none" w:sz="0" w:space="0" w:color="auto"/>
                                                                                                <w:left w:val="none" w:sz="0" w:space="0" w:color="auto"/>
                                                                                                <w:bottom w:val="none" w:sz="0" w:space="0" w:color="auto"/>
                                                                                                <w:right w:val="none" w:sz="0" w:space="0" w:color="auto"/>
                                                                                              </w:divBdr>
                                                                                            </w:div>
                                                                                          </w:divsChild>
                                                                                        </w:div>
                                                                                        <w:div w:id="942689405">
                                                                                          <w:marLeft w:val="0"/>
                                                                                          <w:marRight w:val="0"/>
                                                                                          <w:marTop w:val="0"/>
                                                                                          <w:marBottom w:val="0"/>
                                                                                          <w:divBdr>
                                                                                            <w:top w:val="none" w:sz="0" w:space="0" w:color="auto"/>
                                                                                            <w:left w:val="none" w:sz="0" w:space="0" w:color="auto"/>
                                                                                            <w:bottom w:val="none" w:sz="0" w:space="0" w:color="auto"/>
                                                                                            <w:right w:val="none" w:sz="0" w:space="0" w:color="auto"/>
                                                                                          </w:divBdr>
                                                                                          <w:divsChild>
                                                                                            <w:div w:id="152794595">
                                                                                              <w:marLeft w:val="0"/>
                                                                                              <w:marRight w:val="0"/>
                                                                                              <w:marTop w:val="0"/>
                                                                                              <w:marBottom w:val="0"/>
                                                                                              <w:divBdr>
                                                                                                <w:top w:val="none" w:sz="0" w:space="0" w:color="auto"/>
                                                                                                <w:left w:val="none" w:sz="0" w:space="0" w:color="auto"/>
                                                                                                <w:bottom w:val="none" w:sz="0" w:space="0" w:color="auto"/>
                                                                                                <w:right w:val="none" w:sz="0" w:space="0" w:color="auto"/>
                                                                                              </w:divBdr>
                                                                                            </w:div>
                                                                                          </w:divsChild>
                                                                                        </w:div>
                                                                                        <w:div w:id="1041437549">
                                                                                          <w:marLeft w:val="0"/>
                                                                                          <w:marRight w:val="0"/>
                                                                                          <w:marTop w:val="0"/>
                                                                                          <w:marBottom w:val="0"/>
                                                                                          <w:divBdr>
                                                                                            <w:top w:val="none" w:sz="0" w:space="0" w:color="auto"/>
                                                                                            <w:left w:val="none" w:sz="0" w:space="0" w:color="auto"/>
                                                                                            <w:bottom w:val="none" w:sz="0" w:space="0" w:color="auto"/>
                                                                                            <w:right w:val="none" w:sz="0" w:space="0" w:color="auto"/>
                                                                                          </w:divBdr>
                                                                                          <w:divsChild>
                                                                                            <w:div w:id="161700258">
                                                                                              <w:marLeft w:val="0"/>
                                                                                              <w:marRight w:val="0"/>
                                                                                              <w:marTop w:val="0"/>
                                                                                              <w:marBottom w:val="0"/>
                                                                                              <w:divBdr>
                                                                                                <w:top w:val="none" w:sz="0" w:space="0" w:color="auto"/>
                                                                                                <w:left w:val="none" w:sz="0" w:space="0" w:color="auto"/>
                                                                                                <w:bottom w:val="none" w:sz="0" w:space="0" w:color="auto"/>
                                                                                                <w:right w:val="none" w:sz="0" w:space="0" w:color="auto"/>
                                                                                              </w:divBdr>
                                                                                            </w:div>
                                                                                          </w:divsChild>
                                                                                        </w:div>
                                                                                        <w:div w:id="1097629465">
                                                                                          <w:marLeft w:val="0"/>
                                                                                          <w:marRight w:val="0"/>
                                                                                          <w:marTop w:val="0"/>
                                                                                          <w:marBottom w:val="0"/>
                                                                                          <w:divBdr>
                                                                                            <w:top w:val="none" w:sz="0" w:space="0" w:color="auto"/>
                                                                                            <w:left w:val="none" w:sz="0" w:space="0" w:color="auto"/>
                                                                                            <w:bottom w:val="none" w:sz="0" w:space="0" w:color="auto"/>
                                                                                            <w:right w:val="none" w:sz="0" w:space="0" w:color="auto"/>
                                                                                          </w:divBdr>
                                                                                          <w:divsChild>
                                                                                            <w:div w:id="1342976635">
                                                                                              <w:marLeft w:val="0"/>
                                                                                              <w:marRight w:val="0"/>
                                                                                              <w:marTop w:val="0"/>
                                                                                              <w:marBottom w:val="0"/>
                                                                                              <w:divBdr>
                                                                                                <w:top w:val="none" w:sz="0" w:space="0" w:color="auto"/>
                                                                                                <w:left w:val="none" w:sz="0" w:space="0" w:color="auto"/>
                                                                                                <w:bottom w:val="none" w:sz="0" w:space="0" w:color="auto"/>
                                                                                                <w:right w:val="none" w:sz="0" w:space="0" w:color="auto"/>
                                                                                              </w:divBdr>
                                                                                            </w:div>
                                                                                          </w:divsChild>
                                                                                        </w:div>
                                                                                        <w:div w:id="1167943812">
                                                                                          <w:marLeft w:val="0"/>
                                                                                          <w:marRight w:val="0"/>
                                                                                          <w:marTop w:val="0"/>
                                                                                          <w:marBottom w:val="0"/>
                                                                                          <w:divBdr>
                                                                                            <w:top w:val="none" w:sz="0" w:space="0" w:color="auto"/>
                                                                                            <w:left w:val="none" w:sz="0" w:space="0" w:color="auto"/>
                                                                                            <w:bottom w:val="none" w:sz="0" w:space="0" w:color="auto"/>
                                                                                            <w:right w:val="none" w:sz="0" w:space="0" w:color="auto"/>
                                                                                          </w:divBdr>
                                                                                          <w:divsChild>
                                                                                            <w:div w:id="169176831">
                                                                                              <w:marLeft w:val="0"/>
                                                                                              <w:marRight w:val="0"/>
                                                                                              <w:marTop w:val="0"/>
                                                                                              <w:marBottom w:val="0"/>
                                                                                              <w:divBdr>
                                                                                                <w:top w:val="none" w:sz="0" w:space="0" w:color="auto"/>
                                                                                                <w:left w:val="none" w:sz="0" w:space="0" w:color="auto"/>
                                                                                                <w:bottom w:val="none" w:sz="0" w:space="0" w:color="auto"/>
                                                                                                <w:right w:val="none" w:sz="0" w:space="0" w:color="auto"/>
                                                                                              </w:divBdr>
                                                                                            </w:div>
                                                                                          </w:divsChild>
                                                                                        </w:div>
                                                                                        <w:div w:id="1234462119">
                                                                                          <w:marLeft w:val="0"/>
                                                                                          <w:marRight w:val="0"/>
                                                                                          <w:marTop w:val="0"/>
                                                                                          <w:marBottom w:val="0"/>
                                                                                          <w:divBdr>
                                                                                            <w:top w:val="none" w:sz="0" w:space="0" w:color="auto"/>
                                                                                            <w:left w:val="none" w:sz="0" w:space="0" w:color="auto"/>
                                                                                            <w:bottom w:val="none" w:sz="0" w:space="0" w:color="auto"/>
                                                                                            <w:right w:val="none" w:sz="0" w:space="0" w:color="auto"/>
                                                                                          </w:divBdr>
                                                                                          <w:divsChild>
                                                                                            <w:div w:id="533612257">
                                                                                              <w:marLeft w:val="0"/>
                                                                                              <w:marRight w:val="0"/>
                                                                                              <w:marTop w:val="0"/>
                                                                                              <w:marBottom w:val="0"/>
                                                                                              <w:divBdr>
                                                                                                <w:top w:val="none" w:sz="0" w:space="0" w:color="auto"/>
                                                                                                <w:left w:val="none" w:sz="0" w:space="0" w:color="auto"/>
                                                                                                <w:bottom w:val="none" w:sz="0" w:space="0" w:color="auto"/>
                                                                                                <w:right w:val="none" w:sz="0" w:space="0" w:color="auto"/>
                                                                                              </w:divBdr>
                                                                                            </w:div>
                                                                                          </w:divsChild>
                                                                                        </w:div>
                                                                                        <w:div w:id="1330712515">
                                                                                          <w:marLeft w:val="0"/>
                                                                                          <w:marRight w:val="0"/>
                                                                                          <w:marTop w:val="0"/>
                                                                                          <w:marBottom w:val="0"/>
                                                                                          <w:divBdr>
                                                                                            <w:top w:val="none" w:sz="0" w:space="0" w:color="auto"/>
                                                                                            <w:left w:val="none" w:sz="0" w:space="0" w:color="auto"/>
                                                                                            <w:bottom w:val="none" w:sz="0" w:space="0" w:color="auto"/>
                                                                                            <w:right w:val="none" w:sz="0" w:space="0" w:color="auto"/>
                                                                                          </w:divBdr>
                                                                                          <w:divsChild>
                                                                                            <w:div w:id="1174104213">
                                                                                              <w:marLeft w:val="0"/>
                                                                                              <w:marRight w:val="0"/>
                                                                                              <w:marTop w:val="0"/>
                                                                                              <w:marBottom w:val="0"/>
                                                                                              <w:divBdr>
                                                                                                <w:top w:val="none" w:sz="0" w:space="0" w:color="auto"/>
                                                                                                <w:left w:val="none" w:sz="0" w:space="0" w:color="auto"/>
                                                                                                <w:bottom w:val="none" w:sz="0" w:space="0" w:color="auto"/>
                                                                                                <w:right w:val="none" w:sz="0" w:space="0" w:color="auto"/>
                                                                                              </w:divBdr>
                                                                                            </w:div>
                                                                                          </w:divsChild>
                                                                                        </w:div>
                                                                                        <w:div w:id="1550920163">
                                                                                          <w:marLeft w:val="0"/>
                                                                                          <w:marRight w:val="0"/>
                                                                                          <w:marTop w:val="0"/>
                                                                                          <w:marBottom w:val="0"/>
                                                                                          <w:divBdr>
                                                                                            <w:top w:val="none" w:sz="0" w:space="0" w:color="auto"/>
                                                                                            <w:left w:val="none" w:sz="0" w:space="0" w:color="auto"/>
                                                                                            <w:bottom w:val="none" w:sz="0" w:space="0" w:color="auto"/>
                                                                                            <w:right w:val="none" w:sz="0" w:space="0" w:color="auto"/>
                                                                                          </w:divBdr>
                                                                                          <w:divsChild>
                                                                                            <w:div w:id="1245651429">
                                                                                              <w:marLeft w:val="0"/>
                                                                                              <w:marRight w:val="0"/>
                                                                                              <w:marTop w:val="0"/>
                                                                                              <w:marBottom w:val="0"/>
                                                                                              <w:divBdr>
                                                                                                <w:top w:val="none" w:sz="0" w:space="0" w:color="auto"/>
                                                                                                <w:left w:val="none" w:sz="0" w:space="0" w:color="auto"/>
                                                                                                <w:bottom w:val="none" w:sz="0" w:space="0" w:color="auto"/>
                                                                                                <w:right w:val="none" w:sz="0" w:space="0" w:color="auto"/>
                                                                                              </w:divBdr>
                                                                                            </w:div>
                                                                                          </w:divsChild>
                                                                                        </w:div>
                                                                                        <w:div w:id="1569921799">
                                                                                          <w:marLeft w:val="0"/>
                                                                                          <w:marRight w:val="0"/>
                                                                                          <w:marTop w:val="0"/>
                                                                                          <w:marBottom w:val="0"/>
                                                                                          <w:divBdr>
                                                                                            <w:top w:val="none" w:sz="0" w:space="0" w:color="auto"/>
                                                                                            <w:left w:val="none" w:sz="0" w:space="0" w:color="auto"/>
                                                                                            <w:bottom w:val="none" w:sz="0" w:space="0" w:color="auto"/>
                                                                                            <w:right w:val="none" w:sz="0" w:space="0" w:color="auto"/>
                                                                                          </w:divBdr>
                                                                                          <w:divsChild>
                                                                                            <w:div w:id="1409303753">
                                                                                              <w:marLeft w:val="0"/>
                                                                                              <w:marRight w:val="0"/>
                                                                                              <w:marTop w:val="0"/>
                                                                                              <w:marBottom w:val="0"/>
                                                                                              <w:divBdr>
                                                                                                <w:top w:val="none" w:sz="0" w:space="0" w:color="auto"/>
                                                                                                <w:left w:val="none" w:sz="0" w:space="0" w:color="auto"/>
                                                                                                <w:bottom w:val="none" w:sz="0" w:space="0" w:color="auto"/>
                                                                                                <w:right w:val="none" w:sz="0" w:space="0" w:color="auto"/>
                                                                                              </w:divBdr>
                                                                                            </w:div>
                                                                                          </w:divsChild>
                                                                                        </w:div>
                                                                                        <w:div w:id="1787694947">
                                                                                          <w:marLeft w:val="0"/>
                                                                                          <w:marRight w:val="0"/>
                                                                                          <w:marTop w:val="0"/>
                                                                                          <w:marBottom w:val="0"/>
                                                                                          <w:divBdr>
                                                                                            <w:top w:val="none" w:sz="0" w:space="0" w:color="auto"/>
                                                                                            <w:left w:val="none" w:sz="0" w:space="0" w:color="auto"/>
                                                                                            <w:bottom w:val="none" w:sz="0" w:space="0" w:color="auto"/>
                                                                                            <w:right w:val="none" w:sz="0" w:space="0" w:color="auto"/>
                                                                                          </w:divBdr>
                                                                                          <w:divsChild>
                                                                                            <w:div w:id="49617784">
                                                                                              <w:marLeft w:val="0"/>
                                                                                              <w:marRight w:val="0"/>
                                                                                              <w:marTop w:val="0"/>
                                                                                              <w:marBottom w:val="0"/>
                                                                                              <w:divBdr>
                                                                                                <w:top w:val="none" w:sz="0" w:space="0" w:color="auto"/>
                                                                                                <w:left w:val="none" w:sz="0" w:space="0" w:color="auto"/>
                                                                                                <w:bottom w:val="none" w:sz="0" w:space="0" w:color="auto"/>
                                                                                                <w:right w:val="none" w:sz="0" w:space="0" w:color="auto"/>
                                                                                              </w:divBdr>
                                                                                            </w:div>
                                                                                          </w:divsChild>
                                                                                        </w:div>
                                                                                        <w:div w:id="1800996653">
                                                                                          <w:marLeft w:val="0"/>
                                                                                          <w:marRight w:val="0"/>
                                                                                          <w:marTop w:val="0"/>
                                                                                          <w:marBottom w:val="0"/>
                                                                                          <w:divBdr>
                                                                                            <w:top w:val="none" w:sz="0" w:space="0" w:color="auto"/>
                                                                                            <w:left w:val="none" w:sz="0" w:space="0" w:color="auto"/>
                                                                                            <w:bottom w:val="none" w:sz="0" w:space="0" w:color="auto"/>
                                                                                            <w:right w:val="none" w:sz="0" w:space="0" w:color="auto"/>
                                                                                          </w:divBdr>
                                                                                          <w:divsChild>
                                                                                            <w:div w:id="777795861">
                                                                                              <w:marLeft w:val="0"/>
                                                                                              <w:marRight w:val="0"/>
                                                                                              <w:marTop w:val="0"/>
                                                                                              <w:marBottom w:val="0"/>
                                                                                              <w:divBdr>
                                                                                                <w:top w:val="none" w:sz="0" w:space="0" w:color="auto"/>
                                                                                                <w:left w:val="none" w:sz="0" w:space="0" w:color="auto"/>
                                                                                                <w:bottom w:val="none" w:sz="0" w:space="0" w:color="auto"/>
                                                                                                <w:right w:val="none" w:sz="0" w:space="0" w:color="auto"/>
                                                                                              </w:divBdr>
                                                                                            </w:div>
                                                                                          </w:divsChild>
                                                                                        </w:div>
                                                                                        <w:div w:id="1893342652">
                                                                                          <w:marLeft w:val="0"/>
                                                                                          <w:marRight w:val="0"/>
                                                                                          <w:marTop w:val="0"/>
                                                                                          <w:marBottom w:val="0"/>
                                                                                          <w:divBdr>
                                                                                            <w:top w:val="none" w:sz="0" w:space="0" w:color="auto"/>
                                                                                            <w:left w:val="none" w:sz="0" w:space="0" w:color="auto"/>
                                                                                            <w:bottom w:val="none" w:sz="0" w:space="0" w:color="auto"/>
                                                                                            <w:right w:val="none" w:sz="0" w:space="0" w:color="auto"/>
                                                                                          </w:divBdr>
                                                                                          <w:divsChild>
                                                                                            <w:div w:id="1761638211">
                                                                                              <w:marLeft w:val="0"/>
                                                                                              <w:marRight w:val="0"/>
                                                                                              <w:marTop w:val="0"/>
                                                                                              <w:marBottom w:val="0"/>
                                                                                              <w:divBdr>
                                                                                                <w:top w:val="none" w:sz="0" w:space="0" w:color="auto"/>
                                                                                                <w:left w:val="none" w:sz="0" w:space="0" w:color="auto"/>
                                                                                                <w:bottom w:val="none" w:sz="0" w:space="0" w:color="auto"/>
                                                                                                <w:right w:val="none" w:sz="0" w:space="0" w:color="auto"/>
                                                                                              </w:divBdr>
                                                                                            </w:div>
                                                                                          </w:divsChild>
                                                                                        </w:div>
                                                                                        <w:div w:id="1897354199">
                                                                                          <w:marLeft w:val="0"/>
                                                                                          <w:marRight w:val="0"/>
                                                                                          <w:marTop w:val="0"/>
                                                                                          <w:marBottom w:val="0"/>
                                                                                          <w:divBdr>
                                                                                            <w:top w:val="none" w:sz="0" w:space="0" w:color="auto"/>
                                                                                            <w:left w:val="none" w:sz="0" w:space="0" w:color="auto"/>
                                                                                            <w:bottom w:val="none" w:sz="0" w:space="0" w:color="auto"/>
                                                                                            <w:right w:val="none" w:sz="0" w:space="0" w:color="auto"/>
                                                                                          </w:divBdr>
                                                                                          <w:divsChild>
                                                                                            <w:div w:id="1973945070">
                                                                                              <w:marLeft w:val="0"/>
                                                                                              <w:marRight w:val="0"/>
                                                                                              <w:marTop w:val="0"/>
                                                                                              <w:marBottom w:val="0"/>
                                                                                              <w:divBdr>
                                                                                                <w:top w:val="none" w:sz="0" w:space="0" w:color="auto"/>
                                                                                                <w:left w:val="none" w:sz="0" w:space="0" w:color="auto"/>
                                                                                                <w:bottom w:val="none" w:sz="0" w:space="0" w:color="auto"/>
                                                                                                <w:right w:val="none" w:sz="0" w:space="0" w:color="auto"/>
                                                                                              </w:divBdr>
                                                                                            </w:div>
                                                                                          </w:divsChild>
                                                                                        </w:div>
                                                                                        <w:div w:id="1986740736">
                                                                                          <w:marLeft w:val="0"/>
                                                                                          <w:marRight w:val="0"/>
                                                                                          <w:marTop w:val="0"/>
                                                                                          <w:marBottom w:val="0"/>
                                                                                          <w:divBdr>
                                                                                            <w:top w:val="none" w:sz="0" w:space="0" w:color="auto"/>
                                                                                            <w:left w:val="none" w:sz="0" w:space="0" w:color="auto"/>
                                                                                            <w:bottom w:val="none" w:sz="0" w:space="0" w:color="auto"/>
                                                                                            <w:right w:val="none" w:sz="0" w:space="0" w:color="auto"/>
                                                                                          </w:divBdr>
                                                                                          <w:divsChild>
                                                                                            <w:div w:id="1703240213">
                                                                                              <w:marLeft w:val="0"/>
                                                                                              <w:marRight w:val="0"/>
                                                                                              <w:marTop w:val="0"/>
                                                                                              <w:marBottom w:val="0"/>
                                                                                              <w:divBdr>
                                                                                                <w:top w:val="none" w:sz="0" w:space="0" w:color="auto"/>
                                                                                                <w:left w:val="none" w:sz="0" w:space="0" w:color="auto"/>
                                                                                                <w:bottom w:val="none" w:sz="0" w:space="0" w:color="auto"/>
                                                                                                <w:right w:val="none" w:sz="0" w:space="0" w:color="auto"/>
                                                                                              </w:divBdr>
                                                                                            </w:div>
                                                                                          </w:divsChild>
                                                                                        </w:div>
                                                                                        <w:div w:id="1995985783">
                                                                                          <w:marLeft w:val="0"/>
                                                                                          <w:marRight w:val="0"/>
                                                                                          <w:marTop w:val="0"/>
                                                                                          <w:marBottom w:val="0"/>
                                                                                          <w:divBdr>
                                                                                            <w:top w:val="none" w:sz="0" w:space="0" w:color="auto"/>
                                                                                            <w:left w:val="none" w:sz="0" w:space="0" w:color="auto"/>
                                                                                            <w:bottom w:val="none" w:sz="0" w:space="0" w:color="auto"/>
                                                                                            <w:right w:val="none" w:sz="0" w:space="0" w:color="auto"/>
                                                                                          </w:divBdr>
                                                                                          <w:divsChild>
                                                                                            <w:div w:id="3743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803455">
                                                                                  <w:marLeft w:val="0"/>
                                                                                  <w:marRight w:val="0"/>
                                                                                  <w:marTop w:val="0"/>
                                                                                  <w:marBottom w:val="0"/>
                                                                                  <w:divBdr>
                                                                                    <w:top w:val="none" w:sz="0" w:space="0" w:color="auto"/>
                                                                                    <w:left w:val="none" w:sz="0" w:space="0" w:color="auto"/>
                                                                                    <w:bottom w:val="none" w:sz="0" w:space="0" w:color="auto"/>
                                                                                    <w:right w:val="none" w:sz="0" w:space="0" w:color="auto"/>
                                                                                  </w:divBdr>
                                                                                </w:div>
                                                                                <w:div w:id="313803387">
                                                                                  <w:marLeft w:val="0"/>
                                                                                  <w:marRight w:val="0"/>
                                                                                  <w:marTop w:val="0"/>
                                                                                  <w:marBottom w:val="0"/>
                                                                                  <w:divBdr>
                                                                                    <w:top w:val="none" w:sz="0" w:space="0" w:color="auto"/>
                                                                                    <w:left w:val="none" w:sz="0" w:space="0" w:color="auto"/>
                                                                                    <w:bottom w:val="none" w:sz="0" w:space="0" w:color="auto"/>
                                                                                    <w:right w:val="none" w:sz="0" w:space="0" w:color="auto"/>
                                                                                  </w:divBdr>
                                                                                </w:div>
                                                                                <w:div w:id="314072944">
                                                                                  <w:marLeft w:val="0"/>
                                                                                  <w:marRight w:val="0"/>
                                                                                  <w:marTop w:val="0"/>
                                                                                  <w:marBottom w:val="0"/>
                                                                                  <w:divBdr>
                                                                                    <w:top w:val="none" w:sz="0" w:space="0" w:color="auto"/>
                                                                                    <w:left w:val="none" w:sz="0" w:space="0" w:color="auto"/>
                                                                                    <w:bottom w:val="none" w:sz="0" w:space="0" w:color="auto"/>
                                                                                    <w:right w:val="none" w:sz="0" w:space="0" w:color="auto"/>
                                                                                  </w:divBdr>
                                                                                </w:div>
                                                                                <w:div w:id="319968526">
                                                                                  <w:marLeft w:val="0"/>
                                                                                  <w:marRight w:val="0"/>
                                                                                  <w:marTop w:val="0"/>
                                                                                  <w:marBottom w:val="0"/>
                                                                                  <w:divBdr>
                                                                                    <w:top w:val="none" w:sz="0" w:space="0" w:color="auto"/>
                                                                                    <w:left w:val="none" w:sz="0" w:space="0" w:color="auto"/>
                                                                                    <w:bottom w:val="none" w:sz="0" w:space="0" w:color="auto"/>
                                                                                    <w:right w:val="none" w:sz="0" w:space="0" w:color="auto"/>
                                                                                  </w:divBdr>
                                                                                </w:div>
                                                                                <w:div w:id="322857297">
                                                                                  <w:marLeft w:val="0"/>
                                                                                  <w:marRight w:val="0"/>
                                                                                  <w:marTop w:val="0"/>
                                                                                  <w:marBottom w:val="0"/>
                                                                                  <w:divBdr>
                                                                                    <w:top w:val="none" w:sz="0" w:space="0" w:color="auto"/>
                                                                                    <w:left w:val="none" w:sz="0" w:space="0" w:color="auto"/>
                                                                                    <w:bottom w:val="none" w:sz="0" w:space="0" w:color="auto"/>
                                                                                    <w:right w:val="none" w:sz="0" w:space="0" w:color="auto"/>
                                                                                  </w:divBdr>
                                                                                </w:div>
                                                                                <w:div w:id="328145254">
                                                                                  <w:marLeft w:val="0"/>
                                                                                  <w:marRight w:val="0"/>
                                                                                  <w:marTop w:val="0"/>
                                                                                  <w:marBottom w:val="0"/>
                                                                                  <w:divBdr>
                                                                                    <w:top w:val="none" w:sz="0" w:space="0" w:color="auto"/>
                                                                                    <w:left w:val="none" w:sz="0" w:space="0" w:color="auto"/>
                                                                                    <w:bottom w:val="none" w:sz="0" w:space="0" w:color="auto"/>
                                                                                    <w:right w:val="none" w:sz="0" w:space="0" w:color="auto"/>
                                                                                  </w:divBdr>
                                                                                </w:div>
                                                                                <w:div w:id="332732845">
                                                                                  <w:marLeft w:val="0"/>
                                                                                  <w:marRight w:val="0"/>
                                                                                  <w:marTop w:val="0"/>
                                                                                  <w:marBottom w:val="0"/>
                                                                                  <w:divBdr>
                                                                                    <w:top w:val="none" w:sz="0" w:space="0" w:color="auto"/>
                                                                                    <w:left w:val="none" w:sz="0" w:space="0" w:color="auto"/>
                                                                                    <w:bottom w:val="none" w:sz="0" w:space="0" w:color="auto"/>
                                                                                    <w:right w:val="none" w:sz="0" w:space="0" w:color="auto"/>
                                                                                  </w:divBdr>
                                                                                </w:div>
                                                                                <w:div w:id="346449013">
                                                                                  <w:marLeft w:val="0"/>
                                                                                  <w:marRight w:val="0"/>
                                                                                  <w:marTop w:val="0"/>
                                                                                  <w:marBottom w:val="0"/>
                                                                                  <w:divBdr>
                                                                                    <w:top w:val="none" w:sz="0" w:space="0" w:color="auto"/>
                                                                                    <w:left w:val="none" w:sz="0" w:space="0" w:color="auto"/>
                                                                                    <w:bottom w:val="none" w:sz="0" w:space="0" w:color="auto"/>
                                                                                    <w:right w:val="none" w:sz="0" w:space="0" w:color="auto"/>
                                                                                  </w:divBdr>
                                                                                </w:div>
                                                                                <w:div w:id="348918250">
                                                                                  <w:marLeft w:val="0"/>
                                                                                  <w:marRight w:val="0"/>
                                                                                  <w:marTop w:val="0"/>
                                                                                  <w:marBottom w:val="0"/>
                                                                                  <w:divBdr>
                                                                                    <w:top w:val="none" w:sz="0" w:space="0" w:color="auto"/>
                                                                                    <w:left w:val="none" w:sz="0" w:space="0" w:color="auto"/>
                                                                                    <w:bottom w:val="none" w:sz="0" w:space="0" w:color="auto"/>
                                                                                    <w:right w:val="none" w:sz="0" w:space="0" w:color="auto"/>
                                                                                  </w:divBdr>
                                                                                  <w:divsChild>
                                                                                    <w:div w:id="441416316">
                                                                                      <w:marLeft w:val="-75"/>
                                                                                      <w:marRight w:val="0"/>
                                                                                      <w:marTop w:val="30"/>
                                                                                      <w:marBottom w:val="30"/>
                                                                                      <w:divBdr>
                                                                                        <w:top w:val="none" w:sz="0" w:space="0" w:color="auto"/>
                                                                                        <w:left w:val="none" w:sz="0" w:space="0" w:color="auto"/>
                                                                                        <w:bottom w:val="none" w:sz="0" w:space="0" w:color="auto"/>
                                                                                        <w:right w:val="none" w:sz="0" w:space="0" w:color="auto"/>
                                                                                      </w:divBdr>
                                                                                      <w:divsChild>
                                                                                        <w:div w:id="54356103">
                                                                                          <w:marLeft w:val="0"/>
                                                                                          <w:marRight w:val="0"/>
                                                                                          <w:marTop w:val="0"/>
                                                                                          <w:marBottom w:val="0"/>
                                                                                          <w:divBdr>
                                                                                            <w:top w:val="none" w:sz="0" w:space="0" w:color="auto"/>
                                                                                            <w:left w:val="none" w:sz="0" w:space="0" w:color="auto"/>
                                                                                            <w:bottom w:val="none" w:sz="0" w:space="0" w:color="auto"/>
                                                                                            <w:right w:val="none" w:sz="0" w:space="0" w:color="auto"/>
                                                                                          </w:divBdr>
                                                                                          <w:divsChild>
                                                                                            <w:div w:id="2119710891">
                                                                                              <w:marLeft w:val="0"/>
                                                                                              <w:marRight w:val="0"/>
                                                                                              <w:marTop w:val="0"/>
                                                                                              <w:marBottom w:val="0"/>
                                                                                              <w:divBdr>
                                                                                                <w:top w:val="none" w:sz="0" w:space="0" w:color="auto"/>
                                                                                                <w:left w:val="none" w:sz="0" w:space="0" w:color="auto"/>
                                                                                                <w:bottom w:val="none" w:sz="0" w:space="0" w:color="auto"/>
                                                                                                <w:right w:val="none" w:sz="0" w:space="0" w:color="auto"/>
                                                                                              </w:divBdr>
                                                                                            </w:div>
                                                                                          </w:divsChild>
                                                                                        </w:div>
                                                                                        <w:div w:id="55713846">
                                                                                          <w:marLeft w:val="0"/>
                                                                                          <w:marRight w:val="0"/>
                                                                                          <w:marTop w:val="0"/>
                                                                                          <w:marBottom w:val="0"/>
                                                                                          <w:divBdr>
                                                                                            <w:top w:val="none" w:sz="0" w:space="0" w:color="auto"/>
                                                                                            <w:left w:val="none" w:sz="0" w:space="0" w:color="auto"/>
                                                                                            <w:bottom w:val="none" w:sz="0" w:space="0" w:color="auto"/>
                                                                                            <w:right w:val="none" w:sz="0" w:space="0" w:color="auto"/>
                                                                                          </w:divBdr>
                                                                                          <w:divsChild>
                                                                                            <w:div w:id="1759908245">
                                                                                              <w:marLeft w:val="0"/>
                                                                                              <w:marRight w:val="0"/>
                                                                                              <w:marTop w:val="0"/>
                                                                                              <w:marBottom w:val="0"/>
                                                                                              <w:divBdr>
                                                                                                <w:top w:val="none" w:sz="0" w:space="0" w:color="auto"/>
                                                                                                <w:left w:val="none" w:sz="0" w:space="0" w:color="auto"/>
                                                                                                <w:bottom w:val="none" w:sz="0" w:space="0" w:color="auto"/>
                                                                                                <w:right w:val="none" w:sz="0" w:space="0" w:color="auto"/>
                                                                                              </w:divBdr>
                                                                                            </w:div>
                                                                                          </w:divsChild>
                                                                                        </w:div>
                                                                                        <w:div w:id="110324739">
                                                                                          <w:marLeft w:val="0"/>
                                                                                          <w:marRight w:val="0"/>
                                                                                          <w:marTop w:val="0"/>
                                                                                          <w:marBottom w:val="0"/>
                                                                                          <w:divBdr>
                                                                                            <w:top w:val="none" w:sz="0" w:space="0" w:color="auto"/>
                                                                                            <w:left w:val="none" w:sz="0" w:space="0" w:color="auto"/>
                                                                                            <w:bottom w:val="none" w:sz="0" w:space="0" w:color="auto"/>
                                                                                            <w:right w:val="none" w:sz="0" w:space="0" w:color="auto"/>
                                                                                          </w:divBdr>
                                                                                          <w:divsChild>
                                                                                            <w:div w:id="1535189161">
                                                                                              <w:marLeft w:val="0"/>
                                                                                              <w:marRight w:val="0"/>
                                                                                              <w:marTop w:val="0"/>
                                                                                              <w:marBottom w:val="0"/>
                                                                                              <w:divBdr>
                                                                                                <w:top w:val="none" w:sz="0" w:space="0" w:color="auto"/>
                                                                                                <w:left w:val="none" w:sz="0" w:space="0" w:color="auto"/>
                                                                                                <w:bottom w:val="none" w:sz="0" w:space="0" w:color="auto"/>
                                                                                                <w:right w:val="none" w:sz="0" w:space="0" w:color="auto"/>
                                                                                              </w:divBdr>
                                                                                            </w:div>
                                                                                          </w:divsChild>
                                                                                        </w:div>
                                                                                        <w:div w:id="116720473">
                                                                                          <w:marLeft w:val="0"/>
                                                                                          <w:marRight w:val="0"/>
                                                                                          <w:marTop w:val="0"/>
                                                                                          <w:marBottom w:val="0"/>
                                                                                          <w:divBdr>
                                                                                            <w:top w:val="none" w:sz="0" w:space="0" w:color="auto"/>
                                                                                            <w:left w:val="none" w:sz="0" w:space="0" w:color="auto"/>
                                                                                            <w:bottom w:val="none" w:sz="0" w:space="0" w:color="auto"/>
                                                                                            <w:right w:val="none" w:sz="0" w:space="0" w:color="auto"/>
                                                                                          </w:divBdr>
                                                                                          <w:divsChild>
                                                                                            <w:div w:id="56436138">
                                                                                              <w:marLeft w:val="0"/>
                                                                                              <w:marRight w:val="0"/>
                                                                                              <w:marTop w:val="0"/>
                                                                                              <w:marBottom w:val="0"/>
                                                                                              <w:divBdr>
                                                                                                <w:top w:val="none" w:sz="0" w:space="0" w:color="auto"/>
                                                                                                <w:left w:val="none" w:sz="0" w:space="0" w:color="auto"/>
                                                                                                <w:bottom w:val="none" w:sz="0" w:space="0" w:color="auto"/>
                                                                                                <w:right w:val="none" w:sz="0" w:space="0" w:color="auto"/>
                                                                                              </w:divBdr>
                                                                                            </w:div>
                                                                                          </w:divsChild>
                                                                                        </w:div>
                                                                                        <w:div w:id="250939409">
                                                                                          <w:marLeft w:val="0"/>
                                                                                          <w:marRight w:val="0"/>
                                                                                          <w:marTop w:val="0"/>
                                                                                          <w:marBottom w:val="0"/>
                                                                                          <w:divBdr>
                                                                                            <w:top w:val="none" w:sz="0" w:space="0" w:color="auto"/>
                                                                                            <w:left w:val="none" w:sz="0" w:space="0" w:color="auto"/>
                                                                                            <w:bottom w:val="none" w:sz="0" w:space="0" w:color="auto"/>
                                                                                            <w:right w:val="none" w:sz="0" w:space="0" w:color="auto"/>
                                                                                          </w:divBdr>
                                                                                          <w:divsChild>
                                                                                            <w:div w:id="1121653925">
                                                                                              <w:marLeft w:val="0"/>
                                                                                              <w:marRight w:val="0"/>
                                                                                              <w:marTop w:val="0"/>
                                                                                              <w:marBottom w:val="0"/>
                                                                                              <w:divBdr>
                                                                                                <w:top w:val="none" w:sz="0" w:space="0" w:color="auto"/>
                                                                                                <w:left w:val="none" w:sz="0" w:space="0" w:color="auto"/>
                                                                                                <w:bottom w:val="none" w:sz="0" w:space="0" w:color="auto"/>
                                                                                                <w:right w:val="none" w:sz="0" w:space="0" w:color="auto"/>
                                                                                              </w:divBdr>
                                                                                            </w:div>
                                                                                          </w:divsChild>
                                                                                        </w:div>
                                                                                        <w:div w:id="256838425">
                                                                                          <w:marLeft w:val="0"/>
                                                                                          <w:marRight w:val="0"/>
                                                                                          <w:marTop w:val="0"/>
                                                                                          <w:marBottom w:val="0"/>
                                                                                          <w:divBdr>
                                                                                            <w:top w:val="none" w:sz="0" w:space="0" w:color="auto"/>
                                                                                            <w:left w:val="none" w:sz="0" w:space="0" w:color="auto"/>
                                                                                            <w:bottom w:val="none" w:sz="0" w:space="0" w:color="auto"/>
                                                                                            <w:right w:val="none" w:sz="0" w:space="0" w:color="auto"/>
                                                                                          </w:divBdr>
                                                                                          <w:divsChild>
                                                                                            <w:div w:id="87774184">
                                                                                              <w:marLeft w:val="0"/>
                                                                                              <w:marRight w:val="0"/>
                                                                                              <w:marTop w:val="0"/>
                                                                                              <w:marBottom w:val="0"/>
                                                                                              <w:divBdr>
                                                                                                <w:top w:val="none" w:sz="0" w:space="0" w:color="auto"/>
                                                                                                <w:left w:val="none" w:sz="0" w:space="0" w:color="auto"/>
                                                                                                <w:bottom w:val="none" w:sz="0" w:space="0" w:color="auto"/>
                                                                                                <w:right w:val="none" w:sz="0" w:space="0" w:color="auto"/>
                                                                                              </w:divBdr>
                                                                                            </w:div>
                                                                                          </w:divsChild>
                                                                                        </w:div>
                                                                                        <w:div w:id="263223203">
                                                                                          <w:marLeft w:val="0"/>
                                                                                          <w:marRight w:val="0"/>
                                                                                          <w:marTop w:val="0"/>
                                                                                          <w:marBottom w:val="0"/>
                                                                                          <w:divBdr>
                                                                                            <w:top w:val="none" w:sz="0" w:space="0" w:color="auto"/>
                                                                                            <w:left w:val="none" w:sz="0" w:space="0" w:color="auto"/>
                                                                                            <w:bottom w:val="none" w:sz="0" w:space="0" w:color="auto"/>
                                                                                            <w:right w:val="none" w:sz="0" w:space="0" w:color="auto"/>
                                                                                          </w:divBdr>
                                                                                          <w:divsChild>
                                                                                            <w:div w:id="1586642869">
                                                                                              <w:marLeft w:val="0"/>
                                                                                              <w:marRight w:val="0"/>
                                                                                              <w:marTop w:val="0"/>
                                                                                              <w:marBottom w:val="0"/>
                                                                                              <w:divBdr>
                                                                                                <w:top w:val="none" w:sz="0" w:space="0" w:color="auto"/>
                                                                                                <w:left w:val="none" w:sz="0" w:space="0" w:color="auto"/>
                                                                                                <w:bottom w:val="none" w:sz="0" w:space="0" w:color="auto"/>
                                                                                                <w:right w:val="none" w:sz="0" w:space="0" w:color="auto"/>
                                                                                              </w:divBdr>
                                                                                            </w:div>
                                                                                          </w:divsChild>
                                                                                        </w:div>
                                                                                        <w:div w:id="269824963">
                                                                                          <w:marLeft w:val="0"/>
                                                                                          <w:marRight w:val="0"/>
                                                                                          <w:marTop w:val="0"/>
                                                                                          <w:marBottom w:val="0"/>
                                                                                          <w:divBdr>
                                                                                            <w:top w:val="none" w:sz="0" w:space="0" w:color="auto"/>
                                                                                            <w:left w:val="none" w:sz="0" w:space="0" w:color="auto"/>
                                                                                            <w:bottom w:val="none" w:sz="0" w:space="0" w:color="auto"/>
                                                                                            <w:right w:val="none" w:sz="0" w:space="0" w:color="auto"/>
                                                                                          </w:divBdr>
                                                                                          <w:divsChild>
                                                                                            <w:div w:id="1342898593">
                                                                                              <w:marLeft w:val="0"/>
                                                                                              <w:marRight w:val="0"/>
                                                                                              <w:marTop w:val="0"/>
                                                                                              <w:marBottom w:val="0"/>
                                                                                              <w:divBdr>
                                                                                                <w:top w:val="none" w:sz="0" w:space="0" w:color="auto"/>
                                                                                                <w:left w:val="none" w:sz="0" w:space="0" w:color="auto"/>
                                                                                                <w:bottom w:val="none" w:sz="0" w:space="0" w:color="auto"/>
                                                                                                <w:right w:val="none" w:sz="0" w:space="0" w:color="auto"/>
                                                                                              </w:divBdr>
                                                                                            </w:div>
                                                                                          </w:divsChild>
                                                                                        </w:div>
                                                                                        <w:div w:id="297759694">
                                                                                          <w:marLeft w:val="0"/>
                                                                                          <w:marRight w:val="0"/>
                                                                                          <w:marTop w:val="0"/>
                                                                                          <w:marBottom w:val="0"/>
                                                                                          <w:divBdr>
                                                                                            <w:top w:val="none" w:sz="0" w:space="0" w:color="auto"/>
                                                                                            <w:left w:val="none" w:sz="0" w:space="0" w:color="auto"/>
                                                                                            <w:bottom w:val="none" w:sz="0" w:space="0" w:color="auto"/>
                                                                                            <w:right w:val="none" w:sz="0" w:space="0" w:color="auto"/>
                                                                                          </w:divBdr>
                                                                                          <w:divsChild>
                                                                                            <w:div w:id="788360337">
                                                                                              <w:marLeft w:val="0"/>
                                                                                              <w:marRight w:val="0"/>
                                                                                              <w:marTop w:val="0"/>
                                                                                              <w:marBottom w:val="0"/>
                                                                                              <w:divBdr>
                                                                                                <w:top w:val="none" w:sz="0" w:space="0" w:color="auto"/>
                                                                                                <w:left w:val="none" w:sz="0" w:space="0" w:color="auto"/>
                                                                                                <w:bottom w:val="none" w:sz="0" w:space="0" w:color="auto"/>
                                                                                                <w:right w:val="none" w:sz="0" w:space="0" w:color="auto"/>
                                                                                              </w:divBdr>
                                                                                            </w:div>
                                                                                          </w:divsChild>
                                                                                        </w:div>
                                                                                        <w:div w:id="331181297">
                                                                                          <w:marLeft w:val="0"/>
                                                                                          <w:marRight w:val="0"/>
                                                                                          <w:marTop w:val="0"/>
                                                                                          <w:marBottom w:val="0"/>
                                                                                          <w:divBdr>
                                                                                            <w:top w:val="none" w:sz="0" w:space="0" w:color="auto"/>
                                                                                            <w:left w:val="none" w:sz="0" w:space="0" w:color="auto"/>
                                                                                            <w:bottom w:val="none" w:sz="0" w:space="0" w:color="auto"/>
                                                                                            <w:right w:val="none" w:sz="0" w:space="0" w:color="auto"/>
                                                                                          </w:divBdr>
                                                                                          <w:divsChild>
                                                                                            <w:div w:id="252668619">
                                                                                              <w:marLeft w:val="0"/>
                                                                                              <w:marRight w:val="0"/>
                                                                                              <w:marTop w:val="0"/>
                                                                                              <w:marBottom w:val="0"/>
                                                                                              <w:divBdr>
                                                                                                <w:top w:val="none" w:sz="0" w:space="0" w:color="auto"/>
                                                                                                <w:left w:val="none" w:sz="0" w:space="0" w:color="auto"/>
                                                                                                <w:bottom w:val="none" w:sz="0" w:space="0" w:color="auto"/>
                                                                                                <w:right w:val="none" w:sz="0" w:space="0" w:color="auto"/>
                                                                                              </w:divBdr>
                                                                                            </w:div>
                                                                                          </w:divsChild>
                                                                                        </w:div>
                                                                                        <w:div w:id="440683391">
                                                                                          <w:marLeft w:val="0"/>
                                                                                          <w:marRight w:val="0"/>
                                                                                          <w:marTop w:val="0"/>
                                                                                          <w:marBottom w:val="0"/>
                                                                                          <w:divBdr>
                                                                                            <w:top w:val="none" w:sz="0" w:space="0" w:color="auto"/>
                                                                                            <w:left w:val="none" w:sz="0" w:space="0" w:color="auto"/>
                                                                                            <w:bottom w:val="none" w:sz="0" w:space="0" w:color="auto"/>
                                                                                            <w:right w:val="none" w:sz="0" w:space="0" w:color="auto"/>
                                                                                          </w:divBdr>
                                                                                          <w:divsChild>
                                                                                            <w:div w:id="1261835386">
                                                                                              <w:marLeft w:val="0"/>
                                                                                              <w:marRight w:val="0"/>
                                                                                              <w:marTop w:val="0"/>
                                                                                              <w:marBottom w:val="0"/>
                                                                                              <w:divBdr>
                                                                                                <w:top w:val="none" w:sz="0" w:space="0" w:color="auto"/>
                                                                                                <w:left w:val="none" w:sz="0" w:space="0" w:color="auto"/>
                                                                                                <w:bottom w:val="none" w:sz="0" w:space="0" w:color="auto"/>
                                                                                                <w:right w:val="none" w:sz="0" w:space="0" w:color="auto"/>
                                                                                              </w:divBdr>
                                                                                            </w:div>
                                                                                          </w:divsChild>
                                                                                        </w:div>
                                                                                        <w:div w:id="486290732">
                                                                                          <w:marLeft w:val="0"/>
                                                                                          <w:marRight w:val="0"/>
                                                                                          <w:marTop w:val="0"/>
                                                                                          <w:marBottom w:val="0"/>
                                                                                          <w:divBdr>
                                                                                            <w:top w:val="none" w:sz="0" w:space="0" w:color="auto"/>
                                                                                            <w:left w:val="none" w:sz="0" w:space="0" w:color="auto"/>
                                                                                            <w:bottom w:val="none" w:sz="0" w:space="0" w:color="auto"/>
                                                                                            <w:right w:val="none" w:sz="0" w:space="0" w:color="auto"/>
                                                                                          </w:divBdr>
                                                                                          <w:divsChild>
                                                                                            <w:div w:id="1921600815">
                                                                                              <w:marLeft w:val="0"/>
                                                                                              <w:marRight w:val="0"/>
                                                                                              <w:marTop w:val="0"/>
                                                                                              <w:marBottom w:val="0"/>
                                                                                              <w:divBdr>
                                                                                                <w:top w:val="none" w:sz="0" w:space="0" w:color="auto"/>
                                                                                                <w:left w:val="none" w:sz="0" w:space="0" w:color="auto"/>
                                                                                                <w:bottom w:val="none" w:sz="0" w:space="0" w:color="auto"/>
                                                                                                <w:right w:val="none" w:sz="0" w:space="0" w:color="auto"/>
                                                                                              </w:divBdr>
                                                                                            </w:div>
                                                                                          </w:divsChild>
                                                                                        </w:div>
                                                                                        <w:div w:id="543908351">
                                                                                          <w:marLeft w:val="0"/>
                                                                                          <w:marRight w:val="0"/>
                                                                                          <w:marTop w:val="0"/>
                                                                                          <w:marBottom w:val="0"/>
                                                                                          <w:divBdr>
                                                                                            <w:top w:val="none" w:sz="0" w:space="0" w:color="auto"/>
                                                                                            <w:left w:val="none" w:sz="0" w:space="0" w:color="auto"/>
                                                                                            <w:bottom w:val="none" w:sz="0" w:space="0" w:color="auto"/>
                                                                                            <w:right w:val="none" w:sz="0" w:space="0" w:color="auto"/>
                                                                                          </w:divBdr>
                                                                                          <w:divsChild>
                                                                                            <w:div w:id="457533965">
                                                                                              <w:marLeft w:val="0"/>
                                                                                              <w:marRight w:val="0"/>
                                                                                              <w:marTop w:val="0"/>
                                                                                              <w:marBottom w:val="0"/>
                                                                                              <w:divBdr>
                                                                                                <w:top w:val="none" w:sz="0" w:space="0" w:color="auto"/>
                                                                                                <w:left w:val="none" w:sz="0" w:space="0" w:color="auto"/>
                                                                                                <w:bottom w:val="none" w:sz="0" w:space="0" w:color="auto"/>
                                                                                                <w:right w:val="none" w:sz="0" w:space="0" w:color="auto"/>
                                                                                              </w:divBdr>
                                                                                            </w:div>
                                                                                          </w:divsChild>
                                                                                        </w:div>
                                                                                        <w:div w:id="566502468">
                                                                                          <w:marLeft w:val="0"/>
                                                                                          <w:marRight w:val="0"/>
                                                                                          <w:marTop w:val="0"/>
                                                                                          <w:marBottom w:val="0"/>
                                                                                          <w:divBdr>
                                                                                            <w:top w:val="none" w:sz="0" w:space="0" w:color="auto"/>
                                                                                            <w:left w:val="none" w:sz="0" w:space="0" w:color="auto"/>
                                                                                            <w:bottom w:val="none" w:sz="0" w:space="0" w:color="auto"/>
                                                                                            <w:right w:val="none" w:sz="0" w:space="0" w:color="auto"/>
                                                                                          </w:divBdr>
                                                                                          <w:divsChild>
                                                                                            <w:div w:id="265622707">
                                                                                              <w:marLeft w:val="0"/>
                                                                                              <w:marRight w:val="0"/>
                                                                                              <w:marTop w:val="0"/>
                                                                                              <w:marBottom w:val="0"/>
                                                                                              <w:divBdr>
                                                                                                <w:top w:val="none" w:sz="0" w:space="0" w:color="auto"/>
                                                                                                <w:left w:val="none" w:sz="0" w:space="0" w:color="auto"/>
                                                                                                <w:bottom w:val="none" w:sz="0" w:space="0" w:color="auto"/>
                                                                                                <w:right w:val="none" w:sz="0" w:space="0" w:color="auto"/>
                                                                                              </w:divBdr>
                                                                                            </w:div>
                                                                                          </w:divsChild>
                                                                                        </w:div>
                                                                                        <w:div w:id="657609062">
                                                                                          <w:marLeft w:val="0"/>
                                                                                          <w:marRight w:val="0"/>
                                                                                          <w:marTop w:val="0"/>
                                                                                          <w:marBottom w:val="0"/>
                                                                                          <w:divBdr>
                                                                                            <w:top w:val="none" w:sz="0" w:space="0" w:color="auto"/>
                                                                                            <w:left w:val="none" w:sz="0" w:space="0" w:color="auto"/>
                                                                                            <w:bottom w:val="none" w:sz="0" w:space="0" w:color="auto"/>
                                                                                            <w:right w:val="none" w:sz="0" w:space="0" w:color="auto"/>
                                                                                          </w:divBdr>
                                                                                          <w:divsChild>
                                                                                            <w:div w:id="1363745054">
                                                                                              <w:marLeft w:val="0"/>
                                                                                              <w:marRight w:val="0"/>
                                                                                              <w:marTop w:val="0"/>
                                                                                              <w:marBottom w:val="0"/>
                                                                                              <w:divBdr>
                                                                                                <w:top w:val="none" w:sz="0" w:space="0" w:color="auto"/>
                                                                                                <w:left w:val="none" w:sz="0" w:space="0" w:color="auto"/>
                                                                                                <w:bottom w:val="none" w:sz="0" w:space="0" w:color="auto"/>
                                                                                                <w:right w:val="none" w:sz="0" w:space="0" w:color="auto"/>
                                                                                              </w:divBdr>
                                                                                            </w:div>
                                                                                          </w:divsChild>
                                                                                        </w:div>
                                                                                        <w:div w:id="660935951">
                                                                                          <w:marLeft w:val="0"/>
                                                                                          <w:marRight w:val="0"/>
                                                                                          <w:marTop w:val="0"/>
                                                                                          <w:marBottom w:val="0"/>
                                                                                          <w:divBdr>
                                                                                            <w:top w:val="none" w:sz="0" w:space="0" w:color="auto"/>
                                                                                            <w:left w:val="none" w:sz="0" w:space="0" w:color="auto"/>
                                                                                            <w:bottom w:val="none" w:sz="0" w:space="0" w:color="auto"/>
                                                                                            <w:right w:val="none" w:sz="0" w:space="0" w:color="auto"/>
                                                                                          </w:divBdr>
                                                                                          <w:divsChild>
                                                                                            <w:div w:id="2134596452">
                                                                                              <w:marLeft w:val="0"/>
                                                                                              <w:marRight w:val="0"/>
                                                                                              <w:marTop w:val="0"/>
                                                                                              <w:marBottom w:val="0"/>
                                                                                              <w:divBdr>
                                                                                                <w:top w:val="none" w:sz="0" w:space="0" w:color="auto"/>
                                                                                                <w:left w:val="none" w:sz="0" w:space="0" w:color="auto"/>
                                                                                                <w:bottom w:val="none" w:sz="0" w:space="0" w:color="auto"/>
                                                                                                <w:right w:val="none" w:sz="0" w:space="0" w:color="auto"/>
                                                                                              </w:divBdr>
                                                                                            </w:div>
                                                                                          </w:divsChild>
                                                                                        </w:div>
                                                                                        <w:div w:id="667901290">
                                                                                          <w:marLeft w:val="0"/>
                                                                                          <w:marRight w:val="0"/>
                                                                                          <w:marTop w:val="0"/>
                                                                                          <w:marBottom w:val="0"/>
                                                                                          <w:divBdr>
                                                                                            <w:top w:val="none" w:sz="0" w:space="0" w:color="auto"/>
                                                                                            <w:left w:val="none" w:sz="0" w:space="0" w:color="auto"/>
                                                                                            <w:bottom w:val="none" w:sz="0" w:space="0" w:color="auto"/>
                                                                                            <w:right w:val="none" w:sz="0" w:space="0" w:color="auto"/>
                                                                                          </w:divBdr>
                                                                                          <w:divsChild>
                                                                                            <w:div w:id="1660232377">
                                                                                              <w:marLeft w:val="0"/>
                                                                                              <w:marRight w:val="0"/>
                                                                                              <w:marTop w:val="0"/>
                                                                                              <w:marBottom w:val="0"/>
                                                                                              <w:divBdr>
                                                                                                <w:top w:val="none" w:sz="0" w:space="0" w:color="auto"/>
                                                                                                <w:left w:val="none" w:sz="0" w:space="0" w:color="auto"/>
                                                                                                <w:bottom w:val="none" w:sz="0" w:space="0" w:color="auto"/>
                                                                                                <w:right w:val="none" w:sz="0" w:space="0" w:color="auto"/>
                                                                                              </w:divBdr>
                                                                                            </w:div>
                                                                                          </w:divsChild>
                                                                                        </w:div>
                                                                                        <w:div w:id="733118163">
                                                                                          <w:marLeft w:val="0"/>
                                                                                          <w:marRight w:val="0"/>
                                                                                          <w:marTop w:val="0"/>
                                                                                          <w:marBottom w:val="0"/>
                                                                                          <w:divBdr>
                                                                                            <w:top w:val="none" w:sz="0" w:space="0" w:color="auto"/>
                                                                                            <w:left w:val="none" w:sz="0" w:space="0" w:color="auto"/>
                                                                                            <w:bottom w:val="none" w:sz="0" w:space="0" w:color="auto"/>
                                                                                            <w:right w:val="none" w:sz="0" w:space="0" w:color="auto"/>
                                                                                          </w:divBdr>
                                                                                          <w:divsChild>
                                                                                            <w:div w:id="1740596779">
                                                                                              <w:marLeft w:val="0"/>
                                                                                              <w:marRight w:val="0"/>
                                                                                              <w:marTop w:val="0"/>
                                                                                              <w:marBottom w:val="0"/>
                                                                                              <w:divBdr>
                                                                                                <w:top w:val="none" w:sz="0" w:space="0" w:color="auto"/>
                                                                                                <w:left w:val="none" w:sz="0" w:space="0" w:color="auto"/>
                                                                                                <w:bottom w:val="none" w:sz="0" w:space="0" w:color="auto"/>
                                                                                                <w:right w:val="none" w:sz="0" w:space="0" w:color="auto"/>
                                                                                              </w:divBdr>
                                                                                            </w:div>
                                                                                          </w:divsChild>
                                                                                        </w:div>
                                                                                        <w:div w:id="738018407">
                                                                                          <w:marLeft w:val="0"/>
                                                                                          <w:marRight w:val="0"/>
                                                                                          <w:marTop w:val="0"/>
                                                                                          <w:marBottom w:val="0"/>
                                                                                          <w:divBdr>
                                                                                            <w:top w:val="none" w:sz="0" w:space="0" w:color="auto"/>
                                                                                            <w:left w:val="none" w:sz="0" w:space="0" w:color="auto"/>
                                                                                            <w:bottom w:val="none" w:sz="0" w:space="0" w:color="auto"/>
                                                                                            <w:right w:val="none" w:sz="0" w:space="0" w:color="auto"/>
                                                                                          </w:divBdr>
                                                                                          <w:divsChild>
                                                                                            <w:div w:id="599606648">
                                                                                              <w:marLeft w:val="0"/>
                                                                                              <w:marRight w:val="0"/>
                                                                                              <w:marTop w:val="0"/>
                                                                                              <w:marBottom w:val="0"/>
                                                                                              <w:divBdr>
                                                                                                <w:top w:val="none" w:sz="0" w:space="0" w:color="auto"/>
                                                                                                <w:left w:val="none" w:sz="0" w:space="0" w:color="auto"/>
                                                                                                <w:bottom w:val="none" w:sz="0" w:space="0" w:color="auto"/>
                                                                                                <w:right w:val="none" w:sz="0" w:space="0" w:color="auto"/>
                                                                                              </w:divBdr>
                                                                                            </w:div>
                                                                                          </w:divsChild>
                                                                                        </w:div>
                                                                                        <w:div w:id="794451260">
                                                                                          <w:marLeft w:val="0"/>
                                                                                          <w:marRight w:val="0"/>
                                                                                          <w:marTop w:val="0"/>
                                                                                          <w:marBottom w:val="0"/>
                                                                                          <w:divBdr>
                                                                                            <w:top w:val="none" w:sz="0" w:space="0" w:color="auto"/>
                                                                                            <w:left w:val="none" w:sz="0" w:space="0" w:color="auto"/>
                                                                                            <w:bottom w:val="none" w:sz="0" w:space="0" w:color="auto"/>
                                                                                            <w:right w:val="none" w:sz="0" w:space="0" w:color="auto"/>
                                                                                          </w:divBdr>
                                                                                          <w:divsChild>
                                                                                            <w:div w:id="1874224637">
                                                                                              <w:marLeft w:val="0"/>
                                                                                              <w:marRight w:val="0"/>
                                                                                              <w:marTop w:val="0"/>
                                                                                              <w:marBottom w:val="0"/>
                                                                                              <w:divBdr>
                                                                                                <w:top w:val="none" w:sz="0" w:space="0" w:color="auto"/>
                                                                                                <w:left w:val="none" w:sz="0" w:space="0" w:color="auto"/>
                                                                                                <w:bottom w:val="none" w:sz="0" w:space="0" w:color="auto"/>
                                                                                                <w:right w:val="none" w:sz="0" w:space="0" w:color="auto"/>
                                                                                              </w:divBdr>
                                                                                            </w:div>
                                                                                          </w:divsChild>
                                                                                        </w:div>
                                                                                        <w:div w:id="796027463">
                                                                                          <w:marLeft w:val="0"/>
                                                                                          <w:marRight w:val="0"/>
                                                                                          <w:marTop w:val="0"/>
                                                                                          <w:marBottom w:val="0"/>
                                                                                          <w:divBdr>
                                                                                            <w:top w:val="none" w:sz="0" w:space="0" w:color="auto"/>
                                                                                            <w:left w:val="none" w:sz="0" w:space="0" w:color="auto"/>
                                                                                            <w:bottom w:val="none" w:sz="0" w:space="0" w:color="auto"/>
                                                                                            <w:right w:val="none" w:sz="0" w:space="0" w:color="auto"/>
                                                                                          </w:divBdr>
                                                                                          <w:divsChild>
                                                                                            <w:div w:id="1988388886">
                                                                                              <w:marLeft w:val="0"/>
                                                                                              <w:marRight w:val="0"/>
                                                                                              <w:marTop w:val="0"/>
                                                                                              <w:marBottom w:val="0"/>
                                                                                              <w:divBdr>
                                                                                                <w:top w:val="none" w:sz="0" w:space="0" w:color="auto"/>
                                                                                                <w:left w:val="none" w:sz="0" w:space="0" w:color="auto"/>
                                                                                                <w:bottom w:val="none" w:sz="0" w:space="0" w:color="auto"/>
                                                                                                <w:right w:val="none" w:sz="0" w:space="0" w:color="auto"/>
                                                                                              </w:divBdr>
                                                                                            </w:div>
                                                                                          </w:divsChild>
                                                                                        </w:div>
                                                                                        <w:div w:id="862593976">
                                                                                          <w:marLeft w:val="0"/>
                                                                                          <w:marRight w:val="0"/>
                                                                                          <w:marTop w:val="0"/>
                                                                                          <w:marBottom w:val="0"/>
                                                                                          <w:divBdr>
                                                                                            <w:top w:val="none" w:sz="0" w:space="0" w:color="auto"/>
                                                                                            <w:left w:val="none" w:sz="0" w:space="0" w:color="auto"/>
                                                                                            <w:bottom w:val="none" w:sz="0" w:space="0" w:color="auto"/>
                                                                                            <w:right w:val="none" w:sz="0" w:space="0" w:color="auto"/>
                                                                                          </w:divBdr>
                                                                                          <w:divsChild>
                                                                                            <w:div w:id="908270488">
                                                                                              <w:marLeft w:val="0"/>
                                                                                              <w:marRight w:val="0"/>
                                                                                              <w:marTop w:val="0"/>
                                                                                              <w:marBottom w:val="0"/>
                                                                                              <w:divBdr>
                                                                                                <w:top w:val="none" w:sz="0" w:space="0" w:color="auto"/>
                                                                                                <w:left w:val="none" w:sz="0" w:space="0" w:color="auto"/>
                                                                                                <w:bottom w:val="none" w:sz="0" w:space="0" w:color="auto"/>
                                                                                                <w:right w:val="none" w:sz="0" w:space="0" w:color="auto"/>
                                                                                              </w:divBdr>
                                                                                            </w:div>
                                                                                          </w:divsChild>
                                                                                        </w:div>
                                                                                        <w:div w:id="915360673">
                                                                                          <w:marLeft w:val="0"/>
                                                                                          <w:marRight w:val="0"/>
                                                                                          <w:marTop w:val="0"/>
                                                                                          <w:marBottom w:val="0"/>
                                                                                          <w:divBdr>
                                                                                            <w:top w:val="none" w:sz="0" w:space="0" w:color="auto"/>
                                                                                            <w:left w:val="none" w:sz="0" w:space="0" w:color="auto"/>
                                                                                            <w:bottom w:val="none" w:sz="0" w:space="0" w:color="auto"/>
                                                                                            <w:right w:val="none" w:sz="0" w:space="0" w:color="auto"/>
                                                                                          </w:divBdr>
                                                                                          <w:divsChild>
                                                                                            <w:div w:id="1524057635">
                                                                                              <w:marLeft w:val="0"/>
                                                                                              <w:marRight w:val="0"/>
                                                                                              <w:marTop w:val="0"/>
                                                                                              <w:marBottom w:val="0"/>
                                                                                              <w:divBdr>
                                                                                                <w:top w:val="none" w:sz="0" w:space="0" w:color="auto"/>
                                                                                                <w:left w:val="none" w:sz="0" w:space="0" w:color="auto"/>
                                                                                                <w:bottom w:val="none" w:sz="0" w:space="0" w:color="auto"/>
                                                                                                <w:right w:val="none" w:sz="0" w:space="0" w:color="auto"/>
                                                                                              </w:divBdr>
                                                                                            </w:div>
                                                                                          </w:divsChild>
                                                                                        </w:div>
                                                                                        <w:div w:id="935862591">
                                                                                          <w:marLeft w:val="0"/>
                                                                                          <w:marRight w:val="0"/>
                                                                                          <w:marTop w:val="0"/>
                                                                                          <w:marBottom w:val="0"/>
                                                                                          <w:divBdr>
                                                                                            <w:top w:val="none" w:sz="0" w:space="0" w:color="auto"/>
                                                                                            <w:left w:val="none" w:sz="0" w:space="0" w:color="auto"/>
                                                                                            <w:bottom w:val="none" w:sz="0" w:space="0" w:color="auto"/>
                                                                                            <w:right w:val="none" w:sz="0" w:space="0" w:color="auto"/>
                                                                                          </w:divBdr>
                                                                                          <w:divsChild>
                                                                                            <w:div w:id="1596086723">
                                                                                              <w:marLeft w:val="0"/>
                                                                                              <w:marRight w:val="0"/>
                                                                                              <w:marTop w:val="0"/>
                                                                                              <w:marBottom w:val="0"/>
                                                                                              <w:divBdr>
                                                                                                <w:top w:val="none" w:sz="0" w:space="0" w:color="auto"/>
                                                                                                <w:left w:val="none" w:sz="0" w:space="0" w:color="auto"/>
                                                                                                <w:bottom w:val="none" w:sz="0" w:space="0" w:color="auto"/>
                                                                                                <w:right w:val="none" w:sz="0" w:space="0" w:color="auto"/>
                                                                                              </w:divBdr>
                                                                                            </w:div>
                                                                                          </w:divsChild>
                                                                                        </w:div>
                                                                                        <w:div w:id="1017392204">
                                                                                          <w:marLeft w:val="0"/>
                                                                                          <w:marRight w:val="0"/>
                                                                                          <w:marTop w:val="0"/>
                                                                                          <w:marBottom w:val="0"/>
                                                                                          <w:divBdr>
                                                                                            <w:top w:val="none" w:sz="0" w:space="0" w:color="auto"/>
                                                                                            <w:left w:val="none" w:sz="0" w:space="0" w:color="auto"/>
                                                                                            <w:bottom w:val="none" w:sz="0" w:space="0" w:color="auto"/>
                                                                                            <w:right w:val="none" w:sz="0" w:space="0" w:color="auto"/>
                                                                                          </w:divBdr>
                                                                                          <w:divsChild>
                                                                                            <w:div w:id="906257540">
                                                                                              <w:marLeft w:val="0"/>
                                                                                              <w:marRight w:val="0"/>
                                                                                              <w:marTop w:val="0"/>
                                                                                              <w:marBottom w:val="0"/>
                                                                                              <w:divBdr>
                                                                                                <w:top w:val="none" w:sz="0" w:space="0" w:color="auto"/>
                                                                                                <w:left w:val="none" w:sz="0" w:space="0" w:color="auto"/>
                                                                                                <w:bottom w:val="none" w:sz="0" w:space="0" w:color="auto"/>
                                                                                                <w:right w:val="none" w:sz="0" w:space="0" w:color="auto"/>
                                                                                              </w:divBdr>
                                                                                            </w:div>
                                                                                          </w:divsChild>
                                                                                        </w:div>
                                                                                        <w:div w:id="1064840118">
                                                                                          <w:marLeft w:val="0"/>
                                                                                          <w:marRight w:val="0"/>
                                                                                          <w:marTop w:val="0"/>
                                                                                          <w:marBottom w:val="0"/>
                                                                                          <w:divBdr>
                                                                                            <w:top w:val="none" w:sz="0" w:space="0" w:color="auto"/>
                                                                                            <w:left w:val="none" w:sz="0" w:space="0" w:color="auto"/>
                                                                                            <w:bottom w:val="none" w:sz="0" w:space="0" w:color="auto"/>
                                                                                            <w:right w:val="none" w:sz="0" w:space="0" w:color="auto"/>
                                                                                          </w:divBdr>
                                                                                          <w:divsChild>
                                                                                            <w:div w:id="874270020">
                                                                                              <w:marLeft w:val="0"/>
                                                                                              <w:marRight w:val="0"/>
                                                                                              <w:marTop w:val="0"/>
                                                                                              <w:marBottom w:val="0"/>
                                                                                              <w:divBdr>
                                                                                                <w:top w:val="none" w:sz="0" w:space="0" w:color="auto"/>
                                                                                                <w:left w:val="none" w:sz="0" w:space="0" w:color="auto"/>
                                                                                                <w:bottom w:val="none" w:sz="0" w:space="0" w:color="auto"/>
                                                                                                <w:right w:val="none" w:sz="0" w:space="0" w:color="auto"/>
                                                                                              </w:divBdr>
                                                                                            </w:div>
                                                                                          </w:divsChild>
                                                                                        </w:div>
                                                                                        <w:div w:id="1064914886">
                                                                                          <w:marLeft w:val="0"/>
                                                                                          <w:marRight w:val="0"/>
                                                                                          <w:marTop w:val="0"/>
                                                                                          <w:marBottom w:val="0"/>
                                                                                          <w:divBdr>
                                                                                            <w:top w:val="none" w:sz="0" w:space="0" w:color="auto"/>
                                                                                            <w:left w:val="none" w:sz="0" w:space="0" w:color="auto"/>
                                                                                            <w:bottom w:val="none" w:sz="0" w:space="0" w:color="auto"/>
                                                                                            <w:right w:val="none" w:sz="0" w:space="0" w:color="auto"/>
                                                                                          </w:divBdr>
                                                                                          <w:divsChild>
                                                                                            <w:div w:id="797918161">
                                                                                              <w:marLeft w:val="0"/>
                                                                                              <w:marRight w:val="0"/>
                                                                                              <w:marTop w:val="0"/>
                                                                                              <w:marBottom w:val="0"/>
                                                                                              <w:divBdr>
                                                                                                <w:top w:val="none" w:sz="0" w:space="0" w:color="auto"/>
                                                                                                <w:left w:val="none" w:sz="0" w:space="0" w:color="auto"/>
                                                                                                <w:bottom w:val="none" w:sz="0" w:space="0" w:color="auto"/>
                                                                                                <w:right w:val="none" w:sz="0" w:space="0" w:color="auto"/>
                                                                                              </w:divBdr>
                                                                                            </w:div>
                                                                                          </w:divsChild>
                                                                                        </w:div>
                                                                                        <w:div w:id="1068768365">
                                                                                          <w:marLeft w:val="0"/>
                                                                                          <w:marRight w:val="0"/>
                                                                                          <w:marTop w:val="0"/>
                                                                                          <w:marBottom w:val="0"/>
                                                                                          <w:divBdr>
                                                                                            <w:top w:val="none" w:sz="0" w:space="0" w:color="auto"/>
                                                                                            <w:left w:val="none" w:sz="0" w:space="0" w:color="auto"/>
                                                                                            <w:bottom w:val="none" w:sz="0" w:space="0" w:color="auto"/>
                                                                                            <w:right w:val="none" w:sz="0" w:space="0" w:color="auto"/>
                                                                                          </w:divBdr>
                                                                                          <w:divsChild>
                                                                                            <w:div w:id="1625768166">
                                                                                              <w:marLeft w:val="0"/>
                                                                                              <w:marRight w:val="0"/>
                                                                                              <w:marTop w:val="0"/>
                                                                                              <w:marBottom w:val="0"/>
                                                                                              <w:divBdr>
                                                                                                <w:top w:val="none" w:sz="0" w:space="0" w:color="auto"/>
                                                                                                <w:left w:val="none" w:sz="0" w:space="0" w:color="auto"/>
                                                                                                <w:bottom w:val="none" w:sz="0" w:space="0" w:color="auto"/>
                                                                                                <w:right w:val="none" w:sz="0" w:space="0" w:color="auto"/>
                                                                                              </w:divBdr>
                                                                                            </w:div>
                                                                                          </w:divsChild>
                                                                                        </w:div>
                                                                                        <w:div w:id="1087071180">
                                                                                          <w:marLeft w:val="0"/>
                                                                                          <w:marRight w:val="0"/>
                                                                                          <w:marTop w:val="0"/>
                                                                                          <w:marBottom w:val="0"/>
                                                                                          <w:divBdr>
                                                                                            <w:top w:val="none" w:sz="0" w:space="0" w:color="auto"/>
                                                                                            <w:left w:val="none" w:sz="0" w:space="0" w:color="auto"/>
                                                                                            <w:bottom w:val="none" w:sz="0" w:space="0" w:color="auto"/>
                                                                                            <w:right w:val="none" w:sz="0" w:space="0" w:color="auto"/>
                                                                                          </w:divBdr>
                                                                                          <w:divsChild>
                                                                                            <w:div w:id="1329089780">
                                                                                              <w:marLeft w:val="0"/>
                                                                                              <w:marRight w:val="0"/>
                                                                                              <w:marTop w:val="0"/>
                                                                                              <w:marBottom w:val="0"/>
                                                                                              <w:divBdr>
                                                                                                <w:top w:val="none" w:sz="0" w:space="0" w:color="auto"/>
                                                                                                <w:left w:val="none" w:sz="0" w:space="0" w:color="auto"/>
                                                                                                <w:bottom w:val="none" w:sz="0" w:space="0" w:color="auto"/>
                                                                                                <w:right w:val="none" w:sz="0" w:space="0" w:color="auto"/>
                                                                                              </w:divBdr>
                                                                                            </w:div>
                                                                                          </w:divsChild>
                                                                                        </w:div>
                                                                                        <w:div w:id="1096557863">
                                                                                          <w:marLeft w:val="0"/>
                                                                                          <w:marRight w:val="0"/>
                                                                                          <w:marTop w:val="0"/>
                                                                                          <w:marBottom w:val="0"/>
                                                                                          <w:divBdr>
                                                                                            <w:top w:val="none" w:sz="0" w:space="0" w:color="auto"/>
                                                                                            <w:left w:val="none" w:sz="0" w:space="0" w:color="auto"/>
                                                                                            <w:bottom w:val="none" w:sz="0" w:space="0" w:color="auto"/>
                                                                                            <w:right w:val="none" w:sz="0" w:space="0" w:color="auto"/>
                                                                                          </w:divBdr>
                                                                                          <w:divsChild>
                                                                                            <w:div w:id="1797066027">
                                                                                              <w:marLeft w:val="0"/>
                                                                                              <w:marRight w:val="0"/>
                                                                                              <w:marTop w:val="0"/>
                                                                                              <w:marBottom w:val="0"/>
                                                                                              <w:divBdr>
                                                                                                <w:top w:val="none" w:sz="0" w:space="0" w:color="auto"/>
                                                                                                <w:left w:val="none" w:sz="0" w:space="0" w:color="auto"/>
                                                                                                <w:bottom w:val="none" w:sz="0" w:space="0" w:color="auto"/>
                                                                                                <w:right w:val="none" w:sz="0" w:space="0" w:color="auto"/>
                                                                                              </w:divBdr>
                                                                                            </w:div>
                                                                                          </w:divsChild>
                                                                                        </w:div>
                                                                                        <w:div w:id="1105270628">
                                                                                          <w:marLeft w:val="0"/>
                                                                                          <w:marRight w:val="0"/>
                                                                                          <w:marTop w:val="0"/>
                                                                                          <w:marBottom w:val="0"/>
                                                                                          <w:divBdr>
                                                                                            <w:top w:val="none" w:sz="0" w:space="0" w:color="auto"/>
                                                                                            <w:left w:val="none" w:sz="0" w:space="0" w:color="auto"/>
                                                                                            <w:bottom w:val="none" w:sz="0" w:space="0" w:color="auto"/>
                                                                                            <w:right w:val="none" w:sz="0" w:space="0" w:color="auto"/>
                                                                                          </w:divBdr>
                                                                                          <w:divsChild>
                                                                                            <w:div w:id="1124732891">
                                                                                              <w:marLeft w:val="0"/>
                                                                                              <w:marRight w:val="0"/>
                                                                                              <w:marTop w:val="0"/>
                                                                                              <w:marBottom w:val="0"/>
                                                                                              <w:divBdr>
                                                                                                <w:top w:val="none" w:sz="0" w:space="0" w:color="auto"/>
                                                                                                <w:left w:val="none" w:sz="0" w:space="0" w:color="auto"/>
                                                                                                <w:bottom w:val="none" w:sz="0" w:space="0" w:color="auto"/>
                                                                                                <w:right w:val="none" w:sz="0" w:space="0" w:color="auto"/>
                                                                                              </w:divBdr>
                                                                                            </w:div>
                                                                                          </w:divsChild>
                                                                                        </w:div>
                                                                                        <w:div w:id="1148977387">
                                                                                          <w:marLeft w:val="0"/>
                                                                                          <w:marRight w:val="0"/>
                                                                                          <w:marTop w:val="0"/>
                                                                                          <w:marBottom w:val="0"/>
                                                                                          <w:divBdr>
                                                                                            <w:top w:val="none" w:sz="0" w:space="0" w:color="auto"/>
                                                                                            <w:left w:val="none" w:sz="0" w:space="0" w:color="auto"/>
                                                                                            <w:bottom w:val="none" w:sz="0" w:space="0" w:color="auto"/>
                                                                                            <w:right w:val="none" w:sz="0" w:space="0" w:color="auto"/>
                                                                                          </w:divBdr>
                                                                                          <w:divsChild>
                                                                                            <w:div w:id="258412203">
                                                                                              <w:marLeft w:val="0"/>
                                                                                              <w:marRight w:val="0"/>
                                                                                              <w:marTop w:val="0"/>
                                                                                              <w:marBottom w:val="0"/>
                                                                                              <w:divBdr>
                                                                                                <w:top w:val="none" w:sz="0" w:space="0" w:color="auto"/>
                                                                                                <w:left w:val="none" w:sz="0" w:space="0" w:color="auto"/>
                                                                                                <w:bottom w:val="none" w:sz="0" w:space="0" w:color="auto"/>
                                                                                                <w:right w:val="none" w:sz="0" w:space="0" w:color="auto"/>
                                                                                              </w:divBdr>
                                                                                            </w:div>
                                                                                          </w:divsChild>
                                                                                        </w:div>
                                                                                        <w:div w:id="1158689750">
                                                                                          <w:marLeft w:val="0"/>
                                                                                          <w:marRight w:val="0"/>
                                                                                          <w:marTop w:val="0"/>
                                                                                          <w:marBottom w:val="0"/>
                                                                                          <w:divBdr>
                                                                                            <w:top w:val="none" w:sz="0" w:space="0" w:color="auto"/>
                                                                                            <w:left w:val="none" w:sz="0" w:space="0" w:color="auto"/>
                                                                                            <w:bottom w:val="none" w:sz="0" w:space="0" w:color="auto"/>
                                                                                            <w:right w:val="none" w:sz="0" w:space="0" w:color="auto"/>
                                                                                          </w:divBdr>
                                                                                          <w:divsChild>
                                                                                            <w:div w:id="1057241367">
                                                                                              <w:marLeft w:val="0"/>
                                                                                              <w:marRight w:val="0"/>
                                                                                              <w:marTop w:val="0"/>
                                                                                              <w:marBottom w:val="0"/>
                                                                                              <w:divBdr>
                                                                                                <w:top w:val="none" w:sz="0" w:space="0" w:color="auto"/>
                                                                                                <w:left w:val="none" w:sz="0" w:space="0" w:color="auto"/>
                                                                                                <w:bottom w:val="none" w:sz="0" w:space="0" w:color="auto"/>
                                                                                                <w:right w:val="none" w:sz="0" w:space="0" w:color="auto"/>
                                                                                              </w:divBdr>
                                                                                            </w:div>
                                                                                          </w:divsChild>
                                                                                        </w:div>
                                                                                        <w:div w:id="1189298820">
                                                                                          <w:marLeft w:val="0"/>
                                                                                          <w:marRight w:val="0"/>
                                                                                          <w:marTop w:val="0"/>
                                                                                          <w:marBottom w:val="0"/>
                                                                                          <w:divBdr>
                                                                                            <w:top w:val="none" w:sz="0" w:space="0" w:color="auto"/>
                                                                                            <w:left w:val="none" w:sz="0" w:space="0" w:color="auto"/>
                                                                                            <w:bottom w:val="none" w:sz="0" w:space="0" w:color="auto"/>
                                                                                            <w:right w:val="none" w:sz="0" w:space="0" w:color="auto"/>
                                                                                          </w:divBdr>
                                                                                          <w:divsChild>
                                                                                            <w:div w:id="686753124">
                                                                                              <w:marLeft w:val="0"/>
                                                                                              <w:marRight w:val="0"/>
                                                                                              <w:marTop w:val="0"/>
                                                                                              <w:marBottom w:val="0"/>
                                                                                              <w:divBdr>
                                                                                                <w:top w:val="none" w:sz="0" w:space="0" w:color="auto"/>
                                                                                                <w:left w:val="none" w:sz="0" w:space="0" w:color="auto"/>
                                                                                                <w:bottom w:val="none" w:sz="0" w:space="0" w:color="auto"/>
                                                                                                <w:right w:val="none" w:sz="0" w:space="0" w:color="auto"/>
                                                                                              </w:divBdr>
                                                                                            </w:div>
                                                                                          </w:divsChild>
                                                                                        </w:div>
                                                                                        <w:div w:id="1238973290">
                                                                                          <w:marLeft w:val="0"/>
                                                                                          <w:marRight w:val="0"/>
                                                                                          <w:marTop w:val="0"/>
                                                                                          <w:marBottom w:val="0"/>
                                                                                          <w:divBdr>
                                                                                            <w:top w:val="none" w:sz="0" w:space="0" w:color="auto"/>
                                                                                            <w:left w:val="none" w:sz="0" w:space="0" w:color="auto"/>
                                                                                            <w:bottom w:val="none" w:sz="0" w:space="0" w:color="auto"/>
                                                                                            <w:right w:val="none" w:sz="0" w:space="0" w:color="auto"/>
                                                                                          </w:divBdr>
                                                                                          <w:divsChild>
                                                                                            <w:div w:id="345639685">
                                                                                              <w:marLeft w:val="0"/>
                                                                                              <w:marRight w:val="0"/>
                                                                                              <w:marTop w:val="0"/>
                                                                                              <w:marBottom w:val="0"/>
                                                                                              <w:divBdr>
                                                                                                <w:top w:val="none" w:sz="0" w:space="0" w:color="auto"/>
                                                                                                <w:left w:val="none" w:sz="0" w:space="0" w:color="auto"/>
                                                                                                <w:bottom w:val="none" w:sz="0" w:space="0" w:color="auto"/>
                                                                                                <w:right w:val="none" w:sz="0" w:space="0" w:color="auto"/>
                                                                                              </w:divBdr>
                                                                                            </w:div>
                                                                                          </w:divsChild>
                                                                                        </w:div>
                                                                                        <w:div w:id="1273628819">
                                                                                          <w:marLeft w:val="0"/>
                                                                                          <w:marRight w:val="0"/>
                                                                                          <w:marTop w:val="0"/>
                                                                                          <w:marBottom w:val="0"/>
                                                                                          <w:divBdr>
                                                                                            <w:top w:val="none" w:sz="0" w:space="0" w:color="auto"/>
                                                                                            <w:left w:val="none" w:sz="0" w:space="0" w:color="auto"/>
                                                                                            <w:bottom w:val="none" w:sz="0" w:space="0" w:color="auto"/>
                                                                                            <w:right w:val="none" w:sz="0" w:space="0" w:color="auto"/>
                                                                                          </w:divBdr>
                                                                                          <w:divsChild>
                                                                                            <w:div w:id="1937135040">
                                                                                              <w:marLeft w:val="0"/>
                                                                                              <w:marRight w:val="0"/>
                                                                                              <w:marTop w:val="0"/>
                                                                                              <w:marBottom w:val="0"/>
                                                                                              <w:divBdr>
                                                                                                <w:top w:val="none" w:sz="0" w:space="0" w:color="auto"/>
                                                                                                <w:left w:val="none" w:sz="0" w:space="0" w:color="auto"/>
                                                                                                <w:bottom w:val="none" w:sz="0" w:space="0" w:color="auto"/>
                                                                                                <w:right w:val="none" w:sz="0" w:space="0" w:color="auto"/>
                                                                                              </w:divBdr>
                                                                                            </w:div>
                                                                                          </w:divsChild>
                                                                                        </w:div>
                                                                                        <w:div w:id="1287660702">
                                                                                          <w:marLeft w:val="0"/>
                                                                                          <w:marRight w:val="0"/>
                                                                                          <w:marTop w:val="0"/>
                                                                                          <w:marBottom w:val="0"/>
                                                                                          <w:divBdr>
                                                                                            <w:top w:val="none" w:sz="0" w:space="0" w:color="auto"/>
                                                                                            <w:left w:val="none" w:sz="0" w:space="0" w:color="auto"/>
                                                                                            <w:bottom w:val="none" w:sz="0" w:space="0" w:color="auto"/>
                                                                                            <w:right w:val="none" w:sz="0" w:space="0" w:color="auto"/>
                                                                                          </w:divBdr>
                                                                                          <w:divsChild>
                                                                                            <w:div w:id="1161265093">
                                                                                              <w:marLeft w:val="0"/>
                                                                                              <w:marRight w:val="0"/>
                                                                                              <w:marTop w:val="0"/>
                                                                                              <w:marBottom w:val="0"/>
                                                                                              <w:divBdr>
                                                                                                <w:top w:val="none" w:sz="0" w:space="0" w:color="auto"/>
                                                                                                <w:left w:val="none" w:sz="0" w:space="0" w:color="auto"/>
                                                                                                <w:bottom w:val="none" w:sz="0" w:space="0" w:color="auto"/>
                                                                                                <w:right w:val="none" w:sz="0" w:space="0" w:color="auto"/>
                                                                                              </w:divBdr>
                                                                                            </w:div>
                                                                                          </w:divsChild>
                                                                                        </w:div>
                                                                                        <w:div w:id="1415668531">
                                                                                          <w:marLeft w:val="0"/>
                                                                                          <w:marRight w:val="0"/>
                                                                                          <w:marTop w:val="0"/>
                                                                                          <w:marBottom w:val="0"/>
                                                                                          <w:divBdr>
                                                                                            <w:top w:val="none" w:sz="0" w:space="0" w:color="auto"/>
                                                                                            <w:left w:val="none" w:sz="0" w:space="0" w:color="auto"/>
                                                                                            <w:bottom w:val="none" w:sz="0" w:space="0" w:color="auto"/>
                                                                                            <w:right w:val="none" w:sz="0" w:space="0" w:color="auto"/>
                                                                                          </w:divBdr>
                                                                                          <w:divsChild>
                                                                                            <w:div w:id="826482629">
                                                                                              <w:marLeft w:val="0"/>
                                                                                              <w:marRight w:val="0"/>
                                                                                              <w:marTop w:val="0"/>
                                                                                              <w:marBottom w:val="0"/>
                                                                                              <w:divBdr>
                                                                                                <w:top w:val="none" w:sz="0" w:space="0" w:color="auto"/>
                                                                                                <w:left w:val="none" w:sz="0" w:space="0" w:color="auto"/>
                                                                                                <w:bottom w:val="none" w:sz="0" w:space="0" w:color="auto"/>
                                                                                                <w:right w:val="none" w:sz="0" w:space="0" w:color="auto"/>
                                                                                              </w:divBdr>
                                                                                            </w:div>
                                                                                          </w:divsChild>
                                                                                        </w:div>
                                                                                        <w:div w:id="1501309483">
                                                                                          <w:marLeft w:val="0"/>
                                                                                          <w:marRight w:val="0"/>
                                                                                          <w:marTop w:val="0"/>
                                                                                          <w:marBottom w:val="0"/>
                                                                                          <w:divBdr>
                                                                                            <w:top w:val="none" w:sz="0" w:space="0" w:color="auto"/>
                                                                                            <w:left w:val="none" w:sz="0" w:space="0" w:color="auto"/>
                                                                                            <w:bottom w:val="none" w:sz="0" w:space="0" w:color="auto"/>
                                                                                            <w:right w:val="none" w:sz="0" w:space="0" w:color="auto"/>
                                                                                          </w:divBdr>
                                                                                          <w:divsChild>
                                                                                            <w:div w:id="1704598832">
                                                                                              <w:marLeft w:val="0"/>
                                                                                              <w:marRight w:val="0"/>
                                                                                              <w:marTop w:val="0"/>
                                                                                              <w:marBottom w:val="0"/>
                                                                                              <w:divBdr>
                                                                                                <w:top w:val="none" w:sz="0" w:space="0" w:color="auto"/>
                                                                                                <w:left w:val="none" w:sz="0" w:space="0" w:color="auto"/>
                                                                                                <w:bottom w:val="none" w:sz="0" w:space="0" w:color="auto"/>
                                                                                                <w:right w:val="none" w:sz="0" w:space="0" w:color="auto"/>
                                                                                              </w:divBdr>
                                                                                            </w:div>
                                                                                          </w:divsChild>
                                                                                        </w:div>
                                                                                        <w:div w:id="1562524334">
                                                                                          <w:marLeft w:val="0"/>
                                                                                          <w:marRight w:val="0"/>
                                                                                          <w:marTop w:val="0"/>
                                                                                          <w:marBottom w:val="0"/>
                                                                                          <w:divBdr>
                                                                                            <w:top w:val="none" w:sz="0" w:space="0" w:color="auto"/>
                                                                                            <w:left w:val="none" w:sz="0" w:space="0" w:color="auto"/>
                                                                                            <w:bottom w:val="none" w:sz="0" w:space="0" w:color="auto"/>
                                                                                            <w:right w:val="none" w:sz="0" w:space="0" w:color="auto"/>
                                                                                          </w:divBdr>
                                                                                          <w:divsChild>
                                                                                            <w:div w:id="1246110745">
                                                                                              <w:marLeft w:val="0"/>
                                                                                              <w:marRight w:val="0"/>
                                                                                              <w:marTop w:val="0"/>
                                                                                              <w:marBottom w:val="0"/>
                                                                                              <w:divBdr>
                                                                                                <w:top w:val="none" w:sz="0" w:space="0" w:color="auto"/>
                                                                                                <w:left w:val="none" w:sz="0" w:space="0" w:color="auto"/>
                                                                                                <w:bottom w:val="none" w:sz="0" w:space="0" w:color="auto"/>
                                                                                                <w:right w:val="none" w:sz="0" w:space="0" w:color="auto"/>
                                                                                              </w:divBdr>
                                                                                            </w:div>
                                                                                          </w:divsChild>
                                                                                        </w:div>
                                                                                        <w:div w:id="1627465427">
                                                                                          <w:marLeft w:val="0"/>
                                                                                          <w:marRight w:val="0"/>
                                                                                          <w:marTop w:val="0"/>
                                                                                          <w:marBottom w:val="0"/>
                                                                                          <w:divBdr>
                                                                                            <w:top w:val="none" w:sz="0" w:space="0" w:color="auto"/>
                                                                                            <w:left w:val="none" w:sz="0" w:space="0" w:color="auto"/>
                                                                                            <w:bottom w:val="none" w:sz="0" w:space="0" w:color="auto"/>
                                                                                            <w:right w:val="none" w:sz="0" w:space="0" w:color="auto"/>
                                                                                          </w:divBdr>
                                                                                          <w:divsChild>
                                                                                            <w:div w:id="1132096168">
                                                                                              <w:marLeft w:val="0"/>
                                                                                              <w:marRight w:val="0"/>
                                                                                              <w:marTop w:val="0"/>
                                                                                              <w:marBottom w:val="0"/>
                                                                                              <w:divBdr>
                                                                                                <w:top w:val="none" w:sz="0" w:space="0" w:color="auto"/>
                                                                                                <w:left w:val="none" w:sz="0" w:space="0" w:color="auto"/>
                                                                                                <w:bottom w:val="none" w:sz="0" w:space="0" w:color="auto"/>
                                                                                                <w:right w:val="none" w:sz="0" w:space="0" w:color="auto"/>
                                                                                              </w:divBdr>
                                                                                            </w:div>
                                                                                          </w:divsChild>
                                                                                        </w:div>
                                                                                        <w:div w:id="1681086148">
                                                                                          <w:marLeft w:val="0"/>
                                                                                          <w:marRight w:val="0"/>
                                                                                          <w:marTop w:val="0"/>
                                                                                          <w:marBottom w:val="0"/>
                                                                                          <w:divBdr>
                                                                                            <w:top w:val="none" w:sz="0" w:space="0" w:color="auto"/>
                                                                                            <w:left w:val="none" w:sz="0" w:space="0" w:color="auto"/>
                                                                                            <w:bottom w:val="none" w:sz="0" w:space="0" w:color="auto"/>
                                                                                            <w:right w:val="none" w:sz="0" w:space="0" w:color="auto"/>
                                                                                          </w:divBdr>
                                                                                          <w:divsChild>
                                                                                            <w:div w:id="1621571574">
                                                                                              <w:marLeft w:val="0"/>
                                                                                              <w:marRight w:val="0"/>
                                                                                              <w:marTop w:val="0"/>
                                                                                              <w:marBottom w:val="0"/>
                                                                                              <w:divBdr>
                                                                                                <w:top w:val="none" w:sz="0" w:space="0" w:color="auto"/>
                                                                                                <w:left w:val="none" w:sz="0" w:space="0" w:color="auto"/>
                                                                                                <w:bottom w:val="none" w:sz="0" w:space="0" w:color="auto"/>
                                                                                                <w:right w:val="none" w:sz="0" w:space="0" w:color="auto"/>
                                                                                              </w:divBdr>
                                                                                            </w:div>
                                                                                          </w:divsChild>
                                                                                        </w:div>
                                                                                        <w:div w:id="1696029969">
                                                                                          <w:marLeft w:val="0"/>
                                                                                          <w:marRight w:val="0"/>
                                                                                          <w:marTop w:val="0"/>
                                                                                          <w:marBottom w:val="0"/>
                                                                                          <w:divBdr>
                                                                                            <w:top w:val="none" w:sz="0" w:space="0" w:color="auto"/>
                                                                                            <w:left w:val="none" w:sz="0" w:space="0" w:color="auto"/>
                                                                                            <w:bottom w:val="none" w:sz="0" w:space="0" w:color="auto"/>
                                                                                            <w:right w:val="none" w:sz="0" w:space="0" w:color="auto"/>
                                                                                          </w:divBdr>
                                                                                          <w:divsChild>
                                                                                            <w:div w:id="326790177">
                                                                                              <w:marLeft w:val="0"/>
                                                                                              <w:marRight w:val="0"/>
                                                                                              <w:marTop w:val="0"/>
                                                                                              <w:marBottom w:val="0"/>
                                                                                              <w:divBdr>
                                                                                                <w:top w:val="none" w:sz="0" w:space="0" w:color="auto"/>
                                                                                                <w:left w:val="none" w:sz="0" w:space="0" w:color="auto"/>
                                                                                                <w:bottom w:val="none" w:sz="0" w:space="0" w:color="auto"/>
                                                                                                <w:right w:val="none" w:sz="0" w:space="0" w:color="auto"/>
                                                                                              </w:divBdr>
                                                                                            </w:div>
                                                                                          </w:divsChild>
                                                                                        </w:div>
                                                                                        <w:div w:id="1704866537">
                                                                                          <w:marLeft w:val="0"/>
                                                                                          <w:marRight w:val="0"/>
                                                                                          <w:marTop w:val="0"/>
                                                                                          <w:marBottom w:val="0"/>
                                                                                          <w:divBdr>
                                                                                            <w:top w:val="none" w:sz="0" w:space="0" w:color="auto"/>
                                                                                            <w:left w:val="none" w:sz="0" w:space="0" w:color="auto"/>
                                                                                            <w:bottom w:val="none" w:sz="0" w:space="0" w:color="auto"/>
                                                                                            <w:right w:val="none" w:sz="0" w:space="0" w:color="auto"/>
                                                                                          </w:divBdr>
                                                                                          <w:divsChild>
                                                                                            <w:div w:id="1828588744">
                                                                                              <w:marLeft w:val="0"/>
                                                                                              <w:marRight w:val="0"/>
                                                                                              <w:marTop w:val="0"/>
                                                                                              <w:marBottom w:val="0"/>
                                                                                              <w:divBdr>
                                                                                                <w:top w:val="none" w:sz="0" w:space="0" w:color="auto"/>
                                                                                                <w:left w:val="none" w:sz="0" w:space="0" w:color="auto"/>
                                                                                                <w:bottom w:val="none" w:sz="0" w:space="0" w:color="auto"/>
                                                                                                <w:right w:val="none" w:sz="0" w:space="0" w:color="auto"/>
                                                                                              </w:divBdr>
                                                                                            </w:div>
                                                                                          </w:divsChild>
                                                                                        </w:div>
                                                                                        <w:div w:id="1719280018">
                                                                                          <w:marLeft w:val="0"/>
                                                                                          <w:marRight w:val="0"/>
                                                                                          <w:marTop w:val="0"/>
                                                                                          <w:marBottom w:val="0"/>
                                                                                          <w:divBdr>
                                                                                            <w:top w:val="none" w:sz="0" w:space="0" w:color="auto"/>
                                                                                            <w:left w:val="none" w:sz="0" w:space="0" w:color="auto"/>
                                                                                            <w:bottom w:val="none" w:sz="0" w:space="0" w:color="auto"/>
                                                                                            <w:right w:val="none" w:sz="0" w:space="0" w:color="auto"/>
                                                                                          </w:divBdr>
                                                                                          <w:divsChild>
                                                                                            <w:div w:id="527569290">
                                                                                              <w:marLeft w:val="0"/>
                                                                                              <w:marRight w:val="0"/>
                                                                                              <w:marTop w:val="0"/>
                                                                                              <w:marBottom w:val="0"/>
                                                                                              <w:divBdr>
                                                                                                <w:top w:val="none" w:sz="0" w:space="0" w:color="auto"/>
                                                                                                <w:left w:val="none" w:sz="0" w:space="0" w:color="auto"/>
                                                                                                <w:bottom w:val="none" w:sz="0" w:space="0" w:color="auto"/>
                                                                                                <w:right w:val="none" w:sz="0" w:space="0" w:color="auto"/>
                                                                                              </w:divBdr>
                                                                                            </w:div>
                                                                                          </w:divsChild>
                                                                                        </w:div>
                                                                                        <w:div w:id="1734691152">
                                                                                          <w:marLeft w:val="0"/>
                                                                                          <w:marRight w:val="0"/>
                                                                                          <w:marTop w:val="0"/>
                                                                                          <w:marBottom w:val="0"/>
                                                                                          <w:divBdr>
                                                                                            <w:top w:val="none" w:sz="0" w:space="0" w:color="auto"/>
                                                                                            <w:left w:val="none" w:sz="0" w:space="0" w:color="auto"/>
                                                                                            <w:bottom w:val="none" w:sz="0" w:space="0" w:color="auto"/>
                                                                                            <w:right w:val="none" w:sz="0" w:space="0" w:color="auto"/>
                                                                                          </w:divBdr>
                                                                                          <w:divsChild>
                                                                                            <w:div w:id="1923100067">
                                                                                              <w:marLeft w:val="0"/>
                                                                                              <w:marRight w:val="0"/>
                                                                                              <w:marTop w:val="0"/>
                                                                                              <w:marBottom w:val="0"/>
                                                                                              <w:divBdr>
                                                                                                <w:top w:val="none" w:sz="0" w:space="0" w:color="auto"/>
                                                                                                <w:left w:val="none" w:sz="0" w:space="0" w:color="auto"/>
                                                                                                <w:bottom w:val="none" w:sz="0" w:space="0" w:color="auto"/>
                                                                                                <w:right w:val="none" w:sz="0" w:space="0" w:color="auto"/>
                                                                                              </w:divBdr>
                                                                                            </w:div>
                                                                                          </w:divsChild>
                                                                                        </w:div>
                                                                                        <w:div w:id="1751392925">
                                                                                          <w:marLeft w:val="0"/>
                                                                                          <w:marRight w:val="0"/>
                                                                                          <w:marTop w:val="0"/>
                                                                                          <w:marBottom w:val="0"/>
                                                                                          <w:divBdr>
                                                                                            <w:top w:val="none" w:sz="0" w:space="0" w:color="auto"/>
                                                                                            <w:left w:val="none" w:sz="0" w:space="0" w:color="auto"/>
                                                                                            <w:bottom w:val="none" w:sz="0" w:space="0" w:color="auto"/>
                                                                                            <w:right w:val="none" w:sz="0" w:space="0" w:color="auto"/>
                                                                                          </w:divBdr>
                                                                                          <w:divsChild>
                                                                                            <w:div w:id="654454546">
                                                                                              <w:marLeft w:val="0"/>
                                                                                              <w:marRight w:val="0"/>
                                                                                              <w:marTop w:val="0"/>
                                                                                              <w:marBottom w:val="0"/>
                                                                                              <w:divBdr>
                                                                                                <w:top w:val="none" w:sz="0" w:space="0" w:color="auto"/>
                                                                                                <w:left w:val="none" w:sz="0" w:space="0" w:color="auto"/>
                                                                                                <w:bottom w:val="none" w:sz="0" w:space="0" w:color="auto"/>
                                                                                                <w:right w:val="none" w:sz="0" w:space="0" w:color="auto"/>
                                                                                              </w:divBdr>
                                                                                            </w:div>
                                                                                          </w:divsChild>
                                                                                        </w:div>
                                                                                        <w:div w:id="1821343023">
                                                                                          <w:marLeft w:val="0"/>
                                                                                          <w:marRight w:val="0"/>
                                                                                          <w:marTop w:val="0"/>
                                                                                          <w:marBottom w:val="0"/>
                                                                                          <w:divBdr>
                                                                                            <w:top w:val="none" w:sz="0" w:space="0" w:color="auto"/>
                                                                                            <w:left w:val="none" w:sz="0" w:space="0" w:color="auto"/>
                                                                                            <w:bottom w:val="none" w:sz="0" w:space="0" w:color="auto"/>
                                                                                            <w:right w:val="none" w:sz="0" w:space="0" w:color="auto"/>
                                                                                          </w:divBdr>
                                                                                          <w:divsChild>
                                                                                            <w:div w:id="596327938">
                                                                                              <w:marLeft w:val="0"/>
                                                                                              <w:marRight w:val="0"/>
                                                                                              <w:marTop w:val="0"/>
                                                                                              <w:marBottom w:val="0"/>
                                                                                              <w:divBdr>
                                                                                                <w:top w:val="none" w:sz="0" w:space="0" w:color="auto"/>
                                                                                                <w:left w:val="none" w:sz="0" w:space="0" w:color="auto"/>
                                                                                                <w:bottom w:val="none" w:sz="0" w:space="0" w:color="auto"/>
                                                                                                <w:right w:val="none" w:sz="0" w:space="0" w:color="auto"/>
                                                                                              </w:divBdr>
                                                                                            </w:div>
                                                                                          </w:divsChild>
                                                                                        </w:div>
                                                                                        <w:div w:id="1831481215">
                                                                                          <w:marLeft w:val="0"/>
                                                                                          <w:marRight w:val="0"/>
                                                                                          <w:marTop w:val="0"/>
                                                                                          <w:marBottom w:val="0"/>
                                                                                          <w:divBdr>
                                                                                            <w:top w:val="none" w:sz="0" w:space="0" w:color="auto"/>
                                                                                            <w:left w:val="none" w:sz="0" w:space="0" w:color="auto"/>
                                                                                            <w:bottom w:val="none" w:sz="0" w:space="0" w:color="auto"/>
                                                                                            <w:right w:val="none" w:sz="0" w:space="0" w:color="auto"/>
                                                                                          </w:divBdr>
                                                                                          <w:divsChild>
                                                                                            <w:div w:id="1206019932">
                                                                                              <w:marLeft w:val="0"/>
                                                                                              <w:marRight w:val="0"/>
                                                                                              <w:marTop w:val="0"/>
                                                                                              <w:marBottom w:val="0"/>
                                                                                              <w:divBdr>
                                                                                                <w:top w:val="none" w:sz="0" w:space="0" w:color="auto"/>
                                                                                                <w:left w:val="none" w:sz="0" w:space="0" w:color="auto"/>
                                                                                                <w:bottom w:val="none" w:sz="0" w:space="0" w:color="auto"/>
                                                                                                <w:right w:val="none" w:sz="0" w:space="0" w:color="auto"/>
                                                                                              </w:divBdr>
                                                                                            </w:div>
                                                                                          </w:divsChild>
                                                                                        </w:div>
                                                                                        <w:div w:id="1840924090">
                                                                                          <w:marLeft w:val="0"/>
                                                                                          <w:marRight w:val="0"/>
                                                                                          <w:marTop w:val="0"/>
                                                                                          <w:marBottom w:val="0"/>
                                                                                          <w:divBdr>
                                                                                            <w:top w:val="none" w:sz="0" w:space="0" w:color="auto"/>
                                                                                            <w:left w:val="none" w:sz="0" w:space="0" w:color="auto"/>
                                                                                            <w:bottom w:val="none" w:sz="0" w:space="0" w:color="auto"/>
                                                                                            <w:right w:val="none" w:sz="0" w:space="0" w:color="auto"/>
                                                                                          </w:divBdr>
                                                                                          <w:divsChild>
                                                                                            <w:div w:id="2060939331">
                                                                                              <w:marLeft w:val="0"/>
                                                                                              <w:marRight w:val="0"/>
                                                                                              <w:marTop w:val="0"/>
                                                                                              <w:marBottom w:val="0"/>
                                                                                              <w:divBdr>
                                                                                                <w:top w:val="none" w:sz="0" w:space="0" w:color="auto"/>
                                                                                                <w:left w:val="none" w:sz="0" w:space="0" w:color="auto"/>
                                                                                                <w:bottom w:val="none" w:sz="0" w:space="0" w:color="auto"/>
                                                                                                <w:right w:val="none" w:sz="0" w:space="0" w:color="auto"/>
                                                                                              </w:divBdr>
                                                                                            </w:div>
                                                                                          </w:divsChild>
                                                                                        </w:div>
                                                                                        <w:div w:id="1863546785">
                                                                                          <w:marLeft w:val="0"/>
                                                                                          <w:marRight w:val="0"/>
                                                                                          <w:marTop w:val="0"/>
                                                                                          <w:marBottom w:val="0"/>
                                                                                          <w:divBdr>
                                                                                            <w:top w:val="none" w:sz="0" w:space="0" w:color="auto"/>
                                                                                            <w:left w:val="none" w:sz="0" w:space="0" w:color="auto"/>
                                                                                            <w:bottom w:val="none" w:sz="0" w:space="0" w:color="auto"/>
                                                                                            <w:right w:val="none" w:sz="0" w:space="0" w:color="auto"/>
                                                                                          </w:divBdr>
                                                                                          <w:divsChild>
                                                                                            <w:div w:id="568152252">
                                                                                              <w:marLeft w:val="0"/>
                                                                                              <w:marRight w:val="0"/>
                                                                                              <w:marTop w:val="0"/>
                                                                                              <w:marBottom w:val="0"/>
                                                                                              <w:divBdr>
                                                                                                <w:top w:val="none" w:sz="0" w:space="0" w:color="auto"/>
                                                                                                <w:left w:val="none" w:sz="0" w:space="0" w:color="auto"/>
                                                                                                <w:bottom w:val="none" w:sz="0" w:space="0" w:color="auto"/>
                                                                                                <w:right w:val="none" w:sz="0" w:space="0" w:color="auto"/>
                                                                                              </w:divBdr>
                                                                                            </w:div>
                                                                                          </w:divsChild>
                                                                                        </w:div>
                                                                                        <w:div w:id="1877111111">
                                                                                          <w:marLeft w:val="0"/>
                                                                                          <w:marRight w:val="0"/>
                                                                                          <w:marTop w:val="0"/>
                                                                                          <w:marBottom w:val="0"/>
                                                                                          <w:divBdr>
                                                                                            <w:top w:val="none" w:sz="0" w:space="0" w:color="auto"/>
                                                                                            <w:left w:val="none" w:sz="0" w:space="0" w:color="auto"/>
                                                                                            <w:bottom w:val="none" w:sz="0" w:space="0" w:color="auto"/>
                                                                                            <w:right w:val="none" w:sz="0" w:space="0" w:color="auto"/>
                                                                                          </w:divBdr>
                                                                                          <w:divsChild>
                                                                                            <w:div w:id="1450054690">
                                                                                              <w:marLeft w:val="0"/>
                                                                                              <w:marRight w:val="0"/>
                                                                                              <w:marTop w:val="0"/>
                                                                                              <w:marBottom w:val="0"/>
                                                                                              <w:divBdr>
                                                                                                <w:top w:val="none" w:sz="0" w:space="0" w:color="auto"/>
                                                                                                <w:left w:val="none" w:sz="0" w:space="0" w:color="auto"/>
                                                                                                <w:bottom w:val="none" w:sz="0" w:space="0" w:color="auto"/>
                                                                                                <w:right w:val="none" w:sz="0" w:space="0" w:color="auto"/>
                                                                                              </w:divBdr>
                                                                                            </w:div>
                                                                                          </w:divsChild>
                                                                                        </w:div>
                                                                                        <w:div w:id="1922787448">
                                                                                          <w:marLeft w:val="0"/>
                                                                                          <w:marRight w:val="0"/>
                                                                                          <w:marTop w:val="0"/>
                                                                                          <w:marBottom w:val="0"/>
                                                                                          <w:divBdr>
                                                                                            <w:top w:val="none" w:sz="0" w:space="0" w:color="auto"/>
                                                                                            <w:left w:val="none" w:sz="0" w:space="0" w:color="auto"/>
                                                                                            <w:bottom w:val="none" w:sz="0" w:space="0" w:color="auto"/>
                                                                                            <w:right w:val="none" w:sz="0" w:space="0" w:color="auto"/>
                                                                                          </w:divBdr>
                                                                                          <w:divsChild>
                                                                                            <w:div w:id="2141875447">
                                                                                              <w:marLeft w:val="0"/>
                                                                                              <w:marRight w:val="0"/>
                                                                                              <w:marTop w:val="0"/>
                                                                                              <w:marBottom w:val="0"/>
                                                                                              <w:divBdr>
                                                                                                <w:top w:val="none" w:sz="0" w:space="0" w:color="auto"/>
                                                                                                <w:left w:val="none" w:sz="0" w:space="0" w:color="auto"/>
                                                                                                <w:bottom w:val="none" w:sz="0" w:space="0" w:color="auto"/>
                                                                                                <w:right w:val="none" w:sz="0" w:space="0" w:color="auto"/>
                                                                                              </w:divBdr>
                                                                                            </w:div>
                                                                                          </w:divsChild>
                                                                                        </w:div>
                                                                                        <w:div w:id="1935625427">
                                                                                          <w:marLeft w:val="0"/>
                                                                                          <w:marRight w:val="0"/>
                                                                                          <w:marTop w:val="0"/>
                                                                                          <w:marBottom w:val="0"/>
                                                                                          <w:divBdr>
                                                                                            <w:top w:val="none" w:sz="0" w:space="0" w:color="auto"/>
                                                                                            <w:left w:val="none" w:sz="0" w:space="0" w:color="auto"/>
                                                                                            <w:bottom w:val="none" w:sz="0" w:space="0" w:color="auto"/>
                                                                                            <w:right w:val="none" w:sz="0" w:space="0" w:color="auto"/>
                                                                                          </w:divBdr>
                                                                                          <w:divsChild>
                                                                                            <w:div w:id="1522472924">
                                                                                              <w:marLeft w:val="0"/>
                                                                                              <w:marRight w:val="0"/>
                                                                                              <w:marTop w:val="0"/>
                                                                                              <w:marBottom w:val="0"/>
                                                                                              <w:divBdr>
                                                                                                <w:top w:val="none" w:sz="0" w:space="0" w:color="auto"/>
                                                                                                <w:left w:val="none" w:sz="0" w:space="0" w:color="auto"/>
                                                                                                <w:bottom w:val="none" w:sz="0" w:space="0" w:color="auto"/>
                                                                                                <w:right w:val="none" w:sz="0" w:space="0" w:color="auto"/>
                                                                                              </w:divBdr>
                                                                                            </w:div>
                                                                                          </w:divsChild>
                                                                                        </w:div>
                                                                                        <w:div w:id="1949660972">
                                                                                          <w:marLeft w:val="0"/>
                                                                                          <w:marRight w:val="0"/>
                                                                                          <w:marTop w:val="0"/>
                                                                                          <w:marBottom w:val="0"/>
                                                                                          <w:divBdr>
                                                                                            <w:top w:val="none" w:sz="0" w:space="0" w:color="auto"/>
                                                                                            <w:left w:val="none" w:sz="0" w:space="0" w:color="auto"/>
                                                                                            <w:bottom w:val="none" w:sz="0" w:space="0" w:color="auto"/>
                                                                                            <w:right w:val="none" w:sz="0" w:space="0" w:color="auto"/>
                                                                                          </w:divBdr>
                                                                                          <w:divsChild>
                                                                                            <w:div w:id="1466969598">
                                                                                              <w:marLeft w:val="0"/>
                                                                                              <w:marRight w:val="0"/>
                                                                                              <w:marTop w:val="0"/>
                                                                                              <w:marBottom w:val="0"/>
                                                                                              <w:divBdr>
                                                                                                <w:top w:val="none" w:sz="0" w:space="0" w:color="auto"/>
                                                                                                <w:left w:val="none" w:sz="0" w:space="0" w:color="auto"/>
                                                                                                <w:bottom w:val="none" w:sz="0" w:space="0" w:color="auto"/>
                                                                                                <w:right w:val="none" w:sz="0" w:space="0" w:color="auto"/>
                                                                                              </w:divBdr>
                                                                                            </w:div>
                                                                                          </w:divsChild>
                                                                                        </w:div>
                                                                                        <w:div w:id="1963949924">
                                                                                          <w:marLeft w:val="0"/>
                                                                                          <w:marRight w:val="0"/>
                                                                                          <w:marTop w:val="0"/>
                                                                                          <w:marBottom w:val="0"/>
                                                                                          <w:divBdr>
                                                                                            <w:top w:val="none" w:sz="0" w:space="0" w:color="auto"/>
                                                                                            <w:left w:val="none" w:sz="0" w:space="0" w:color="auto"/>
                                                                                            <w:bottom w:val="none" w:sz="0" w:space="0" w:color="auto"/>
                                                                                            <w:right w:val="none" w:sz="0" w:space="0" w:color="auto"/>
                                                                                          </w:divBdr>
                                                                                          <w:divsChild>
                                                                                            <w:div w:id="68037895">
                                                                                              <w:marLeft w:val="0"/>
                                                                                              <w:marRight w:val="0"/>
                                                                                              <w:marTop w:val="0"/>
                                                                                              <w:marBottom w:val="0"/>
                                                                                              <w:divBdr>
                                                                                                <w:top w:val="none" w:sz="0" w:space="0" w:color="auto"/>
                                                                                                <w:left w:val="none" w:sz="0" w:space="0" w:color="auto"/>
                                                                                                <w:bottom w:val="none" w:sz="0" w:space="0" w:color="auto"/>
                                                                                                <w:right w:val="none" w:sz="0" w:space="0" w:color="auto"/>
                                                                                              </w:divBdr>
                                                                                            </w:div>
                                                                                          </w:divsChild>
                                                                                        </w:div>
                                                                                        <w:div w:id="2020965394">
                                                                                          <w:marLeft w:val="0"/>
                                                                                          <w:marRight w:val="0"/>
                                                                                          <w:marTop w:val="0"/>
                                                                                          <w:marBottom w:val="0"/>
                                                                                          <w:divBdr>
                                                                                            <w:top w:val="none" w:sz="0" w:space="0" w:color="auto"/>
                                                                                            <w:left w:val="none" w:sz="0" w:space="0" w:color="auto"/>
                                                                                            <w:bottom w:val="none" w:sz="0" w:space="0" w:color="auto"/>
                                                                                            <w:right w:val="none" w:sz="0" w:space="0" w:color="auto"/>
                                                                                          </w:divBdr>
                                                                                          <w:divsChild>
                                                                                            <w:div w:id="1566259037">
                                                                                              <w:marLeft w:val="0"/>
                                                                                              <w:marRight w:val="0"/>
                                                                                              <w:marTop w:val="0"/>
                                                                                              <w:marBottom w:val="0"/>
                                                                                              <w:divBdr>
                                                                                                <w:top w:val="none" w:sz="0" w:space="0" w:color="auto"/>
                                                                                                <w:left w:val="none" w:sz="0" w:space="0" w:color="auto"/>
                                                                                                <w:bottom w:val="none" w:sz="0" w:space="0" w:color="auto"/>
                                                                                                <w:right w:val="none" w:sz="0" w:space="0" w:color="auto"/>
                                                                                              </w:divBdr>
                                                                                            </w:div>
                                                                                          </w:divsChild>
                                                                                        </w:div>
                                                                                        <w:div w:id="2052609538">
                                                                                          <w:marLeft w:val="0"/>
                                                                                          <w:marRight w:val="0"/>
                                                                                          <w:marTop w:val="0"/>
                                                                                          <w:marBottom w:val="0"/>
                                                                                          <w:divBdr>
                                                                                            <w:top w:val="none" w:sz="0" w:space="0" w:color="auto"/>
                                                                                            <w:left w:val="none" w:sz="0" w:space="0" w:color="auto"/>
                                                                                            <w:bottom w:val="none" w:sz="0" w:space="0" w:color="auto"/>
                                                                                            <w:right w:val="none" w:sz="0" w:space="0" w:color="auto"/>
                                                                                          </w:divBdr>
                                                                                          <w:divsChild>
                                                                                            <w:div w:id="1540390844">
                                                                                              <w:marLeft w:val="0"/>
                                                                                              <w:marRight w:val="0"/>
                                                                                              <w:marTop w:val="0"/>
                                                                                              <w:marBottom w:val="0"/>
                                                                                              <w:divBdr>
                                                                                                <w:top w:val="none" w:sz="0" w:space="0" w:color="auto"/>
                                                                                                <w:left w:val="none" w:sz="0" w:space="0" w:color="auto"/>
                                                                                                <w:bottom w:val="none" w:sz="0" w:space="0" w:color="auto"/>
                                                                                                <w:right w:val="none" w:sz="0" w:space="0" w:color="auto"/>
                                                                                              </w:divBdr>
                                                                                            </w:div>
                                                                                          </w:divsChild>
                                                                                        </w:div>
                                                                                        <w:div w:id="2082213438">
                                                                                          <w:marLeft w:val="0"/>
                                                                                          <w:marRight w:val="0"/>
                                                                                          <w:marTop w:val="0"/>
                                                                                          <w:marBottom w:val="0"/>
                                                                                          <w:divBdr>
                                                                                            <w:top w:val="none" w:sz="0" w:space="0" w:color="auto"/>
                                                                                            <w:left w:val="none" w:sz="0" w:space="0" w:color="auto"/>
                                                                                            <w:bottom w:val="none" w:sz="0" w:space="0" w:color="auto"/>
                                                                                            <w:right w:val="none" w:sz="0" w:space="0" w:color="auto"/>
                                                                                          </w:divBdr>
                                                                                          <w:divsChild>
                                                                                            <w:div w:id="1974284501">
                                                                                              <w:marLeft w:val="0"/>
                                                                                              <w:marRight w:val="0"/>
                                                                                              <w:marTop w:val="0"/>
                                                                                              <w:marBottom w:val="0"/>
                                                                                              <w:divBdr>
                                                                                                <w:top w:val="none" w:sz="0" w:space="0" w:color="auto"/>
                                                                                                <w:left w:val="none" w:sz="0" w:space="0" w:color="auto"/>
                                                                                                <w:bottom w:val="none" w:sz="0" w:space="0" w:color="auto"/>
                                                                                                <w:right w:val="none" w:sz="0" w:space="0" w:color="auto"/>
                                                                                              </w:divBdr>
                                                                                            </w:div>
                                                                                          </w:divsChild>
                                                                                        </w:div>
                                                                                        <w:div w:id="2089379645">
                                                                                          <w:marLeft w:val="0"/>
                                                                                          <w:marRight w:val="0"/>
                                                                                          <w:marTop w:val="0"/>
                                                                                          <w:marBottom w:val="0"/>
                                                                                          <w:divBdr>
                                                                                            <w:top w:val="none" w:sz="0" w:space="0" w:color="auto"/>
                                                                                            <w:left w:val="none" w:sz="0" w:space="0" w:color="auto"/>
                                                                                            <w:bottom w:val="none" w:sz="0" w:space="0" w:color="auto"/>
                                                                                            <w:right w:val="none" w:sz="0" w:space="0" w:color="auto"/>
                                                                                          </w:divBdr>
                                                                                          <w:divsChild>
                                                                                            <w:div w:id="1401513117">
                                                                                              <w:marLeft w:val="0"/>
                                                                                              <w:marRight w:val="0"/>
                                                                                              <w:marTop w:val="0"/>
                                                                                              <w:marBottom w:val="0"/>
                                                                                              <w:divBdr>
                                                                                                <w:top w:val="none" w:sz="0" w:space="0" w:color="auto"/>
                                                                                                <w:left w:val="none" w:sz="0" w:space="0" w:color="auto"/>
                                                                                                <w:bottom w:val="none" w:sz="0" w:space="0" w:color="auto"/>
                                                                                                <w:right w:val="none" w:sz="0" w:space="0" w:color="auto"/>
                                                                                              </w:divBdr>
                                                                                            </w:div>
                                                                                          </w:divsChild>
                                                                                        </w:div>
                                                                                        <w:div w:id="2098747566">
                                                                                          <w:marLeft w:val="0"/>
                                                                                          <w:marRight w:val="0"/>
                                                                                          <w:marTop w:val="0"/>
                                                                                          <w:marBottom w:val="0"/>
                                                                                          <w:divBdr>
                                                                                            <w:top w:val="none" w:sz="0" w:space="0" w:color="auto"/>
                                                                                            <w:left w:val="none" w:sz="0" w:space="0" w:color="auto"/>
                                                                                            <w:bottom w:val="none" w:sz="0" w:space="0" w:color="auto"/>
                                                                                            <w:right w:val="none" w:sz="0" w:space="0" w:color="auto"/>
                                                                                          </w:divBdr>
                                                                                          <w:divsChild>
                                                                                            <w:div w:id="1835291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182471">
                                                                                  <w:marLeft w:val="0"/>
                                                                                  <w:marRight w:val="0"/>
                                                                                  <w:marTop w:val="0"/>
                                                                                  <w:marBottom w:val="0"/>
                                                                                  <w:divBdr>
                                                                                    <w:top w:val="none" w:sz="0" w:space="0" w:color="auto"/>
                                                                                    <w:left w:val="none" w:sz="0" w:space="0" w:color="auto"/>
                                                                                    <w:bottom w:val="none" w:sz="0" w:space="0" w:color="auto"/>
                                                                                    <w:right w:val="none" w:sz="0" w:space="0" w:color="auto"/>
                                                                                  </w:divBdr>
                                                                                </w:div>
                                                                                <w:div w:id="356080708">
                                                                                  <w:marLeft w:val="0"/>
                                                                                  <w:marRight w:val="0"/>
                                                                                  <w:marTop w:val="0"/>
                                                                                  <w:marBottom w:val="0"/>
                                                                                  <w:divBdr>
                                                                                    <w:top w:val="none" w:sz="0" w:space="0" w:color="auto"/>
                                                                                    <w:left w:val="none" w:sz="0" w:space="0" w:color="auto"/>
                                                                                    <w:bottom w:val="none" w:sz="0" w:space="0" w:color="auto"/>
                                                                                    <w:right w:val="none" w:sz="0" w:space="0" w:color="auto"/>
                                                                                  </w:divBdr>
                                                                                </w:div>
                                                                                <w:div w:id="369889686">
                                                                                  <w:marLeft w:val="0"/>
                                                                                  <w:marRight w:val="0"/>
                                                                                  <w:marTop w:val="0"/>
                                                                                  <w:marBottom w:val="0"/>
                                                                                  <w:divBdr>
                                                                                    <w:top w:val="none" w:sz="0" w:space="0" w:color="auto"/>
                                                                                    <w:left w:val="none" w:sz="0" w:space="0" w:color="auto"/>
                                                                                    <w:bottom w:val="none" w:sz="0" w:space="0" w:color="auto"/>
                                                                                    <w:right w:val="none" w:sz="0" w:space="0" w:color="auto"/>
                                                                                  </w:divBdr>
                                                                                </w:div>
                                                                                <w:div w:id="373775584">
                                                                                  <w:marLeft w:val="0"/>
                                                                                  <w:marRight w:val="0"/>
                                                                                  <w:marTop w:val="0"/>
                                                                                  <w:marBottom w:val="0"/>
                                                                                  <w:divBdr>
                                                                                    <w:top w:val="none" w:sz="0" w:space="0" w:color="auto"/>
                                                                                    <w:left w:val="none" w:sz="0" w:space="0" w:color="auto"/>
                                                                                    <w:bottom w:val="none" w:sz="0" w:space="0" w:color="auto"/>
                                                                                    <w:right w:val="none" w:sz="0" w:space="0" w:color="auto"/>
                                                                                  </w:divBdr>
                                                                                </w:div>
                                                                                <w:div w:id="388723128">
                                                                                  <w:marLeft w:val="0"/>
                                                                                  <w:marRight w:val="0"/>
                                                                                  <w:marTop w:val="0"/>
                                                                                  <w:marBottom w:val="0"/>
                                                                                  <w:divBdr>
                                                                                    <w:top w:val="none" w:sz="0" w:space="0" w:color="auto"/>
                                                                                    <w:left w:val="none" w:sz="0" w:space="0" w:color="auto"/>
                                                                                    <w:bottom w:val="none" w:sz="0" w:space="0" w:color="auto"/>
                                                                                    <w:right w:val="none" w:sz="0" w:space="0" w:color="auto"/>
                                                                                  </w:divBdr>
                                                                                </w:div>
                                                                                <w:div w:id="391781173">
                                                                                  <w:marLeft w:val="0"/>
                                                                                  <w:marRight w:val="0"/>
                                                                                  <w:marTop w:val="0"/>
                                                                                  <w:marBottom w:val="0"/>
                                                                                  <w:divBdr>
                                                                                    <w:top w:val="none" w:sz="0" w:space="0" w:color="auto"/>
                                                                                    <w:left w:val="none" w:sz="0" w:space="0" w:color="auto"/>
                                                                                    <w:bottom w:val="none" w:sz="0" w:space="0" w:color="auto"/>
                                                                                    <w:right w:val="none" w:sz="0" w:space="0" w:color="auto"/>
                                                                                  </w:divBdr>
                                                                                </w:div>
                                                                                <w:div w:id="403724345">
                                                                                  <w:marLeft w:val="0"/>
                                                                                  <w:marRight w:val="0"/>
                                                                                  <w:marTop w:val="0"/>
                                                                                  <w:marBottom w:val="0"/>
                                                                                  <w:divBdr>
                                                                                    <w:top w:val="none" w:sz="0" w:space="0" w:color="auto"/>
                                                                                    <w:left w:val="none" w:sz="0" w:space="0" w:color="auto"/>
                                                                                    <w:bottom w:val="none" w:sz="0" w:space="0" w:color="auto"/>
                                                                                    <w:right w:val="none" w:sz="0" w:space="0" w:color="auto"/>
                                                                                  </w:divBdr>
                                                                                </w:div>
                                                                                <w:div w:id="420445158">
                                                                                  <w:marLeft w:val="0"/>
                                                                                  <w:marRight w:val="0"/>
                                                                                  <w:marTop w:val="0"/>
                                                                                  <w:marBottom w:val="0"/>
                                                                                  <w:divBdr>
                                                                                    <w:top w:val="none" w:sz="0" w:space="0" w:color="auto"/>
                                                                                    <w:left w:val="none" w:sz="0" w:space="0" w:color="auto"/>
                                                                                    <w:bottom w:val="none" w:sz="0" w:space="0" w:color="auto"/>
                                                                                    <w:right w:val="none" w:sz="0" w:space="0" w:color="auto"/>
                                                                                  </w:divBdr>
                                                                                </w:div>
                                                                                <w:div w:id="448166387">
                                                                                  <w:marLeft w:val="0"/>
                                                                                  <w:marRight w:val="0"/>
                                                                                  <w:marTop w:val="0"/>
                                                                                  <w:marBottom w:val="0"/>
                                                                                  <w:divBdr>
                                                                                    <w:top w:val="none" w:sz="0" w:space="0" w:color="auto"/>
                                                                                    <w:left w:val="none" w:sz="0" w:space="0" w:color="auto"/>
                                                                                    <w:bottom w:val="none" w:sz="0" w:space="0" w:color="auto"/>
                                                                                    <w:right w:val="none" w:sz="0" w:space="0" w:color="auto"/>
                                                                                  </w:divBdr>
                                                                                </w:div>
                                                                                <w:div w:id="454834772">
                                                                                  <w:marLeft w:val="0"/>
                                                                                  <w:marRight w:val="0"/>
                                                                                  <w:marTop w:val="0"/>
                                                                                  <w:marBottom w:val="0"/>
                                                                                  <w:divBdr>
                                                                                    <w:top w:val="none" w:sz="0" w:space="0" w:color="auto"/>
                                                                                    <w:left w:val="none" w:sz="0" w:space="0" w:color="auto"/>
                                                                                    <w:bottom w:val="none" w:sz="0" w:space="0" w:color="auto"/>
                                                                                    <w:right w:val="none" w:sz="0" w:space="0" w:color="auto"/>
                                                                                  </w:divBdr>
                                                                                </w:div>
                                                                                <w:div w:id="475608733">
                                                                                  <w:marLeft w:val="0"/>
                                                                                  <w:marRight w:val="0"/>
                                                                                  <w:marTop w:val="0"/>
                                                                                  <w:marBottom w:val="0"/>
                                                                                  <w:divBdr>
                                                                                    <w:top w:val="none" w:sz="0" w:space="0" w:color="auto"/>
                                                                                    <w:left w:val="none" w:sz="0" w:space="0" w:color="auto"/>
                                                                                    <w:bottom w:val="none" w:sz="0" w:space="0" w:color="auto"/>
                                                                                    <w:right w:val="none" w:sz="0" w:space="0" w:color="auto"/>
                                                                                  </w:divBdr>
                                                                                </w:div>
                                                                                <w:div w:id="481123773">
                                                                                  <w:marLeft w:val="0"/>
                                                                                  <w:marRight w:val="0"/>
                                                                                  <w:marTop w:val="0"/>
                                                                                  <w:marBottom w:val="0"/>
                                                                                  <w:divBdr>
                                                                                    <w:top w:val="none" w:sz="0" w:space="0" w:color="auto"/>
                                                                                    <w:left w:val="none" w:sz="0" w:space="0" w:color="auto"/>
                                                                                    <w:bottom w:val="none" w:sz="0" w:space="0" w:color="auto"/>
                                                                                    <w:right w:val="none" w:sz="0" w:space="0" w:color="auto"/>
                                                                                  </w:divBdr>
                                                                                  <w:divsChild>
                                                                                    <w:div w:id="14310850">
                                                                                      <w:marLeft w:val="0"/>
                                                                                      <w:marRight w:val="0"/>
                                                                                      <w:marTop w:val="0"/>
                                                                                      <w:marBottom w:val="0"/>
                                                                                      <w:divBdr>
                                                                                        <w:top w:val="none" w:sz="0" w:space="0" w:color="auto"/>
                                                                                        <w:left w:val="none" w:sz="0" w:space="0" w:color="auto"/>
                                                                                        <w:bottom w:val="none" w:sz="0" w:space="0" w:color="auto"/>
                                                                                        <w:right w:val="none" w:sz="0" w:space="0" w:color="auto"/>
                                                                                      </w:divBdr>
                                                                                    </w:div>
                                                                                    <w:div w:id="1142238568">
                                                                                      <w:marLeft w:val="0"/>
                                                                                      <w:marRight w:val="0"/>
                                                                                      <w:marTop w:val="0"/>
                                                                                      <w:marBottom w:val="0"/>
                                                                                      <w:divBdr>
                                                                                        <w:top w:val="none" w:sz="0" w:space="0" w:color="auto"/>
                                                                                        <w:left w:val="none" w:sz="0" w:space="0" w:color="auto"/>
                                                                                        <w:bottom w:val="none" w:sz="0" w:space="0" w:color="auto"/>
                                                                                        <w:right w:val="none" w:sz="0" w:space="0" w:color="auto"/>
                                                                                      </w:divBdr>
                                                                                    </w:div>
                                                                                    <w:div w:id="1475683658">
                                                                                      <w:marLeft w:val="0"/>
                                                                                      <w:marRight w:val="0"/>
                                                                                      <w:marTop w:val="0"/>
                                                                                      <w:marBottom w:val="0"/>
                                                                                      <w:divBdr>
                                                                                        <w:top w:val="none" w:sz="0" w:space="0" w:color="auto"/>
                                                                                        <w:left w:val="none" w:sz="0" w:space="0" w:color="auto"/>
                                                                                        <w:bottom w:val="none" w:sz="0" w:space="0" w:color="auto"/>
                                                                                        <w:right w:val="none" w:sz="0" w:space="0" w:color="auto"/>
                                                                                      </w:divBdr>
                                                                                    </w:div>
                                                                                  </w:divsChild>
                                                                                </w:div>
                                                                                <w:div w:id="481893680">
                                                                                  <w:marLeft w:val="0"/>
                                                                                  <w:marRight w:val="0"/>
                                                                                  <w:marTop w:val="0"/>
                                                                                  <w:marBottom w:val="0"/>
                                                                                  <w:divBdr>
                                                                                    <w:top w:val="none" w:sz="0" w:space="0" w:color="auto"/>
                                                                                    <w:left w:val="none" w:sz="0" w:space="0" w:color="auto"/>
                                                                                    <w:bottom w:val="none" w:sz="0" w:space="0" w:color="auto"/>
                                                                                    <w:right w:val="none" w:sz="0" w:space="0" w:color="auto"/>
                                                                                  </w:divBdr>
                                                                                </w:div>
                                                                                <w:div w:id="491288822">
                                                                                  <w:marLeft w:val="0"/>
                                                                                  <w:marRight w:val="0"/>
                                                                                  <w:marTop w:val="0"/>
                                                                                  <w:marBottom w:val="0"/>
                                                                                  <w:divBdr>
                                                                                    <w:top w:val="none" w:sz="0" w:space="0" w:color="auto"/>
                                                                                    <w:left w:val="none" w:sz="0" w:space="0" w:color="auto"/>
                                                                                    <w:bottom w:val="none" w:sz="0" w:space="0" w:color="auto"/>
                                                                                    <w:right w:val="none" w:sz="0" w:space="0" w:color="auto"/>
                                                                                  </w:divBdr>
                                                                                  <w:divsChild>
                                                                                    <w:div w:id="1164396046">
                                                                                      <w:marLeft w:val="-75"/>
                                                                                      <w:marRight w:val="0"/>
                                                                                      <w:marTop w:val="30"/>
                                                                                      <w:marBottom w:val="30"/>
                                                                                      <w:divBdr>
                                                                                        <w:top w:val="none" w:sz="0" w:space="0" w:color="auto"/>
                                                                                        <w:left w:val="none" w:sz="0" w:space="0" w:color="auto"/>
                                                                                        <w:bottom w:val="none" w:sz="0" w:space="0" w:color="auto"/>
                                                                                        <w:right w:val="none" w:sz="0" w:space="0" w:color="auto"/>
                                                                                      </w:divBdr>
                                                                                      <w:divsChild>
                                                                                        <w:div w:id="17507595">
                                                                                          <w:marLeft w:val="0"/>
                                                                                          <w:marRight w:val="0"/>
                                                                                          <w:marTop w:val="0"/>
                                                                                          <w:marBottom w:val="0"/>
                                                                                          <w:divBdr>
                                                                                            <w:top w:val="none" w:sz="0" w:space="0" w:color="auto"/>
                                                                                            <w:left w:val="none" w:sz="0" w:space="0" w:color="auto"/>
                                                                                            <w:bottom w:val="none" w:sz="0" w:space="0" w:color="auto"/>
                                                                                            <w:right w:val="none" w:sz="0" w:space="0" w:color="auto"/>
                                                                                          </w:divBdr>
                                                                                          <w:divsChild>
                                                                                            <w:div w:id="854735639">
                                                                                              <w:marLeft w:val="0"/>
                                                                                              <w:marRight w:val="0"/>
                                                                                              <w:marTop w:val="0"/>
                                                                                              <w:marBottom w:val="0"/>
                                                                                              <w:divBdr>
                                                                                                <w:top w:val="none" w:sz="0" w:space="0" w:color="auto"/>
                                                                                                <w:left w:val="none" w:sz="0" w:space="0" w:color="auto"/>
                                                                                                <w:bottom w:val="none" w:sz="0" w:space="0" w:color="auto"/>
                                                                                                <w:right w:val="none" w:sz="0" w:space="0" w:color="auto"/>
                                                                                              </w:divBdr>
                                                                                            </w:div>
                                                                                          </w:divsChild>
                                                                                        </w:div>
                                                                                        <w:div w:id="190533187">
                                                                                          <w:marLeft w:val="0"/>
                                                                                          <w:marRight w:val="0"/>
                                                                                          <w:marTop w:val="0"/>
                                                                                          <w:marBottom w:val="0"/>
                                                                                          <w:divBdr>
                                                                                            <w:top w:val="none" w:sz="0" w:space="0" w:color="auto"/>
                                                                                            <w:left w:val="none" w:sz="0" w:space="0" w:color="auto"/>
                                                                                            <w:bottom w:val="none" w:sz="0" w:space="0" w:color="auto"/>
                                                                                            <w:right w:val="none" w:sz="0" w:space="0" w:color="auto"/>
                                                                                          </w:divBdr>
                                                                                          <w:divsChild>
                                                                                            <w:div w:id="648901081">
                                                                                              <w:marLeft w:val="0"/>
                                                                                              <w:marRight w:val="0"/>
                                                                                              <w:marTop w:val="0"/>
                                                                                              <w:marBottom w:val="0"/>
                                                                                              <w:divBdr>
                                                                                                <w:top w:val="none" w:sz="0" w:space="0" w:color="auto"/>
                                                                                                <w:left w:val="none" w:sz="0" w:space="0" w:color="auto"/>
                                                                                                <w:bottom w:val="none" w:sz="0" w:space="0" w:color="auto"/>
                                                                                                <w:right w:val="none" w:sz="0" w:space="0" w:color="auto"/>
                                                                                              </w:divBdr>
                                                                                            </w:div>
                                                                                            <w:div w:id="730931666">
                                                                                              <w:marLeft w:val="0"/>
                                                                                              <w:marRight w:val="0"/>
                                                                                              <w:marTop w:val="0"/>
                                                                                              <w:marBottom w:val="0"/>
                                                                                              <w:divBdr>
                                                                                                <w:top w:val="none" w:sz="0" w:space="0" w:color="auto"/>
                                                                                                <w:left w:val="none" w:sz="0" w:space="0" w:color="auto"/>
                                                                                                <w:bottom w:val="none" w:sz="0" w:space="0" w:color="auto"/>
                                                                                                <w:right w:val="none" w:sz="0" w:space="0" w:color="auto"/>
                                                                                              </w:divBdr>
                                                                                            </w:div>
                                                                                          </w:divsChild>
                                                                                        </w:div>
                                                                                        <w:div w:id="285548554">
                                                                                          <w:marLeft w:val="0"/>
                                                                                          <w:marRight w:val="0"/>
                                                                                          <w:marTop w:val="0"/>
                                                                                          <w:marBottom w:val="0"/>
                                                                                          <w:divBdr>
                                                                                            <w:top w:val="none" w:sz="0" w:space="0" w:color="auto"/>
                                                                                            <w:left w:val="none" w:sz="0" w:space="0" w:color="auto"/>
                                                                                            <w:bottom w:val="none" w:sz="0" w:space="0" w:color="auto"/>
                                                                                            <w:right w:val="none" w:sz="0" w:space="0" w:color="auto"/>
                                                                                          </w:divBdr>
                                                                                          <w:divsChild>
                                                                                            <w:div w:id="1766264596">
                                                                                              <w:marLeft w:val="0"/>
                                                                                              <w:marRight w:val="0"/>
                                                                                              <w:marTop w:val="0"/>
                                                                                              <w:marBottom w:val="0"/>
                                                                                              <w:divBdr>
                                                                                                <w:top w:val="none" w:sz="0" w:space="0" w:color="auto"/>
                                                                                                <w:left w:val="none" w:sz="0" w:space="0" w:color="auto"/>
                                                                                                <w:bottom w:val="none" w:sz="0" w:space="0" w:color="auto"/>
                                                                                                <w:right w:val="none" w:sz="0" w:space="0" w:color="auto"/>
                                                                                              </w:divBdr>
                                                                                            </w:div>
                                                                                          </w:divsChild>
                                                                                        </w:div>
                                                                                        <w:div w:id="328362510">
                                                                                          <w:marLeft w:val="0"/>
                                                                                          <w:marRight w:val="0"/>
                                                                                          <w:marTop w:val="0"/>
                                                                                          <w:marBottom w:val="0"/>
                                                                                          <w:divBdr>
                                                                                            <w:top w:val="none" w:sz="0" w:space="0" w:color="auto"/>
                                                                                            <w:left w:val="none" w:sz="0" w:space="0" w:color="auto"/>
                                                                                            <w:bottom w:val="none" w:sz="0" w:space="0" w:color="auto"/>
                                                                                            <w:right w:val="none" w:sz="0" w:space="0" w:color="auto"/>
                                                                                          </w:divBdr>
                                                                                          <w:divsChild>
                                                                                            <w:div w:id="1395618070">
                                                                                              <w:marLeft w:val="0"/>
                                                                                              <w:marRight w:val="0"/>
                                                                                              <w:marTop w:val="0"/>
                                                                                              <w:marBottom w:val="0"/>
                                                                                              <w:divBdr>
                                                                                                <w:top w:val="none" w:sz="0" w:space="0" w:color="auto"/>
                                                                                                <w:left w:val="none" w:sz="0" w:space="0" w:color="auto"/>
                                                                                                <w:bottom w:val="none" w:sz="0" w:space="0" w:color="auto"/>
                                                                                                <w:right w:val="none" w:sz="0" w:space="0" w:color="auto"/>
                                                                                              </w:divBdr>
                                                                                            </w:div>
                                                                                          </w:divsChild>
                                                                                        </w:div>
                                                                                        <w:div w:id="430275758">
                                                                                          <w:marLeft w:val="0"/>
                                                                                          <w:marRight w:val="0"/>
                                                                                          <w:marTop w:val="0"/>
                                                                                          <w:marBottom w:val="0"/>
                                                                                          <w:divBdr>
                                                                                            <w:top w:val="none" w:sz="0" w:space="0" w:color="auto"/>
                                                                                            <w:left w:val="none" w:sz="0" w:space="0" w:color="auto"/>
                                                                                            <w:bottom w:val="none" w:sz="0" w:space="0" w:color="auto"/>
                                                                                            <w:right w:val="none" w:sz="0" w:space="0" w:color="auto"/>
                                                                                          </w:divBdr>
                                                                                          <w:divsChild>
                                                                                            <w:div w:id="1838156928">
                                                                                              <w:marLeft w:val="0"/>
                                                                                              <w:marRight w:val="0"/>
                                                                                              <w:marTop w:val="0"/>
                                                                                              <w:marBottom w:val="0"/>
                                                                                              <w:divBdr>
                                                                                                <w:top w:val="none" w:sz="0" w:space="0" w:color="auto"/>
                                                                                                <w:left w:val="none" w:sz="0" w:space="0" w:color="auto"/>
                                                                                                <w:bottom w:val="none" w:sz="0" w:space="0" w:color="auto"/>
                                                                                                <w:right w:val="none" w:sz="0" w:space="0" w:color="auto"/>
                                                                                              </w:divBdr>
                                                                                            </w:div>
                                                                                          </w:divsChild>
                                                                                        </w:div>
                                                                                        <w:div w:id="483396944">
                                                                                          <w:marLeft w:val="0"/>
                                                                                          <w:marRight w:val="0"/>
                                                                                          <w:marTop w:val="0"/>
                                                                                          <w:marBottom w:val="0"/>
                                                                                          <w:divBdr>
                                                                                            <w:top w:val="none" w:sz="0" w:space="0" w:color="auto"/>
                                                                                            <w:left w:val="none" w:sz="0" w:space="0" w:color="auto"/>
                                                                                            <w:bottom w:val="none" w:sz="0" w:space="0" w:color="auto"/>
                                                                                            <w:right w:val="none" w:sz="0" w:space="0" w:color="auto"/>
                                                                                          </w:divBdr>
                                                                                          <w:divsChild>
                                                                                            <w:div w:id="299388677">
                                                                                              <w:marLeft w:val="0"/>
                                                                                              <w:marRight w:val="0"/>
                                                                                              <w:marTop w:val="0"/>
                                                                                              <w:marBottom w:val="0"/>
                                                                                              <w:divBdr>
                                                                                                <w:top w:val="none" w:sz="0" w:space="0" w:color="auto"/>
                                                                                                <w:left w:val="none" w:sz="0" w:space="0" w:color="auto"/>
                                                                                                <w:bottom w:val="none" w:sz="0" w:space="0" w:color="auto"/>
                                                                                                <w:right w:val="none" w:sz="0" w:space="0" w:color="auto"/>
                                                                                              </w:divBdr>
                                                                                            </w:div>
                                                                                          </w:divsChild>
                                                                                        </w:div>
                                                                                        <w:div w:id="523716360">
                                                                                          <w:marLeft w:val="0"/>
                                                                                          <w:marRight w:val="0"/>
                                                                                          <w:marTop w:val="0"/>
                                                                                          <w:marBottom w:val="0"/>
                                                                                          <w:divBdr>
                                                                                            <w:top w:val="none" w:sz="0" w:space="0" w:color="auto"/>
                                                                                            <w:left w:val="none" w:sz="0" w:space="0" w:color="auto"/>
                                                                                            <w:bottom w:val="none" w:sz="0" w:space="0" w:color="auto"/>
                                                                                            <w:right w:val="none" w:sz="0" w:space="0" w:color="auto"/>
                                                                                          </w:divBdr>
                                                                                          <w:divsChild>
                                                                                            <w:div w:id="1202210785">
                                                                                              <w:marLeft w:val="0"/>
                                                                                              <w:marRight w:val="0"/>
                                                                                              <w:marTop w:val="0"/>
                                                                                              <w:marBottom w:val="0"/>
                                                                                              <w:divBdr>
                                                                                                <w:top w:val="none" w:sz="0" w:space="0" w:color="auto"/>
                                                                                                <w:left w:val="none" w:sz="0" w:space="0" w:color="auto"/>
                                                                                                <w:bottom w:val="none" w:sz="0" w:space="0" w:color="auto"/>
                                                                                                <w:right w:val="none" w:sz="0" w:space="0" w:color="auto"/>
                                                                                              </w:divBdr>
                                                                                            </w:div>
                                                                                          </w:divsChild>
                                                                                        </w:div>
                                                                                        <w:div w:id="610016526">
                                                                                          <w:marLeft w:val="0"/>
                                                                                          <w:marRight w:val="0"/>
                                                                                          <w:marTop w:val="0"/>
                                                                                          <w:marBottom w:val="0"/>
                                                                                          <w:divBdr>
                                                                                            <w:top w:val="none" w:sz="0" w:space="0" w:color="auto"/>
                                                                                            <w:left w:val="none" w:sz="0" w:space="0" w:color="auto"/>
                                                                                            <w:bottom w:val="none" w:sz="0" w:space="0" w:color="auto"/>
                                                                                            <w:right w:val="none" w:sz="0" w:space="0" w:color="auto"/>
                                                                                          </w:divBdr>
                                                                                          <w:divsChild>
                                                                                            <w:div w:id="718865686">
                                                                                              <w:marLeft w:val="0"/>
                                                                                              <w:marRight w:val="0"/>
                                                                                              <w:marTop w:val="0"/>
                                                                                              <w:marBottom w:val="0"/>
                                                                                              <w:divBdr>
                                                                                                <w:top w:val="none" w:sz="0" w:space="0" w:color="auto"/>
                                                                                                <w:left w:val="none" w:sz="0" w:space="0" w:color="auto"/>
                                                                                                <w:bottom w:val="none" w:sz="0" w:space="0" w:color="auto"/>
                                                                                                <w:right w:val="none" w:sz="0" w:space="0" w:color="auto"/>
                                                                                              </w:divBdr>
                                                                                            </w:div>
                                                                                          </w:divsChild>
                                                                                        </w:div>
                                                                                        <w:div w:id="703677276">
                                                                                          <w:marLeft w:val="0"/>
                                                                                          <w:marRight w:val="0"/>
                                                                                          <w:marTop w:val="0"/>
                                                                                          <w:marBottom w:val="0"/>
                                                                                          <w:divBdr>
                                                                                            <w:top w:val="none" w:sz="0" w:space="0" w:color="auto"/>
                                                                                            <w:left w:val="none" w:sz="0" w:space="0" w:color="auto"/>
                                                                                            <w:bottom w:val="none" w:sz="0" w:space="0" w:color="auto"/>
                                                                                            <w:right w:val="none" w:sz="0" w:space="0" w:color="auto"/>
                                                                                          </w:divBdr>
                                                                                          <w:divsChild>
                                                                                            <w:div w:id="1367291835">
                                                                                              <w:marLeft w:val="0"/>
                                                                                              <w:marRight w:val="0"/>
                                                                                              <w:marTop w:val="0"/>
                                                                                              <w:marBottom w:val="0"/>
                                                                                              <w:divBdr>
                                                                                                <w:top w:val="none" w:sz="0" w:space="0" w:color="auto"/>
                                                                                                <w:left w:val="none" w:sz="0" w:space="0" w:color="auto"/>
                                                                                                <w:bottom w:val="none" w:sz="0" w:space="0" w:color="auto"/>
                                                                                                <w:right w:val="none" w:sz="0" w:space="0" w:color="auto"/>
                                                                                              </w:divBdr>
                                                                                            </w:div>
                                                                                          </w:divsChild>
                                                                                        </w:div>
                                                                                        <w:div w:id="732120534">
                                                                                          <w:marLeft w:val="0"/>
                                                                                          <w:marRight w:val="0"/>
                                                                                          <w:marTop w:val="0"/>
                                                                                          <w:marBottom w:val="0"/>
                                                                                          <w:divBdr>
                                                                                            <w:top w:val="none" w:sz="0" w:space="0" w:color="auto"/>
                                                                                            <w:left w:val="none" w:sz="0" w:space="0" w:color="auto"/>
                                                                                            <w:bottom w:val="none" w:sz="0" w:space="0" w:color="auto"/>
                                                                                            <w:right w:val="none" w:sz="0" w:space="0" w:color="auto"/>
                                                                                          </w:divBdr>
                                                                                          <w:divsChild>
                                                                                            <w:div w:id="1926841410">
                                                                                              <w:marLeft w:val="0"/>
                                                                                              <w:marRight w:val="0"/>
                                                                                              <w:marTop w:val="0"/>
                                                                                              <w:marBottom w:val="0"/>
                                                                                              <w:divBdr>
                                                                                                <w:top w:val="none" w:sz="0" w:space="0" w:color="auto"/>
                                                                                                <w:left w:val="none" w:sz="0" w:space="0" w:color="auto"/>
                                                                                                <w:bottom w:val="none" w:sz="0" w:space="0" w:color="auto"/>
                                                                                                <w:right w:val="none" w:sz="0" w:space="0" w:color="auto"/>
                                                                                              </w:divBdr>
                                                                                            </w:div>
                                                                                          </w:divsChild>
                                                                                        </w:div>
                                                                                        <w:div w:id="825173403">
                                                                                          <w:marLeft w:val="0"/>
                                                                                          <w:marRight w:val="0"/>
                                                                                          <w:marTop w:val="0"/>
                                                                                          <w:marBottom w:val="0"/>
                                                                                          <w:divBdr>
                                                                                            <w:top w:val="none" w:sz="0" w:space="0" w:color="auto"/>
                                                                                            <w:left w:val="none" w:sz="0" w:space="0" w:color="auto"/>
                                                                                            <w:bottom w:val="none" w:sz="0" w:space="0" w:color="auto"/>
                                                                                            <w:right w:val="none" w:sz="0" w:space="0" w:color="auto"/>
                                                                                          </w:divBdr>
                                                                                          <w:divsChild>
                                                                                            <w:div w:id="786005045">
                                                                                              <w:marLeft w:val="0"/>
                                                                                              <w:marRight w:val="0"/>
                                                                                              <w:marTop w:val="0"/>
                                                                                              <w:marBottom w:val="0"/>
                                                                                              <w:divBdr>
                                                                                                <w:top w:val="none" w:sz="0" w:space="0" w:color="auto"/>
                                                                                                <w:left w:val="none" w:sz="0" w:space="0" w:color="auto"/>
                                                                                                <w:bottom w:val="none" w:sz="0" w:space="0" w:color="auto"/>
                                                                                                <w:right w:val="none" w:sz="0" w:space="0" w:color="auto"/>
                                                                                              </w:divBdr>
                                                                                            </w:div>
                                                                                          </w:divsChild>
                                                                                        </w:div>
                                                                                        <w:div w:id="894704734">
                                                                                          <w:marLeft w:val="0"/>
                                                                                          <w:marRight w:val="0"/>
                                                                                          <w:marTop w:val="0"/>
                                                                                          <w:marBottom w:val="0"/>
                                                                                          <w:divBdr>
                                                                                            <w:top w:val="none" w:sz="0" w:space="0" w:color="auto"/>
                                                                                            <w:left w:val="none" w:sz="0" w:space="0" w:color="auto"/>
                                                                                            <w:bottom w:val="none" w:sz="0" w:space="0" w:color="auto"/>
                                                                                            <w:right w:val="none" w:sz="0" w:space="0" w:color="auto"/>
                                                                                          </w:divBdr>
                                                                                          <w:divsChild>
                                                                                            <w:div w:id="1959949965">
                                                                                              <w:marLeft w:val="0"/>
                                                                                              <w:marRight w:val="0"/>
                                                                                              <w:marTop w:val="0"/>
                                                                                              <w:marBottom w:val="0"/>
                                                                                              <w:divBdr>
                                                                                                <w:top w:val="none" w:sz="0" w:space="0" w:color="auto"/>
                                                                                                <w:left w:val="none" w:sz="0" w:space="0" w:color="auto"/>
                                                                                                <w:bottom w:val="none" w:sz="0" w:space="0" w:color="auto"/>
                                                                                                <w:right w:val="none" w:sz="0" w:space="0" w:color="auto"/>
                                                                                              </w:divBdr>
                                                                                            </w:div>
                                                                                          </w:divsChild>
                                                                                        </w:div>
                                                                                        <w:div w:id="1024289610">
                                                                                          <w:marLeft w:val="0"/>
                                                                                          <w:marRight w:val="0"/>
                                                                                          <w:marTop w:val="0"/>
                                                                                          <w:marBottom w:val="0"/>
                                                                                          <w:divBdr>
                                                                                            <w:top w:val="none" w:sz="0" w:space="0" w:color="auto"/>
                                                                                            <w:left w:val="none" w:sz="0" w:space="0" w:color="auto"/>
                                                                                            <w:bottom w:val="none" w:sz="0" w:space="0" w:color="auto"/>
                                                                                            <w:right w:val="none" w:sz="0" w:space="0" w:color="auto"/>
                                                                                          </w:divBdr>
                                                                                          <w:divsChild>
                                                                                            <w:div w:id="493956821">
                                                                                              <w:marLeft w:val="0"/>
                                                                                              <w:marRight w:val="0"/>
                                                                                              <w:marTop w:val="0"/>
                                                                                              <w:marBottom w:val="0"/>
                                                                                              <w:divBdr>
                                                                                                <w:top w:val="none" w:sz="0" w:space="0" w:color="auto"/>
                                                                                                <w:left w:val="none" w:sz="0" w:space="0" w:color="auto"/>
                                                                                                <w:bottom w:val="none" w:sz="0" w:space="0" w:color="auto"/>
                                                                                                <w:right w:val="none" w:sz="0" w:space="0" w:color="auto"/>
                                                                                              </w:divBdr>
                                                                                            </w:div>
                                                                                          </w:divsChild>
                                                                                        </w:div>
                                                                                        <w:div w:id="1092698367">
                                                                                          <w:marLeft w:val="0"/>
                                                                                          <w:marRight w:val="0"/>
                                                                                          <w:marTop w:val="0"/>
                                                                                          <w:marBottom w:val="0"/>
                                                                                          <w:divBdr>
                                                                                            <w:top w:val="none" w:sz="0" w:space="0" w:color="auto"/>
                                                                                            <w:left w:val="none" w:sz="0" w:space="0" w:color="auto"/>
                                                                                            <w:bottom w:val="none" w:sz="0" w:space="0" w:color="auto"/>
                                                                                            <w:right w:val="none" w:sz="0" w:space="0" w:color="auto"/>
                                                                                          </w:divBdr>
                                                                                          <w:divsChild>
                                                                                            <w:div w:id="804082218">
                                                                                              <w:marLeft w:val="0"/>
                                                                                              <w:marRight w:val="0"/>
                                                                                              <w:marTop w:val="0"/>
                                                                                              <w:marBottom w:val="0"/>
                                                                                              <w:divBdr>
                                                                                                <w:top w:val="none" w:sz="0" w:space="0" w:color="auto"/>
                                                                                                <w:left w:val="none" w:sz="0" w:space="0" w:color="auto"/>
                                                                                                <w:bottom w:val="none" w:sz="0" w:space="0" w:color="auto"/>
                                                                                                <w:right w:val="none" w:sz="0" w:space="0" w:color="auto"/>
                                                                                              </w:divBdr>
                                                                                            </w:div>
                                                                                          </w:divsChild>
                                                                                        </w:div>
                                                                                        <w:div w:id="1145076855">
                                                                                          <w:marLeft w:val="0"/>
                                                                                          <w:marRight w:val="0"/>
                                                                                          <w:marTop w:val="0"/>
                                                                                          <w:marBottom w:val="0"/>
                                                                                          <w:divBdr>
                                                                                            <w:top w:val="none" w:sz="0" w:space="0" w:color="auto"/>
                                                                                            <w:left w:val="none" w:sz="0" w:space="0" w:color="auto"/>
                                                                                            <w:bottom w:val="none" w:sz="0" w:space="0" w:color="auto"/>
                                                                                            <w:right w:val="none" w:sz="0" w:space="0" w:color="auto"/>
                                                                                          </w:divBdr>
                                                                                          <w:divsChild>
                                                                                            <w:div w:id="1101756029">
                                                                                              <w:marLeft w:val="0"/>
                                                                                              <w:marRight w:val="0"/>
                                                                                              <w:marTop w:val="0"/>
                                                                                              <w:marBottom w:val="0"/>
                                                                                              <w:divBdr>
                                                                                                <w:top w:val="none" w:sz="0" w:space="0" w:color="auto"/>
                                                                                                <w:left w:val="none" w:sz="0" w:space="0" w:color="auto"/>
                                                                                                <w:bottom w:val="none" w:sz="0" w:space="0" w:color="auto"/>
                                                                                                <w:right w:val="none" w:sz="0" w:space="0" w:color="auto"/>
                                                                                              </w:divBdr>
                                                                                            </w:div>
                                                                                          </w:divsChild>
                                                                                        </w:div>
                                                                                        <w:div w:id="1200583390">
                                                                                          <w:marLeft w:val="0"/>
                                                                                          <w:marRight w:val="0"/>
                                                                                          <w:marTop w:val="0"/>
                                                                                          <w:marBottom w:val="0"/>
                                                                                          <w:divBdr>
                                                                                            <w:top w:val="none" w:sz="0" w:space="0" w:color="auto"/>
                                                                                            <w:left w:val="none" w:sz="0" w:space="0" w:color="auto"/>
                                                                                            <w:bottom w:val="none" w:sz="0" w:space="0" w:color="auto"/>
                                                                                            <w:right w:val="none" w:sz="0" w:space="0" w:color="auto"/>
                                                                                          </w:divBdr>
                                                                                          <w:divsChild>
                                                                                            <w:div w:id="139002969">
                                                                                              <w:marLeft w:val="0"/>
                                                                                              <w:marRight w:val="0"/>
                                                                                              <w:marTop w:val="0"/>
                                                                                              <w:marBottom w:val="0"/>
                                                                                              <w:divBdr>
                                                                                                <w:top w:val="none" w:sz="0" w:space="0" w:color="auto"/>
                                                                                                <w:left w:val="none" w:sz="0" w:space="0" w:color="auto"/>
                                                                                                <w:bottom w:val="none" w:sz="0" w:space="0" w:color="auto"/>
                                                                                                <w:right w:val="none" w:sz="0" w:space="0" w:color="auto"/>
                                                                                              </w:divBdr>
                                                                                            </w:div>
                                                                                          </w:divsChild>
                                                                                        </w:div>
                                                                                        <w:div w:id="1333221193">
                                                                                          <w:marLeft w:val="0"/>
                                                                                          <w:marRight w:val="0"/>
                                                                                          <w:marTop w:val="0"/>
                                                                                          <w:marBottom w:val="0"/>
                                                                                          <w:divBdr>
                                                                                            <w:top w:val="none" w:sz="0" w:space="0" w:color="auto"/>
                                                                                            <w:left w:val="none" w:sz="0" w:space="0" w:color="auto"/>
                                                                                            <w:bottom w:val="none" w:sz="0" w:space="0" w:color="auto"/>
                                                                                            <w:right w:val="none" w:sz="0" w:space="0" w:color="auto"/>
                                                                                          </w:divBdr>
                                                                                          <w:divsChild>
                                                                                            <w:div w:id="415588998">
                                                                                              <w:marLeft w:val="0"/>
                                                                                              <w:marRight w:val="0"/>
                                                                                              <w:marTop w:val="0"/>
                                                                                              <w:marBottom w:val="0"/>
                                                                                              <w:divBdr>
                                                                                                <w:top w:val="none" w:sz="0" w:space="0" w:color="auto"/>
                                                                                                <w:left w:val="none" w:sz="0" w:space="0" w:color="auto"/>
                                                                                                <w:bottom w:val="none" w:sz="0" w:space="0" w:color="auto"/>
                                                                                                <w:right w:val="none" w:sz="0" w:space="0" w:color="auto"/>
                                                                                              </w:divBdr>
                                                                                            </w:div>
                                                                                          </w:divsChild>
                                                                                        </w:div>
                                                                                        <w:div w:id="1456748639">
                                                                                          <w:marLeft w:val="0"/>
                                                                                          <w:marRight w:val="0"/>
                                                                                          <w:marTop w:val="0"/>
                                                                                          <w:marBottom w:val="0"/>
                                                                                          <w:divBdr>
                                                                                            <w:top w:val="none" w:sz="0" w:space="0" w:color="auto"/>
                                                                                            <w:left w:val="none" w:sz="0" w:space="0" w:color="auto"/>
                                                                                            <w:bottom w:val="none" w:sz="0" w:space="0" w:color="auto"/>
                                                                                            <w:right w:val="none" w:sz="0" w:space="0" w:color="auto"/>
                                                                                          </w:divBdr>
                                                                                          <w:divsChild>
                                                                                            <w:div w:id="190457244">
                                                                                              <w:marLeft w:val="0"/>
                                                                                              <w:marRight w:val="0"/>
                                                                                              <w:marTop w:val="0"/>
                                                                                              <w:marBottom w:val="0"/>
                                                                                              <w:divBdr>
                                                                                                <w:top w:val="none" w:sz="0" w:space="0" w:color="auto"/>
                                                                                                <w:left w:val="none" w:sz="0" w:space="0" w:color="auto"/>
                                                                                                <w:bottom w:val="none" w:sz="0" w:space="0" w:color="auto"/>
                                                                                                <w:right w:val="none" w:sz="0" w:space="0" w:color="auto"/>
                                                                                              </w:divBdr>
                                                                                            </w:div>
                                                                                          </w:divsChild>
                                                                                        </w:div>
                                                                                        <w:div w:id="1465003468">
                                                                                          <w:marLeft w:val="0"/>
                                                                                          <w:marRight w:val="0"/>
                                                                                          <w:marTop w:val="0"/>
                                                                                          <w:marBottom w:val="0"/>
                                                                                          <w:divBdr>
                                                                                            <w:top w:val="none" w:sz="0" w:space="0" w:color="auto"/>
                                                                                            <w:left w:val="none" w:sz="0" w:space="0" w:color="auto"/>
                                                                                            <w:bottom w:val="none" w:sz="0" w:space="0" w:color="auto"/>
                                                                                            <w:right w:val="none" w:sz="0" w:space="0" w:color="auto"/>
                                                                                          </w:divBdr>
                                                                                          <w:divsChild>
                                                                                            <w:div w:id="380059585">
                                                                                              <w:marLeft w:val="0"/>
                                                                                              <w:marRight w:val="0"/>
                                                                                              <w:marTop w:val="0"/>
                                                                                              <w:marBottom w:val="0"/>
                                                                                              <w:divBdr>
                                                                                                <w:top w:val="none" w:sz="0" w:space="0" w:color="auto"/>
                                                                                                <w:left w:val="none" w:sz="0" w:space="0" w:color="auto"/>
                                                                                                <w:bottom w:val="none" w:sz="0" w:space="0" w:color="auto"/>
                                                                                                <w:right w:val="none" w:sz="0" w:space="0" w:color="auto"/>
                                                                                              </w:divBdr>
                                                                                            </w:div>
                                                                                          </w:divsChild>
                                                                                        </w:div>
                                                                                        <w:div w:id="1556768845">
                                                                                          <w:marLeft w:val="0"/>
                                                                                          <w:marRight w:val="0"/>
                                                                                          <w:marTop w:val="0"/>
                                                                                          <w:marBottom w:val="0"/>
                                                                                          <w:divBdr>
                                                                                            <w:top w:val="none" w:sz="0" w:space="0" w:color="auto"/>
                                                                                            <w:left w:val="none" w:sz="0" w:space="0" w:color="auto"/>
                                                                                            <w:bottom w:val="none" w:sz="0" w:space="0" w:color="auto"/>
                                                                                            <w:right w:val="none" w:sz="0" w:space="0" w:color="auto"/>
                                                                                          </w:divBdr>
                                                                                          <w:divsChild>
                                                                                            <w:div w:id="642345467">
                                                                                              <w:marLeft w:val="0"/>
                                                                                              <w:marRight w:val="0"/>
                                                                                              <w:marTop w:val="0"/>
                                                                                              <w:marBottom w:val="0"/>
                                                                                              <w:divBdr>
                                                                                                <w:top w:val="none" w:sz="0" w:space="0" w:color="auto"/>
                                                                                                <w:left w:val="none" w:sz="0" w:space="0" w:color="auto"/>
                                                                                                <w:bottom w:val="none" w:sz="0" w:space="0" w:color="auto"/>
                                                                                                <w:right w:val="none" w:sz="0" w:space="0" w:color="auto"/>
                                                                                              </w:divBdr>
                                                                                            </w:div>
                                                                                          </w:divsChild>
                                                                                        </w:div>
                                                                                        <w:div w:id="1623883184">
                                                                                          <w:marLeft w:val="0"/>
                                                                                          <w:marRight w:val="0"/>
                                                                                          <w:marTop w:val="0"/>
                                                                                          <w:marBottom w:val="0"/>
                                                                                          <w:divBdr>
                                                                                            <w:top w:val="none" w:sz="0" w:space="0" w:color="auto"/>
                                                                                            <w:left w:val="none" w:sz="0" w:space="0" w:color="auto"/>
                                                                                            <w:bottom w:val="none" w:sz="0" w:space="0" w:color="auto"/>
                                                                                            <w:right w:val="none" w:sz="0" w:space="0" w:color="auto"/>
                                                                                          </w:divBdr>
                                                                                          <w:divsChild>
                                                                                            <w:div w:id="1202211854">
                                                                                              <w:marLeft w:val="0"/>
                                                                                              <w:marRight w:val="0"/>
                                                                                              <w:marTop w:val="0"/>
                                                                                              <w:marBottom w:val="0"/>
                                                                                              <w:divBdr>
                                                                                                <w:top w:val="none" w:sz="0" w:space="0" w:color="auto"/>
                                                                                                <w:left w:val="none" w:sz="0" w:space="0" w:color="auto"/>
                                                                                                <w:bottom w:val="none" w:sz="0" w:space="0" w:color="auto"/>
                                                                                                <w:right w:val="none" w:sz="0" w:space="0" w:color="auto"/>
                                                                                              </w:divBdr>
                                                                                            </w:div>
                                                                                          </w:divsChild>
                                                                                        </w:div>
                                                                                        <w:div w:id="1662465997">
                                                                                          <w:marLeft w:val="0"/>
                                                                                          <w:marRight w:val="0"/>
                                                                                          <w:marTop w:val="0"/>
                                                                                          <w:marBottom w:val="0"/>
                                                                                          <w:divBdr>
                                                                                            <w:top w:val="none" w:sz="0" w:space="0" w:color="auto"/>
                                                                                            <w:left w:val="none" w:sz="0" w:space="0" w:color="auto"/>
                                                                                            <w:bottom w:val="none" w:sz="0" w:space="0" w:color="auto"/>
                                                                                            <w:right w:val="none" w:sz="0" w:space="0" w:color="auto"/>
                                                                                          </w:divBdr>
                                                                                          <w:divsChild>
                                                                                            <w:div w:id="708720283">
                                                                                              <w:marLeft w:val="0"/>
                                                                                              <w:marRight w:val="0"/>
                                                                                              <w:marTop w:val="0"/>
                                                                                              <w:marBottom w:val="0"/>
                                                                                              <w:divBdr>
                                                                                                <w:top w:val="none" w:sz="0" w:space="0" w:color="auto"/>
                                                                                                <w:left w:val="none" w:sz="0" w:space="0" w:color="auto"/>
                                                                                                <w:bottom w:val="none" w:sz="0" w:space="0" w:color="auto"/>
                                                                                                <w:right w:val="none" w:sz="0" w:space="0" w:color="auto"/>
                                                                                              </w:divBdr>
                                                                                            </w:div>
                                                                                          </w:divsChild>
                                                                                        </w:div>
                                                                                        <w:div w:id="1785540250">
                                                                                          <w:marLeft w:val="0"/>
                                                                                          <w:marRight w:val="0"/>
                                                                                          <w:marTop w:val="0"/>
                                                                                          <w:marBottom w:val="0"/>
                                                                                          <w:divBdr>
                                                                                            <w:top w:val="none" w:sz="0" w:space="0" w:color="auto"/>
                                                                                            <w:left w:val="none" w:sz="0" w:space="0" w:color="auto"/>
                                                                                            <w:bottom w:val="none" w:sz="0" w:space="0" w:color="auto"/>
                                                                                            <w:right w:val="none" w:sz="0" w:space="0" w:color="auto"/>
                                                                                          </w:divBdr>
                                                                                          <w:divsChild>
                                                                                            <w:div w:id="921257608">
                                                                                              <w:marLeft w:val="0"/>
                                                                                              <w:marRight w:val="0"/>
                                                                                              <w:marTop w:val="0"/>
                                                                                              <w:marBottom w:val="0"/>
                                                                                              <w:divBdr>
                                                                                                <w:top w:val="none" w:sz="0" w:space="0" w:color="auto"/>
                                                                                                <w:left w:val="none" w:sz="0" w:space="0" w:color="auto"/>
                                                                                                <w:bottom w:val="none" w:sz="0" w:space="0" w:color="auto"/>
                                                                                                <w:right w:val="none" w:sz="0" w:space="0" w:color="auto"/>
                                                                                              </w:divBdr>
                                                                                            </w:div>
                                                                                          </w:divsChild>
                                                                                        </w:div>
                                                                                        <w:div w:id="1792095133">
                                                                                          <w:marLeft w:val="0"/>
                                                                                          <w:marRight w:val="0"/>
                                                                                          <w:marTop w:val="0"/>
                                                                                          <w:marBottom w:val="0"/>
                                                                                          <w:divBdr>
                                                                                            <w:top w:val="none" w:sz="0" w:space="0" w:color="auto"/>
                                                                                            <w:left w:val="none" w:sz="0" w:space="0" w:color="auto"/>
                                                                                            <w:bottom w:val="none" w:sz="0" w:space="0" w:color="auto"/>
                                                                                            <w:right w:val="none" w:sz="0" w:space="0" w:color="auto"/>
                                                                                          </w:divBdr>
                                                                                          <w:divsChild>
                                                                                            <w:div w:id="588584581">
                                                                                              <w:marLeft w:val="0"/>
                                                                                              <w:marRight w:val="0"/>
                                                                                              <w:marTop w:val="0"/>
                                                                                              <w:marBottom w:val="0"/>
                                                                                              <w:divBdr>
                                                                                                <w:top w:val="none" w:sz="0" w:space="0" w:color="auto"/>
                                                                                                <w:left w:val="none" w:sz="0" w:space="0" w:color="auto"/>
                                                                                                <w:bottom w:val="none" w:sz="0" w:space="0" w:color="auto"/>
                                                                                                <w:right w:val="none" w:sz="0" w:space="0" w:color="auto"/>
                                                                                              </w:divBdr>
                                                                                            </w:div>
                                                                                          </w:divsChild>
                                                                                        </w:div>
                                                                                        <w:div w:id="1836460299">
                                                                                          <w:marLeft w:val="0"/>
                                                                                          <w:marRight w:val="0"/>
                                                                                          <w:marTop w:val="0"/>
                                                                                          <w:marBottom w:val="0"/>
                                                                                          <w:divBdr>
                                                                                            <w:top w:val="none" w:sz="0" w:space="0" w:color="auto"/>
                                                                                            <w:left w:val="none" w:sz="0" w:space="0" w:color="auto"/>
                                                                                            <w:bottom w:val="none" w:sz="0" w:space="0" w:color="auto"/>
                                                                                            <w:right w:val="none" w:sz="0" w:space="0" w:color="auto"/>
                                                                                          </w:divBdr>
                                                                                          <w:divsChild>
                                                                                            <w:div w:id="1622878520">
                                                                                              <w:marLeft w:val="0"/>
                                                                                              <w:marRight w:val="0"/>
                                                                                              <w:marTop w:val="0"/>
                                                                                              <w:marBottom w:val="0"/>
                                                                                              <w:divBdr>
                                                                                                <w:top w:val="none" w:sz="0" w:space="0" w:color="auto"/>
                                                                                                <w:left w:val="none" w:sz="0" w:space="0" w:color="auto"/>
                                                                                                <w:bottom w:val="none" w:sz="0" w:space="0" w:color="auto"/>
                                                                                                <w:right w:val="none" w:sz="0" w:space="0" w:color="auto"/>
                                                                                              </w:divBdr>
                                                                                            </w:div>
                                                                                          </w:divsChild>
                                                                                        </w:div>
                                                                                        <w:div w:id="1911572941">
                                                                                          <w:marLeft w:val="0"/>
                                                                                          <w:marRight w:val="0"/>
                                                                                          <w:marTop w:val="0"/>
                                                                                          <w:marBottom w:val="0"/>
                                                                                          <w:divBdr>
                                                                                            <w:top w:val="none" w:sz="0" w:space="0" w:color="auto"/>
                                                                                            <w:left w:val="none" w:sz="0" w:space="0" w:color="auto"/>
                                                                                            <w:bottom w:val="none" w:sz="0" w:space="0" w:color="auto"/>
                                                                                            <w:right w:val="none" w:sz="0" w:space="0" w:color="auto"/>
                                                                                          </w:divBdr>
                                                                                          <w:divsChild>
                                                                                            <w:div w:id="162671682">
                                                                                              <w:marLeft w:val="0"/>
                                                                                              <w:marRight w:val="0"/>
                                                                                              <w:marTop w:val="0"/>
                                                                                              <w:marBottom w:val="0"/>
                                                                                              <w:divBdr>
                                                                                                <w:top w:val="none" w:sz="0" w:space="0" w:color="auto"/>
                                                                                                <w:left w:val="none" w:sz="0" w:space="0" w:color="auto"/>
                                                                                                <w:bottom w:val="none" w:sz="0" w:space="0" w:color="auto"/>
                                                                                                <w:right w:val="none" w:sz="0" w:space="0" w:color="auto"/>
                                                                                              </w:divBdr>
                                                                                            </w:div>
                                                                                          </w:divsChild>
                                                                                        </w:div>
                                                                                        <w:div w:id="2004162793">
                                                                                          <w:marLeft w:val="0"/>
                                                                                          <w:marRight w:val="0"/>
                                                                                          <w:marTop w:val="0"/>
                                                                                          <w:marBottom w:val="0"/>
                                                                                          <w:divBdr>
                                                                                            <w:top w:val="none" w:sz="0" w:space="0" w:color="auto"/>
                                                                                            <w:left w:val="none" w:sz="0" w:space="0" w:color="auto"/>
                                                                                            <w:bottom w:val="none" w:sz="0" w:space="0" w:color="auto"/>
                                                                                            <w:right w:val="none" w:sz="0" w:space="0" w:color="auto"/>
                                                                                          </w:divBdr>
                                                                                          <w:divsChild>
                                                                                            <w:div w:id="312639183">
                                                                                              <w:marLeft w:val="0"/>
                                                                                              <w:marRight w:val="0"/>
                                                                                              <w:marTop w:val="0"/>
                                                                                              <w:marBottom w:val="0"/>
                                                                                              <w:divBdr>
                                                                                                <w:top w:val="none" w:sz="0" w:space="0" w:color="auto"/>
                                                                                                <w:left w:val="none" w:sz="0" w:space="0" w:color="auto"/>
                                                                                                <w:bottom w:val="none" w:sz="0" w:space="0" w:color="auto"/>
                                                                                                <w:right w:val="none" w:sz="0" w:space="0" w:color="auto"/>
                                                                                              </w:divBdr>
                                                                                            </w:div>
                                                                                          </w:divsChild>
                                                                                        </w:div>
                                                                                        <w:div w:id="2016684620">
                                                                                          <w:marLeft w:val="0"/>
                                                                                          <w:marRight w:val="0"/>
                                                                                          <w:marTop w:val="0"/>
                                                                                          <w:marBottom w:val="0"/>
                                                                                          <w:divBdr>
                                                                                            <w:top w:val="none" w:sz="0" w:space="0" w:color="auto"/>
                                                                                            <w:left w:val="none" w:sz="0" w:space="0" w:color="auto"/>
                                                                                            <w:bottom w:val="none" w:sz="0" w:space="0" w:color="auto"/>
                                                                                            <w:right w:val="none" w:sz="0" w:space="0" w:color="auto"/>
                                                                                          </w:divBdr>
                                                                                          <w:divsChild>
                                                                                            <w:div w:id="341278332">
                                                                                              <w:marLeft w:val="0"/>
                                                                                              <w:marRight w:val="0"/>
                                                                                              <w:marTop w:val="0"/>
                                                                                              <w:marBottom w:val="0"/>
                                                                                              <w:divBdr>
                                                                                                <w:top w:val="none" w:sz="0" w:space="0" w:color="auto"/>
                                                                                                <w:left w:val="none" w:sz="0" w:space="0" w:color="auto"/>
                                                                                                <w:bottom w:val="none" w:sz="0" w:space="0" w:color="auto"/>
                                                                                                <w:right w:val="none" w:sz="0" w:space="0" w:color="auto"/>
                                                                                              </w:divBdr>
                                                                                            </w:div>
                                                                                          </w:divsChild>
                                                                                        </w:div>
                                                                                        <w:div w:id="2071925838">
                                                                                          <w:marLeft w:val="0"/>
                                                                                          <w:marRight w:val="0"/>
                                                                                          <w:marTop w:val="0"/>
                                                                                          <w:marBottom w:val="0"/>
                                                                                          <w:divBdr>
                                                                                            <w:top w:val="none" w:sz="0" w:space="0" w:color="auto"/>
                                                                                            <w:left w:val="none" w:sz="0" w:space="0" w:color="auto"/>
                                                                                            <w:bottom w:val="none" w:sz="0" w:space="0" w:color="auto"/>
                                                                                            <w:right w:val="none" w:sz="0" w:space="0" w:color="auto"/>
                                                                                          </w:divBdr>
                                                                                          <w:divsChild>
                                                                                            <w:div w:id="60280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152495">
                                                                                  <w:marLeft w:val="0"/>
                                                                                  <w:marRight w:val="0"/>
                                                                                  <w:marTop w:val="0"/>
                                                                                  <w:marBottom w:val="0"/>
                                                                                  <w:divBdr>
                                                                                    <w:top w:val="none" w:sz="0" w:space="0" w:color="auto"/>
                                                                                    <w:left w:val="none" w:sz="0" w:space="0" w:color="auto"/>
                                                                                    <w:bottom w:val="none" w:sz="0" w:space="0" w:color="auto"/>
                                                                                    <w:right w:val="none" w:sz="0" w:space="0" w:color="auto"/>
                                                                                  </w:divBdr>
                                                                                </w:div>
                                                                                <w:div w:id="525799860">
                                                                                  <w:marLeft w:val="0"/>
                                                                                  <w:marRight w:val="0"/>
                                                                                  <w:marTop w:val="0"/>
                                                                                  <w:marBottom w:val="0"/>
                                                                                  <w:divBdr>
                                                                                    <w:top w:val="none" w:sz="0" w:space="0" w:color="auto"/>
                                                                                    <w:left w:val="none" w:sz="0" w:space="0" w:color="auto"/>
                                                                                    <w:bottom w:val="none" w:sz="0" w:space="0" w:color="auto"/>
                                                                                    <w:right w:val="none" w:sz="0" w:space="0" w:color="auto"/>
                                                                                  </w:divBdr>
                                                                                </w:div>
                                                                                <w:div w:id="530384777">
                                                                                  <w:marLeft w:val="0"/>
                                                                                  <w:marRight w:val="0"/>
                                                                                  <w:marTop w:val="0"/>
                                                                                  <w:marBottom w:val="0"/>
                                                                                  <w:divBdr>
                                                                                    <w:top w:val="none" w:sz="0" w:space="0" w:color="auto"/>
                                                                                    <w:left w:val="none" w:sz="0" w:space="0" w:color="auto"/>
                                                                                    <w:bottom w:val="none" w:sz="0" w:space="0" w:color="auto"/>
                                                                                    <w:right w:val="none" w:sz="0" w:space="0" w:color="auto"/>
                                                                                  </w:divBdr>
                                                                                </w:div>
                                                                                <w:div w:id="533226846">
                                                                                  <w:marLeft w:val="0"/>
                                                                                  <w:marRight w:val="0"/>
                                                                                  <w:marTop w:val="0"/>
                                                                                  <w:marBottom w:val="0"/>
                                                                                  <w:divBdr>
                                                                                    <w:top w:val="none" w:sz="0" w:space="0" w:color="auto"/>
                                                                                    <w:left w:val="none" w:sz="0" w:space="0" w:color="auto"/>
                                                                                    <w:bottom w:val="none" w:sz="0" w:space="0" w:color="auto"/>
                                                                                    <w:right w:val="none" w:sz="0" w:space="0" w:color="auto"/>
                                                                                  </w:divBdr>
                                                                                </w:div>
                                                                                <w:div w:id="541014345">
                                                                                  <w:marLeft w:val="0"/>
                                                                                  <w:marRight w:val="0"/>
                                                                                  <w:marTop w:val="0"/>
                                                                                  <w:marBottom w:val="0"/>
                                                                                  <w:divBdr>
                                                                                    <w:top w:val="none" w:sz="0" w:space="0" w:color="auto"/>
                                                                                    <w:left w:val="none" w:sz="0" w:space="0" w:color="auto"/>
                                                                                    <w:bottom w:val="none" w:sz="0" w:space="0" w:color="auto"/>
                                                                                    <w:right w:val="none" w:sz="0" w:space="0" w:color="auto"/>
                                                                                  </w:divBdr>
                                                                                </w:div>
                                                                                <w:div w:id="543257460">
                                                                                  <w:marLeft w:val="0"/>
                                                                                  <w:marRight w:val="0"/>
                                                                                  <w:marTop w:val="0"/>
                                                                                  <w:marBottom w:val="0"/>
                                                                                  <w:divBdr>
                                                                                    <w:top w:val="none" w:sz="0" w:space="0" w:color="auto"/>
                                                                                    <w:left w:val="none" w:sz="0" w:space="0" w:color="auto"/>
                                                                                    <w:bottom w:val="none" w:sz="0" w:space="0" w:color="auto"/>
                                                                                    <w:right w:val="none" w:sz="0" w:space="0" w:color="auto"/>
                                                                                  </w:divBdr>
                                                                                </w:div>
                                                                                <w:div w:id="544104962">
                                                                                  <w:marLeft w:val="0"/>
                                                                                  <w:marRight w:val="0"/>
                                                                                  <w:marTop w:val="0"/>
                                                                                  <w:marBottom w:val="0"/>
                                                                                  <w:divBdr>
                                                                                    <w:top w:val="none" w:sz="0" w:space="0" w:color="auto"/>
                                                                                    <w:left w:val="none" w:sz="0" w:space="0" w:color="auto"/>
                                                                                    <w:bottom w:val="none" w:sz="0" w:space="0" w:color="auto"/>
                                                                                    <w:right w:val="none" w:sz="0" w:space="0" w:color="auto"/>
                                                                                  </w:divBdr>
                                                                                </w:div>
                                                                                <w:div w:id="576285440">
                                                                                  <w:marLeft w:val="0"/>
                                                                                  <w:marRight w:val="0"/>
                                                                                  <w:marTop w:val="0"/>
                                                                                  <w:marBottom w:val="0"/>
                                                                                  <w:divBdr>
                                                                                    <w:top w:val="none" w:sz="0" w:space="0" w:color="auto"/>
                                                                                    <w:left w:val="none" w:sz="0" w:space="0" w:color="auto"/>
                                                                                    <w:bottom w:val="none" w:sz="0" w:space="0" w:color="auto"/>
                                                                                    <w:right w:val="none" w:sz="0" w:space="0" w:color="auto"/>
                                                                                  </w:divBdr>
                                                                                </w:div>
                                                                                <w:div w:id="595794484">
                                                                                  <w:marLeft w:val="0"/>
                                                                                  <w:marRight w:val="0"/>
                                                                                  <w:marTop w:val="0"/>
                                                                                  <w:marBottom w:val="0"/>
                                                                                  <w:divBdr>
                                                                                    <w:top w:val="none" w:sz="0" w:space="0" w:color="auto"/>
                                                                                    <w:left w:val="none" w:sz="0" w:space="0" w:color="auto"/>
                                                                                    <w:bottom w:val="none" w:sz="0" w:space="0" w:color="auto"/>
                                                                                    <w:right w:val="none" w:sz="0" w:space="0" w:color="auto"/>
                                                                                  </w:divBdr>
                                                                                </w:div>
                                                                                <w:div w:id="605773889">
                                                                                  <w:marLeft w:val="0"/>
                                                                                  <w:marRight w:val="0"/>
                                                                                  <w:marTop w:val="0"/>
                                                                                  <w:marBottom w:val="0"/>
                                                                                  <w:divBdr>
                                                                                    <w:top w:val="none" w:sz="0" w:space="0" w:color="auto"/>
                                                                                    <w:left w:val="none" w:sz="0" w:space="0" w:color="auto"/>
                                                                                    <w:bottom w:val="none" w:sz="0" w:space="0" w:color="auto"/>
                                                                                    <w:right w:val="none" w:sz="0" w:space="0" w:color="auto"/>
                                                                                  </w:divBdr>
                                                                                </w:div>
                                                                                <w:div w:id="616911841">
                                                                                  <w:marLeft w:val="0"/>
                                                                                  <w:marRight w:val="0"/>
                                                                                  <w:marTop w:val="0"/>
                                                                                  <w:marBottom w:val="0"/>
                                                                                  <w:divBdr>
                                                                                    <w:top w:val="none" w:sz="0" w:space="0" w:color="auto"/>
                                                                                    <w:left w:val="none" w:sz="0" w:space="0" w:color="auto"/>
                                                                                    <w:bottom w:val="none" w:sz="0" w:space="0" w:color="auto"/>
                                                                                    <w:right w:val="none" w:sz="0" w:space="0" w:color="auto"/>
                                                                                  </w:divBdr>
                                                                                </w:div>
                                                                                <w:div w:id="624582071">
                                                                                  <w:marLeft w:val="0"/>
                                                                                  <w:marRight w:val="0"/>
                                                                                  <w:marTop w:val="0"/>
                                                                                  <w:marBottom w:val="0"/>
                                                                                  <w:divBdr>
                                                                                    <w:top w:val="none" w:sz="0" w:space="0" w:color="auto"/>
                                                                                    <w:left w:val="none" w:sz="0" w:space="0" w:color="auto"/>
                                                                                    <w:bottom w:val="none" w:sz="0" w:space="0" w:color="auto"/>
                                                                                    <w:right w:val="none" w:sz="0" w:space="0" w:color="auto"/>
                                                                                  </w:divBdr>
                                                                                </w:div>
                                                                                <w:div w:id="626741367">
                                                                                  <w:marLeft w:val="0"/>
                                                                                  <w:marRight w:val="0"/>
                                                                                  <w:marTop w:val="0"/>
                                                                                  <w:marBottom w:val="0"/>
                                                                                  <w:divBdr>
                                                                                    <w:top w:val="none" w:sz="0" w:space="0" w:color="auto"/>
                                                                                    <w:left w:val="none" w:sz="0" w:space="0" w:color="auto"/>
                                                                                    <w:bottom w:val="none" w:sz="0" w:space="0" w:color="auto"/>
                                                                                    <w:right w:val="none" w:sz="0" w:space="0" w:color="auto"/>
                                                                                  </w:divBdr>
                                                                                </w:div>
                                                                                <w:div w:id="635255026">
                                                                                  <w:marLeft w:val="0"/>
                                                                                  <w:marRight w:val="0"/>
                                                                                  <w:marTop w:val="0"/>
                                                                                  <w:marBottom w:val="0"/>
                                                                                  <w:divBdr>
                                                                                    <w:top w:val="none" w:sz="0" w:space="0" w:color="auto"/>
                                                                                    <w:left w:val="none" w:sz="0" w:space="0" w:color="auto"/>
                                                                                    <w:bottom w:val="none" w:sz="0" w:space="0" w:color="auto"/>
                                                                                    <w:right w:val="none" w:sz="0" w:space="0" w:color="auto"/>
                                                                                  </w:divBdr>
                                                                                  <w:divsChild>
                                                                                    <w:div w:id="1402631993">
                                                                                      <w:marLeft w:val="0"/>
                                                                                      <w:marRight w:val="0"/>
                                                                                      <w:marTop w:val="0"/>
                                                                                      <w:marBottom w:val="0"/>
                                                                                      <w:divBdr>
                                                                                        <w:top w:val="none" w:sz="0" w:space="0" w:color="auto"/>
                                                                                        <w:left w:val="none" w:sz="0" w:space="0" w:color="auto"/>
                                                                                        <w:bottom w:val="none" w:sz="0" w:space="0" w:color="auto"/>
                                                                                        <w:right w:val="none" w:sz="0" w:space="0" w:color="auto"/>
                                                                                      </w:divBdr>
                                                                                    </w:div>
                                                                                    <w:div w:id="1971205871">
                                                                                      <w:marLeft w:val="0"/>
                                                                                      <w:marRight w:val="0"/>
                                                                                      <w:marTop w:val="0"/>
                                                                                      <w:marBottom w:val="0"/>
                                                                                      <w:divBdr>
                                                                                        <w:top w:val="none" w:sz="0" w:space="0" w:color="auto"/>
                                                                                        <w:left w:val="none" w:sz="0" w:space="0" w:color="auto"/>
                                                                                        <w:bottom w:val="none" w:sz="0" w:space="0" w:color="auto"/>
                                                                                        <w:right w:val="none" w:sz="0" w:space="0" w:color="auto"/>
                                                                                      </w:divBdr>
                                                                                    </w:div>
                                                                                    <w:div w:id="2126851096">
                                                                                      <w:marLeft w:val="0"/>
                                                                                      <w:marRight w:val="0"/>
                                                                                      <w:marTop w:val="0"/>
                                                                                      <w:marBottom w:val="0"/>
                                                                                      <w:divBdr>
                                                                                        <w:top w:val="none" w:sz="0" w:space="0" w:color="auto"/>
                                                                                        <w:left w:val="none" w:sz="0" w:space="0" w:color="auto"/>
                                                                                        <w:bottom w:val="none" w:sz="0" w:space="0" w:color="auto"/>
                                                                                        <w:right w:val="none" w:sz="0" w:space="0" w:color="auto"/>
                                                                                      </w:divBdr>
                                                                                    </w:div>
                                                                                  </w:divsChild>
                                                                                </w:div>
                                                                                <w:div w:id="651560829">
                                                                                  <w:marLeft w:val="0"/>
                                                                                  <w:marRight w:val="0"/>
                                                                                  <w:marTop w:val="0"/>
                                                                                  <w:marBottom w:val="0"/>
                                                                                  <w:divBdr>
                                                                                    <w:top w:val="none" w:sz="0" w:space="0" w:color="auto"/>
                                                                                    <w:left w:val="none" w:sz="0" w:space="0" w:color="auto"/>
                                                                                    <w:bottom w:val="none" w:sz="0" w:space="0" w:color="auto"/>
                                                                                    <w:right w:val="none" w:sz="0" w:space="0" w:color="auto"/>
                                                                                  </w:divBdr>
                                                                                </w:div>
                                                                                <w:div w:id="656885335">
                                                                                  <w:marLeft w:val="0"/>
                                                                                  <w:marRight w:val="0"/>
                                                                                  <w:marTop w:val="0"/>
                                                                                  <w:marBottom w:val="0"/>
                                                                                  <w:divBdr>
                                                                                    <w:top w:val="none" w:sz="0" w:space="0" w:color="auto"/>
                                                                                    <w:left w:val="none" w:sz="0" w:space="0" w:color="auto"/>
                                                                                    <w:bottom w:val="none" w:sz="0" w:space="0" w:color="auto"/>
                                                                                    <w:right w:val="none" w:sz="0" w:space="0" w:color="auto"/>
                                                                                  </w:divBdr>
                                                                                </w:div>
                                                                                <w:div w:id="664280734">
                                                                                  <w:marLeft w:val="0"/>
                                                                                  <w:marRight w:val="0"/>
                                                                                  <w:marTop w:val="0"/>
                                                                                  <w:marBottom w:val="0"/>
                                                                                  <w:divBdr>
                                                                                    <w:top w:val="none" w:sz="0" w:space="0" w:color="auto"/>
                                                                                    <w:left w:val="none" w:sz="0" w:space="0" w:color="auto"/>
                                                                                    <w:bottom w:val="none" w:sz="0" w:space="0" w:color="auto"/>
                                                                                    <w:right w:val="none" w:sz="0" w:space="0" w:color="auto"/>
                                                                                  </w:divBdr>
                                                                                </w:div>
                                                                                <w:div w:id="667369945">
                                                                                  <w:marLeft w:val="0"/>
                                                                                  <w:marRight w:val="0"/>
                                                                                  <w:marTop w:val="0"/>
                                                                                  <w:marBottom w:val="0"/>
                                                                                  <w:divBdr>
                                                                                    <w:top w:val="none" w:sz="0" w:space="0" w:color="auto"/>
                                                                                    <w:left w:val="none" w:sz="0" w:space="0" w:color="auto"/>
                                                                                    <w:bottom w:val="none" w:sz="0" w:space="0" w:color="auto"/>
                                                                                    <w:right w:val="none" w:sz="0" w:space="0" w:color="auto"/>
                                                                                  </w:divBdr>
                                                                                </w:div>
                                                                                <w:div w:id="694694240">
                                                                                  <w:marLeft w:val="0"/>
                                                                                  <w:marRight w:val="0"/>
                                                                                  <w:marTop w:val="0"/>
                                                                                  <w:marBottom w:val="0"/>
                                                                                  <w:divBdr>
                                                                                    <w:top w:val="none" w:sz="0" w:space="0" w:color="auto"/>
                                                                                    <w:left w:val="none" w:sz="0" w:space="0" w:color="auto"/>
                                                                                    <w:bottom w:val="none" w:sz="0" w:space="0" w:color="auto"/>
                                                                                    <w:right w:val="none" w:sz="0" w:space="0" w:color="auto"/>
                                                                                  </w:divBdr>
                                                                                </w:div>
                                                                                <w:div w:id="701705501">
                                                                                  <w:marLeft w:val="0"/>
                                                                                  <w:marRight w:val="0"/>
                                                                                  <w:marTop w:val="0"/>
                                                                                  <w:marBottom w:val="0"/>
                                                                                  <w:divBdr>
                                                                                    <w:top w:val="none" w:sz="0" w:space="0" w:color="auto"/>
                                                                                    <w:left w:val="none" w:sz="0" w:space="0" w:color="auto"/>
                                                                                    <w:bottom w:val="none" w:sz="0" w:space="0" w:color="auto"/>
                                                                                    <w:right w:val="none" w:sz="0" w:space="0" w:color="auto"/>
                                                                                  </w:divBdr>
                                                                                </w:div>
                                                                                <w:div w:id="717558092">
                                                                                  <w:marLeft w:val="0"/>
                                                                                  <w:marRight w:val="0"/>
                                                                                  <w:marTop w:val="0"/>
                                                                                  <w:marBottom w:val="0"/>
                                                                                  <w:divBdr>
                                                                                    <w:top w:val="none" w:sz="0" w:space="0" w:color="auto"/>
                                                                                    <w:left w:val="none" w:sz="0" w:space="0" w:color="auto"/>
                                                                                    <w:bottom w:val="none" w:sz="0" w:space="0" w:color="auto"/>
                                                                                    <w:right w:val="none" w:sz="0" w:space="0" w:color="auto"/>
                                                                                  </w:divBdr>
                                                                                </w:div>
                                                                                <w:div w:id="731658687">
                                                                                  <w:marLeft w:val="0"/>
                                                                                  <w:marRight w:val="0"/>
                                                                                  <w:marTop w:val="0"/>
                                                                                  <w:marBottom w:val="0"/>
                                                                                  <w:divBdr>
                                                                                    <w:top w:val="none" w:sz="0" w:space="0" w:color="auto"/>
                                                                                    <w:left w:val="none" w:sz="0" w:space="0" w:color="auto"/>
                                                                                    <w:bottom w:val="none" w:sz="0" w:space="0" w:color="auto"/>
                                                                                    <w:right w:val="none" w:sz="0" w:space="0" w:color="auto"/>
                                                                                  </w:divBdr>
                                                                                </w:div>
                                                                                <w:div w:id="733703802">
                                                                                  <w:marLeft w:val="0"/>
                                                                                  <w:marRight w:val="0"/>
                                                                                  <w:marTop w:val="0"/>
                                                                                  <w:marBottom w:val="0"/>
                                                                                  <w:divBdr>
                                                                                    <w:top w:val="none" w:sz="0" w:space="0" w:color="auto"/>
                                                                                    <w:left w:val="none" w:sz="0" w:space="0" w:color="auto"/>
                                                                                    <w:bottom w:val="none" w:sz="0" w:space="0" w:color="auto"/>
                                                                                    <w:right w:val="none" w:sz="0" w:space="0" w:color="auto"/>
                                                                                  </w:divBdr>
                                                                                </w:div>
                                                                                <w:div w:id="740059004">
                                                                                  <w:marLeft w:val="0"/>
                                                                                  <w:marRight w:val="0"/>
                                                                                  <w:marTop w:val="0"/>
                                                                                  <w:marBottom w:val="0"/>
                                                                                  <w:divBdr>
                                                                                    <w:top w:val="none" w:sz="0" w:space="0" w:color="auto"/>
                                                                                    <w:left w:val="none" w:sz="0" w:space="0" w:color="auto"/>
                                                                                    <w:bottom w:val="none" w:sz="0" w:space="0" w:color="auto"/>
                                                                                    <w:right w:val="none" w:sz="0" w:space="0" w:color="auto"/>
                                                                                  </w:divBdr>
                                                                                </w:div>
                                                                                <w:div w:id="755369178">
                                                                                  <w:marLeft w:val="0"/>
                                                                                  <w:marRight w:val="0"/>
                                                                                  <w:marTop w:val="0"/>
                                                                                  <w:marBottom w:val="0"/>
                                                                                  <w:divBdr>
                                                                                    <w:top w:val="none" w:sz="0" w:space="0" w:color="auto"/>
                                                                                    <w:left w:val="none" w:sz="0" w:space="0" w:color="auto"/>
                                                                                    <w:bottom w:val="none" w:sz="0" w:space="0" w:color="auto"/>
                                                                                    <w:right w:val="none" w:sz="0" w:space="0" w:color="auto"/>
                                                                                  </w:divBdr>
                                                                                </w:div>
                                                                                <w:div w:id="784471788">
                                                                                  <w:marLeft w:val="0"/>
                                                                                  <w:marRight w:val="0"/>
                                                                                  <w:marTop w:val="0"/>
                                                                                  <w:marBottom w:val="0"/>
                                                                                  <w:divBdr>
                                                                                    <w:top w:val="none" w:sz="0" w:space="0" w:color="auto"/>
                                                                                    <w:left w:val="none" w:sz="0" w:space="0" w:color="auto"/>
                                                                                    <w:bottom w:val="none" w:sz="0" w:space="0" w:color="auto"/>
                                                                                    <w:right w:val="none" w:sz="0" w:space="0" w:color="auto"/>
                                                                                  </w:divBdr>
                                                                                </w:div>
                                                                                <w:div w:id="804128176">
                                                                                  <w:marLeft w:val="0"/>
                                                                                  <w:marRight w:val="0"/>
                                                                                  <w:marTop w:val="0"/>
                                                                                  <w:marBottom w:val="0"/>
                                                                                  <w:divBdr>
                                                                                    <w:top w:val="none" w:sz="0" w:space="0" w:color="auto"/>
                                                                                    <w:left w:val="none" w:sz="0" w:space="0" w:color="auto"/>
                                                                                    <w:bottom w:val="none" w:sz="0" w:space="0" w:color="auto"/>
                                                                                    <w:right w:val="none" w:sz="0" w:space="0" w:color="auto"/>
                                                                                  </w:divBdr>
                                                                                </w:div>
                                                                                <w:div w:id="805585437">
                                                                                  <w:marLeft w:val="0"/>
                                                                                  <w:marRight w:val="0"/>
                                                                                  <w:marTop w:val="0"/>
                                                                                  <w:marBottom w:val="0"/>
                                                                                  <w:divBdr>
                                                                                    <w:top w:val="none" w:sz="0" w:space="0" w:color="auto"/>
                                                                                    <w:left w:val="none" w:sz="0" w:space="0" w:color="auto"/>
                                                                                    <w:bottom w:val="none" w:sz="0" w:space="0" w:color="auto"/>
                                                                                    <w:right w:val="none" w:sz="0" w:space="0" w:color="auto"/>
                                                                                  </w:divBdr>
                                                                                  <w:divsChild>
                                                                                    <w:div w:id="1208644731">
                                                                                      <w:marLeft w:val="-75"/>
                                                                                      <w:marRight w:val="0"/>
                                                                                      <w:marTop w:val="30"/>
                                                                                      <w:marBottom w:val="30"/>
                                                                                      <w:divBdr>
                                                                                        <w:top w:val="none" w:sz="0" w:space="0" w:color="auto"/>
                                                                                        <w:left w:val="none" w:sz="0" w:space="0" w:color="auto"/>
                                                                                        <w:bottom w:val="none" w:sz="0" w:space="0" w:color="auto"/>
                                                                                        <w:right w:val="none" w:sz="0" w:space="0" w:color="auto"/>
                                                                                      </w:divBdr>
                                                                                      <w:divsChild>
                                                                                        <w:div w:id="725224846">
                                                                                          <w:marLeft w:val="0"/>
                                                                                          <w:marRight w:val="0"/>
                                                                                          <w:marTop w:val="0"/>
                                                                                          <w:marBottom w:val="0"/>
                                                                                          <w:divBdr>
                                                                                            <w:top w:val="none" w:sz="0" w:space="0" w:color="auto"/>
                                                                                            <w:left w:val="none" w:sz="0" w:space="0" w:color="auto"/>
                                                                                            <w:bottom w:val="none" w:sz="0" w:space="0" w:color="auto"/>
                                                                                            <w:right w:val="none" w:sz="0" w:space="0" w:color="auto"/>
                                                                                          </w:divBdr>
                                                                                          <w:divsChild>
                                                                                            <w:div w:id="578946483">
                                                                                              <w:marLeft w:val="0"/>
                                                                                              <w:marRight w:val="0"/>
                                                                                              <w:marTop w:val="0"/>
                                                                                              <w:marBottom w:val="0"/>
                                                                                              <w:divBdr>
                                                                                                <w:top w:val="none" w:sz="0" w:space="0" w:color="auto"/>
                                                                                                <w:left w:val="none" w:sz="0" w:space="0" w:color="auto"/>
                                                                                                <w:bottom w:val="none" w:sz="0" w:space="0" w:color="auto"/>
                                                                                                <w:right w:val="none" w:sz="0" w:space="0" w:color="auto"/>
                                                                                              </w:divBdr>
                                                                                            </w:div>
                                                                                          </w:divsChild>
                                                                                        </w:div>
                                                                                        <w:div w:id="1919091918">
                                                                                          <w:marLeft w:val="0"/>
                                                                                          <w:marRight w:val="0"/>
                                                                                          <w:marTop w:val="0"/>
                                                                                          <w:marBottom w:val="0"/>
                                                                                          <w:divBdr>
                                                                                            <w:top w:val="none" w:sz="0" w:space="0" w:color="auto"/>
                                                                                            <w:left w:val="none" w:sz="0" w:space="0" w:color="auto"/>
                                                                                            <w:bottom w:val="none" w:sz="0" w:space="0" w:color="auto"/>
                                                                                            <w:right w:val="none" w:sz="0" w:space="0" w:color="auto"/>
                                                                                          </w:divBdr>
                                                                                          <w:divsChild>
                                                                                            <w:div w:id="42947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929570">
                                                                                  <w:marLeft w:val="0"/>
                                                                                  <w:marRight w:val="0"/>
                                                                                  <w:marTop w:val="0"/>
                                                                                  <w:marBottom w:val="0"/>
                                                                                  <w:divBdr>
                                                                                    <w:top w:val="none" w:sz="0" w:space="0" w:color="auto"/>
                                                                                    <w:left w:val="none" w:sz="0" w:space="0" w:color="auto"/>
                                                                                    <w:bottom w:val="none" w:sz="0" w:space="0" w:color="auto"/>
                                                                                    <w:right w:val="none" w:sz="0" w:space="0" w:color="auto"/>
                                                                                  </w:divBdr>
                                                                                </w:div>
                                                                                <w:div w:id="837355053">
                                                                                  <w:marLeft w:val="0"/>
                                                                                  <w:marRight w:val="0"/>
                                                                                  <w:marTop w:val="0"/>
                                                                                  <w:marBottom w:val="0"/>
                                                                                  <w:divBdr>
                                                                                    <w:top w:val="none" w:sz="0" w:space="0" w:color="auto"/>
                                                                                    <w:left w:val="none" w:sz="0" w:space="0" w:color="auto"/>
                                                                                    <w:bottom w:val="none" w:sz="0" w:space="0" w:color="auto"/>
                                                                                    <w:right w:val="none" w:sz="0" w:space="0" w:color="auto"/>
                                                                                  </w:divBdr>
                                                                                </w:div>
                                                                                <w:div w:id="859006941">
                                                                                  <w:marLeft w:val="0"/>
                                                                                  <w:marRight w:val="0"/>
                                                                                  <w:marTop w:val="0"/>
                                                                                  <w:marBottom w:val="0"/>
                                                                                  <w:divBdr>
                                                                                    <w:top w:val="none" w:sz="0" w:space="0" w:color="auto"/>
                                                                                    <w:left w:val="none" w:sz="0" w:space="0" w:color="auto"/>
                                                                                    <w:bottom w:val="none" w:sz="0" w:space="0" w:color="auto"/>
                                                                                    <w:right w:val="none" w:sz="0" w:space="0" w:color="auto"/>
                                                                                  </w:divBdr>
                                                                                </w:div>
                                                                                <w:div w:id="866019108">
                                                                                  <w:marLeft w:val="0"/>
                                                                                  <w:marRight w:val="0"/>
                                                                                  <w:marTop w:val="0"/>
                                                                                  <w:marBottom w:val="0"/>
                                                                                  <w:divBdr>
                                                                                    <w:top w:val="none" w:sz="0" w:space="0" w:color="auto"/>
                                                                                    <w:left w:val="none" w:sz="0" w:space="0" w:color="auto"/>
                                                                                    <w:bottom w:val="none" w:sz="0" w:space="0" w:color="auto"/>
                                                                                    <w:right w:val="none" w:sz="0" w:space="0" w:color="auto"/>
                                                                                  </w:divBdr>
                                                                                </w:div>
                                                                                <w:div w:id="868030890">
                                                                                  <w:marLeft w:val="0"/>
                                                                                  <w:marRight w:val="0"/>
                                                                                  <w:marTop w:val="0"/>
                                                                                  <w:marBottom w:val="0"/>
                                                                                  <w:divBdr>
                                                                                    <w:top w:val="none" w:sz="0" w:space="0" w:color="auto"/>
                                                                                    <w:left w:val="none" w:sz="0" w:space="0" w:color="auto"/>
                                                                                    <w:bottom w:val="none" w:sz="0" w:space="0" w:color="auto"/>
                                                                                    <w:right w:val="none" w:sz="0" w:space="0" w:color="auto"/>
                                                                                  </w:divBdr>
                                                                                </w:div>
                                                                                <w:div w:id="895776212">
                                                                                  <w:marLeft w:val="0"/>
                                                                                  <w:marRight w:val="0"/>
                                                                                  <w:marTop w:val="0"/>
                                                                                  <w:marBottom w:val="0"/>
                                                                                  <w:divBdr>
                                                                                    <w:top w:val="none" w:sz="0" w:space="0" w:color="auto"/>
                                                                                    <w:left w:val="none" w:sz="0" w:space="0" w:color="auto"/>
                                                                                    <w:bottom w:val="none" w:sz="0" w:space="0" w:color="auto"/>
                                                                                    <w:right w:val="none" w:sz="0" w:space="0" w:color="auto"/>
                                                                                  </w:divBdr>
                                                                                </w:div>
                                                                                <w:div w:id="897856824">
                                                                                  <w:marLeft w:val="0"/>
                                                                                  <w:marRight w:val="0"/>
                                                                                  <w:marTop w:val="0"/>
                                                                                  <w:marBottom w:val="0"/>
                                                                                  <w:divBdr>
                                                                                    <w:top w:val="none" w:sz="0" w:space="0" w:color="auto"/>
                                                                                    <w:left w:val="none" w:sz="0" w:space="0" w:color="auto"/>
                                                                                    <w:bottom w:val="none" w:sz="0" w:space="0" w:color="auto"/>
                                                                                    <w:right w:val="none" w:sz="0" w:space="0" w:color="auto"/>
                                                                                  </w:divBdr>
                                                                                </w:div>
                                                                                <w:div w:id="920866703">
                                                                                  <w:marLeft w:val="0"/>
                                                                                  <w:marRight w:val="0"/>
                                                                                  <w:marTop w:val="0"/>
                                                                                  <w:marBottom w:val="0"/>
                                                                                  <w:divBdr>
                                                                                    <w:top w:val="none" w:sz="0" w:space="0" w:color="auto"/>
                                                                                    <w:left w:val="none" w:sz="0" w:space="0" w:color="auto"/>
                                                                                    <w:bottom w:val="none" w:sz="0" w:space="0" w:color="auto"/>
                                                                                    <w:right w:val="none" w:sz="0" w:space="0" w:color="auto"/>
                                                                                  </w:divBdr>
                                                                                </w:div>
                                                                                <w:div w:id="938564079">
                                                                                  <w:marLeft w:val="0"/>
                                                                                  <w:marRight w:val="0"/>
                                                                                  <w:marTop w:val="0"/>
                                                                                  <w:marBottom w:val="0"/>
                                                                                  <w:divBdr>
                                                                                    <w:top w:val="none" w:sz="0" w:space="0" w:color="auto"/>
                                                                                    <w:left w:val="none" w:sz="0" w:space="0" w:color="auto"/>
                                                                                    <w:bottom w:val="none" w:sz="0" w:space="0" w:color="auto"/>
                                                                                    <w:right w:val="none" w:sz="0" w:space="0" w:color="auto"/>
                                                                                  </w:divBdr>
                                                                                </w:div>
                                                                                <w:div w:id="940798675">
                                                                                  <w:marLeft w:val="0"/>
                                                                                  <w:marRight w:val="0"/>
                                                                                  <w:marTop w:val="0"/>
                                                                                  <w:marBottom w:val="0"/>
                                                                                  <w:divBdr>
                                                                                    <w:top w:val="none" w:sz="0" w:space="0" w:color="auto"/>
                                                                                    <w:left w:val="none" w:sz="0" w:space="0" w:color="auto"/>
                                                                                    <w:bottom w:val="none" w:sz="0" w:space="0" w:color="auto"/>
                                                                                    <w:right w:val="none" w:sz="0" w:space="0" w:color="auto"/>
                                                                                  </w:divBdr>
                                                                                </w:div>
                                                                                <w:div w:id="955022538">
                                                                                  <w:marLeft w:val="0"/>
                                                                                  <w:marRight w:val="0"/>
                                                                                  <w:marTop w:val="0"/>
                                                                                  <w:marBottom w:val="0"/>
                                                                                  <w:divBdr>
                                                                                    <w:top w:val="none" w:sz="0" w:space="0" w:color="auto"/>
                                                                                    <w:left w:val="none" w:sz="0" w:space="0" w:color="auto"/>
                                                                                    <w:bottom w:val="none" w:sz="0" w:space="0" w:color="auto"/>
                                                                                    <w:right w:val="none" w:sz="0" w:space="0" w:color="auto"/>
                                                                                  </w:divBdr>
                                                                                </w:div>
                                                                                <w:div w:id="960498612">
                                                                                  <w:marLeft w:val="0"/>
                                                                                  <w:marRight w:val="0"/>
                                                                                  <w:marTop w:val="0"/>
                                                                                  <w:marBottom w:val="0"/>
                                                                                  <w:divBdr>
                                                                                    <w:top w:val="none" w:sz="0" w:space="0" w:color="auto"/>
                                                                                    <w:left w:val="none" w:sz="0" w:space="0" w:color="auto"/>
                                                                                    <w:bottom w:val="none" w:sz="0" w:space="0" w:color="auto"/>
                                                                                    <w:right w:val="none" w:sz="0" w:space="0" w:color="auto"/>
                                                                                  </w:divBdr>
                                                                                </w:div>
                                                                                <w:div w:id="972440020">
                                                                                  <w:marLeft w:val="0"/>
                                                                                  <w:marRight w:val="0"/>
                                                                                  <w:marTop w:val="0"/>
                                                                                  <w:marBottom w:val="0"/>
                                                                                  <w:divBdr>
                                                                                    <w:top w:val="none" w:sz="0" w:space="0" w:color="auto"/>
                                                                                    <w:left w:val="none" w:sz="0" w:space="0" w:color="auto"/>
                                                                                    <w:bottom w:val="none" w:sz="0" w:space="0" w:color="auto"/>
                                                                                    <w:right w:val="none" w:sz="0" w:space="0" w:color="auto"/>
                                                                                  </w:divBdr>
                                                                                </w:div>
                                                                                <w:div w:id="973409932">
                                                                                  <w:marLeft w:val="0"/>
                                                                                  <w:marRight w:val="0"/>
                                                                                  <w:marTop w:val="0"/>
                                                                                  <w:marBottom w:val="0"/>
                                                                                  <w:divBdr>
                                                                                    <w:top w:val="none" w:sz="0" w:space="0" w:color="auto"/>
                                                                                    <w:left w:val="none" w:sz="0" w:space="0" w:color="auto"/>
                                                                                    <w:bottom w:val="none" w:sz="0" w:space="0" w:color="auto"/>
                                                                                    <w:right w:val="none" w:sz="0" w:space="0" w:color="auto"/>
                                                                                  </w:divBdr>
                                                                                </w:div>
                                                                                <w:div w:id="1009060875">
                                                                                  <w:marLeft w:val="0"/>
                                                                                  <w:marRight w:val="0"/>
                                                                                  <w:marTop w:val="0"/>
                                                                                  <w:marBottom w:val="0"/>
                                                                                  <w:divBdr>
                                                                                    <w:top w:val="none" w:sz="0" w:space="0" w:color="auto"/>
                                                                                    <w:left w:val="none" w:sz="0" w:space="0" w:color="auto"/>
                                                                                    <w:bottom w:val="none" w:sz="0" w:space="0" w:color="auto"/>
                                                                                    <w:right w:val="none" w:sz="0" w:space="0" w:color="auto"/>
                                                                                  </w:divBdr>
                                                                                  <w:divsChild>
                                                                                    <w:div w:id="68576191">
                                                                                      <w:marLeft w:val="0"/>
                                                                                      <w:marRight w:val="0"/>
                                                                                      <w:marTop w:val="0"/>
                                                                                      <w:marBottom w:val="0"/>
                                                                                      <w:divBdr>
                                                                                        <w:top w:val="none" w:sz="0" w:space="0" w:color="auto"/>
                                                                                        <w:left w:val="none" w:sz="0" w:space="0" w:color="auto"/>
                                                                                        <w:bottom w:val="none" w:sz="0" w:space="0" w:color="auto"/>
                                                                                        <w:right w:val="none" w:sz="0" w:space="0" w:color="auto"/>
                                                                                      </w:divBdr>
                                                                                    </w:div>
                                                                                    <w:div w:id="372273517">
                                                                                      <w:marLeft w:val="0"/>
                                                                                      <w:marRight w:val="0"/>
                                                                                      <w:marTop w:val="0"/>
                                                                                      <w:marBottom w:val="0"/>
                                                                                      <w:divBdr>
                                                                                        <w:top w:val="none" w:sz="0" w:space="0" w:color="auto"/>
                                                                                        <w:left w:val="none" w:sz="0" w:space="0" w:color="auto"/>
                                                                                        <w:bottom w:val="none" w:sz="0" w:space="0" w:color="auto"/>
                                                                                        <w:right w:val="none" w:sz="0" w:space="0" w:color="auto"/>
                                                                                      </w:divBdr>
                                                                                    </w:div>
                                                                                    <w:div w:id="1167357251">
                                                                                      <w:marLeft w:val="0"/>
                                                                                      <w:marRight w:val="0"/>
                                                                                      <w:marTop w:val="0"/>
                                                                                      <w:marBottom w:val="0"/>
                                                                                      <w:divBdr>
                                                                                        <w:top w:val="none" w:sz="0" w:space="0" w:color="auto"/>
                                                                                        <w:left w:val="none" w:sz="0" w:space="0" w:color="auto"/>
                                                                                        <w:bottom w:val="none" w:sz="0" w:space="0" w:color="auto"/>
                                                                                        <w:right w:val="none" w:sz="0" w:space="0" w:color="auto"/>
                                                                                      </w:divBdr>
                                                                                    </w:div>
                                                                                    <w:div w:id="1930504742">
                                                                                      <w:marLeft w:val="0"/>
                                                                                      <w:marRight w:val="0"/>
                                                                                      <w:marTop w:val="0"/>
                                                                                      <w:marBottom w:val="0"/>
                                                                                      <w:divBdr>
                                                                                        <w:top w:val="none" w:sz="0" w:space="0" w:color="auto"/>
                                                                                        <w:left w:val="none" w:sz="0" w:space="0" w:color="auto"/>
                                                                                        <w:bottom w:val="none" w:sz="0" w:space="0" w:color="auto"/>
                                                                                        <w:right w:val="none" w:sz="0" w:space="0" w:color="auto"/>
                                                                                      </w:divBdr>
                                                                                    </w:div>
                                                                                  </w:divsChild>
                                                                                </w:div>
                                                                                <w:div w:id="1009796288">
                                                                                  <w:marLeft w:val="0"/>
                                                                                  <w:marRight w:val="0"/>
                                                                                  <w:marTop w:val="0"/>
                                                                                  <w:marBottom w:val="0"/>
                                                                                  <w:divBdr>
                                                                                    <w:top w:val="none" w:sz="0" w:space="0" w:color="auto"/>
                                                                                    <w:left w:val="none" w:sz="0" w:space="0" w:color="auto"/>
                                                                                    <w:bottom w:val="none" w:sz="0" w:space="0" w:color="auto"/>
                                                                                    <w:right w:val="none" w:sz="0" w:space="0" w:color="auto"/>
                                                                                  </w:divBdr>
                                                                                </w:div>
                                                                                <w:div w:id="1014845521">
                                                                                  <w:marLeft w:val="0"/>
                                                                                  <w:marRight w:val="0"/>
                                                                                  <w:marTop w:val="0"/>
                                                                                  <w:marBottom w:val="0"/>
                                                                                  <w:divBdr>
                                                                                    <w:top w:val="none" w:sz="0" w:space="0" w:color="auto"/>
                                                                                    <w:left w:val="none" w:sz="0" w:space="0" w:color="auto"/>
                                                                                    <w:bottom w:val="none" w:sz="0" w:space="0" w:color="auto"/>
                                                                                    <w:right w:val="none" w:sz="0" w:space="0" w:color="auto"/>
                                                                                  </w:divBdr>
                                                                                </w:div>
                                                                                <w:div w:id="1042287496">
                                                                                  <w:marLeft w:val="0"/>
                                                                                  <w:marRight w:val="0"/>
                                                                                  <w:marTop w:val="0"/>
                                                                                  <w:marBottom w:val="0"/>
                                                                                  <w:divBdr>
                                                                                    <w:top w:val="none" w:sz="0" w:space="0" w:color="auto"/>
                                                                                    <w:left w:val="none" w:sz="0" w:space="0" w:color="auto"/>
                                                                                    <w:bottom w:val="none" w:sz="0" w:space="0" w:color="auto"/>
                                                                                    <w:right w:val="none" w:sz="0" w:space="0" w:color="auto"/>
                                                                                  </w:divBdr>
                                                                                  <w:divsChild>
                                                                                    <w:div w:id="745613843">
                                                                                      <w:marLeft w:val="-75"/>
                                                                                      <w:marRight w:val="0"/>
                                                                                      <w:marTop w:val="30"/>
                                                                                      <w:marBottom w:val="30"/>
                                                                                      <w:divBdr>
                                                                                        <w:top w:val="none" w:sz="0" w:space="0" w:color="auto"/>
                                                                                        <w:left w:val="none" w:sz="0" w:space="0" w:color="auto"/>
                                                                                        <w:bottom w:val="none" w:sz="0" w:space="0" w:color="auto"/>
                                                                                        <w:right w:val="none" w:sz="0" w:space="0" w:color="auto"/>
                                                                                      </w:divBdr>
                                                                                      <w:divsChild>
                                                                                        <w:div w:id="140120640">
                                                                                          <w:marLeft w:val="0"/>
                                                                                          <w:marRight w:val="0"/>
                                                                                          <w:marTop w:val="0"/>
                                                                                          <w:marBottom w:val="0"/>
                                                                                          <w:divBdr>
                                                                                            <w:top w:val="none" w:sz="0" w:space="0" w:color="auto"/>
                                                                                            <w:left w:val="none" w:sz="0" w:space="0" w:color="auto"/>
                                                                                            <w:bottom w:val="none" w:sz="0" w:space="0" w:color="auto"/>
                                                                                            <w:right w:val="none" w:sz="0" w:space="0" w:color="auto"/>
                                                                                          </w:divBdr>
                                                                                          <w:divsChild>
                                                                                            <w:div w:id="239020962">
                                                                                              <w:marLeft w:val="0"/>
                                                                                              <w:marRight w:val="0"/>
                                                                                              <w:marTop w:val="0"/>
                                                                                              <w:marBottom w:val="0"/>
                                                                                              <w:divBdr>
                                                                                                <w:top w:val="none" w:sz="0" w:space="0" w:color="auto"/>
                                                                                                <w:left w:val="none" w:sz="0" w:space="0" w:color="auto"/>
                                                                                                <w:bottom w:val="none" w:sz="0" w:space="0" w:color="auto"/>
                                                                                                <w:right w:val="none" w:sz="0" w:space="0" w:color="auto"/>
                                                                                              </w:divBdr>
                                                                                            </w:div>
                                                                                          </w:divsChild>
                                                                                        </w:div>
                                                                                        <w:div w:id="248276547">
                                                                                          <w:marLeft w:val="0"/>
                                                                                          <w:marRight w:val="0"/>
                                                                                          <w:marTop w:val="0"/>
                                                                                          <w:marBottom w:val="0"/>
                                                                                          <w:divBdr>
                                                                                            <w:top w:val="none" w:sz="0" w:space="0" w:color="auto"/>
                                                                                            <w:left w:val="none" w:sz="0" w:space="0" w:color="auto"/>
                                                                                            <w:bottom w:val="none" w:sz="0" w:space="0" w:color="auto"/>
                                                                                            <w:right w:val="none" w:sz="0" w:space="0" w:color="auto"/>
                                                                                          </w:divBdr>
                                                                                          <w:divsChild>
                                                                                            <w:div w:id="960308771">
                                                                                              <w:marLeft w:val="0"/>
                                                                                              <w:marRight w:val="0"/>
                                                                                              <w:marTop w:val="0"/>
                                                                                              <w:marBottom w:val="0"/>
                                                                                              <w:divBdr>
                                                                                                <w:top w:val="none" w:sz="0" w:space="0" w:color="auto"/>
                                                                                                <w:left w:val="none" w:sz="0" w:space="0" w:color="auto"/>
                                                                                                <w:bottom w:val="none" w:sz="0" w:space="0" w:color="auto"/>
                                                                                                <w:right w:val="none" w:sz="0" w:space="0" w:color="auto"/>
                                                                                              </w:divBdr>
                                                                                            </w:div>
                                                                                          </w:divsChild>
                                                                                        </w:div>
                                                                                        <w:div w:id="466318606">
                                                                                          <w:marLeft w:val="0"/>
                                                                                          <w:marRight w:val="0"/>
                                                                                          <w:marTop w:val="0"/>
                                                                                          <w:marBottom w:val="0"/>
                                                                                          <w:divBdr>
                                                                                            <w:top w:val="none" w:sz="0" w:space="0" w:color="auto"/>
                                                                                            <w:left w:val="none" w:sz="0" w:space="0" w:color="auto"/>
                                                                                            <w:bottom w:val="none" w:sz="0" w:space="0" w:color="auto"/>
                                                                                            <w:right w:val="none" w:sz="0" w:space="0" w:color="auto"/>
                                                                                          </w:divBdr>
                                                                                          <w:divsChild>
                                                                                            <w:div w:id="826441027">
                                                                                              <w:marLeft w:val="0"/>
                                                                                              <w:marRight w:val="0"/>
                                                                                              <w:marTop w:val="0"/>
                                                                                              <w:marBottom w:val="0"/>
                                                                                              <w:divBdr>
                                                                                                <w:top w:val="none" w:sz="0" w:space="0" w:color="auto"/>
                                                                                                <w:left w:val="none" w:sz="0" w:space="0" w:color="auto"/>
                                                                                                <w:bottom w:val="none" w:sz="0" w:space="0" w:color="auto"/>
                                                                                                <w:right w:val="none" w:sz="0" w:space="0" w:color="auto"/>
                                                                                              </w:divBdr>
                                                                                            </w:div>
                                                                                          </w:divsChild>
                                                                                        </w:div>
                                                                                        <w:div w:id="484902153">
                                                                                          <w:marLeft w:val="0"/>
                                                                                          <w:marRight w:val="0"/>
                                                                                          <w:marTop w:val="0"/>
                                                                                          <w:marBottom w:val="0"/>
                                                                                          <w:divBdr>
                                                                                            <w:top w:val="none" w:sz="0" w:space="0" w:color="auto"/>
                                                                                            <w:left w:val="none" w:sz="0" w:space="0" w:color="auto"/>
                                                                                            <w:bottom w:val="none" w:sz="0" w:space="0" w:color="auto"/>
                                                                                            <w:right w:val="none" w:sz="0" w:space="0" w:color="auto"/>
                                                                                          </w:divBdr>
                                                                                          <w:divsChild>
                                                                                            <w:div w:id="1486237543">
                                                                                              <w:marLeft w:val="0"/>
                                                                                              <w:marRight w:val="0"/>
                                                                                              <w:marTop w:val="0"/>
                                                                                              <w:marBottom w:val="0"/>
                                                                                              <w:divBdr>
                                                                                                <w:top w:val="none" w:sz="0" w:space="0" w:color="auto"/>
                                                                                                <w:left w:val="none" w:sz="0" w:space="0" w:color="auto"/>
                                                                                                <w:bottom w:val="none" w:sz="0" w:space="0" w:color="auto"/>
                                                                                                <w:right w:val="none" w:sz="0" w:space="0" w:color="auto"/>
                                                                                              </w:divBdr>
                                                                                            </w:div>
                                                                                          </w:divsChild>
                                                                                        </w:div>
                                                                                        <w:div w:id="566956782">
                                                                                          <w:marLeft w:val="0"/>
                                                                                          <w:marRight w:val="0"/>
                                                                                          <w:marTop w:val="0"/>
                                                                                          <w:marBottom w:val="0"/>
                                                                                          <w:divBdr>
                                                                                            <w:top w:val="none" w:sz="0" w:space="0" w:color="auto"/>
                                                                                            <w:left w:val="none" w:sz="0" w:space="0" w:color="auto"/>
                                                                                            <w:bottom w:val="none" w:sz="0" w:space="0" w:color="auto"/>
                                                                                            <w:right w:val="none" w:sz="0" w:space="0" w:color="auto"/>
                                                                                          </w:divBdr>
                                                                                          <w:divsChild>
                                                                                            <w:div w:id="1286473249">
                                                                                              <w:marLeft w:val="0"/>
                                                                                              <w:marRight w:val="0"/>
                                                                                              <w:marTop w:val="0"/>
                                                                                              <w:marBottom w:val="0"/>
                                                                                              <w:divBdr>
                                                                                                <w:top w:val="none" w:sz="0" w:space="0" w:color="auto"/>
                                                                                                <w:left w:val="none" w:sz="0" w:space="0" w:color="auto"/>
                                                                                                <w:bottom w:val="none" w:sz="0" w:space="0" w:color="auto"/>
                                                                                                <w:right w:val="none" w:sz="0" w:space="0" w:color="auto"/>
                                                                                              </w:divBdr>
                                                                                            </w:div>
                                                                                          </w:divsChild>
                                                                                        </w:div>
                                                                                        <w:div w:id="570195362">
                                                                                          <w:marLeft w:val="0"/>
                                                                                          <w:marRight w:val="0"/>
                                                                                          <w:marTop w:val="0"/>
                                                                                          <w:marBottom w:val="0"/>
                                                                                          <w:divBdr>
                                                                                            <w:top w:val="none" w:sz="0" w:space="0" w:color="auto"/>
                                                                                            <w:left w:val="none" w:sz="0" w:space="0" w:color="auto"/>
                                                                                            <w:bottom w:val="none" w:sz="0" w:space="0" w:color="auto"/>
                                                                                            <w:right w:val="none" w:sz="0" w:space="0" w:color="auto"/>
                                                                                          </w:divBdr>
                                                                                          <w:divsChild>
                                                                                            <w:div w:id="1734888844">
                                                                                              <w:marLeft w:val="0"/>
                                                                                              <w:marRight w:val="0"/>
                                                                                              <w:marTop w:val="0"/>
                                                                                              <w:marBottom w:val="0"/>
                                                                                              <w:divBdr>
                                                                                                <w:top w:val="none" w:sz="0" w:space="0" w:color="auto"/>
                                                                                                <w:left w:val="none" w:sz="0" w:space="0" w:color="auto"/>
                                                                                                <w:bottom w:val="none" w:sz="0" w:space="0" w:color="auto"/>
                                                                                                <w:right w:val="none" w:sz="0" w:space="0" w:color="auto"/>
                                                                                              </w:divBdr>
                                                                                            </w:div>
                                                                                          </w:divsChild>
                                                                                        </w:div>
                                                                                        <w:div w:id="575287760">
                                                                                          <w:marLeft w:val="0"/>
                                                                                          <w:marRight w:val="0"/>
                                                                                          <w:marTop w:val="0"/>
                                                                                          <w:marBottom w:val="0"/>
                                                                                          <w:divBdr>
                                                                                            <w:top w:val="none" w:sz="0" w:space="0" w:color="auto"/>
                                                                                            <w:left w:val="none" w:sz="0" w:space="0" w:color="auto"/>
                                                                                            <w:bottom w:val="none" w:sz="0" w:space="0" w:color="auto"/>
                                                                                            <w:right w:val="none" w:sz="0" w:space="0" w:color="auto"/>
                                                                                          </w:divBdr>
                                                                                          <w:divsChild>
                                                                                            <w:div w:id="548996711">
                                                                                              <w:marLeft w:val="0"/>
                                                                                              <w:marRight w:val="0"/>
                                                                                              <w:marTop w:val="0"/>
                                                                                              <w:marBottom w:val="0"/>
                                                                                              <w:divBdr>
                                                                                                <w:top w:val="none" w:sz="0" w:space="0" w:color="auto"/>
                                                                                                <w:left w:val="none" w:sz="0" w:space="0" w:color="auto"/>
                                                                                                <w:bottom w:val="none" w:sz="0" w:space="0" w:color="auto"/>
                                                                                                <w:right w:val="none" w:sz="0" w:space="0" w:color="auto"/>
                                                                                              </w:divBdr>
                                                                                            </w:div>
                                                                                          </w:divsChild>
                                                                                        </w:div>
                                                                                        <w:div w:id="702173315">
                                                                                          <w:marLeft w:val="0"/>
                                                                                          <w:marRight w:val="0"/>
                                                                                          <w:marTop w:val="0"/>
                                                                                          <w:marBottom w:val="0"/>
                                                                                          <w:divBdr>
                                                                                            <w:top w:val="none" w:sz="0" w:space="0" w:color="auto"/>
                                                                                            <w:left w:val="none" w:sz="0" w:space="0" w:color="auto"/>
                                                                                            <w:bottom w:val="none" w:sz="0" w:space="0" w:color="auto"/>
                                                                                            <w:right w:val="none" w:sz="0" w:space="0" w:color="auto"/>
                                                                                          </w:divBdr>
                                                                                          <w:divsChild>
                                                                                            <w:div w:id="786005465">
                                                                                              <w:marLeft w:val="0"/>
                                                                                              <w:marRight w:val="0"/>
                                                                                              <w:marTop w:val="0"/>
                                                                                              <w:marBottom w:val="0"/>
                                                                                              <w:divBdr>
                                                                                                <w:top w:val="none" w:sz="0" w:space="0" w:color="auto"/>
                                                                                                <w:left w:val="none" w:sz="0" w:space="0" w:color="auto"/>
                                                                                                <w:bottom w:val="none" w:sz="0" w:space="0" w:color="auto"/>
                                                                                                <w:right w:val="none" w:sz="0" w:space="0" w:color="auto"/>
                                                                                              </w:divBdr>
                                                                                            </w:div>
                                                                                          </w:divsChild>
                                                                                        </w:div>
                                                                                        <w:div w:id="716666999">
                                                                                          <w:marLeft w:val="0"/>
                                                                                          <w:marRight w:val="0"/>
                                                                                          <w:marTop w:val="0"/>
                                                                                          <w:marBottom w:val="0"/>
                                                                                          <w:divBdr>
                                                                                            <w:top w:val="none" w:sz="0" w:space="0" w:color="auto"/>
                                                                                            <w:left w:val="none" w:sz="0" w:space="0" w:color="auto"/>
                                                                                            <w:bottom w:val="none" w:sz="0" w:space="0" w:color="auto"/>
                                                                                            <w:right w:val="none" w:sz="0" w:space="0" w:color="auto"/>
                                                                                          </w:divBdr>
                                                                                          <w:divsChild>
                                                                                            <w:div w:id="1055275930">
                                                                                              <w:marLeft w:val="0"/>
                                                                                              <w:marRight w:val="0"/>
                                                                                              <w:marTop w:val="0"/>
                                                                                              <w:marBottom w:val="0"/>
                                                                                              <w:divBdr>
                                                                                                <w:top w:val="none" w:sz="0" w:space="0" w:color="auto"/>
                                                                                                <w:left w:val="none" w:sz="0" w:space="0" w:color="auto"/>
                                                                                                <w:bottom w:val="none" w:sz="0" w:space="0" w:color="auto"/>
                                                                                                <w:right w:val="none" w:sz="0" w:space="0" w:color="auto"/>
                                                                                              </w:divBdr>
                                                                                            </w:div>
                                                                                          </w:divsChild>
                                                                                        </w:div>
                                                                                        <w:div w:id="837424064">
                                                                                          <w:marLeft w:val="0"/>
                                                                                          <w:marRight w:val="0"/>
                                                                                          <w:marTop w:val="0"/>
                                                                                          <w:marBottom w:val="0"/>
                                                                                          <w:divBdr>
                                                                                            <w:top w:val="none" w:sz="0" w:space="0" w:color="auto"/>
                                                                                            <w:left w:val="none" w:sz="0" w:space="0" w:color="auto"/>
                                                                                            <w:bottom w:val="none" w:sz="0" w:space="0" w:color="auto"/>
                                                                                            <w:right w:val="none" w:sz="0" w:space="0" w:color="auto"/>
                                                                                          </w:divBdr>
                                                                                          <w:divsChild>
                                                                                            <w:div w:id="889002871">
                                                                                              <w:marLeft w:val="0"/>
                                                                                              <w:marRight w:val="0"/>
                                                                                              <w:marTop w:val="0"/>
                                                                                              <w:marBottom w:val="0"/>
                                                                                              <w:divBdr>
                                                                                                <w:top w:val="none" w:sz="0" w:space="0" w:color="auto"/>
                                                                                                <w:left w:val="none" w:sz="0" w:space="0" w:color="auto"/>
                                                                                                <w:bottom w:val="none" w:sz="0" w:space="0" w:color="auto"/>
                                                                                                <w:right w:val="none" w:sz="0" w:space="0" w:color="auto"/>
                                                                                              </w:divBdr>
                                                                                            </w:div>
                                                                                          </w:divsChild>
                                                                                        </w:div>
                                                                                        <w:div w:id="1166360942">
                                                                                          <w:marLeft w:val="0"/>
                                                                                          <w:marRight w:val="0"/>
                                                                                          <w:marTop w:val="0"/>
                                                                                          <w:marBottom w:val="0"/>
                                                                                          <w:divBdr>
                                                                                            <w:top w:val="none" w:sz="0" w:space="0" w:color="auto"/>
                                                                                            <w:left w:val="none" w:sz="0" w:space="0" w:color="auto"/>
                                                                                            <w:bottom w:val="none" w:sz="0" w:space="0" w:color="auto"/>
                                                                                            <w:right w:val="none" w:sz="0" w:space="0" w:color="auto"/>
                                                                                          </w:divBdr>
                                                                                          <w:divsChild>
                                                                                            <w:div w:id="1067846775">
                                                                                              <w:marLeft w:val="0"/>
                                                                                              <w:marRight w:val="0"/>
                                                                                              <w:marTop w:val="0"/>
                                                                                              <w:marBottom w:val="0"/>
                                                                                              <w:divBdr>
                                                                                                <w:top w:val="none" w:sz="0" w:space="0" w:color="auto"/>
                                                                                                <w:left w:val="none" w:sz="0" w:space="0" w:color="auto"/>
                                                                                                <w:bottom w:val="none" w:sz="0" w:space="0" w:color="auto"/>
                                                                                                <w:right w:val="none" w:sz="0" w:space="0" w:color="auto"/>
                                                                                              </w:divBdr>
                                                                                            </w:div>
                                                                                          </w:divsChild>
                                                                                        </w:div>
                                                                                        <w:div w:id="1263025219">
                                                                                          <w:marLeft w:val="0"/>
                                                                                          <w:marRight w:val="0"/>
                                                                                          <w:marTop w:val="0"/>
                                                                                          <w:marBottom w:val="0"/>
                                                                                          <w:divBdr>
                                                                                            <w:top w:val="none" w:sz="0" w:space="0" w:color="auto"/>
                                                                                            <w:left w:val="none" w:sz="0" w:space="0" w:color="auto"/>
                                                                                            <w:bottom w:val="none" w:sz="0" w:space="0" w:color="auto"/>
                                                                                            <w:right w:val="none" w:sz="0" w:space="0" w:color="auto"/>
                                                                                          </w:divBdr>
                                                                                          <w:divsChild>
                                                                                            <w:div w:id="242225612">
                                                                                              <w:marLeft w:val="0"/>
                                                                                              <w:marRight w:val="0"/>
                                                                                              <w:marTop w:val="0"/>
                                                                                              <w:marBottom w:val="0"/>
                                                                                              <w:divBdr>
                                                                                                <w:top w:val="none" w:sz="0" w:space="0" w:color="auto"/>
                                                                                                <w:left w:val="none" w:sz="0" w:space="0" w:color="auto"/>
                                                                                                <w:bottom w:val="none" w:sz="0" w:space="0" w:color="auto"/>
                                                                                                <w:right w:val="none" w:sz="0" w:space="0" w:color="auto"/>
                                                                                              </w:divBdr>
                                                                                            </w:div>
                                                                                          </w:divsChild>
                                                                                        </w:div>
                                                                                        <w:div w:id="1418287805">
                                                                                          <w:marLeft w:val="0"/>
                                                                                          <w:marRight w:val="0"/>
                                                                                          <w:marTop w:val="0"/>
                                                                                          <w:marBottom w:val="0"/>
                                                                                          <w:divBdr>
                                                                                            <w:top w:val="none" w:sz="0" w:space="0" w:color="auto"/>
                                                                                            <w:left w:val="none" w:sz="0" w:space="0" w:color="auto"/>
                                                                                            <w:bottom w:val="none" w:sz="0" w:space="0" w:color="auto"/>
                                                                                            <w:right w:val="none" w:sz="0" w:space="0" w:color="auto"/>
                                                                                          </w:divBdr>
                                                                                          <w:divsChild>
                                                                                            <w:div w:id="1431314463">
                                                                                              <w:marLeft w:val="0"/>
                                                                                              <w:marRight w:val="0"/>
                                                                                              <w:marTop w:val="0"/>
                                                                                              <w:marBottom w:val="0"/>
                                                                                              <w:divBdr>
                                                                                                <w:top w:val="none" w:sz="0" w:space="0" w:color="auto"/>
                                                                                                <w:left w:val="none" w:sz="0" w:space="0" w:color="auto"/>
                                                                                                <w:bottom w:val="none" w:sz="0" w:space="0" w:color="auto"/>
                                                                                                <w:right w:val="none" w:sz="0" w:space="0" w:color="auto"/>
                                                                                              </w:divBdr>
                                                                                            </w:div>
                                                                                          </w:divsChild>
                                                                                        </w:div>
                                                                                        <w:div w:id="1441611839">
                                                                                          <w:marLeft w:val="0"/>
                                                                                          <w:marRight w:val="0"/>
                                                                                          <w:marTop w:val="0"/>
                                                                                          <w:marBottom w:val="0"/>
                                                                                          <w:divBdr>
                                                                                            <w:top w:val="none" w:sz="0" w:space="0" w:color="auto"/>
                                                                                            <w:left w:val="none" w:sz="0" w:space="0" w:color="auto"/>
                                                                                            <w:bottom w:val="none" w:sz="0" w:space="0" w:color="auto"/>
                                                                                            <w:right w:val="none" w:sz="0" w:space="0" w:color="auto"/>
                                                                                          </w:divBdr>
                                                                                          <w:divsChild>
                                                                                            <w:div w:id="431432975">
                                                                                              <w:marLeft w:val="0"/>
                                                                                              <w:marRight w:val="0"/>
                                                                                              <w:marTop w:val="0"/>
                                                                                              <w:marBottom w:val="0"/>
                                                                                              <w:divBdr>
                                                                                                <w:top w:val="none" w:sz="0" w:space="0" w:color="auto"/>
                                                                                                <w:left w:val="none" w:sz="0" w:space="0" w:color="auto"/>
                                                                                                <w:bottom w:val="none" w:sz="0" w:space="0" w:color="auto"/>
                                                                                                <w:right w:val="none" w:sz="0" w:space="0" w:color="auto"/>
                                                                                              </w:divBdr>
                                                                                            </w:div>
                                                                                          </w:divsChild>
                                                                                        </w:div>
                                                                                        <w:div w:id="1478035102">
                                                                                          <w:marLeft w:val="0"/>
                                                                                          <w:marRight w:val="0"/>
                                                                                          <w:marTop w:val="0"/>
                                                                                          <w:marBottom w:val="0"/>
                                                                                          <w:divBdr>
                                                                                            <w:top w:val="none" w:sz="0" w:space="0" w:color="auto"/>
                                                                                            <w:left w:val="none" w:sz="0" w:space="0" w:color="auto"/>
                                                                                            <w:bottom w:val="none" w:sz="0" w:space="0" w:color="auto"/>
                                                                                            <w:right w:val="none" w:sz="0" w:space="0" w:color="auto"/>
                                                                                          </w:divBdr>
                                                                                          <w:divsChild>
                                                                                            <w:div w:id="546645737">
                                                                                              <w:marLeft w:val="0"/>
                                                                                              <w:marRight w:val="0"/>
                                                                                              <w:marTop w:val="0"/>
                                                                                              <w:marBottom w:val="0"/>
                                                                                              <w:divBdr>
                                                                                                <w:top w:val="none" w:sz="0" w:space="0" w:color="auto"/>
                                                                                                <w:left w:val="none" w:sz="0" w:space="0" w:color="auto"/>
                                                                                                <w:bottom w:val="none" w:sz="0" w:space="0" w:color="auto"/>
                                                                                                <w:right w:val="none" w:sz="0" w:space="0" w:color="auto"/>
                                                                                              </w:divBdr>
                                                                                            </w:div>
                                                                                          </w:divsChild>
                                                                                        </w:div>
                                                                                        <w:div w:id="1495880852">
                                                                                          <w:marLeft w:val="0"/>
                                                                                          <w:marRight w:val="0"/>
                                                                                          <w:marTop w:val="0"/>
                                                                                          <w:marBottom w:val="0"/>
                                                                                          <w:divBdr>
                                                                                            <w:top w:val="none" w:sz="0" w:space="0" w:color="auto"/>
                                                                                            <w:left w:val="none" w:sz="0" w:space="0" w:color="auto"/>
                                                                                            <w:bottom w:val="none" w:sz="0" w:space="0" w:color="auto"/>
                                                                                            <w:right w:val="none" w:sz="0" w:space="0" w:color="auto"/>
                                                                                          </w:divBdr>
                                                                                          <w:divsChild>
                                                                                            <w:div w:id="1014766946">
                                                                                              <w:marLeft w:val="0"/>
                                                                                              <w:marRight w:val="0"/>
                                                                                              <w:marTop w:val="0"/>
                                                                                              <w:marBottom w:val="0"/>
                                                                                              <w:divBdr>
                                                                                                <w:top w:val="none" w:sz="0" w:space="0" w:color="auto"/>
                                                                                                <w:left w:val="none" w:sz="0" w:space="0" w:color="auto"/>
                                                                                                <w:bottom w:val="none" w:sz="0" w:space="0" w:color="auto"/>
                                                                                                <w:right w:val="none" w:sz="0" w:space="0" w:color="auto"/>
                                                                                              </w:divBdr>
                                                                                            </w:div>
                                                                                          </w:divsChild>
                                                                                        </w:div>
                                                                                        <w:div w:id="1586721640">
                                                                                          <w:marLeft w:val="0"/>
                                                                                          <w:marRight w:val="0"/>
                                                                                          <w:marTop w:val="0"/>
                                                                                          <w:marBottom w:val="0"/>
                                                                                          <w:divBdr>
                                                                                            <w:top w:val="none" w:sz="0" w:space="0" w:color="auto"/>
                                                                                            <w:left w:val="none" w:sz="0" w:space="0" w:color="auto"/>
                                                                                            <w:bottom w:val="none" w:sz="0" w:space="0" w:color="auto"/>
                                                                                            <w:right w:val="none" w:sz="0" w:space="0" w:color="auto"/>
                                                                                          </w:divBdr>
                                                                                          <w:divsChild>
                                                                                            <w:div w:id="2045053328">
                                                                                              <w:marLeft w:val="0"/>
                                                                                              <w:marRight w:val="0"/>
                                                                                              <w:marTop w:val="0"/>
                                                                                              <w:marBottom w:val="0"/>
                                                                                              <w:divBdr>
                                                                                                <w:top w:val="none" w:sz="0" w:space="0" w:color="auto"/>
                                                                                                <w:left w:val="none" w:sz="0" w:space="0" w:color="auto"/>
                                                                                                <w:bottom w:val="none" w:sz="0" w:space="0" w:color="auto"/>
                                                                                                <w:right w:val="none" w:sz="0" w:space="0" w:color="auto"/>
                                                                                              </w:divBdr>
                                                                                            </w:div>
                                                                                          </w:divsChild>
                                                                                        </w:div>
                                                                                        <w:div w:id="1624842590">
                                                                                          <w:marLeft w:val="0"/>
                                                                                          <w:marRight w:val="0"/>
                                                                                          <w:marTop w:val="0"/>
                                                                                          <w:marBottom w:val="0"/>
                                                                                          <w:divBdr>
                                                                                            <w:top w:val="none" w:sz="0" w:space="0" w:color="auto"/>
                                                                                            <w:left w:val="none" w:sz="0" w:space="0" w:color="auto"/>
                                                                                            <w:bottom w:val="none" w:sz="0" w:space="0" w:color="auto"/>
                                                                                            <w:right w:val="none" w:sz="0" w:space="0" w:color="auto"/>
                                                                                          </w:divBdr>
                                                                                          <w:divsChild>
                                                                                            <w:div w:id="982850191">
                                                                                              <w:marLeft w:val="0"/>
                                                                                              <w:marRight w:val="0"/>
                                                                                              <w:marTop w:val="0"/>
                                                                                              <w:marBottom w:val="0"/>
                                                                                              <w:divBdr>
                                                                                                <w:top w:val="none" w:sz="0" w:space="0" w:color="auto"/>
                                                                                                <w:left w:val="none" w:sz="0" w:space="0" w:color="auto"/>
                                                                                                <w:bottom w:val="none" w:sz="0" w:space="0" w:color="auto"/>
                                                                                                <w:right w:val="none" w:sz="0" w:space="0" w:color="auto"/>
                                                                                              </w:divBdr>
                                                                                            </w:div>
                                                                                          </w:divsChild>
                                                                                        </w:div>
                                                                                        <w:div w:id="1660303900">
                                                                                          <w:marLeft w:val="0"/>
                                                                                          <w:marRight w:val="0"/>
                                                                                          <w:marTop w:val="0"/>
                                                                                          <w:marBottom w:val="0"/>
                                                                                          <w:divBdr>
                                                                                            <w:top w:val="none" w:sz="0" w:space="0" w:color="auto"/>
                                                                                            <w:left w:val="none" w:sz="0" w:space="0" w:color="auto"/>
                                                                                            <w:bottom w:val="none" w:sz="0" w:space="0" w:color="auto"/>
                                                                                            <w:right w:val="none" w:sz="0" w:space="0" w:color="auto"/>
                                                                                          </w:divBdr>
                                                                                          <w:divsChild>
                                                                                            <w:div w:id="963123401">
                                                                                              <w:marLeft w:val="0"/>
                                                                                              <w:marRight w:val="0"/>
                                                                                              <w:marTop w:val="0"/>
                                                                                              <w:marBottom w:val="0"/>
                                                                                              <w:divBdr>
                                                                                                <w:top w:val="none" w:sz="0" w:space="0" w:color="auto"/>
                                                                                                <w:left w:val="none" w:sz="0" w:space="0" w:color="auto"/>
                                                                                                <w:bottom w:val="none" w:sz="0" w:space="0" w:color="auto"/>
                                                                                                <w:right w:val="none" w:sz="0" w:space="0" w:color="auto"/>
                                                                                              </w:divBdr>
                                                                                            </w:div>
                                                                                          </w:divsChild>
                                                                                        </w:div>
                                                                                        <w:div w:id="1667394796">
                                                                                          <w:marLeft w:val="0"/>
                                                                                          <w:marRight w:val="0"/>
                                                                                          <w:marTop w:val="0"/>
                                                                                          <w:marBottom w:val="0"/>
                                                                                          <w:divBdr>
                                                                                            <w:top w:val="none" w:sz="0" w:space="0" w:color="auto"/>
                                                                                            <w:left w:val="none" w:sz="0" w:space="0" w:color="auto"/>
                                                                                            <w:bottom w:val="none" w:sz="0" w:space="0" w:color="auto"/>
                                                                                            <w:right w:val="none" w:sz="0" w:space="0" w:color="auto"/>
                                                                                          </w:divBdr>
                                                                                          <w:divsChild>
                                                                                            <w:div w:id="762844284">
                                                                                              <w:marLeft w:val="0"/>
                                                                                              <w:marRight w:val="0"/>
                                                                                              <w:marTop w:val="0"/>
                                                                                              <w:marBottom w:val="0"/>
                                                                                              <w:divBdr>
                                                                                                <w:top w:val="none" w:sz="0" w:space="0" w:color="auto"/>
                                                                                                <w:left w:val="none" w:sz="0" w:space="0" w:color="auto"/>
                                                                                                <w:bottom w:val="none" w:sz="0" w:space="0" w:color="auto"/>
                                                                                                <w:right w:val="none" w:sz="0" w:space="0" w:color="auto"/>
                                                                                              </w:divBdr>
                                                                                            </w:div>
                                                                                          </w:divsChild>
                                                                                        </w:div>
                                                                                        <w:div w:id="1743018168">
                                                                                          <w:marLeft w:val="0"/>
                                                                                          <w:marRight w:val="0"/>
                                                                                          <w:marTop w:val="0"/>
                                                                                          <w:marBottom w:val="0"/>
                                                                                          <w:divBdr>
                                                                                            <w:top w:val="none" w:sz="0" w:space="0" w:color="auto"/>
                                                                                            <w:left w:val="none" w:sz="0" w:space="0" w:color="auto"/>
                                                                                            <w:bottom w:val="none" w:sz="0" w:space="0" w:color="auto"/>
                                                                                            <w:right w:val="none" w:sz="0" w:space="0" w:color="auto"/>
                                                                                          </w:divBdr>
                                                                                          <w:divsChild>
                                                                                            <w:div w:id="1700737073">
                                                                                              <w:marLeft w:val="0"/>
                                                                                              <w:marRight w:val="0"/>
                                                                                              <w:marTop w:val="0"/>
                                                                                              <w:marBottom w:val="0"/>
                                                                                              <w:divBdr>
                                                                                                <w:top w:val="none" w:sz="0" w:space="0" w:color="auto"/>
                                                                                                <w:left w:val="none" w:sz="0" w:space="0" w:color="auto"/>
                                                                                                <w:bottom w:val="none" w:sz="0" w:space="0" w:color="auto"/>
                                                                                                <w:right w:val="none" w:sz="0" w:space="0" w:color="auto"/>
                                                                                              </w:divBdr>
                                                                                            </w:div>
                                                                                          </w:divsChild>
                                                                                        </w:div>
                                                                                        <w:div w:id="1752652463">
                                                                                          <w:marLeft w:val="0"/>
                                                                                          <w:marRight w:val="0"/>
                                                                                          <w:marTop w:val="0"/>
                                                                                          <w:marBottom w:val="0"/>
                                                                                          <w:divBdr>
                                                                                            <w:top w:val="none" w:sz="0" w:space="0" w:color="auto"/>
                                                                                            <w:left w:val="none" w:sz="0" w:space="0" w:color="auto"/>
                                                                                            <w:bottom w:val="none" w:sz="0" w:space="0" w:color="auto"/>
                                                                                            <w:right w:val="none" w:sz="0" w:space="0" w:color="auto"/>
                                                                                          </w:divBdr>
                                                                                          <w:divsChild>
                                                                                            <w:div w:id="296687003">
                                                                                              <w:marLeft w:val="0"/>
                                                                                              <w:marRight w:val="0"/>
                                                                                              <w:marTop w:val="0"/>
                                                                                              <w:marBottom w:val="0"/>
                                                                                              <w:divBdr>
                                                                                                <w:top w:val="none" w:sz="0" w:space="0" w:color="auto"/>
                                                                                                <w:left w:val="none" w:sz="0" w:space="0" w:color="auto"/>
                                                                                                <w:bottom w:val="none" w:sz="0" w:space="0" w:color="auto"/>
                                                                                                <w:right w:val="none" w:sz="0" w:space="0" w:color="auto"/>
                                                                                              </w:divBdr>
                                                                                            </w:div>
                                                                                          </w:divsChild>
                                                                                        </w:div>
                                                                                        <w:div w:id="1833182944">
                                                                                          <w:marLeft w:val="0"/>
                                                                                          <w:marRight w:val="0"/>
                                                                                          <w:marTop w:val="0"/>
                                                                                          <w:marBottom w:val="0"/>
                                                                                          <w:divBdr>
                                                                                            <w:top w:val="none" w:sz="0" w:space="0" w:color="auto"/>
                                                                                            <w:left w:val="none" w:sz="0" w:space="0" w:color="auto"/>
                                                                                            <w:bottom w:val="none" w:sz="0" w:space="0" w:color="auto"/>
                                                                                            <w:right w:val="none" w:sz="0" w:space="0" w:color="auto"/>
                                                                                          </w:divBdr>
                                                                                          <w:divsChild>
                                                                                            <w:div w:id="914780848">
                                                                                              <w:marLeft w:val="0"/>
                                                                                              <w:marRight w:val="0"/>
                                                                                              <w:marTop w:val="0"/>
                                                                                              <w:marBottom w:val="0"/>
                                                                                              <w:divBdr>
                                                                                                <w:top w:val="none" w:sz="0" w:space="0" w:color="auto"/>
                                                                                                <w:left w:val="none" w:sz="0" w:space="0" w:color="auto"/>
                                                                                                <w:bottom w:val="none" w:sz="0" w:space="0" w:color="auto"/>
                                                                                                <w:right w:val="none" w:sz="0" w:space="0" w:color="auto"/>
                                                                                              </w:divBdr>
                                                                                            </w:div>
                                                                                          </w:divsChild>
                                                                                        </w:div>
                                                                                        <w:div w:id="1882476011">
                                                                                          <w:marLeft w:val="0"/>
                                                                                          <w:marRight w:val="0"/>
                                                                                          <w:marTop w:val="0"/>
                                                                                          <w:marBottom w:val="0"/>
                                                                                          <w:divBdr>
                                                                                            <w:top w:val="none" w:sz="0" w:space="0" w:color="auto"/>
                                                                                            <w:left w:val="none" w:sz="0" w:space="0" w:color="auto"/>
                                                                                            <w:bottom w:val="none" w:sz="0" w:space="0" w:color="auto"/>
                                                                                            <w:right w:val="none" w:sz="0" w:space="0" w:color="auto"/>
                                                                                          </w:divBdr>
                                                                                          <w:divsChild>
                                                                                            <w:div w:id="726731770">
                                                                                              <w:marLeft w:val="0"/>
                                                                                              <w:marRight w:val="0"/>
                                                                                              <w:marTop w:val="0"/>
                                                                                              <w:marBottom w:val="0"/>
                                                                                              <w:divBdr>
                                                                                                <w:top w:val="none" w:sz="0" w:space="0" w:color="auto"/>
                                                                                                <w:left w:val="none" w:sz="0" w:space="0" w:color="auto"/>
                                                                                                <w:bottom w:val="none" w:sz="0" w:space="0" w:color="auto"/>
                                                                                                <w:right w:val="none" w:sz="0" w:space="0" w:color="auto"/>
                                                                                              </w:divBdr>
                                                                                            </w:div>
                                                                                          </w:divsChild>
                                                                                        </w:div>
                                                                                        <w:div w:id="1894269601">
                                                                                          <w:marLeft w:val="0"/>
                                                                                          <w:marRight w:val="0"/>
                                                                                          <w:marTop w:val="0"/>
                                                                                          <w:marBottom w:val="0"/>
                                                                                          <w:divBdr>
                                                                                            <w:top w:val="none" w:sz="0" w:space="0" w:color="auto"/>
                                                                                            <w:left w:val="none" w:sz="0" w:space="0" w:color="auto"/>
                                                                                            <w:bottom w:val="none" w:sz="0" w:space="0" w:color="auto"/>
                                                                                            <w:right w:val="none" w:sz="0" w:space="0" w:color="auto"/>
                                                                                          </w:divBdr>
                                                                                          <w:divsChild>
                                                                                            <w:div w:id="2027364103">
                                                                                              <w:marLeft w:val="0"/>
                                                                                              <w:marRight w:val="0"/>
                                                                                              <w:marTop w:val="0"/>
                                                                                              <w:marBottom w:val="0"/>
                                                                                              <w:divBdr>
                                                                                                <w:top w:val="none" w:sz="0" w:space="0" w:color="auto"/>
                                                                                                <w:left w:val="none" w:sz="0" w:space="0" w:color="auto"/>
                                                                                                <w:bottom w:val="none" w:sz="0" w:space="0" w:color="auto"/>
                                                                                                <w:right w:val="none" w:sz="0" w:space="0" w:color="auto"/>
                                                                                              </w:divBdr>
                                                                                            </w:div>
                                                                                          </w:divsChild>
                                                                                        </w:div>
                                                                                        <w:div w:id="1905750798">
                                                                                          <w:marLeft w:val="0"/>
                                                                                          <w:marRight w:val="0"/>
                                                                                          <w:marTop w:val="0"/>
                                                                                          <w:marBottom w:val="0"/>
                                                                                          <w:divBdr>
                                                                                            <w:top w:val="none" w:sz="0" w:space="0" w:color="auto"/>
                                                                                            <w:left w:val="none" w:sz="0" w:space="0" w:color="auto"/>
                                                                                            <w:bottom w:val="none" w:sz="0" w:space="0" w:color="auto"/>
                                                                                            <w:right w:val="none" w:sz="0" w:space="0" w:color="auto"/>
                                                                                          </w:divBdr>
                                                                                          <w:divsChild>
                                                                                            <w:div w:id="2031107656">
                                                                                              <w:marLeft w:val="0"/>
                                                                                              <w:marRight w:val="0"/>
                                                                                              <w:marTop w:val="0"/>
                                                                                              <w:marBottom w:val="0"/>
                                                                                              <w:divBdr>
                                                                                                <w:top w:val="none" w:sz="0" w:space="0" w:color="auto"/>
                                                                                                <w:left w:val="none" w:sz="0" w:space="0" w:color="auto"/>
                                                                                                <w:bottom w:val="none" w:sz="0" w:space="0" w:color="auto"/>
                                                                                                <w:right w:val="none" w:sz="0" w:space="0" w:color="auto"/>
                                                                                              </w:divBdr>
                                                                                            </w:div>
                                                                                          </w:divsChild>
                                                                                        </w:div>
                                                                                        <w:div w:id="1913469881">
                                                                                          <w:marLeft w:val="0"/>
                                                                                          <w:marRight w:val="0"/>
                                                                                          <w:marTop w:val="0"/>
                                                                                          <w:marBottom w:val="0"/>
                                                                                          <w:divBdr>
                                                                                            <w:top w:val="none" w:sz="0" w:space="0" w:color="auto"/>
                                                                                            <w:left w:val="none" w:sz="0" w:space="0" w:color="auto"/>
                                                                                            <w:bottom w:val="none" w:sz="0" w:space="0" w:color="auto"/>
                                                                                            <w:right w:val="none" w:sz="0" w:space="0" w:color="auto"/>
                                                                                          </w:divBdr>
                                                                                          <w:divsChild>
                                                                                            <w:div w:id="1421835419">
                                                                                              <w:marLeft w:val="0"/>
                                                                                              <w:marRight w:val="0"/>
                                                                                              <w:marTop w:val="0"/>
                                                                                              <w:marBottom w:val="0"/>
                                                                                              <w:divBdr>
                                                                                                <w:top w:val="none" w:sz="0" w:space="0" w:color="auto"/>
                                                                                                <w:left w:val="none" w:sz="0" w:space="0" w:color="auto"/>
                                                                                                <w:bottom w:val="none" w:sz="0" w:space="0" w:color="auto"/>
                                                                                                <w:right w:val="none" w:sz="0" w:space="0" w:color="auto"/>
                                                                                              </w:divBdr>
                                                                                            </w:div>
                                                                                          </w:divsChild>
                                                                                        </w:div>
                                                                                        <w:div w:id="1933513663">
                                                                                          <w:marLeft w:val="0"/>
                                                                                          <w:marRight w:val="0"/>
                                                                                          <w:marTop w:val="0"/>
                                                                                          <w:marBottom w:val="0"/>
                                                                                          <w:divBdr>
                                                                                            <w:top w:val="none" w:sz="0" w:space="0" w:color="auto"/>
                                                                                            <w:left w:val="none" w:sz="0" w:space="0" w:color="auto"/>
                                                                                            <w:bottom w:val="none" w:sz="0" w:space="0" w:color="auto"/>
                                                                                            <w:right w:val="none" w:sz="0" w:space="0" w:color="auto"/>
                                                                                          </w:divBdr>
                                                                                          <w:divsChild>
                                                                                            <w:div w:id="389112488">
                                                                                              <w:marLeft w:val="0"/>
                                                                                              <w:marRight w:val="0"/>
                                                                                              <w:marTop w:val="0"/>
                                                                                              <w:marBottom w:val="0"/>
                                                                                              <w:divBdr>
                                                                                                <w:top w:val="none" w:sz="0" w:space="0" w:color="auto"/>
                                                                                                <w:left w:val="none" w:sz="0" w:space="0" w:color="auto"/>
                                                                                                <w:bottom w:val="none" w:sz="0" w:space="0" w:color="auto"/>
                                                                                                <w:right w:val="none" w:sz="0" w:space="0" w:color="auto"/>
                                                                                              </w:divBdr>
                                                                                            </w:div>
                                                                                          </w:divsChild>
                                                                                        </w:div>
                                                                                        <w:div w:id="1969388100">
                                                                                          <w:marLeft w:val="0"/>
                                                                                          <w:marRight w:val="0"/>
                                                                                          <w:marTop w:val="0"/>
                                                                                          <w:marBottom w:val="0"/>
                                                                                          <w:divBdr>
                                                                                            <w:top w:val="none" w:sz="0" w:space="0" w:color="auto"/>
                                                                                            <w:left w:val="none" w:sz="0" w:space="0" w:color="auto"/>
                                                                                            <w:bottom w:val="none" w:sz="0" w:space="0" w:color="auto"/>
                                                                                            <w:right w:val="none" w:sz="0" w:space="0" w:color="auto"/>
                                                                                          </w:divBdr>
                                                                                          <w:divsChild>
                                                                                            <w:div w:id="1279069011">
                                                                                              <w:marLeft w:val="0"/>
                                                                                              <w:marRight w:val="0"/>
                                                                                              <w:marTop w:val="0"/>
                                                                                              <w:marBottom w:val="0"/>
                                                                                              <w:divBdr>
                                                                                                <w:top w:val="none" w:sz="0" w:space="0" w:color="auto"/>
                                                                                                <w:left w:val="none" w:sz="0" w:space="0" w:color="auto"/>
                                                                                                <w:bottom w:val="none" w:sz="0" w:space="0" w:color="auto"/>
                                                                                                <w:right w:val="none" w:sz="0" w:space="0" w:color="auto"/>
                                                                                              </w:divBdr>
                                                                                            </w:div>
                                                                                          </w:divsChild>
                                                                                        </w:div>
                                                                                        <w:div w:id="2088573887">
                                                                                          <w:marLeft w:val="0"/>
                                                                                          <w:marRight w:val="0"/>
                                                                                          <w:marTop w:val="0"/>
                                                                                          <w:marBottom w:val="0"/>
                                                                                          <w:divBdr>
                                                                                            <w:top w:val="none" w:sz="0" w:space="0" w:color="auto"/>
                                                                                            <w:left w:val="none" w:sz="0" w:space="0" w:color="auto"/>
                                                                                            <w:bottom w:val="none" w:sz="0" w:space="0" w:color="auto"/>
                                                                                            <w:right w:val="none" w:sz="0" w:space="0" w:color="auto"/>
                                                                                          </w:divBdr>
                                                                                          <w:divsChild>
                                                                                            <w:div w:id="820082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603389">
                                                                                  <w:marLeft w:val="0"/>
                                                                                  <w:marRight w:val="0"/>
                                                                                  <w:marTop w:val="0"/>
                                                                                  <w:marBottom w:val="0"/>
                                                                                  <w:divBdr>
                                                                                    <w:top w:val="none" w:sz="0" w:space="0" w:color="auto"/>
                                                                                    <w:left w:val="none" w:sz="0" w:space="0" w:color="auto"/>
                                                                                    <w:bottom w:val="none" w:sz="0" w:space="0" w:color="auto"/>
                                                                                    <w:right w:val="none" w:sz="0" w:space="0" w:color="auto"/>
                                                                                  </w:divBdr>
                                                                                </w:div>
                                                                                <w:div w:id="1065372071">
                                                                                  <w:marLeft w:val="0"/>
                                                                                  <w:marRight w:val="0"/>
                                                                                  <w:marTop w:val="0"/>
                                                                                  <w:marBottom w:val="0"/>
                                                                                  <w:divBdr>
                                                                                    <w:top w:val="none" w:sz="0" w:space="0" w:color="auto"/>
                                                                                    <w:left w:val="none" w:sz="0" w:space="0" w:color="auto"/>
                                                                                    <w:bottom w:val="none" w:sz="0" w:space="0" w:color="auto"/>
                                                                                    <w:right w:val="none" w:sz="0" w:space="0" w:color="auto"/>
                                                                                  </w:divBdr>
                                                                                </w:div>
                                                                                <w:div w:id="1067613442">
                                                                                  <w:marLeft w:val="0"/>
                                                                                  <w:marRight w:val="0"/>
                                                                                  <w:marTop w:val="0"/>
                                                                                  <w:marBottom w:val="0"/>
                                                                                  <w:divBdr>
                                                                                    <w:top w:val="none" w:sz="0" w:space="0" w:color="auto"/>
                                                                                    <w:left w:val="none" w:sz="0" w:space="0" w:color="auto"/>
                                                                                    <w:bottom w:val="none" w:sz="0" w:space="0" w:color="auto"/>
                                                                                    <w:right w:val="none" w:sz="0" w:space="0" w:color="auto"/>
                                                                                  </w:divBdr>
                                                                                </w:div>
                                                                                <w:div w:id="1077943931">
                                                                                  <w:marLeft w:val="0"/>
                                                                                  <w:marRight w:val="0"/>
                                                                                  <w:marTop w:val="0"/>
                                                                                  <w:marBottom w:val="0"/>
                                                                                  <w:divBdr>
                                                                                    <w:top w:val="none" w:sz="0" w:space="0" w:color="auto"/>
                                                                                    <w:left w:val="none" w:sz="0" w:space="0" w:color="auto"/>
                                                                                    <w:bottom w:val="none" w:sz="0" w:space="0" w:color="auto"/>
                                                                                    <w:right w:val="none" w:sz="0" w:space="0" w:color="auto"/>
                                                                                  </w:divBdr>
                                                                                </w:div>
                                                                                <w:div w:id="1085960771">
                                                                                  <w:marLeft w:val="0"/>
                                                                                  <w:marRight w:val="0"/>
                                                                                  <w:marTop w:val="0"/>
                                                                                  <w:marBottom w:val="0"/>
                                                                                  <w:divBdr>
                                                                                    <w:top w:val="none" w:sz="0" w:space="0" w:color="auto"/>
                                                                                    <w:left w:val="none" w:sz="0" w:space="0" w:color="auto"/>
                                                                                    <w:bottom w:val="none" w:sz="0" w:space="0" w:color="auto"/>
                                                                                    <w:right w:val="none" w:sz="0" w:space="0" w:color="auto"/>
                                                                                  </w:divBdr>
                                                                                </w:div>
                                                                                <w:div w:id="1106585182">
                                                                                  <w:marLeft w:val="0"/>
                                                                                  <w:marRight w:val="0"/>
                                                                                  <w:marTop w:val="0"/>
                                                                                  <w:marBottom w:val="0"/>
                                                                                  <w:divBdr>
                                                                                    <w:top w:val="none" w:sz="0" w:space="0" w:color="auto"/>
                                                                                    <w:left w:val="none" w:sz="0" w:space="0" w:color="auto"/>
                                                                                    <w:bottom w:val="none" w:sz="0" w:space="0" w:color="auto"/>
                                                                                    <w:right w:val="none" w:sz="0" w:space="0" w:color="auto"/>
                                                                                  </w:divBdr>
                                                                                </w:div>
                                                                                <w:div w:id="1128233887">
                                                                                  <w:marLeft w:val="0"/>
                                                                                  <w:marRight w:val="0"/>
                                                                                  <w:marTop w:val="0"/>
                                                                                  <w:marBottom w:val="0"/>
                                                                                  <w:divBdr>
                                                                                    <w:top w:val="none" w:sz="0" w:space="0" w:color="auto"/>
                                                                                    <w:left w:val="none" w:sz="0" w:space="0" w:color="auto"/>
                                                                                    <w:bottom w:val="none" w:sz="0" w:space="0" w:color="auto"/>
                                                                                    <w:right w:val="none" w:sz="0" w:space="0" w:color="auto"/>
                                                                                  </w:divBdr>
                                                                                </w:div>
                                                                                <w:div w:id="1130628906">
                                                                                  <w:marLeft w:val="0"/>
                                                                                  <w:marRight w:val="0"/>
                                                                                  <w:marTop w:val="0"/>
                                                                                  <w:marBottom w:val="0"/>
                                                                                  <w:divBdr>
                                                                                    <w:top w:val="none" w:sz="0" w:space="0" w:color="auto"/>
                                                                                    <w:left w:val="none" w:sz="0" w:space="0" w:color="auto"/>
                                                                                    <w:bottom w:val="none" w:sz="0" w:space="0" w:color="auto"/>
                                                                                    <w:right w:val="none" w:sz="0" w:space="0" w:color="auto"/>
                                                                                  </w:divBdr>
                                                                                </w:div>
                                                                                <w:div w:id="1135374082">
                                                                                  <w:marLeft w:val="0"/>
                                                                                  <w:marRight w:val="0"/>
                                                                                  <w:marTop w:val="0"/>
                                                                                  <w:marBottom w:val="0"/>
                                                                                  <w:divBdr>
                                                                                    <w:top w:val="none" w:sz="0" w:space="0" w:color="auto"/>
                                                                                    <w:left w:val="none" w:sz="0" w:space="0" w:color="auto"/>
                                                                                    <w:bottom w:val="none" w:sz="0" w:space="0" w:color="auto"/>
                                                                                    <w:right w:val="none" w:sz="0" w:space="0" w:color="auto"/>
                                                                                  </w:divBdr>
                                                                                </w:div>
                                                                                <w:div w:id="1148284742">
                                                                                  <w:marLeft w:val="0"/>
                                                                                  <w:marRight w:val="0"/>
                                                                                  <w:marTop w:val="0"/>
                                                                                  <w:marBottom w:val="0"/>
                                                                                  <w:divBdr>
                                                                                    <w:top w:val="none" w:sz="0" w:space="0" w:color="auto"/>
                                                                                    <w:left w:val="none" w:sz="0" w:space="0" w:color="auto"/>
                                                                                    <w:bottom w:val="none" w:sz="0" w:space="0" w:color="auto"/>
                                                                                    <w:right w:val="none" w:sz="0" w:space="0" w:color="auto"/>
                                                                                  </w:divBdr>
                                                                                </w:div>
                                                                                <w:div w:id="1149321465">
                                                                                  <w:marLeft w:val="0"/>
                                                                                  <w:marRight w:val="0"/>
                                                                                  <w:marTop w:val="0"/>
                                                                                  <w:marBottom w:val="0"/>
                                                                                  <w:divBdr>
                                                                                    <w:top w:val="none" w:sz="0" w:space="0" w:color="auto"/>
                                                                                    <w:left w:val="none" w:sz="0" w:space="0" w:color="auto"/>
                                                                                    <w:bottom w:val="none" w:sz="0" w:space="0" w:color="auto"/>
                                                                                    <w:right w:val="none" w:sz="0" w:space="0" w:color="auto"/>
                                                                                  </w:divBdr>
                                                                                </w:div>
                                                                                <w:div w:id="1159419431">
                                                                                  <w:marLeft w:val="0"/>
                                                                                  <w:marRight w:val="0"/>
                                                                                  <w:marTop w:val="0"/>
                                                                                  <w:marBottom w:val="0"/>
                                                                                  <w:divBdr>
                                                                                    <w:top w:val="none" w:sz="0" w:space="0" w:color="auto"/>
                                                                                    <w:left w:val="none" w:sz="0" w:space="0" w:color="auto"/>
                                                                                    <w:bottom w:val="none" w:sz="0" w:space="0" w:color="auto"/>
                                                                                    <w:right w:val="none" w:sz="0" w:space="0" w:color="auto"/>
                                                                                  </w:divBdr>
                                                                                </w:div>
                                                                                <w:div w:id="1172838130">
                                                                                  <w:marLeft w:val="0"/>
                                                                                  <w:marRight w:val="0"/>
                                                                                  <w:marTop w:val="0"/>
                                                                                  <w:marBottom w:val="0"/>
                                                                                  <w:divBdr>
                                                                                    <w:top w:val="none" w:sz="0" w:space="0" w:color="auto"/>
                                                                                    <w:left w:val="none" w:sz="0" w:space="0" w:color="auto"/>
                                                                                    <w:bottom w:val="none" w:sz="0" w:space="0" w:color="auto"/>
                                                                                    <w:right w:val="none" w:sz="0" w:space="0" w:color="auto"/>
                                                                                  </w:divBdr>
                                                                                </w:div>
                                                                                <w:div w:id="1205142030">
                                                                                  <w:marLeft w:val="0"/>
                                                                                  <w:marRight w:val="0"/>
                                                                                  <w:marTop w:val="0"/>
                                                                                  <w:marBottom w:val="0"/>
                                                                                  <w:divBdr>
                                                                                    <w:top w:val="none" w:sz="0" w:space="0" w:color="auto"/>
                                                                                    <w:left w:val="none" w:sz="0" w:space="0" w:color="auto"/>
                                                                                    <w:bottom w:val="none" w:sz="0" w:space="0" w:color="auto"/>
                                                                                    <w:right w:val="none" w:sz="0" w:space="0" w:color="auto"/>
                                                                                  </w:divBdr>
                                                                                </w:div>
                                                                                <w:div w:id="1206405790">
                                                                                  <w:marLeft w:val="0"/>
                                                                                  <w:marRight w:val="0"/>
                                                                                  <w:marTop w:val="0"/>
                                                                                  <w:marBottom w:val="0"/>
                                                                                  <w:divBdr>
                                                                                    <w:top w:val="none" w:sz="0" w:space="0" w:color="auto"/>
                                                                                    <w:left w:val="none" w:sz="0" w:space="0" w:color="auto"/>
                                                                                    <w:bottom w:val="none" w:sz="0" w:space="0" w:color="auto"/>
                                                                                    <w:right w:val="none" w:sz="0" w:space="0" w:color="auto"/>
                                                                                  </w:divBdr>
                                                                                </w:div>
                                                                                <w:div w:id="1219632094">
                                                                                  <w:marLeft w:val="0"/>
                                                                                  <w:marRight w:val="0"/>
                                                                                  <w:marTop w:val="0"/>
                                                                                  <w:marBottom w:val="0"/>
                                                                                  <w:divBdr>
                                                                                    <w:top w:val="none" w:sz="0" w:space="0" w:color="auto"/>
                                                                                    <w:left w:val="none" w:sz="0" w:space="0" w:color="auto"/>
                                                                                    <w:bottom w:val="none" w:sz="0" w:space="0" w:color="auto"/>
                                                                                    <w:right w:val="none" w:sz="0" w:space="0" w:color="auto"/>
                                                                                  </w:divBdr>
                                                                                </w:div>
                                                                                <w:div w:id="1222060586">
                                                                                  <w:marLeft w:val="0"/>
                                                                                  <w:marRight w:val="0"/>
                                                                                  <w:marTop w:val="0"/>
                                                                                  <w:marBottom w:val="0"/>
                                                                                  <w:divBdr>
                                                                                    <w:top w:val="none" w:sz="0" w:space="0" w:color="auto"/>
                                                                                    <w:left w:val="none" w:sz="0" w:space="0" w:color="auto"/>
                                                                                    <w:bottom w:val="none" w:sz="0" w:space="0" w:color="auto"/>
                                                                                    <w:right w:val="none" w:sz="0" w:space="0" w:color="auto"/>
                                                                                  </w:divBdr>
                                                                                </w:div>
                                                                                <w:div w:id="1224874763">
                                                                                  <w:marLeft w:val="0"/>
                                                                                  <w:marRight w:val="0"/>
                                                                                  <w:marTop w:val="0"/>
                                                                                  <w:marBottom w:val="0"/>
                                                                                  <w:divBdr>
                                                                                    <w:top w:val="none" w:sz="0" w:space="0" w:color="auto"/>
                                                                                    <w:left w:val="none" w:sz="0" w:space="0" w:color="auto"/>
                                                                                    <w:bottom w:val="none" w:sz="0" w:space="0" w:color="auto"/>
                                                                                    <w:right w:val="none" w:sz="0" w:space="0" w:color="auto"/>
                                                                                  </w:divBdr>
                                                                                </w:div>
                                                                                <w:div w:id="1234199523">
                                                                                  <w:marLeft w:val="0"/>
                                                                                  <w:marRight w:val="0"/>
                                                                                  <w:marTop w:val="0"/>
                                                                                  <w:marBottom w:val="0"/>
                                                                                  <w:divBdr>
                                                                                    <w:top w:val="none" w:sz="0" w:space="0" w:color="auto"/>
                                                                                    <w:left w:val="none" w:sz="0" w:space="0" w:color="auto"/>
                                                                                    <w:bottom w:val="none" w:sz="0" w:space="0" w:color="auto"/>
                                                                                    <w:right w:val="none" w:sz="0" w:space="0" w:color="auto"/>
                                                                                  </w:divBdr>
                                                                                </w:div>
                                                                                <w:div w:id="1256980796">
                                                                                  <w:marLeft w:val="0"/>
                                                                                  <w:marRight w:val="0"/>
                                                                                  <w:marTop w:val="0"/>
                                                                                  <w:marBottom w:val="0"/>
                                                                                  <w:divBdr>
                                                                                    <w:top w:val="none" w:sz="0" w:space="0" w:color="auto"/>
                                                                                    <w:left w:val="none" w:sz="0" w:space="0" w:color="auto"/>
                                                                                    <w:bottom w:val="none" w:sz="0" w:space="0" w:color="auto"/>
                                                                                    <w:right w:val="none" w:sz="0" w:space="0" w:color="auto"/>
                                                                                  </w:divBdr>
                                                                                </w:div>
                                                                                <w:div w:id="1272710509">
                                                                                  <w:marLeft w:val="0"/>
                                                                                  <w:marRight w:val="0"/>
                                                                                  <w:marTop w:val="0"/>
                                                                                  <w:marBottom w:val="0"/>
                                                                                  <w:divBdr>
                                                                                    <w:top w:val="none" w:sz="0" w:space="0" w:color="auto"/>
                                                                                    <w:left w:val="none" w:sz="0" w:space="0" w:color="auto"/>
                                                                                    <w:bottom w:val="none" w:sz="0" w:space="0" w:color="auto"/>
                                                                                    <w:right w:val="none" w:sz="0" w:space="0" w:color="auto"/>
                                                                                  </w:divBdr>
                                                                                </w:div>
                                                                                <w:div w:id="1323779806">
                                                                                  <w:marLeft w:val="0"/>
                                                                                  <w:marRight w:val="0"/>
                                                                                  <w:marTop w:val="0"/>
                                                                                  <w:marBottom w:val="0"/>
                                                                                  <w:divBdr>
                                                                                    <w:top w:val="none" w:sz="0" w:space="0" w:color="auto"/>
                                                                                    <w:left w:val="none" w:sz="0" w:space="0" w:color="auto"/>
                                                                                    <w:bottom w:val="none" w:sz="0" w:space="0" w:color="auto"/>
                                                                                    <w:right w:val="none" w:sz="0" w:space="0" w:color="auto"/>
                                                                                  </w:divBdr>
                                                                                </w:div>
                                                                                <w:div w:id="1331444942">
                                                                                  <w:marLeft w:val="0"/>
                                                                                  <w:marRight w:val="0"/>
                                                                                  <w:marTop w:val="0"/>
                                                                                  <w:marBottom w:val="0"/>
                                                                                  <w:divBdr>
                                                                                    <w:top w:val="none" w:sz="0" w:space="0" w:color="auto"/>
                                                                                    <w:left w:val="none" w:sz="0" w:space="0" w:color="auto"/>
                                                                                    <w:bottom w:val="none" w:sz="0" w:space="0" w:color="auto"/>
                                                                                    <w:right w:val="none" w:sz="0" w:space="0" w:color="auto"/>
                                                                                  </w:divBdr>
                                                                                </w:div>
                                                                                <w:div w:id="1342048120">
                                                                                  <w:marLeft w:val="0"/>
                                                                                  <w:marRight w:val="0"/>
                                                                                  <w:marTop w:val="0"/>
                                                                                  <w:marBottom w:val="0"/>
                                                                                  <w:divBdr>
                                                                                    <w:top w:val="none" w:sz="0" w:space="0" w:color="auto"/>
                                                                                    <w:left w:val="none" w:sz="0" w:space="0" w:color="auto"/>
                                                                                    <w:bottom w:val="none" w:sz="0" w:space="0" w:color="auto"/>
                                                                                    <w:right w:val="none" w:sz="0" w:space="0" w:color="auto"/>
                                                                                  </w:divBdr>
                                                                                  <w:divsChild>
                                                                                    <w:div w:id="358317761">
                                                                                      <w:marLeft w:val="-75"/>
                                                                                      <w:marRight w:val="0"/>
                                                                                      <w:marTop w:val="30"/>
                                                                                      <w:marBottom w:val="30"/>
                                                                                      <w:divBdr>
                                                                                        <w:top w:val="none" w:sz="0" w:space="0" w:color="auto"/>
                                                                                        <w:left w:val="none" w:sz="0" w:space="0" w:color="auto"/>
                                                                                        <w:bottom w:val="none" w:sz="0" w:space="0" w:color="auto"/>
                                                                                        <w:right w:val="none" w:sz="0" w:space="0" w:color="auto"/>
                                                                                      </w:divBdr>
                                                                                      <w:divsChild>
                                                                                        <w:div w:id="195431783">
                                                                                          <w:marLeft w:val="0"/>
                                                                                          <w:marRight w:val="0"/>
                                                                                          <w:marTop w:val="0"/>
                                                                                          <w:marBottom w:val="0"/>
                                                                                          <w:divBdr>
                                                                                            <w:top w:val="none" w:sz="0" w:space="0" w:color="auto"/>
                                                                                            <w:left w:val="none" w:sz="0" w:space="0" w:color="auto"/>
                                                                                            <w:bottom w:val="none" w:sz="0" w:space="0" w:color="auto"/>
                                                                                            <w:right w:val="none" w:sz="0" w:space="0" w:color="auto"/>
                                                                                          </w:divBdr>
                                                                                          <w:divsChild>
                                                                                            <w:div w:id="240070206">
                                                                                              <w:marLeft w:val="0"/>
                                                                                              <w:marRight w:val="0"/>
                                                                                              <w:marTop w:val="0"/>
                                                                                              <w:marBottom w:val="0"/>
                                                                                              <w:divBdr>
                                                                                                <w:top w:val="none" w:sz="0" w:space="0" w:color="auto"/>
                                                                                                <w:left w:val="none" w:sz="0" w:space="0" w:color="auto"/>
                                                                                                <w:bottom w:val="none" w:sz="0" w:space="0" w:color="auto"/>
                                                                                                <w:right w:val="none" w:sz="0" w:space="0" w:color="auto"/>
                                                                                              </w:divBdr>
                                                                                            </w:div>
                                                                                          </w:divsChild>
                                                                                        </w:div>
                                                                                        <w:div w:id="210502040">
                                                                                          <w:marLeft w:val="0"/>
                                                                                          <w:marRight w:val="0"/>
                                                                                          <w:marTop w:val="0"/>
                                                                                          <w:marBottom w:val="0"/>
                                                                                          <w:divBdr>
                                                                                            <w:top w:val="none" w:sz="0" w:space="0" w:color="auto"/>
                                                                                            <w:left w:val="none" w:sz="0" w:space="0" w:color="auto"/>
                                                                                            <w:bottom w:val="none" w:sz="0" w:space="0" w:color="auto"/>
                                                                                            <w:right w:val="none" w:sz="0" w:space="0" w:color="auto"/>
                                                                                          </w:divBdr>
                                                                                          <w:divsChild>
                                                                                            <w:div w:id="1192181648">
                                                                                              <w:marLeft w:val="0"/>
                                                                                              <w:marRight w:val="0"/>
                                                                                              <w:marTop w:val="0"/>
                                                                                              <w:marBottom w:val="0"/>
                                                                                              <w:divBdr>
                                                                                                <w:top w:val="none" w:sz="0" w:space="0" w:color="auto"/>
                                                                                                <w:left w:val="none" w:sz="0" w:space="0" w:color="auto"/>
                                                                                                <w:bottom w:val="none" w:sz="0" w:space="0" w:color="auto"/>
                                                                                                <w:right w:val="none" w:sz="0" w:space="0" w:color="auto"/>
                                                                                              </w:divBdr>
                                                                                            </w:div>
                                                                                          </w:divsChild>
                                                                                        </w:div>
                                                                                        <w:div w:id="305747145">
                                                                                          <w:marLeft w:val="0"/>
                                                                                          <w:marRight w:val="0"/>
                                                                                          <w:marTop w:val="0"/>
                                                                                          <w:marBottom w:val="0"/>
                                                                                          <w:divBdr>
                                                                                            <w:top w:val="none" w:sz="0" w:space="0" w:color="auto"/>
                                                                                            <w:left w:val="none" w:sz="0" w:space="0" w:color="auto"/>
                                                                                            <w:bottom w:val="none" w:sz="0" w:space="0" w:color="auto"/>
                                                                                            <w:right w:val="none" w:sz="0" w:space="0" w:color="auto"/>
                                                                                          </w:divBdr>
                                                                                          <w:divsChild>
                                                                                            <w:div w:id="209461451">
                                                                                              <w:marLeft w:val="0"/>
                                                                                              <w:marRight w:val="0"/>
                                                                                              <w:marTop w:val="0"/>
                                                                                              <w:marBottom w:val="0"/>
                                                                                              <w:divBdr>
                                                                                                <w:top w:val="none" w:sz="0" w:space="0" w:color="auto"/>
                                                                                                <w:left w:val="none" w:sz="0" w:space="0" w:color="auto"/>
                                                                                                <w:bottom w:val="none" w:sz="0" w:space="0" w:color="auto"/>
                                                                                                <w:right w:val="none" w:sz="0" w:space="0" w:color="auto"/>
                                                                                              </w:divBdr>
                                                                                            </w:div>
                                                                                            <w:div w:id="1275479252">
                                                                                              <w:marLeft w:val="0"/>
                                                                                              <w:marRight w:val="0"/>
                                                                                              <w:marTop w:val="0"/>
                                                                                              <w:marBottom w:val="0"/>
                                                                                              <w:divBdr>
                                                                                                <w:top w:val="none" w:sz="0" w:space="0" w:color="auto"/>
                                                                                                <w:left w:val="none" w:sz="0" w:space="0" w:color="auto"/>
                                                                                                <w:bottom w:val="none" w:sz="0" w:space="0" w:color="auto"/>
                                                                                                <w:right w:val="none" w:sz="0" w:space="0" w:color="auto"/>
                                                                                              </w:divBdr>
                                                                                            </w:div>
                                                                                          </w:divsChild>
                                                                                        </w:div>
                                                                                        <w:div w:id="387463976">
                                                                                          <w:marLeft w:val="0"/>
                                                                                          <w:marRight w:val="0"/>
                                                                                          <w:marTop w:val="0"/>
                                                                                          <w:marBottom w:val="0"/>
                                                                                          <w:divBdr>
                                                                                            <w:top w:val="none" w:sz="0" w:space="0" w:color="auto"/>
                                                                                            <w:left w:val="none" w:sz="0" w:space="0" w:color="auto"/>
                                                                                            <w:bottom w:val="none" w:sz="0" w:space="0" w:color="auto"/>
                                                                                            <w:right w:val="none" w:sz="0" w:space="0" w:color="auto"/>
                                                                                          </w:divBdr>
                                                                                          <w:divsChild>
                                                                                            <w:div w:id="497311851">
                                                                                              <w:marLeft w:val="0"/>
                                                                                              <w:marRight w:val="0"/>
                                                                                              <w:marTop w:val="0"/>
                                                                                              <w:marBottom w:val="0"/>
                                                                                              <w:divBdr>
                                                                                                <w:top w:val="none" w:sz="0" w:space="0" w:color="auto"/>
                                                                                                <w:left w:val="none" w:sz="0" w:space="0" w:color="auto"/>
                                                                                                <w:bottom w:val="none" w:sz="0" w:space="0" w:color="auto"/>
                                                                                                <w:right w:val="none" w:sz="0" w:space="0" w:color="auto"/>
                                                                                              </w:divBdr>
                                                                                            </w:div>
                                                                                          </w:divsChild>
                                                                                        </w:div>
                                                                                        <w:div w:id="429745037">
                                                                                          <w:marLeft w:val="0"/>
                                                                                          <w:marRight w:val="0"/>
                                                                                          <w:marTop w:val="0"/>
                                                                                          <w:marBottom w:val="0"/>
                                                                                          <w:divBdr>
                                                                                            <w:top w:val="none" w:sz="0" w:space="0" w:color="auto"/>
                                                                                            <w:left w:val="none" w:sz="0" w:space="0" w:color="auto"/>
                                                                                            <w:bottom w:val="none" w:sz="0" w:space="0" w:color="auto"/>
                                                                                            <w:right w:val="none" w:sz="0" w:space="0" w:color="auto"/>
                                                                                          </w:divBdr>
                                                                                          <w:divsChild>
                                                                                            <w:div w:id="684555567">
                                                                                              <w:marLeft w:val="0"/>
                                                                                              <w:marRight w:val="0"/>
                                                                                              <w:marTop w:val="0"/>
                                                                                              <w:marBottom w:val="0"/>
                                                                                              <w:divBdr>
                                                                                                <w:top w:val="none" w:sz="0" w:space="0" w:color="auto"/>
                                                                                                <w:left w:val="none" w:sz="0" w:space="0" w:color="auto"/>
                                                                                                <w:bottom w:val="none" w:sz="0" w:space="0" w:color="auto"/>
                                                                                                <w:right w:val="none" w:sz="0" w:space="0" w:color="auto"/>
                                                                                              </w:divBdr>
                                                                                            </w:div>
                                                                                          </w:divsChild>
                                                                                        </w:div>
                                                                                        <w:div w:id="526715849">
                                                                                          <w:marLeft w:val="0"/>
                                                                                          <w:marRight w:val="0"/>
                                                                                          <w:marTop w:val="0"/>
                                                                                          <w:marBottom w:val="0"/>
                                                                                          <w:divBdr>
                                                                                            <w:top w:val="none" w:sz="0" w:space="0" w:color="auto"/>
                                                                                            <w:left w:val="none" w:sz="0" w:space="0" w:color="auto"/>
                                                                                            <w:bottom w:val="none" w:sz="0" w:space="0" w:color="auto"/>
                                                                                            <w:right w:val="none" w:sz="0" w:space="0" w:color="auto"/>
                                                                                          </w:divBdr>
                                                                                          <w:divsChild>
                                                                                            <w:div w:id="1839805221">
                                                                                              <w:marLeft w:val="0"/>
                                                                                              <w:marRight w:val="0"/>
                                                                                              <w:marTop w:val="0"/>
                                                                                              <w:marBottom w:val="0"/>
                                                                                              <w:divBdr>
                                                                                                <w:top w:val="none" w:sz="0" w:space="0" w:color="auto"/>
                                                                                                <w:left w:val="none" w:sz="0" w:space="0" w:color="auto"/>
                                                                                                <w:bottom w:val="none" w:sz="0" w:space="0" w:color="auto"/>
                                                                                                <w:right w:val="none" w:sz="0" w:space="0" w:color="auto"/>
                                                                                              </w:divBdr>
                                                                                            </w:div>
                                                                                          </w:divsChild>
                                                                                        </w:div>
                                                                                        <w:div w:id="613635238">
                                                                                          <w:marLeft w:val="0"/>
                                                                                          <w:marRight w:val="0"/>
                                                                                          <w:marTop w:val="0"/>
                                                                                          <w:marBottom w:val="0"/>
                                                                                          <w:divBdr>
                                                                                            <w:top w:val="none" w:sz="0" w:space="0" w:color="auto"/>
                                                                                            <w:left w:val="none" w:sz="0" w:space="0" w:color="auto"/>
                                                                                            <w:bottom w:val="none" w:sz="0" w:space="0" w:color="auto"/>
                                                                                            <w:right w:val="none" w:sz="0" w:space="0" w:color="auto"/>
                                                                                          </w:divBdr>
                                                                                          <w:divsChild>
                                                                                            <w:div w:id="1194924151">
                                                                                              <w:marLeft w:val="0"/>
                                                                                              <w:marRight w:val="0"/>
                                                                                              <w:marTop w:val="0"/>
                                                                                              <w:marBottom w:val="0"/>
                                                                                              <w:divBdr>
                                                                                                <w:top w:val="none" w:sz="0" w:space="0" w:color="auto"/>
                                                                                                <w:left w:val="none" w:sz="0" w:space="0" w:color="auto"/>
                                                                                                <w:bottom w:val="none" w:sz="0" w:space="0" w:color="auto"/>
                                                                                                <w:right w:val="none" w:sz="0" w:space="0" w:color="auto"/>
                                                                                              </w:divBdr>
                                                                                            </w:div>
                                                                                          </w:divsChild>
                                                                                        </w:div>
                                                                                        <w:div w:id="894052154">
                                                                                          <w:marLeft w:val="0"/>
                                                                                          <w:marRight w:val="0"/>
                                                                                          <w:marTop w:val="0"/>
                                                                                          <w:marBottom w:val="0"/>
                                                                                          <w:divBdr>
                                                                                            <w:top w:val="none" w:sz="0" w:space="0" w:color="auto"/>
                                                                                            <w:left w:val="none" w:sz="0" w:space="0" w:color="auto"/>
                                                                                            <w:bottom w:val="none" w:sz="0" w:space="0" w:color="auto"/>
                                                                                            <w:right w:val="none" w:sz="0" w:space="0" w:color="auto"/>
                                                                                          </w:divBdr>
                                                                                          <w:divsChild>
                                                                                            <w:div w:id="692658733">
                                                                                              <w:marLeft w:val="0"/>
                                                                                              <w:marRight w:val="0"/>
                                                                                              <w:marTop w:val="0"/>
                                                                                              <w:marBottom w:val="0"/>
                                                                                              <w:divBdr>
                                                                                                <w:top w:val="none" w:sz="0" w:space="0" w:color="auto"/>
                                                                                                <w:left w:val="none" w:sz="0" w:space="0" w:color="auto"/>
                                                                                                <w:bottom w:val="none" w:sz="0" w:space="0" w:color="auto"/>
                                                                                                <w:right w:val="none" w:sz="0" w:space="0" w:color="auto"/>
                                                                                              </w:divBdr>
                                                                                            </w:div>
                                                                                          </w:divsChild>
                                                                                        </w:div>
                                                                                        <w:div w:id="926302296">
                                                                                          <w:marLeft w:val="0"/>
                                                                                          <w:marRight w:val="0"/>
                                                                                          <w:marTop w:val="0"/>
                                                                                          <w:marBottom w:val="0"/>
                                                                                          <w:divBdr>
                                                                                            <w:top w:val="none" w:sz="0" w:space="0" w:color="auto"/>
                                                                                            <w:left w:val="none" w:sz="0" w:space="0" w:color="auto"/>
                                                                                            <w:bottom w:val="none" w:sz="0" w:space="0" w:color="auto"/>
                                                                                            <w:right w:val="none" w:sz="0" w:space="0" w:color="auto"/>
                                                                                          </w:divBdr>
                                                                                          <w:divsChild>
                                                                                            <w:div w:id="1130977998">
                                                                                              <w:marLeft w:val="0"/>
                                                                                              <w:marRight w:val="0"/>
                                                                                              <w:marTop w:val="0"/>
                                                                                              <w:marBottom w:val="0"/>
                                                                                              <w:divBdr>
                                                                                                <w:top w:val="none" w:sz="0" w:space="0" w:color="auto"/>
                                                                                                <w:left w:val="none" w:sz="0" w:space="0" w:color="auto"/>
                                                                                                <w:bottom w:val="none" w:sz="0" w:space="0" w:color="auto"/>
                                                                                                <w:right w:val="none" w:sz="0" w:space="0" w:color="auto"/>
                                                                                              </w:divBdr>
                                                                                            </w:div>
                                                                                          </w:divsChild>
                                                                                        </w:div>
                                                                                        <w:div w:id="1052778050">
                                                                                          <w:marLeft w:val="0"/>
                                                                                          <w:marRight w:val="0"/>
                                                                                          <w:marTop w:val="0"/>
                                                                                          <w:marBottom w:val="0"/>
                                                                                          <w:divBdr>
                                                                                            <w:top w:val="none" w:sz="0" w:space="0" w:color="auto"/>
                                                                                            <w:left w:val="none" w:sz="0" w:space="0" w:color="auto"/>
                                                                                            <w:bottom w:val="none" w:sz="0" w:space="0" w:color="auto"/>
                                                                                            <w:right w:val="none" w:sz="0" w:space="0" w:color="auto"/>
                                                                                          </w:divBdr>
                                                                                          <w:divsChild>
                                                                                            <w:div w:id="79645503">
                                                                                              <w:marLeft w:val="0"/>
                                                                                              <w:marRight w:val="0"/>
                                                                                              <w:marTop w:val="0"/>
                                                                                              <w:marBottom w:val="0"/>
                                                                                              <w:divBdr>
                                                                                                <w:top w:val="none" w:sz="0" w:space="0" w:color="auto"/>
                                                                                                <w:left w:val="none" w:sz="0" w:space="0" w:color="auto"/>
                                                                                                <w:bottom w:val="none" w:sz="0" w:space="0" w:color="auto"/>
                                                                                                <w:right w:val="none" w:sz="0" w:space="0" w:color="auto"/>
                                                                                              </w:divBdr>
                                                                                            </w:div>
                                                                                          </w:divsChild>
                                                                                        </w:div>
                                                                                        <w:div w:id="1054891512">
                                                                                          <w:marLeft w:val="0"/>
                                                                                          <w:marRight w:val="0"/>
                                                                                          <w:marTop w:val="0"/>
                                                                                          <w:marBottom w:val="0"/>
                                                                                          <w:divBdr>
                                                                                            <w:top w:val="none" w:sz="0" w:space="0" w:color="auto"/>
                                                                                            <w:left w:val="none" w:sz="0" w:space="0" w:color="auto"/>
                                                                                            <w:bottom w:val="none" w:sz="0" w:space="0" w:color="auto"/>
                                                                                            <w:right w:val="none" w:sz="0" w:space="0" w:color="auto"/>
                                                                                          </w:divBdr>
                                                                                          <w:divsChild>
                                                                                            <w:div w:id="905140926">
                                                                                              <w:marLeft w:val="0"/>
                                                                                              <w:marRight w:val="0"/>
                                                                                              <w:marTop w:val="0"/>
                                                                                              <w:marBottom w:val="0"/>
                                                                                              <w:divBdr>
                                                                                                <w:top w:val="none" w:sz="0" w:space="0" w:color="auto"/>
                                                                                                <w:left w:val="none" w:sz="0" w:space="0" w:color="auto"/>
                                                                                                <w:bottom w:val="none" w:sz="0" w:space="0" w:color="auto"/>
                                                                                                <w:right w:val="none" w:sz="0" w:space="0" w:color="auto"/>
                                                                                              </w:divBdr>
                                                                                            </w:div>
                                                                                          </w:divsChild>
                                                                                        </w:div>
                                                                                        <w:div w:id="1173839010">
                                                                                          <w:marLeft w:val="0"/>
                                                                                          <w:marRight w:val="0"/>
                                                                                          <w:marTop w:val="0"/>
                                                                                          <w:marBottom w:val="0"/>
                                                                                          <w:divBdr>
                                                                                            <w:top w:val="none" w:sz="0" w:space="0" w:color="auto"/>
                                                                                            <w:left w:val="none" w:sz="0" w:space="0" w:color="auto"/>
                                                                                            <w:bottom w:val="none" w:sz="0" w:space="0" w:color="auto"/>
                                                                                            <w:right w:val="none" w:sz="0" w:space="0" w:color="auto"/>
                                                                                          </w:divBdr>
                                                                                          <w:divsChild>
                                                                                            <w:div w:id="930430095">
                                                                                              <w:marLeft w:val="0"/>
                                                                                              <w:marRight w:val="0"/>
                                                                                              <w:marTop w:val="0"/>
                                                                                              <w:marBottom w:val="0"/>
                                                                                              <w:divBdr>
                                                                                                <w:top w:val="none" w:sz="0" w:space="0" w:color="auto"/>
                                                                                                <w:left w:val="none" w:sz="0" w:space="0" w:color="auto"/>
                                                                                                <w:bottom w:val="none" w:sz="0" w:space="0" w:color="auto"/>
                                                                                                <w:right w:val="none" w:sz="0" w:space="0" w:color="auto"/>
                                                                                              </w:divBdr>
                                                                                            </w:div>
                                                                                          </w:divsChild>
                                                                                        </w:div>
                                                                                        <w:div w:id="1217670265">
                                                                                          <w:marLeft w:val="0"/>
                                                                                          <w:marRight w:val="0"/>
                                                                                          <w:marTop w:val="0"/>
                                                                                          <w:marBottom w:val="0"/>
                                                                                          <w:divBdr>
                                                                                            <w:top w:val="none" w:sz="0" w:space="0" w:color="auto"/>
                                                                                            <w:left w:val="none" w:sz="0" w:space="0" w:color="auto"/>
                                                                                            <w:bottom w:val="none" w:sz="0" w:space="0" w:color="auto"/>
                                                                                            <w:right w:val="none" w:sz="0" w:space="0" w:color="auto"/>
                                                                                          </w:divBdr>
                                                                                          <w:divsChild>
                                                                                            <w:div w:id="340816676">
                                                                                              <w:marLeft w:val="0"/>
                                                                                              <w:marRight w:val="0"/>
                                                                                              <w:marTop w:val="0"/>
                                                                                              <w:marBottom w:val="0"/>
                                                                                              <w:divBdr>
                                                                                                <w:top w:val="none" w:sz="0" w:space="0" w:color="auto"/>
                                                                                                <w:left w:val="none" w:sz="0" w:space="0" w:color="auto"/>
                                                                                                <w:bottom w:val="none" w:sz="0" w:space="0" w:color="auto"/>
                                                                                                <w:right w:val="none" w:sz="0" w:space="0" w:color="auto"/>
                                                                                              </w:divBdr>
                                                                                            </w:div>
                                                                                          </w:divsChild>
                                                                                        </w:div>
                                                                                        <w:div w:id="1519269846">
                                                                                          <w:marLeft w:val="0"/>
                                                                                          <w:marRight w:val="0"/>
                                                                                          <w:marTop w:val="0"/>
                                                                                          <w:marBottom w:val="0"/>
                                                                                          <w:divBdr>
                                                                                            <w:top w:val="none" w:sz="0" w:space="0" w:color="auto"/>
                                                                                            <w:left w:val="none" w:sz="0" w:space="0" w:color="auto"/>
                                                                                            <w:bottom w:val="none" w:sz="0" w:space="0" w:color="auto"/>
                                                                                            <w:right w:val="none" w:sz="0" w:space="0" w:color="auto"/>
                                                                                          </w:divBdr>
                                                                                          <w:divsChild>
                                                                                            <w:div w:id="523516030">
                                                                                              <w:marLeft w:val="0"/>
                                                                                              <w:marRight w:val="0"/>
                                                                                              <w:marTop w:val="0"/>
                                                                                              <w:marBottom w:val="0"/>
                                                                                              <w:divBdr>
                                                                                                <w:top w:val="none" w:sz="0" w:space="0" w:color="auto"/>
                                                                                                <w:left w:val="none" w:sz="0" w:space="0" w:color="auto"/>
                                                                                                <w:bottom w:val="none" w:sz="0" w:space="0" w:color="auto"/>
                                                                                                <w:right w:val="none" w:sz="0" w:space="0" w:color="auto"/>
                                                                                              </w:divBdr>
                                                                                            </w:div>
                                                                                          </w:divsChild>
                                                                                        </w:div>
                                                                                        <w:div w:id="1533306694">
                                                                                          <w:marLeft w:val="0"/>
                                                                                          <w:marRight w:val="0"/>
                                                                                          <w:marTop w:val="0"/>
                                                                                          <w:marBottom w:val="0"/>
                                                                                          <w:divBdr>
                                                                                            <w:top w:val="none" w:sz="0" w:space="0" w:color="auto"/>
                                                                                            <w:left w:val="none" w:sz="0" w:space="0" w:color="auto"/>
                                                                                            <w:bottom w:val="none" w:sz="0" w:space="0" w:color="auto"/>
                                                                                            <w:right w:val="none" w:sz="0" w:space="0" w:color="auto"/>
                                                                                          </w:divBdr>
                                                                                          <w:divsChild>
                                                                                            <w:div w:id="374551748">
                                                                                              <w:marLeft w:val="0"/>
                                                                                              <w:marRight w:val="0"/>
                                                                                              <w:marTop w:val="0"/>
                                                                                              <w:marBottom w:val="0"/>
                                                                                              <w:divBdr>
                                                                                                <w:top w:val="none" w:sz="0" w:space="0" w:color="auto"/>
                                                                                                <w:left w:val="none" w:sz="0" w:space="0" w:color="auto"/>
                                                                                                <w:bottom w:val="none" w:sz="0" w:space="0" w:color="auto"/>
                                                                                                <w:right w:val="none" w:sz="0" w:space="0" w:color="auto"/>
                                                                                              </w:divBdr>
                                                                                            </w:div>
                                                                                          </w:divsChild>
                                                                                        </w:div>
                                                                                        <w:div w:id="1539466438">
                                                                                          <w:marLeft w:val="0"/>
                                                                                          <w:marRight w:val="0"/>
                                                                                          <w:marTop w:val="0"/>
                                                                                          <w:marBottom w:val="0"/>
                                                                                          <w:divBdr>
                                                                                            <w:top w:val="none" w:sz="0" w:space="0" w:color="auto"/>
                                                                                            <w:left w:val="none" w:sz="0" w:space="0" w:color="auto"/>
                                                                                            <w:bottom w:val="none" w:sz="0" w:space="0" w:color="auto"/>
                                                                                            <w:right w:val="none" w:sz="0" w:space="0" w:color="auto"/>
                                                                                          </w:divBdr>
                                                                                          <w:divsChild>
                                                                                            <w:div w:id="1264193853">
                                                                                              <w:marLeft w:val="0"/>
                                                                                              <w:marRight w:val="0"/>
                                                                                              <w:marTop w:val="0"/>
                                                                                              <w:marBottom w:val="0"/>
                                                                                              <w:divBdr>
                                                                                                <w:top w:val="none" w:sz="0" w:space="0" w:color="auto"/>
                                                                                                <w:left w:val="none" w:sz="0" w:space="0" w:color="auto"/>
                                                                                                <w:bottom w:val="none" w:sz="0" w:space="0" w:color="auto"/>
                                                                                                <w:right w:val="none" w:sz="0" w:space="0" w:color="auto"/>
                                                                                              </w:divBdr>
                                                                                            </w:div>
                                                                                          </w:divsChild>
                                                                                        </w:div>
                                                                                        <w:div w:id="1575622354">
                                                                                          <w:marLeft w:val="0"/>
                                                                                          <w:marRight w:val="0"/>
                                                                                          <w:marTop w:val="0"/>
                                                                                          <w:marBottom w:val="0"/>
                                                                                          <w:divBdr>
                                                                                            <w:top w:val="none" w:sz="0" w:space="0" w:color="auto"/>
                                                                                            <w:left w:val="none" w:sz="0" w:space="0" w:color="auto"/>
                                                                                            <w:bottom w:val="none" w:sz="0" w:space="0" w:color="auto"/>
                                                                                            <w:right w:val="none" w:sz="0" w:space="0" w:color="auto"/>
                                                                                          </w:divBdr>
                                                                                          <w:divsChild>
                                                                                            <w:div w:id="176623893">
                                                                                              <w:marLeft w:val="0"/>
                                                                                              <w:marRight w:val="0"/>
                                                                                              <w:marTop w:val="0"/>
                                                                                              <w:marBottom w:val="0"/>
                                                                                              <w:divBdr>
                                                                                                <w:top w:val="none" w:sz="0" w:space="0" w:color="auto"/>
                                                                                                <w:left w:val="none" w:sz="0" w:space="0" w:color="auto"/>
                                                                                                <w:bottom w:val="none" w:sz="0" w:space="0" w:color="auto"/>
                                                                                                <w:right w:val="none" w:sz="0" w:space="0" w:color="auto"/>
                                                                                              </w:divBdr>
                                                                                            </w:div>
                                                                                          </w:divsChild>
                                                                                        </w:div>
                                                                                        <w:div w:id="1631935359">
                                                                                          <w:marLeft w:val="0"/>
                                                                                          <w:marRight w:val="0"/>
                                                                                          <w:marTop w:val="0"/>
                                                                                          <w:marBottom w:val="0"/>
                                                                                          <w:divBdr>
                                                                                            <w:top w:val="none" w:sz="0" w:space="0" w:color="auto"/>
                                                                                            <w:left w:val="none" w:sz="0" w:space="0" w:color="auto"/>
                                                                                            <w:bottom w:val="none" w:sz="0" w:space="0" w:color="auto"/>
                                                                                            <w:right w:val="none" w:sz="0" w:space="0" w:color="auto"/>
                                                                                          </w:divBdr>
                                                                                          <w:divsChild>
                                                                                            <w:div w:id="24520916">
                                                                                              <w:marLeft w:val="0"/>
                                                                                              <w:marRight w:val="0"/>
                                                                                              <w:marTop w:val="0"/>
                                                                                              <w:marBottom w:val="0"/>
                                                                                              <w:divBdr>
                                                                                                <w:top w:val="none" w:sz="0" w:space="0" w:color="auto"/>
                                                                                                <w:left w:val="none" w:sz="0" w:space="0" w:color="auto"/>
                                                                                                <w:bottom w:val="none" w:sz="0" w:space="0" w:color="auto"/>
                                                                                                <w:right w:val="none" w:sz="0" w:space="0" w:color="auto"/>
                                                                                              </w:divBdr>
                                                                                            </w:div>
                                                                                          </w:divsChild>
                                                                                        </w:div>
                                                                                        <w:div w:id="1885092873">
                                                                                          <w:marLeft w:val="0"/>
                                                                                          <w:marRight w:val="0"/>
                                                                                          <w:marTop w:val="0"/>
                                                                                          <w:marBottom w:val="0"/>
                                                                                          <w:divBdr>
                                                                                            <w:top w:val="none" w:sz="0" w:space="0" w:color="auto"/>
                                                                                            <w:left w:val="none" w:sz="0" w:space="0" w:color="auto"/>
                                                                                            <w:bottom w:val="none" w:sz="0" w:space="0" w:color="auto"/>
                                                                                            <w:right w:val="none" w:sz="0" w:space="0" w:color="auto"/>
                                                                                          </w:divBdr>
                                                                                          <w:divsChild>
                                                                                            <w:div w:id="624852120">
                                                                                              <w:marLeft w:val="0"/>
                                                                                              <w:marRight w:val="0"/>
                                                                                              <w:marTop w:val="0"/>
                                                                                              <w:marBottom w:val="0"/>
                                                                                              <w:divBdr>
                                                                                                <w:top w:val="none" w:sz="0" w:space="0" w:color="auto"/>
                                                                                                <w:left w:val="none" w:sz="0" w:space="0" w:color="auto"/>
                                                                                                <w:bottom w:val="none" w:sz="0" w:space="0" w:color="auto"/>
                                                                                                <w:right w:val="none" w:sz="0" w:space="0" w:color="auto"/>
                                                                                              </w:divBdr>
                                                                                            </w:div>
                                                                                          </w:divsChild>
                                                                                        </w:div>
                                                                                        <w:div w:id="2033220360">
                                                                                          <w:marLeft w:val="0"/>
                                                                                          <w:marRight w:val="0"/>
                                                                                          <w:marTop w:val="0"/>
                                                                                          <w:marBottom w:val="0"/>
                                                                                          <w:divBdr>
                                                                                            <w:top w:val="none" w:sz="0" w:space="0" w:color="auto"/>
                                                                                            <w:left w:val="none" w:sz="0" w:space="0" w:color="auto"/>
                                                                                            <w:bottom w:val="none" w:sz="0" w:space="0" w:color="auto"/>
                                                                                            <w:right w:val="none" w:sz="0" w:space="0" w:color="auto"/>
                                                                                          </w:divBdr>
                                                                                          <w:divsChild>
                                                                                            <w:div w:id="540290221">
                                                                                              <w:marLeft w:val="0"/>
                                                                                              <w:marRight w:val="0"/>
                                                                                              <w:marTop w:val="0"/>
                                                                                              <w:marBottom w:val="0"/>
                                                                                              <w:divBdr>
                                                                                                <w:top w:val="none" w:sz="0" w:space="0" w:color="auto"/>
                                                                                                <w:left w:val="none" w:sz="0" w:space="0" w:color="auto"/>
                                                                                                <w:bottom w:val="none" w:sz="0" w:space="0" w:color="auto"/>
                                                                                                <w:right w:val="none" w:sz="0" w:space="0" w:color="auto"/>
                                                                                              </w:divBdr>
                                                                                            </w:div>
                                                                                            <w:div w:id="106039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144421">
                                                                                  <w:marLeft w:val="0"/>
                                                                                  <w:marRight w:val="0"/>
                                                                                  <w:marTop w:val="0"/>
                                                                                  <w:marBottom w:val="0"/>
                                                                                  <w:divBdr>
                                                                                    <w:top w:val="none" w:sz="0" w:space="0" w:color="auto"/>
                                                                                    <w:left w:val="none" w:sz="0" w:space="0" w:color="auto"/>
                                                                                    <w:bottom w:val="none" w:sz="0" w:space="0" w:color="auto"/>
                                                                                    <w:right w:val="none" w:sz="0" w:space="0" w:color="auto"/>
                                                                                  </w:divBdr>
                                                                                </w:div>
                                                                                <w:div w:id="1369259530">
                                                                                  <w:marLeft w:val="0"/>
                                                                                  <w:marRight w:val="0"/>
                                                                                  <w:marTop w:val="0"/>
                                                                                  <w:marBottom w:val="0"/>
                                                                                  <w:divBdr>
                                                                                    <w:top w:val="none" w:sz="0" w:space="0" w:color="auto"/>
                                                                                    <w:left w:val="none" w:sz="0" w:space="0" w:color="auto"/>
                                                                                    <w:bottom w:val="none" w:sz="0" w:space="0" w:color="auto"/>
                                                                                    <w:right w:val="none" w:sz="0" w:space="0" w:color="auto"/>
                                                                                  </w:divBdr>
                                                                                </w:div>
                                                                                <w:div w:id="1373921824">
                                                                                  <w:marLeft w:val="0"/>
                                                                                  <w:marRight w:val="0"/>
                                                                                  <w:marTop w:val="0"/>
                                                                                  <w:marBottom w:val="0"/>
                                                                                  <w:divBdr>
                                                                                    <w:top w:val="none" w:sz="0" w:space="0" w:color="auto"/>
                                                                                    <w:left w:val="none" w:sz="0" w:space="0" w:color="auto"/>
                                                                                    <w:bottom w:val="none" w:sz="0" w:space="0" w:color="auto"/>
                                                                                    <w:right w:val="none" w:sz="0" w:space="0" w:color="auto"/>
                                                                                  </w:divBdr>
                                                                                </w:div>
                                                                                <w:div w:id="1422139410">
                                                                                  <w:marLeft w:val="0"/>
                                                                                  <w:marRight w:val="0"/>
                                                                                  <w:marTop w:val="0"/>
                                                                                  <w:marBottom w:val="0"/>
                                                                                  <w:divBdr>
                                                                                    <w:top w:val="none" w:sz="0" w:space="0" w:color="auto"/>
                                                                                    <w:left w:val="none" w:sz="0" w:space="0" w:color="auto"/>
                                                                                    <w:bottom w:val="none" w:sz="0" w:space="0" w:color="auto"/>
                                                                                    <w:right w:val="none" w:sz="0" w:space="0" w:color="auto"/>
                                                                                  </w:divBdr>
                                                                                </w:div>
                                                                                <w:div w:id="1434010576">
                                                                                  <w:marLeft w:val="0"/>
                                                                                  <w:marRight w:val="0"/>
                                                                                  <w:marTop w:val="0"/>
                                                                                  <w:marBottom w:val="0"/>
                                                                                  <w:divBdr>
                                                                                    <w:top w:val="none" w:sz="0" w:space="0" w:color="auto"/>
                                                                                    <w:left w:val="none" w:sz="0" w:space="0" w:color="auto"/>
                                                                                    <w:bottom w:val="none" w:sz="0" w:space="0" w:color="auto"/>
                                                                                    <w:right w:val="none" w:sz="0" w:space="0" w:color="auto"/>
                                                                                  </w:divBdr>
                                                                                </w:div>
                                                                                <w:div w:id="1444887986">
                                                                                  <w:marLeft w:val="0"/>
                                                                                  <w:marRight w:val="0"/>
                                                                                  <w:marTop w:val="0"/>
                                                                                  <w:marBottom w:val="0"/>
                                                                                  <w:divBdr>
                                                                                    <w:top w:val="none" w:sz="0" w:space="0" w:color="auto"/>
                                                                                    <w:left w:val="none" w:sz="0" w:space="0" w:color="auto"/>
                                                                                    <w:bottom w:val="none" w:sz="0" w:space="0" w:color="auto"/>
                                                                                    <w:right w:val="none" w:sz="0" w:space="0" w:color="auto"/>
                                                                                  </w:divBdr>
                                                                                </w:div>
                                                                                <w:div w:id="1455126943">
                                                                                  <w:marLeft w:val="0"/>
                                                                                  <w:marRight w:val="0"/>
                                                                                  <w:marTop w:val="0"/>
                                                                                  <w:marBottom w:val="0"/>
                                                                                  <w:divBdr>
                                                                                    <w:top w:val="none" w:sz="0" w:space="0" w:color="auto"/>
                                                                                    <w:left w:val="none" w:sz="0" w:space="0" w:color="auto"/>
                                                                                    <w:bottom w:val="none" w:sz="0" w:space="0" w:color="auto"/>
                                                                                    <w:right w:val="none" w:sz="0" w:space="0" w:color="auto"/>
                                                                                  </w:divBdr>
                                                                                </w:div>
                                                                                <w:div w:id="1481114997">
                                                                                  <w:marLeft w:val="0"/>
                                                                                  <w:marRight w:val="0"/>
                                                                                  <w:marTop w:val="0"/>
                                                                                  <w:marBottom w:val="0"/>
                                                                                  <w:divBdr>
                                                                                    <w:top w:val="none" w:sz="0" w:space="0" w:color="auto"/>
                                                                                    <w:left w:val="none" w:sz="0" w:space="0" w:color="auto"/>
                                                                                    <w:bottom w:val="none" w:sz="0" w:space="0" w:color="auto"/>
                                                                                    <w:right w:val="none" w:sz="0" w:space="0" w:color="auto"/>
                                                                                  </w:divBdr>
                                                                                </w:div>
                                                                                <w:div w:id="1490975460">
                                                                                  <w:marLeft w:val="0"/>
                                                                                  <w:marRight w:val="0"/>
                                                                                  <w:marTop w:val="0"/>
                                                                                  <w:marBottom w:val="0"/>
                                                                                  <w:divBdr>
                                                                                    <w:top w:val="none" w:sz="0" w:space="0" w:color="auto"/>
                                                                                    <w:left w:val="none" w:sz="0" w:space="0" w:color="auto"/>
                                                                                    <w:bottom w:val="none" w:sz="0" w:space="0" w:color="auto"/>
                                                                                    <w:right w:val="none" w:sz="0" w:space="0" w:color="auto"/>
                                                                                  </w:divBdr>
                                                                                </w:div>
                                                                                <w:div w:id="1492602961">
                                                                                  <w:marLeft w:val="0"/>
                                                                                  <w:marRight w:val="0"/>
                                                                                  <w:marTop w:val="0"/>
                                                                                  <w:marBottom w:val="0"/>
                                                                                  <w:divBdr>
                                                                                    <w:top w:val="none" w:sz="0" w:space="0" w:color="auto"/>
                                                                                    <w:left w:val="none" w:sz="0" w:space="0" w:color="auto"/>
                                                                                    <w:bottom w:val="none" w:sz="0" w:space="0" w:color="auto"/>
                                                                                    <w:right w:val="none" w:sz="0" w:space="0" w:color="auto"/>
                                                                                  </w:divBdr>
                                                                                </w:div>
                                                                                <w:div w:id="1501001475">
                                                                                  <w:marLeft w:val="0"/>
                                                                                  <w:marRight w:val="0"/>
                                                                                  <w:marTop w:val="0"/>
                                                                                  <w:marBottom w:val="0"/>
                                                                                  <w:divBdr>
                                                                                    <w:top w:val="none" w:sz="0" w:space="0" w:color="auto"/>
                                                                                    <w:left w:val="none" w:sz="0" w:space="0" w:color="auto"/>
                                                                                    <w:bottom w:val="none" w:sz="0" w:space="0" w:color="auto"/>
                                                                                    <w:right w:val="none" w:sz="0" w:space="0" w:color="auto"/>
                                                                                  </w:divBdr>
                                                                                </w:div>
                                                                                <w:div w:id="1511289858">
                                                                                  <w:marLeft w:val="0"/>
                                                                                  <w:marRight w:val="0"/>
                                                                                  <w:marTop w:val="0"/>
                                                                                  <w:marBottom w:val="0"/>
                                                                                  <w:divBdr>
                                                                                    <w:top w:val="none" w:sz="0" w:space="0" w:color="auto"/>
                                                                                    <w:left w:val="none" w:sz="0" w:space="0" w:color="auto"/>
                                                                                    <w:bottom w:val="none" w:sz="0" w:space="0" w:color="auto"/>
                                                                                    <w:right w:val="none" w:sz="0" w:space="0" w:color="auto"/>
                                                                                  </w:divBdr>
                                                                                </w:div>
                                                                                <w:div w:id="1513297639">
                                                                                  <w:marLeft w:val="0"/>
                                                                                  <w:marRight w:val="0"/>
                                                                                  <w:marTop w:val="0"/>
                                                                                  <w:marBottom w:val="0"/>
                                                                                  <w:divBdr>
                                                                                    <w:top w:val="none" w:sz="0" w:space="0" w:color="auto"/>
                                                                                    <w:left w:val="none" w:sz="0" w:space="0" w:color="auto"/>
                                                                                    <w:bottom w:val="none" w:sz="0" w:space="0" w:color="auto"/>
                                                                                    <w:right w:val="none" w:sz="0" w:space="0" w:color="auto"/>
                                                                                  </w:divBdr>
                                                                                </w:div>
                                                                                <w:div w:id="1515266280">
                                                                                  <w:marLeft w:val="0"/>
                                                                                  <w:marRight w:val="0"/>
                                                                                  <w:marTop w:val="0"/>
                                                                                  <w:marBottom w:val="0"/>
                                                                                  <w:divBdr>
                                                                                    <w:top w:val="none" w:sz="0" w:space="0" w:color="auto"/>
                                                                                    <w:left w:val="none" w:sz="0" w:space="0" w:color="auto"/>
                                                                                    <w:bottom w:val="none" w:sz="0" w:space="0" w:color="auto"/>
                                                                                    <w:right w:val="none" w:sz="0" w:space="0" w:color="auto"/>
                                                                                  </w:divBdr>
                                                                                </w:div>
                                                                                <w:div w:id="1521819328">
                                                                                  <w:marLeft w:val="0"/>
                                                                                  <w:marRight w:val="0"/>
                                                                                  <w:marTop w:val="0"/>
                                                                                  <w:marBottom w:val="0"/>
                                                                                  <w:divBdr>
                                                                                    <w:top w:val="none" w:sz="0" w:space="0" w:color="auto"/>
                                                                                    <w:left w:val="none" w:sz="0" w:space="0" w:color="auto"/>
                                                                                    <w:bottom w:val="none" w:sz="0" w:space="0" w:color="auto"/>
                                                                                    <w:right w:val="none" w:sz="0" w:space="0" w:color="auto"/>
                                                                                  </w:divBdr>
                                                                                </w:div>
                                                                                <w:div w:id="1528373766">
                                                                                  <w:marLeft w:val="0"/>
                                                                                  <w:marRight w:val="0"/>
                                                                                  <w:marTop w:val="0"/>
                                                                                  <w:marBottom w:val="0"/>
                                                                                  <w:divBdr>
                                                                                    <w:top w:val="none" w:sz="0" w:space="0" w:color="auto"/>
                                                                                    <w:left w:val="none" w:sz="0" w:space="0" w:color="auto"/>
                                                                                    <w:bottom w:val="none" w:sz="0" w:space="0" w:color="auto"/>
                                                                                    <w:right w:val="none" w:sz="0" w:space="0" w:color="auto"/>
                                                                                  </w:divBdr>
                                                                                </w:div>
                                                                                <w:div w:id="1558199560">
                                                                                  <w:marLeft w:val="0"/>
                                                                                  <w:marRight w:val="0"/>
                                                                                  <w:marTop w:val="0"/>
                                                                                  <w:marBottom w:val="0"/>
                                                                                  <w:divBdr>
                                                                                    <w:top w:val="none" w:sz="0" w:space="0" w:color="auto"/>
                                                                                    <w:left w:val="none" w:sz="0" w:space="0" w:color="auto"/>
                                                                                    <w:bottom w:val="none" w:sz="0" w:space="0" w:color="auto"/>
                                                                                    <w:right w:val="none" w:sz="0" w:space="0" w:color="auto"/>
                                                                                  </w:divBdr>
                                                                                </w:div>
                                                                                <w:div w:id="1586258119">
                                                                                  <w:marLeft w:val="0"/>
                                                                                  <w:marRight w:val="0"/>
                                                                                  <w:marTop w:val="0"/>
                                                                                  <w:marBottom w:val="0"/>
                                                                                  <w:divBdr>
                                                                                    <w:top w:val="none" w:sz="0" w:space="0" w:color="auto"/>
                                                                                    <w:left w:val="none" w:sz="0" w:space="0" w:color="auto"/>
                                                                                    <w:bottom w:val="none" w:sz="0" w:space="0" w:color="auto"/>
                                                                                    <w:right w:val="none" w:sz="0" w:space="0" w:color="auto"/>
                                                                                  </w:divBdr>
                                                                                </w:div>
                                                                                <w:div w:id="1594241978">
                                                                                  <w:marLeft w:val="0"/>
                                                                                  <w:marRight w:val="0"/>
                                                                                  <w:marTop w:val="0"/>
                                                                                  <w:marBottom w:val="0"/>
                                                                                  <w:divBdr>
                                                                                    <w:top w:val="none" w:sz="0" w:space="0" w:color="auto"/>
                                                                                    <w:left w:val="none" w:sz="0" w:space="0" w:color="auto"/>
                                                                                    <w:bottom w:val="none" w:sz="0" w:space="0" w:color="auto"/>
                                                                                    <w:right w:val="none" w:sz="0" w:space="0" w:color="auto"/>
                                                                                  </w:divBdr>
                                                                                </w:div>
                                                                                <w:div w:id="1598371139">
                                                                                  <w:marLeft w:val="0"/>
                                                                                  <w:marRight w:val="0"/>
                                                                                  <w:marTop w:val="0"/>
                                                                                  <w:marBottom w:val="0"/>
                                                                                  <w:divBdr>
                                                                                    <w:top w:val="none" w:sz="0" w:space="0" w:color="auto"/>
                                                                                    <w:left w:val="none" w:sz="0" w:space="0" w:color="auto"/>
                                                                                    <w:bottom w:val="none" w:sz="0" w:space="0" w:color="auto"/>
                                                                                    <w:right w:val="none" w:sz="0" w:space="0" w:color="auto"/>
                                                                                  </w:divBdr>
                                                                                </w:div>
                                                                                <w:div w:id="1626161316">
                                                                                  <w:marLeft w:val="0"/>
                                                                                  <w:marRight w:val="0"/>
                                                                                  <w:marTop w:val="0"/>
                                                                                  <w:marBottom w:val="0"/>
                                                                                  <w:divBdr>
                                                                                    <w:top w:val="none" w:sz="0" w:space="0" w:color="auto"/>
                                                                                    <w:left w:val="none" w:sz="0" w:space="0" w:color="auto"/>
                                                                                    <w:bottom w:val="none" w:sz="0" w:space="0" w:color="auto"/>
                                                                                    <w:right w:val="none" w:sz="0" w:space="0" w:color="auto"/>
                                                                                  </w:divBdr>
                                                                                </w:div>
                                                                                <w:div w:id="1631977918">
                                                                                  <w:marLeft w:val="0"/>
                                                                                  <w:marRight w:val="0"/>
                                                                                  <w:marTop w:val="0"/>
                                                                                  <w:marBottom w:val="0"/>
                                                                                  <w:divBdr>
                                                                                    <w:top w:val="none" w:sz="0" w:space="0" w:color="auto"/>
                                                                                    <w:left w:val="none" w:sz="0" w:space="0" w:color="auto"/>
                                                                                    <w:bottom w:val="none" w:sz="0" w:space="0" w:color="auto"/>
                                                                                    <w:right w:val="none" w:sz="0" w:space="0" w:color="auto"/>
                                                                                  </w:divBdr>
                                                                                </w:div>
                                                                                <w:div w:id="1635208304">
                                                                                  <w:marLeft w:val="0"/>
                                                                                  <w:marRight w:val="0"/>
                                                                                  <w:marTop w:val="0"/>
                                                                                  <w:marBottom w:val="0"/>
                                                                                  <w:divBdr>
                                                                                    <w:top w:val="none" w:sz="0" w:space="0" w:color="auto"/>
                                                                                    <w:left w:val="none" w:sz="0" w:space="0" w:color="auto"/>
                                                                                    <w:bottom w:val="none" w:sz="0" w:space="0" w:color="auto"/>
                                                                                    <w:right w:val="none" w:sz="0" w:space="0" w:color="auto"/>
                                                                                  </w:divBdr>
                                                                                </w:div>
                                                                                <w:div w:id="1647200312">
                                                                                  <w:marLeft w:val="0"/>
                                                                                  <w:marRight w:val="0"/>
                                                                                  <w:marTop w:val="0"/>
                                                                                  <w:marBottom w:val="0"/>
                                                                                  <w:divBdr>
                                                                                    <w:top w:val="none" w:sz="0" w:space="0" w:color="auto"/>
                                                                                    <w:left w:val="none" w:sz="0" w:space="0" w:color="auto"/>
                                                                                    <w:bottom w:val="none" w:sz="0" w:space="0" w:color="auto"/>
                                                                                    <w:right w:val="none" w:sz="0" w:space="0" w:color="auto"/>
                                                                                  </w:divBdr>
                                                                                </w:div>
                                                                                <w:div w:id="1649363673">
                                                                                  <w:marLeft w:val="0"/>
                                                                                  <w:marRight w:val="0"/>
                                                                                  <w:marTop w:val="0"/>
                                                                                  <w:marBottom w:val="0"/>
                                                                                  <w:divBdr>
                                                                                    <w:top w:val="none" w:sz="0" w:space="0" w:color="auto"/>
                                                                                    <w:left w:val="none" w:sz="0" w:space="0" w:color="auto"/>
                                                                                    <w:bottom w:val="none" w:sz="0" w:space="0" w:color="auto"/>
                                                                                    <w:right w:val="none" w:sz="0" w:space="0" w:color="auto"/>
                                                                                  </w:divBdr>
                                                                                </w:div>
                                                                                <w:div w:id="1664501770">
                                                                                  <w:marLeft w:val="0"/>
                                                                                  <w:marRight w:val="0"/>
                                                                                  <w:marTop w:val="0"/>
                                                                                  <w:marBottom w:val="0"/>
                                                                                  <w:divBdr>
                                                                                    <w:top w:val="none" w:sz="0" w:space="0" w:color="auto"/>
                                                                                    <w:left w:val="none" w:sz="0" w:space="0" w:color="auto"/>
                                                                                    <w:bottom w:val="none" w:sz="0" w:space="0" w:color="auto"/>
                                                                                    <w:right w:val="none" w:sz="0" w:space="0" w:color="auto"/>
                                                                                  </w:divBdr>
                                                                                </w:div>
                                                                                <w:div w:id="1668240791">
                                                                                  <w:marLeft w:val="0"/>
                                                                                  <w:marRight w:val="0"/>
                                                                                  <w:marTop w:val="0"/>
                                                                                  <w:marBottom w:val="0"/>
                                                                                  <w:divBdr>
                                                                                    <w:top w:val="none" w:sz="0" w:space="0" w:color="auto"/>
                                                                                    <w:left w:val="none" w:sz="0" w:space="0" w:color="auto"/>
                                                                                    <w:bottom w:val="none" w:sz="0" w:space="0" w:color="auto"/>
                                                                                    <w:right w:val="none" w:sz="0" w:space="0" w:color="auto"/>
                                                                                  </w:divBdr>
                                                                                </w:div>
                                                                                <w:div w:id="1701005321">
                                                                                  <w:marLeft w:val="0"/>
                                                                                  <w:marRight w:val="0"/>
                                                                                  <w:marTop w:val="0"/>
                                                                                  <w:marBottom w:val="0"/>
                                                                                  <w:divBdr>
                                                                                    <w:top w:val="none" w:sz="0" w:space="0" w:color="auto"/>
                                                                                    <w:left w:val="none" w:sz="0" w:space="0" w:color="auto"/>
                                                                                    <w:bottom w:val="none" w:sz="0" w:space="0" w:color="auto"/>
                                                                                    <w:right w:val="none" w:sz="0" w:space="0" w:color="auto"/>
                                                                                  </w:divBdr>
                                                                                </w:div>
                                                                                <w:div w:id="1719817981">
                                                                                  <w:marLeft w:val="0"/>
                                                                                  <w:marRight w:val="0"/>
                                                                                  <w:marTop w:val="0"/>
                                                                                  <w:marBottom w:val="0"/>
                                                                                  <w:divBdr>
                                                                                    <w:top w:val="none" w:sz="0" w:space="0" w:color="auto"/>
                                                                                    <w:left w:val="none" w:sz="0" w:space="0" w:color="auto"/>
                                                                                    <w:bottom w:val="none" w:sz="0" w:space="0" w:color="auto"/>
                                                                                    <w:right w:val="none" w:sz="0" w:space="0" w:color="auto"/>
                                                                                  </w:divBdr>
                                                                                </w:div>
                                                                                <w:div w:id="1727558962">
                                                                                  <w:marLeft w:val="0"/>
                                                                                  <w:marRight w:val="0"/>
                                                                                  <w:marTop w:val="0"/>
                                                                                  <w:marBottom w:val="0"/>
                                                                                  <w:divBdr>
                                                                                    <w:top w:val="none" w:sz="0" w:space="0" w:color="auto"/>
                                                                                    <w:left w:val="none" w:sz="0" w:space="0" w:color="auto"/>
                                                                                    <w:bottom w:val="none" w:sz="0" w:space="0" w:color="auto"/>
                                                                                    <w:right w:val="none" w:sz="0" w:space="0" w:color="auto"/>
                                                                                  </w:divBdr>
                                                                                </w:div>
                                                                                <w:div w:id="1728525510">
                                                                                  <w:marLeft w:val="0"/>
                                                                                  <w:marRight w:val="0"/>
                                                                                  <w:marTop w:val="0"/>
                                                                                  <w:marBottom w:val="0"/>
                                                                                  <w:divBdr>
                                                                                    <w:top w:val="none" w:sz="0" w:space="0" w:color="auto"/>
                                                                                    <w:left w:val="none" w:sz="0" w:space="0" w:color="auto"/>
                                                                                    <w:bottom w:val="none" w:sz="0" w:space="0" w:color="auto"/>
                                                                                    <w:right w:val="none" w:sz="0" w:space="0" w:color="auto"/>
                                                                                  </w:divBdr>
                                                                                </w:div>
                                                                                <w:div w:id="1776100068">
                                                                                  <w:marLeft w:val="0"/>
                                                                                  <w:marRight w:val="0"/>
                                                                                  <w:marTop w:val="0"/>
                                                                                  <w:marBottom w:val="0"/>
                                                                                  <w:divBdr>
                                                                                    <w:top w:val="none" w:sz="0" w:space="0" w:color="auto"/>
                                                                                    <w:left w:val="none" w:sz="0" w:space="0" w:color="auto"/>
                                                                                    <w:bottom w:val="none" w:sz="0" w:space="0" w:color="auto"/>
                                                                                    <w:right w:val="none" w:sz="0" w:space="0" w:color="auto"/>
                                                                                  </w:divBdr>
                                                                                </w:div>
                                                                                <w:div w:id="1806895424">
                                                                                  <w:marLeft w:val="0"/>
                                                                                  <w:marRight w:val="0"/>
                                                                                  <w:marTop w:val="0"/>
                                                                                  <w:marBottom w:val="0"/>
                                                                                  <w:divBdr>
                                                                                    <w:top w:val="none" w:sz="0" w:space="0" w:color="auto"/>
                                                                                    <w:left w:val="none" w:sz="0" w:space="0" w:color="auto"/>
                                                                                    <w:bottom w:val="none" w:sz="0" w:space="0" w:color="auto"/>
                                                                                    <w:right w:val="none" w:sz="0" w:space="0" w:color="auto"/>
                                                                                  </w:divBdr>
                                                                                </w:div>
                                                                                <w:div w:id="1824008243">
                                                                                  <w:marLeft w:val="0"/>
                                                                                  <w:marRight w:val="0"/>
                                                                                  <w:marTop w:val="0"/>
                                                                                  <w:marBottom w:val="0"/>
                                                                                  <w:divBdr>
                                                                                    <w:top w:val="none" w:sz="0" w:space="0" w:color="auto"/>
                                                                                    <w:left w:val="none" w:sz="0" w:space="0" w:color="auto"/>
                                                                                    <w:bottom w:val="none" w:sz="0" w:space="0" w:color="auto"/>
                                                                                    <w:right w:val="none" w:sz="0" w:space="0" w:color="auto"/>
                                                                                  </w:divBdr>
                                                                                </w:div>
                                                                                <w:div w:id="1825465542">
                                                                                  <w:marLeft w:val="0"/>
                                                                                  <w:marRight w:val="0"/>
                                                                                  <w:marTop w:val="0"/>
                                                                                  <w:marBottom w:val="0"/>
                                                                                  <w:divBdr>
                                                                                    <w:top w:val="none" w:sz="0" w:space="0" w:color="auto"/>
                                                                                    <w:left w:val="none" w:sz="0" w:space="0" w:color="auto"/>
                                                                                    <w:bottom w:val="none" w:sz="0" w:space="0" w:color="auto"/>
                                                                                    <w:right w:val="none" w:sz="0" w:space="0" w:color="auto"/>
                                                                                  </w:divBdr>
                                                                                  <w:divsChild>
                                                                                    <w:div w:id="1068571986">
                                                                                      <w:marLeft w:val="-75"/>
                                                                                      <w:marRight w:val="0"/>
                                                                                      <w:marTop w:val="30"/>
                                                                                      <w:marBottom w:val="30"/>
                                                                                      <w:divBdr>
                                                                                        <w:top w:val="none" w:sz="0" w:space="0" w:color="auto"/>
                                                                                        <w:left w:val="none" w:sz="0" w:space="0" w:color="auto"/>
                                                                                        <w:bottom w:val="none" w:sz="0" w:space="0" w:color="auto"/>
                                                                                        <w:right w:val="none" w:sz="0" w:space="0" w:color="auto"/>
                                                                                      </w:divBdr>
                                                                                      <w:divsChild>
                                                                                        <w:div w:id="12584425">
                                                                                          <w:marLeft w:val="0"/>
                                                                                          <w:marRight w:val="0"/>
                                                                                          <w:marTop w:val="0"/>
                                                                                          <w:marBottom w:val="0"/>
                                                                                          <w:divBdr>
                                                                                            <w:top w:val="none" w:sz="0" w:space="0" w:color="auto"/>
                                                                                            <w:left w:val="none" w:sz="0" w:space="0" w:color="auto"/>
                                                                                            <w:bottom w:val="none" w:sz="0" w:space="0" w:color="auto"/>
                                                                                            <w:right w:val="none" w:sz="0" w:space="0" w:color="auto"/>
                                                                                          </w:divBdr>
                                                                                          <w:divsChild>
                                                                                            <w:div w:id="664359051">
                                                                                              <w:marLeft w:val="0"/>
                                                                                              <w:marRight w:val="0"/>
                                                                                              <w:marTop w:val="0"/>
                                                                                              <w:marBottom w:val="0"/>
                                                                                              <w:divBdr>
                                                                                                <w:top w:val="none" w:sz="0" w:space="0" w:color="auto"/>
                                                                                                <w:left w:val="none" w:sz="0" w:space="0" w:color="auto"/>
                                                                                                <w:bottom w:val="none" w:sz="0" w:space="0" w:color="auto"/>
                                                                                                <w:right w:val="none" w:sz="0" w:space="0" w:color="auto"/>
                                                                                              </w:divBdr>
                                                                                            </w:div>
                                                                                          </w:divsChild>
                                                                                        </w:div>
                                                                                        <w:div w:id="541210261">
                                                                                          <w:marLeft w:val="0"/>
                                                                                          <w:marRight w:val="0"/>
                                                                                          <w:marTop w:val="0"/>
                                                                                          <w:marBottom w:val="0"/>
                                                                                          <w:divBdr>
                                                                                            <w:top w:val="none" w:sz="0" w:space="0" w:color="auto"/>
                                                                                            <w:left w:val="none" w:sz="0" w:space="0" w:color="auto"/>
                                                                                            <w:bottom w:val="none" w:sz="0" w:space="0" w:color="auto"/>
                                                                                            <w:right w:val="none" w:sz="0" w:space="0" w:color="auto"/>
                                                                                          </w:divBdr>
                                                                                          <w:divsChild>
                                                                                            <w:div w:id="182788409">
                                                                                              <w:marLeft w:val="0"/>
                                                                                              <w:marRight w:val="0"/>
                                                                                              <w:marTop w:val="0"/>
                                                                                              <w:marBottom w:val="0"/>
                                                                                              <w:divBdr>
                                                                                                <w:top w:val="none" w:sz="0" w:space="0" w:color="auto"/>
                                                                                                <w:left w:val="none" w:sz="0" w:space="0" w:color="auto"/>
                                                                                                <w:bottom w:val="none" w:sz="0" w:space="0" w:color="auto"/>
                                                                                                <w:right w:val="none" w:sz="0" w:space="0" w:color="auto"/>
                                                                                              </w:divBdr>
                                                                                            </w:div>
                                                                                          </w:divsChild>
                                                                                        </w:div>
                                                                                        <w:div w:id="555623952">
                                                                                          <w:marLeft w:val="0"/>
                                                                                          <w:marRight w:val="0"/>
                                                                                          <w:marTop w:val="0"/>
                                                                                          <w:marBottom w:val="0"/>
                                                                                          <w:divBdr>
                                                                                            <w:top w:val="none" w:sz="0" w:space="0" w:color="auto"/>
                                                                                            <w:left w:val="none" w:sz="0" w:space="0" w:color="auto"/>
                                                                                            <w:bottom w:val="none" w:sz="0" w:space="0" w:color="auto"/>
                                                                                            <w:right w:val="none" w:sz="0" w:space="0" w:color="auto"/>
                                                                                          </w:divBdr>
                                                                                          <w:divsChild>
                                                                                            <w:div w:id="759712991">
                                                                                              <w:marLeft w:val="0"/>
                                                                                              <w:marRight w:val="0"/>
                                                                                              <w:marTop w:val="0"/>
                                                                                              <w:marBottom w:val="0"/>
                                                                                              <w:divBdr>
                                                                                                <w:top w:val="none" w:sz="0" w:space="0" w:color="auto"/>
                                                                                                <w:left w:val="none" w:sz="0" w:space="0" w:color="auto"/>
                                                                                                <w:bottom w:val="none" w:sz="0" w:space="0" w:color="auto"/>
                                                                                                <w:right w:val="none" w:sz="0" w:space="0" w:color="auto"/>
                                                                                              </w:divBdr>
                                                                                            </w:div>
                                                                                          </w:divsChild>
                                                                                        </w:div>
                                                                                        <w:div w:id="581984924">
                                                                                          <w:marLeft w:val="0"/>
                                                                                          <w:marRight w:val="0"/>
                                                                                          <w:marTop w:val="0"/>
                                                                                          <w:marBottom w:val="0"/>
                                                                                          <w:divBdr>
                                                                                            <w:top w:val="none" w:sz="0" w:space="0" w:color="auto"/>
                                                                                            <w:left w:val="none" w:sz="0" w:space="0" w:color="auto"/>
                                                                                            <w:bottom w:val="none" w:sz="0" w:space="0" w:color="auto"/>
                                                                                            <w:right w:val="none" w:sz="0" w:space="0" w:color="auto"/>
                                                                                          </w:divBdr>
                                                                                          <w:divsChild>
                                                                                            <w:div w:id="1729182024">
                                                                                              <w:marLeft w:val="0"/>
                                                                                              <w:marRight w:val="0"/>
                                                                                              <w:marTop w:val="0"/>
                                                                                              <w:marBottom w:val="0"/>
                                                                                              <w:divBdr>
                                                                                                <w:top w:val="none" w:sz="0" w:space="0" w:color="auto"/>
                                                                                                <w:left w:val="none" w:sz="0" w:space="0" w:color="auto"/>
                                                                                                <w:bottom w:val="none" w:sz="0" w:space="0" w:color="auto"/>
                                                                                                <w:right w:val="none" w:sz="0" w:space="0" w:color="auto"/>
                                                                                              </w:divBdr>
                                                                                            </w:div>
                                                                                          </w:divsChild>
                                                                                        </w:div>
                                                                                        <w:div w:id="648442158">
                                                                                          <w:marLeft w:val="0"/>
                                                                                          <w:marRight w:val="0"/>
                                                                                          <w:marTop w:val="0"/>
                                                                                          <w:marBottom w:val="0"/>
                                                                                          <w:divBdr>
                                                                                            <w:top w:val="none" w:sz="0" w:space="0" w:color="auto"/>
                                                                                            <w:left w:val="none" w:sz="0" w:space="0" w:color="auto"/>
                                                                                            <w:bottom w:val="none" w:sz="0" w:space="0" w:color="auto"/>
                                                                                            <w:right w:val="none" w:sz="0" w:space="0" w:color="auto"/>
                                                                                          </w:divBdr>
                                                                                          <w:divsChild>
                                                                                            <w:div w:id="1491290271">
                                                                                              <w:marLeft w:val="0"/>
                                                                                              <w:marRight w:val="0"/>
                                                                                              <w:marTop w:val="0"/>
                                                                                              <w:marBottom w:val="0"/>
                                                                                              <w:divBdr>
                                                                                                <w:top w:val="none" w:sz="0" w:space="0" w:color="auto"/>
                                                                                                <w:left w:val="none" w:sz="0" w:space="0" w:color="auto"/>
                                                                                                <w:bottom w:val="none" w:sz="0" w:space="0" w:color="auto"/>
                                                                                                <w:right w:val="none" w:sz="0" w:space="0" w:color="auto"/>
                                                                                              </w:divBdr>
                                                                                            </w:div>
                                                                                          </w:divsChild>
                                                                                        </w:div>
                                                                                        <w:div w:id="781149428">
                                                                                          <w:marLeft w:val="0"/>
                                                                                          <w:marRight w:val="0"/>
                                                                                          <w:marTop w:val="0"/>
                                                                                          <w:marBottom w:val="0"/>
                                                                                          <w:divBdr>
                                                                                            <w:top w:val="none" w:sz="0" w:space="0" w:color="auto"/>
                                                                                            <w:left w:val="none" w:sz="0" w:space="0" w:color="auto"/>
                                                                                            <w:bottom w:val="none" w:sz="0" w:space="0" w:color="auto"/>
                                                                                            <w:right w:val="none" w:sz="0" w:space="0" w:color="auto"/>
                                                                                          </w:divBdr>
                                                                                          <w:divsChild>
                                                                                            <w:div w:id="1655261364">
                                                                                              <w:marLeft w:val="0"/>
                                                                                              <w:marRight w:val="0"/>
                                                                                              <w:marTop w:val="0"/>
                                                                                              <w:marBottom w:val="0"/>
                                                                                              <w:divBdr>
                                                                                                <w:top w:val="none" w:sz="0" w:space="0" w:color="auto"/>
                                                                                                <w:left w:val="none" w:sz="0" w:space="0" w:color="auto"/>
                                                                                                <w:bottom w:val="none" w:sz="0" w:space="0" w:color="auto"/>
                                                                                                <w:right w:val="none" w:sz="0" w:space="0" w:color="auto"/>
                                                                                              </w:divBdr>
                                                                                            </w:div>
                                                                                          </w:divsChild>
                                                                                        </w:div>
                                                                                        <w:div w:id="836727380">
                                                                                          <w:marLeft w:val="0"/>
                                                                                          <w:marRight w:val="0"/>
                                                                                          <w:marTop w:val="0"/>
                                                                                          <w:marBottom w:val="0"/>
                                                                                          <w:divBdr>
                                                                                            <w:top w:val="none" w:sz="0" w:space="0" w:color="auto"/>
                                                                                            <w:left w:val="none" w:sz="0" w:space="0" w:color="auto"/>
                                                                                            <w:bottom w:val="none" w:sz="0" w:space="0" w:color="auto"/>
                                                                                            <w:right w:val="none" w:sz="0" w:space="0" w:color="auto"/>
                                                                                          </w:divBdr>
                                                                                          <w:divsChild>
                                                                                            <w:div w:id="562175393">
                                                                                              <w:marLeft w:val="0"/>
                                                                                              <w:marRight w:val="0"/>
                                                                                              <w:marTop w:val="0"/>
                                                                                              <w:marBottom w:val="0"/>
                                                                                              <w:divBdr>
                                                                                                <w:top w:val="none" w:sz="0" w:space="0" w:color="auto"/>
                                                                                                <w:left w:val="none" w:sz="0" w:space="0" w:color="auto"/>
                                                                                                <w:bottom w:val="none" w:sz="0" w:space="0" w:color="auto"/>
                                                                                                <w:right w:val="none" w:sz="0" w:space="0" w:color="auto"/>
                                                                                              </w:divBdr>
                                                                                            </w:div>
                                                                                          </w:divsChild>
                                                                                        </w:div>
                                                                                        <w:div w:id="870190660">
                                                                                          <w:marLeft w:val="0"/>
                                                                                          <w:marRight w:val="0"/>
                                                                                          <w:marTop w:val="0"/>
                                                                                          <w:marBottom w:val="0"/>
                                                                                          <w:divBdr>
                                                                                            <w:top w:val="none" w:sz="0" w:space="0" w:color="auto"/>
                                                                                            <w:left w:val="none" w:sz="0" w:space="0" w:color="auto"/>
                                                                                            <w:bottom w:val="none" w:sz="0" w:space="0" w:color="auto"/>
                                                                                            <w:right w:val="none" w:sz="0" w:space="0" w:color="auto"/>
                                                                                          </w:divBdr>
                                                                                          <w:divsChild>
                                                                                            <w:div w:id="1999266370">
                                                                                              <w:marLeft w:val="0"/>
                                                                                              <w:marRight w:val="0"/>
                                                                                              <w:marTop w:val="0"/>
                                                                                              <w:marBottom w:val="0"/>
                                                                                              <w:divBdr>
                                                                                                <w:top w:val="none" w:sz="0" w:space="0" w:color="auto"/>
                                                                                                <w:left w:val="none" w:sz="0" w:space="0" w:color="auto"/>
                                                                                                <w:bottom w:val="none" w:sz="0" w:space="0" w:color="auto"/>
                                                                                                <w:right w:val="none" w:sz="0" w:space="0" w:color="auto"/>
                                                                                              </w:divBdr>
                                                                                            </w:div>
                                                                                          </w:divsChild>
                                                                                        </w:div>
                                                                                        <w:div w:id="962274540">
                                                                                          <w:marLeft w:val="0"/>
                                                                                          <w:marRight w:val="0"/>
                                                                                          <w:marTop w:val="0"/>
                                                                                          <w:marBottom w:val="0"/>
                                                                                          <w:divBdr>
                                                                                            <w:top w:val="none" w:sz="0" w:space="0" w:color="auto"/>
                                                                                            <w:left w:val="none" w:sz="0" w:space="0" w:color="auto"/>
                                                                                            <w:bottom w:val="none" w:sz="0" w:space="0" w:color="auto"/>
                                                                                            <w:right w:val="none" w:sz="0" w:space="0" w:color="auto"/>
                                                                                          </w:divBdr>
                                                                                          <w:divsChild>
                                                                                            <w:div w:id="1586457933">
                                                                                              <w:marLeft w:val="0"/>
                                                                                              <w:marRight w:val="0"/>
                                                                                              <w:marTop w:val="0"/>
                                                                                              <w:marBottom w:val="0"/>
                                                                                              <w:divBdr>
                                                                                                <w:top w:val="none" w:sz="0" w:space="0" w:color="auto"/>
                                                                                                <w:left w:val="none" w:sz="0" w:space="0" w:color="auto"/>
                                                                                                <w:bottom w:val="none" w:sz="0" w:space="0" w:color="auto"/>
                                                                                                <w:right w:val="none" w:sz="0" w:space="0" w:color="auto"/>
                                                                                              </w:divBdr>
                                                                                            </w:div>
                                                                                          </w:divsChild>
                                                                                        </w:div>
                                                                                        <w:div w:id="1228685234">
                                                                                          <w:marLeft w:val="0"/>
                                                                                          <w:marRight w:val="0"/>
                                                                                          <w:marTop w:val="0"/>
                                                                                          <w:marBottom w:val="0"/>
                                                                                          <w:divBdr>
                                                                                            <w:top w:val="none" w:sz="0" w:space="0" w:color="auto"/>
                                                                                            <w:left w:val="none" w:sz="0" w:space="0" w:color="auto"/>
                                                                                            <w:bottom w:val="none" w:sz="0" w:space="0" w:color="auto"/>
                                                                                            <w:right w:val="none" w:sz="0" w:space="0" w:color="auto"/>
                                                                                          </w:divBdr>
                                                                                          <w:divsChild>
                                                                                            <w:div w:id="15158079">
                                                                                              <w:marLeft w:val="0"/>
                                                                                              <w:marRight w:val="0"/>
                                                                                              <w:marTop w:val="0"/>
                                                                                              <w:marBottom w:val="0"/>
                                                                                              <w:divBdr>
                                                                                                <w:top w:val="none" w:sz="0" w:space="0" w:color="auto"/>
                                                                                                <w:left w:val="none" w:sz="0" w:space="0" w:color="auto"/>
                                                                                                <w:bottom w:val="none" w:sz="0" w:space="0" w:color="auto"/>
                                                                                                <w:right w:val="none" w:sz="0" w:space="0" w:color="auto"/>
                                                                                              </w:divBdr>
                                                                                            </w:div>
                                                                                          </w:divsChild>
                                                                                        </w:div>
                                                                                        <w:div w:id="1270308344">
                                                                                          <w:marLeft w:val="0"/>
                                                                                          <w:marRight w:val="0"/>
                                                                                          <w:marTop w:val="0"/>
                                                                                          <w:marBottom w:val="0"/>
                                                                                          <w:divBdr>
                                                                                            <w:top w:val="none" w:sz="0" w:space="0" w:color="auto"/>
                                                                                            <w:left w:val="none" w:sz="0" w:space="0" w:color="auto"/>
                                                                                            <w:bottom w:val="none" w:sz="0" w:space="0" w:color="auto"/>
                                                                                            <w:right w:val="none" w:sz="0" w:space="0" w:color="auto"/>
                                                                                          </w:divBdr>
                                                                                          <w:divsChild>
                                                                                            <w:div w:id="423917188">
                                                                                              <w:marLeft w:val="0"/>
                                                                                              <w:marRight w:val="0"/>
                                                                                              <w:marTop w:val="0"/>
                                                                                              <w:marBottom w:val="0"/>
                                                                                              <w:divBdr>
                                                                                                <w:top w:val="none" w:sz="0" w:space="0" w:color="auto"/>
                                                                                                <w:left w:val="none" w:sz="0" w:space="0" w:color="auto"/>
                                                                                                <w:bottom w:val="none" w:sz="0" w:space="0" w:color="auto"/>
                                                                                                <w:right w:val="none" w:sz="0" w:space="0" w:color="auto"/>
                                                                                              </w:divBdr>
                                                                                            </w:div>
                                                                                          </w:divsChild>
                                                                                        </w:div>
                                                                                        <w:div w:id="1314329622">
                                                                                          <w:marLeft w:val="0"/>
                                                                                          <w:marRight w:val="0"/>
                                                                                          <w:marTop w:val="0"/>
                                                                                          <w:marBottom w:val="0"/>
                                                                                          <w:divBdr>
                                                                                            <w:top w:val="none" w:sz="0" w:space="0" w:color="auto"/>
                                                                                            <w:left w:val="none" w:sz="0" w:space="0" w:color="auto"/>
                                                                                            <w:bottom w:val="none" w:sz="0" w:space="0" w:color="auto"/>
                                                                                            <w:right w:val="none" w:sz="0" w:space="0" w:color="auto"/>
                                                                                          </w:divBdr>
                                                                                          <w:divsChild>
                                                                                            <w:div w:id="1108083070">
                                                                                              <w:marLeft w:val="0"/>
                                                                                              <w:marRight w:val="0"/>
                                                                                              <w:marTop w:val="0"/>
                                                                                              <w:marBottom w:val="0"/>
                                                                                              <w:divBdr>
                                                                                                <w:top w:val="none" w:sz="0" w:space="0" w:color="auto"/>
                                                                                                <w:left w:val="none" w:sz="0" w:space="0" w:color="auto"/>
                                                                                                <w:bottom w:val="none" w:sz="0" w:space="0" w:color="auto"/>
                                                                                                <w:right w:val="none" w:sz="0" w:space="0" w:color="auto"/>
                                                                                              </w:divBdr>
                                                                                            </w:div>
                                                                                          </w:divsChild>
                                                                                        </w:div>
                                                                                        <w:div w:id="1365137287">
                                                                                          <w:marLeft w:val="0"/>
                                                                                          <w:marRight w:val="0"/>
                                                                                          <w:marTop w:val="0"/>
                                                                                          <w:marBottom w:val="0"/>
                                                                                          <w:divBdr>
                                                                                            <w:top w:val="none" w:sz="0" w:space="0" w:color="auto"/>
                                                                                            <w:left w:val="none" w:sz="0" w:space="0" w:color="auto"/>
                                                                                            <w:bottom w:val="none" w:sz="0" w:space="0" w:color="auto"/>
                                                                                            <w:right w:val="none" w:sz="0" w:space="0" w:color="auto"/>
                                                                                          </w:divBdr>
                                                                                          <w:divsChild>
                                                                                            <w:div w:id="574126347">
                                                                                              <w:marLeft w:val="0"/>
                                                                                              <w:marRight w:val="0"/>
                                                                                              <w:marTop w:val="0"/>
                                                                                              <w:marBottom w:val="0"/>
                                                                                              <w:divBdr>
                                                                                                <w:top w:val="none" w:sz="0" w:space="0" w:color="auto"/>
                                                                                                <w:left w:val="none" w:sz="0" w:space="0" w:color="auto"/>
                                                                                                <w:bottom w:val="none" w:sz="0" w:space="0" w:color="auto"/>
                                                                                                <w:right w:val="none" w:sz="0" w:space="0" w:color="auto"/>
                                                                                              </w:divBdr>
                                                                                            </w:div>
                                                                                          </w:divsChild>
                                                                                        </w:div>
                                                                                        <w:div w:id="1592273902">
                                                                                          <w:marLeft w:val="0"/>
                                                                                          <w:marRight w:val="0"/>
                                                                                          <w:marTop w:val="0"/>
                                                                                          <w:marBottom w:val="0"/>
                                                                                          <w:divBdr>
                                                                                            <w:top w:val="none" w:sz="0" w:space="0" w:color="auto"/>
                                                                                            <w:left w:val="none" w:sz="0" w:space="0" w:color="auto"/>
                                                                                            <w:bottom w:val="none" w:sz="0" w:space="0" w:color="auto"/>
                                                                                            <w:right w:val="none" w:sz="0" w:space="0" w:color="auto"/>
                                                                                          </w:divBdr>
                                                                                          <w:divsChild>
                                                                                            <w:div w:id="376204421">
                                                                                              <w:marLeft w:val="0"/>
                                                                                              <w:marRight w:val="0"/>
                                                                                              <w:marTop w:val="0"/>
                                                                                              <w:marBottom w:val="0"/>
                                                                                              <w:divBdr>
                                                                                                <w:top w:val="none" w:sz="0" w:space="0" w:color="auto"/>
                                                                                                <w:left w:val="none" w:sz="0" w:space="0" w:color="auto"/>
                                                                                                <w:bottom w:val="none" w:sz="0" w:space="0" w:color="auto"/>
                                                                                                <w:right w:val="none" w:sz="0" w:space="0" w:color="auto"/>
                                                                                              </w:divBdr>
                                                                                            </w:div>
                                                                                          </w:divsChild>
                                                                                        </w:div>
                                                                                        <w:div w:id="1628392190">
                                                                                          <w:marLeft w:val="0"/>
                                                                                          <w:marRight w:val="0"/>
                                                                                          <w:marTop w:val="0"/>
                                                                                          <w:marBottom w:val="0"/>
                                                                                          <w:divBdr>
                                                                                            <w:top w:val="none" w:sz="0" w:space="0" w:color="auto"/>
                                                                                            <w:left w:val="none" w:sz="0" w:space="0" w:color="auto"/>
                                                                                            <w:bottom w:val="none" w:sz="0" w:space="0" w:color="auto"/>
                                                                                            <w:right w:val="none" w:sz="0" w:space="0" w:color="auto"/>
                                                                                          </w:divBdr>
                                                                                          <w:divsChild>
                                                                                            <w:div w:id="1891720605">
                                                                                              <w:marLeft w:val="0"/>
                                                                                              <w:marRight w:val="0"/>
                                                                                              <w:marTop w:val="0"/>
                                                                                              <w:marBottom w:val="0"/>
                                                                                              <w:divBdr>
                                                                                                <w:top w:val="none" w:sz="0" w:space="0" w:color="auto"/>
                                                                                                <w:left w:val="none" w:sz="0" w:space="0" w:color="auto"/>
                                                                                                <w:bottom w:val="none" w:sz="0" w:space="0" w:color="auto"/>
                                                                                                <w:right w:val="none" w:sz="0" w:space="0" w:color="auto"/>
                                                                                              </w:divBdr>
                                                                                            </w:div>
                                                                                          </w:divsChild>
                                                                                        </w:div>
                                                                                        <w:div w:id="1747652611">
                                                                                          <w:marLeft w:val="0"/>
                                                                                          <w:marRight w:val="0"/>
                                                                                          <w:marTop w:val="0"/>
                                                                                          <w:marBottom w:val="0"/>
                                                                                          <w:divBdr>
                                                                                            <w:top w:val="none" w:sz="0" w:space="0" w:color="auto"/>
                                                                                            <w:left w:val="none" w:sz="0" w:space="0" w:color="auto"/>
                                                                                            <w:bottom w:val="none" w:sz="0" w:space="0" w:color="auto"/>
                                                                                            <w:right w:val="none" w:sz="0" w:space="0" w:color="auto"/>
                                                                                          </w:divBdr>
                                                                                          <w:divsChild>
                                                                                            <w:div w:id="1061707682">
                                                                                              <w:marLeft w:val="0"/>
                                                                                              <w:marRight w:val="0"/>
                                                                                              <w:marTop w:val="0"/>
                                                                                              <w:marBottom w:val="0"/>
                                                                                              <w:divBdr>
                                                                                                <w:top w:val="none" w:sz="0" w:space="0" w:color="auto"/>
                                                                                                <w:left w:val="none" w:sz="0" w:space="0" w:color="auto"/>
                                                                                                <w:bottom w:val="none" w:sz="0" w:space="0" w:color="auto"/>
                                                                                                <w:right w:val="none" w:sz="0" w:space="0" w:color="auto"/>
                                                                                              </w:divBdr>
                                                                                            </w:div>
                                                                                          </w:divsChild>
                                                                                        </w:div>
                                                                                        <w:div w:id="1778212642">
                                                                                          <w:marLeft w:val="0"/>
                                                                                          <w:marRight w:val="0"/>
                                                                                          <w:marTop w:val="0"/>
                                                                                          <w:marBottom w:val="0"/>
                                                                                          <w:divBdr>
                                                                                            <w:top w:val="none" w:sz="0" w:space="0" w:color="auto"/>
                                                                                            <w:left w:val="none" w:sz="0" w:space="0" w:color="auto"/>
                                                                                            <w:bottom w:val="none" w:sz="0" w:space="0" w:color="auto"/>
                                                                                            <w:right w:val="none" w:sz="0" w:space="0" w:color="auto"/>
                                                                                          </w:divBdr>
                                                                                          <w:divsChild>
                                                                                            <w:div w:id="1241865395">
                                                                                              <w:marLeft w:val="0"/>
                                                                                              <w:marRight w:val="0"/>
                                                                                              <w:marTop w:val="0"/>
                                                                                              <w:marBottom w:val="0"/>
                                                                                              <w:divBdr>
                                                                                                <w:top w:val="none" w:sz="0" w:space="0" w:color="auto"/>
                                                                                                <w:left w:val="none" w:sz="0" w:space="0" w:color="auto"/>
                                                                                                <w:bottom w:val="none" w:sz="0" w:space="0" w:color="auto"/>
                                                                                                <w:right w:val="none" w:sz="0" w:space="0" w:color="auto"/>
                                                                                              </w:divBdr>
                                                                                            </w:div>
                                                                                          </w:divsChild>
                                                                                        </w:div>
                                                                                        <w:div w:id="1797865615">
                                                                                          <w:marLeft w:val="0"/>
                                                                                          <w:marRight w:val="0"/>
                                                                                          <w:marTop w:val="0"/>
                                                                                          <w:marBottom w:val="0"/>
                                                                                          <w:divBdr>
                                                                                            <w:top w:val="none" w:sz="0" w:space="0" w:color="auto"/>
                                                                                            <w:left w:val="none" w:sz="0" w:space="0" w:color="auto"/>
                                                                                            <w:bottom w:val="none" w:sz="0" w:space="0" w:color="auto"/>
                                                                                            <w:right w:val="none" w:sz="0" w:space="0" w:color="auto"/>
                                                                                          </w:divBdr>
                                                                                          <w:divsChild>
                                                                                            <w:div w:id="907377562">
                                                                                              <w:marLeft w:val="0"/>
                                                                                              <w:marRight w:val="0"/>
                                                                                              <w:marTop w:val="0"/>
                                                                                              <w:marBottom w:val="0"/>
                                                                                              <w:divBdr>
                                                                                                <w:top w:val="none" w:sz="0" w:space="0" w:color="auto"/>
                                                                                                <w:left w:val="none" w:sz="0" w:space="0" w:color="auto"/>
                                                                                                <w:bottom w:val="none" w:sz="0" w:space="0" w:color="auto"/>
                                                                                                <w:right w:val="none" w:sz="0" w:space="0" w:color="auto"/>
                                                                                              </w:divBdr>
                                                                                            </w:div>
                                                                                          </w:divsChild>
                                                                                        </w:div>
                                                                                        <w:div w:id="1988119760">
                                                                                          <w:marLeft w:val="0"/>
                                                                                          <w:marRight w:val="0"/>
                                                                                          <w:marTop w:val="0"/>
                                                                                          <w:marBottom w:val="0"/>
                                                                                          <w:divBdr>
                                                                                            <w:top w:val="none" w:sz="0" w:space="0" w:color="auto"/>
                                                                                            <w:left w:val="none" w:sz="0" w:space="0" w:color="auto"/>
                                                                                            <w:bottom w:val="none" w:sz="0" w:space="0" w:color="auto"/>
                                                                                            <w:right w:val="none" w:sz="0" w:space="0" w:color="auto"/>
                                                                                          </w:divBdr>
                                                                                          <w:divsChild>
                                                                                            <w:div w:id="630982356">
                                                                                              <w:marLeft w:val="0"/>
                                                                                              <w:marRight w:val="0"/>
                                                                                              <w:marTop w:val="0"/>
                                                                                              <w:marBottom w:val="0"/>
                                                                                              <w:divBdr>
                                                                                                <w:top w:val="none" w:sz="0" w:space="0" w:color="auto"/>
                                                                                                <w:left w:val="none" w:sz="0" w:space="0" w:color="auto"/>
                                                                                                <w:bottom w:val="none" w:sz="0" w:space="0" w:color="auto"/>
                                                                                                <w:right w:val="none" w:sz="0" w:space="0" w:color="auto"/>
                                                                                              </w:divBdr>
                                                                                            </w:div>
                                                                                          </w:divsChild>
                                                                                        </w:div>
                                                                                        <w:div w:id="2103255624">
                                                                                          <w:marLeft w:val="0"/>
                                                                                          <w:marRight w:val="0"/>
                                                                                          <w:marTop w:val="0"/>
                                                                                          <w:marBottom w:val="0"/>
                                                                                          <w:divBdr>
                                                                                            <w:top w:val="none" w:sz="0" w:space="0" w:color="auto"/>
                                                                                            <w:left w:val="none" w:sz="0" w:space="0" w:color="auto"/>
                                                                                            <w:bottom w:val="none" w:sz="0" w:space="0" w:color="auto"/>
                                                                                            <w:right w:val="none" w:sz="0" w:space="0" w:color="auto"/>
                                                                                          </w:divBdr>
                                                                                          <w:divsChild>
                                                                                            <w:div w:id="856846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318402">
                                                                                  <w:marLeft w:val="0"/>
                                                                                  <w:marRight w:val="0"/>
                                                                                  <w:marTop w:val="0"/>
                                                                                  <w:marBottom w:val="0"/>
                                                                                  <w:divBdr>
                                                                                    <w:top w:val="none" w:sz="0" w:space="0" w:color="auto"/>
                                                                                    <w:left w:val="none" w:sz="0" w:space="0" w:color="auto"/>
                                                                                    <w:bottom w:val="none" w:sz="0" w:space="0" w:color="auto"/>
                                                                                    <w:right w:val="none" w:sz="0" w:space="0" w:color="auto"/>
                                                                                  </w:divBdr>
                                                                                </w:div>
                                                                                <w:div w:id="1843817581">
                                                                                  <w:marLeft w:val="0"/>
                                                                                  <w:marRight w:val="0"/>
                                                                                  <w:marTop w:val="0"/>
                                                                                  <w:marBottom w:val="0"/>
                                                                                  <w:divBdr>
                                                                                    <w:top w:val="none" w:sz="0" w:space="0" w:color="auto"/>
                                                                                    <w:left w:val="none" w:sz="0" w:space="0" w:color="auto"/>
                                                                                    <w:bottom w:val="none" w:sz="0" w:space="0" w:color="auto"/>
                                                                                    <w:right w:val="none" w:sz="0" w:space="0" w:color="auto"/>
                                                                                  </w:divBdr>
                                                                                </w:div>
                                                                                <w:div w:id="1864589910">
                                                                                  <w:marLeft w:val="0"/>
                                                                                  <w:marRight w:val="0"/>
                                                                                  <w:marTop w:val="0"/>
                                                                                  <w:marBottom w:val="0"/>
                                                                                  <w:divBdr>
                                                                                    <w:top w:val="none" w:sz="0" w:space="0" w:color="auto"/>
                                                                                    <w:left w:val="none" w:sz="0" w:space="0" w:color="auto"/>
                                                                                    <w:bottom w:val="none" w:sz="0" w:space="0" w:color="auto"/>
                                                                                    <w:right w:val="none" w:sz="0" w:space="0" w:color="auto"/>
                                                                                  </w:divBdr>
                                                                                </w:div>
                                                                                <w:div w:id="1867593561">
                                                                                  <w:marLeft w:val="0"/>
                                                                                  <w:marRight w:val="0"/>
                                                                                  <w:marTop w:val="0"/>
                                                                                  <w:marBottom w:val="0"/>
                                                                                  <w:divBdr>
                                                                                    <w:top w:val="none" w:sz="0" w:space="0" w:color="auto"/>
                                                                                    <w:left w:val="none" w:sz="0" w:space="0" w:color="auto"/>
                                                                                    <w:bottom w:val="none" w:sz="0" w:space="0" w:color="auto"/>
                                                                                    <w:right w:val="none" w:sz="0" w:space="0" w:color="auto"/>
                                                                                  </w:divBdr>
                                                                                </w:div>
                                                                                <w:div w:id="1873806376">
                                                                                  <w:marLeft w:val="0"/>
                                                                                  <w:marRight w:val="0"/>
                                                                                  <w:marTop w:val="0"/>
                                                                                  <w:marBottom w:val="0"/>
                                                                                  <w:divBdr>
                                                                                    <w:top w:val="none" w:sz="0" w:space="0" w:color="auto"/>
                                                                                    <w:left w:val="none" w:sz="0" w:space="0" w:color="auto"/>
                                                                                    <w:bottom w:val="none" w:sz="0" w:space="0" w:color="auto"/>
                                                                                    <w:right w:val="none" w:sz="0" w:space="0" w:color="auto"/>
                                                                                  </w:divBdr>
                                                                                </w:div>
                                                                                <w:div w:id="1876573777">
                                                                                  <w:marLeft w:val="0"/>
                                                                                  <w:marRight w:val="0"/>
                                                                                  <w:marTop w:val="0"/>
                                                                                  <w:marBottom w:val="0"/>
                                                                                  <w:divBdr>
                                                                                    <w:top w:val="none" w:sz="0" w:space="0" w:color="auto"/>
                                                                                    <w:left w:val="none" w:sz="0" w:space="0" w:color="auto"/>
                                                                                    <w:bottom w:val="none" w:sz="0" w:space="0" w:color="auto"/>
                                                                                    <w:right w:val="none" w:sz="0" w:space="0" w:color="auto"/>
                                                                                  </w:divBdr>
                                                                                </w:div>
                                                                                <w:div w:id="1898927809">
                                                                                  <w:marLeft w:val="0"/>
                                                                                  <w:marRight w:val="0"/>
                                                                                  <w:marTop w:val="0"/>
                                                                                  <w:marBottom w:val="0"/>
                                                                                  <w:divBdr>
                                                                                    <w:top w:val="none" w:sz="0" w:space="0" w:color="auto"/>
                                                                                    <w:left w:val="none" w:sz="0" w:space="0" w:color="auto"/>
                                                                                    <w:bottom w:val="none" w:sz="0" w:space="0" w:color="auto"/>
                                                                                    <w:right w:val="none" w:sz="0" w:space="0" w:color="auto"/>
                                                                                  </w:divBdr>
                                                                                </w:div>
                                                                                <w:div w:id="1903517158">
                                                                                  <w:marLeft w:val="0"/>
                                                                                  <w:marRight w:val="0"/>
                                                                                  <w:marTop w:val="0"/>
                                                                                  <w:marBottom w:val="0"/>
                                                                                  <w:divBdr>
                                                                                    <w:top w:val="none" w:sz="0" w:space="0" w:color="auto"/>
                                                                                    <w:left w:val="none" w:sz="0" w:space="0" w:color="auto"/>
                                                                                    <w:bottom w:val="none" w:sz="0" w:space="0" w:color="auto"/>
                                                                                    <w:right w:val="none" w:sz="0" w:space="0" w:color="auto"/>
                                                                                  </w:divBdr>
                                                                                </w:div>
                                                                                <w:div w:id="1905334114">
                                                                                  <w:marLeft w:val="0"/>
                                                                                  <w:marRight w:val="0"/>
                                                                                  <w:marTop w:val="0"/>
                                                                                  <w:marBottom w:val="0"/>
                                                                                  <w:divBdr>
                                                                                    <w:top w:val="none" w:sz="0" w:space="0" w:color="auto"/>
                                                                                    <w:left w:val="none" w:sz="0" w:space="0" w:color="auto"/>
                                                                                    <w:bottom w:val="none" w:sz="0" w:space="0" w:color="auto"/>
                                                                                    <w:right w:val="none" w:sz="0" w:space="0" w:color="auto"/>
                                                                                  </w:divBdr>
                                                                                </w:div>
                                                                                <w:div w:id="1909608811">
                                                                                  <w:marLeft w:val="0"/>
                                                                                  <w:marRight w:val="0"/>
                                                                                  <w:marTop w:val="0"/>
                                                                                  <w:marBottom w:val="0"/>
                                                                                  <w:divBdr>
                                                                                    <w:top w:val="none" w:sz="0" w:space="0" w:color="auto"/>
                                                                                    <w:left w:val="none" w:sz="0" w:space="0" w:color="auto"/>
                                                                                    <w:bottom w:val="none" w:sz="0" w:space="0" w:color="auto"/>
                                                                                    <w:right w:val="none" w:sz="0" w:space="0" w:color="auto"/>
                                                                                  </w:divBdr>
                                                                                </w:div>
                                                                                <w:div w:id="1926452086">
                                                                                  <w:marLeft w:val="0"/>
                                                                                  <w:marRight w:val="0"/>
                                                                                  <w:marTop w:val="0"/>
                                                                                  <w:marBottom w:val="0"/>
                                                                                  <w:divBdr>
                                                                                    <w:top w:val="none" w:sz="0" w:space="0" w:color="auto"/>
                                                                                    <w:left w:val="none" w:sz="0" w:space="0" w:color="auto"/>
                                                                                    <w:bottom w:val="none" w:sz="0" w:space="0" w:color="auto"/>
                                                                                    <w:right w:val="none" w:sz="0" w:space="0" w:color="auto"/>
                                                                                  </w:divBdr>
                                                                                </w:div>
                                                                                <w:div w:id="1950772505">
                                                                                  <w:marLeft w:val="0"/>
                                                                                  <w:marRight w:val="0"/>
                                                                                  <w:marTop w:val="0"/>
                                                                                  <w:marBottom w:val="0"/>
                                                                                  <w:divBdr>
                                                                                    <w:top w:val="none" w:sz="0" w:space="0" w:color="auto"/>
                                                                                    <w:left w:val="none" w:sz="0" w:space="0" w:color="auto"/>
                                                                                    <w:bottom w:val="none" w:sz="0" w:space="0" w:color="auto"/>
                                                                                    <w:right w:val="none" w:sz="0" w:space="0" w:color="auto"/>
                                                                                  </w:divBdr>
                                                                                </w:div>
                                                                                <w:div w:id="1953634919">
                                                                                  <w:marLeft w:val="0"/>
                                                                                  <w:marRight w:val="0"/>
                                                                                  <w:marTop w:val="0"/>
                                                                                  <w:marBottom w:val="0"/>
                                                                                  <w:divBdr>
                                                                                    <w:top w:val="none" w:sz="0" w:space="0" w:color="auto"/>
                                                                                    <w:left w:val="none" w:sz="0" w:space="0" w:color="auto"/>
                                                                                    <w:bottom w:val="none" w:sz="0" w:space="0" w:color="auto"/>
                                                                                    <w:right w:val="none" w:sz="0" w:space="0" w:color="auto"/>
                                                                                  </w:divBdr>
                                                                                </w:div>
                                                                                <w:div w:id="1954363540">
                                                                                  <w:marLeft w:val="0"/>
                                                                                  <w:marRight w:val="0"/>
                                                                                  <w:marTop w:val="0"/>
                                                                                  <w:marBottom w:val="0"/>
                                                                                  <w:divBdr>
                                                                                    <w:top w:val="none" w:sz="0" w:space="0" w:color="auto"/>
                                                                                    <w:left w:val="none" w:sz="0" w:space="0" w:color="auto"/>
                                                                                    <w:bottom w:val="none" w:sz="0" w:space="0" w:color="auto"/>
                                                                                    <w:right w:val="none" w:sz="0" w:space="0" w:color="auto"/>
                                                                                  </w:divBdr>
                                                                                </w:div>
                                                                                <w:div w:id="1976645345">
                                                                                  <w:marLeft w:val="0"/>
                                                                                  <w:marRight w:val="0"/>
                                                                                  <w:marTop w:val="0"/>
                                                                                  <w:marBottom w:val="0"/>
                                                                                  <w:divBdr>
                                                                                    <w:top w:val="none" w:sz="0" w:space="0" w:color="auto"/>
                                                                                    <w:left w:val="none" w:sz="0" w:space="0" w:color="auto"/>
                                                                                    <w:bottom w:val="none" w:sz="0" w:space="0" w:color="auto"/>
                                                                                    <w:right w:val="none" w:sz="0" w:space="0" w:color="auto"/>
                                                                                  </w:divBdr>
                                                                                </w:div>
                                                                                <w:div w:id="1990816877">
                                                                                  <w:marLeft w:val="0"/>
                                                                                  <w:marRight w:val="0"/>
                                                                                  <w:marTop w:val="0"/>
                                                                                  <w:marBottom w:val="0"/>
                                                                                  <w:divBdr>
                                                                                    <w:top w:val="none" w:sz="0" w:space="0" w:color="auto"/>
                                                                                    <w:left w:val="none" w:sz="0" w:space="0" w:color="auto"/>
                                                                                    <w:bottom w:val="none" w:sz="0" w:space="0" w:color="auto"/>
                                                                                    <w:right w:val="none" w:sz="0" w:space="0" w:color="auto"/>
                                                                                  </w:divBdr>
                                                                                </w:div>
                                                                                <w:div w:id="1993365957">
                                                                                  <w:marLeft w:val="0"/>
                                                                                  <w:marRight w:val="0"/>
                                                                                  <w:marTop w:val="0"/>
                                                                                  <w:marBottom w:val="0"/>
                                                                                  <w:divBdr>
                                                                                    <w:top w:val="none" w:sz="0" w:space="0" w:color="auto"/>
                                                                                    <w:left w:val="none" w:sz="0" w:space="0" w:color="auto"/>
                                                                                    <w:bottom w:val="none" w:sz="0" w:space="0" w:color="auto"/>
                                                                                    <w:right w:val="none" w:sz="0" w:space="0" w:color="auto"/>
                                                                                  </w:divBdr>
                                                                                </w:div>
                                                                                <w:div w:id="2004123053">
                                                                                  <w:marLeft w:val="0"/>
                                                                                  <w:marRight w:val="0"/>
                                                                                  <w:marTop w:val="0"/>
                                                                                  <w:marBottom w:val="0"/>
                                                                                  <w:divBdr>
                                                                                    <w:top w:val="none" w:sz="0" w:space="0" w:color="auto"/>
                                                                                    <w:left w:val="none" w:sz="0" w:space="0" w:color="auto"/>
                                                                                    <w:bottom w:val="none" w:sz="0" w:space="0" w:color="auto"/>
                                                                                    <w:right w:val="none" w:sz="0" w:space="0" w:color="auto"/>
                                                                                  </w:divBdr>
                                                                                </w:div>
                                                                                <w:div w:id="2004894351">
                                                                                  <w:marLeft w:val="0"/>
                                                                                  <w:marRight w:val="0"/>
                                                                                  <w:marTop w:val="0"/>
                                                                                  <w:marBottom w:val="0"/>
                                                                                  <w:divBdr>
                                                                                    <w:top w:val="none" w:sz="0" w:space="0" w:color="auto"/>
                                                                                    <w:left w:val="none" w:sz="0" w:space="0" w:color="auto"/>
                                                                                    <w:bottom w:val="none" w:sz="0" w:space="0" w:color="auto"/>
                                                                                    <w:right w:val="none" w:sz="0" w:space="0" w:color="auto"/>
                                                                                  </w:divBdr>
                                                                                </w:div>
                                                                                <w:div w:id="2007129482">
                                                                                  <w:marLeft w:val="0"/>
                                                                                  <w:marRight w:val="0"/>
                                                                                  <w:marTop w:val="0"/>
                                                                                  <w:marBottom w:val="0"/>
                                                                                  <w:divBdr>
                                                                                    <w:top w:val="none" w:sz="0" w:space="0" w:color="auto"/>
                                                                                    <w:left w:val="none" w:sz="0" w:space="0" w:color="auto"/>
                                                                                    <w:bottom w:val="none" w:sz="0" w:space="0" w:color="auto"/>
                                                                                    <w:right w:val="none" w:sz="0" w:space="0" w:color="auto"/>
                                                                                  </w:divBdr>
                                                                                </w:div>
                                                                                <w:div w:id="2016806624">
                                                                                  <w:marLeft w:val="0"/>
                                                                                  <w:marRight w:val="0"/>
                                                                                  <w:marTop w:val="0"/>
                                                                                  <w:marBottom w:val="0"/>
                                                                                  <w:divBdr>
                                                                                    <w:top w:val="none" w:sz="0" w:space="0" w:color="auto"/>
                                                                                    <w:left w:val="none" w:sz="0" w:space="0" w:color="auto"/>
                                                                                    <w:bottom w:val="none" w:sz="0" w:space="0" w:color="auto"/>
                                                                                    <w:right w:val="none" w:sz="0" w:space="0" w:color="auto"/>
                                                                                  </w:divBdr>
                                                                                </w:div>
                                                                                <w:div w:id="2025860469">
                                                                                  <w:marLeft w:val="0"/>
                                                                                  <w:marRight w:val="0"/>
                                                                                  <w:marTop w:val="0"/>
                                                                                  <w:marBottom w:val="0"/>
                                                                                  <w:divBdr>
                                                                                    <w:top w:val="none" w:sz="0" w:space="0" w:color="auto"/>
                                                                                    <w:left w:val="none" w:sz="0" w:space="0" w:color="auto"/>
                                                                                    <w:bottom w:val="none" w:sz="0" w:space="0" w:color="auto"/>
                                                                                    <w:right w:val="none" w:sz="0" w:space="0" w:color="auto"/>
                                                                                  </w:divBdr>
                                                                                </w:div>
                                                                                <w:div w:id="2038266325">
                                                                                  <w:marLeft w:val="0"/>
                                                                                  <w:marRight w:val="0"/>
                                                                                  <w:marTop w:val="0"/>
                                                                                  <w:marBottom w:val="0"/>
                                                                                  <w:divBdr>
                                                                                    <w:top w:val="none" w:sz="0" w:space="0" w:color="auto"/>
                                                                                    <w:left w:val="none" w:sz="0" w:space="0" w:color="auto"/>
                                                                                    <w:bottom w:val="none" w:sz="0" w:space="0" w:color="auto"/>
                                                                                    <w:right w:val="none" w:sz="0" w:space="0" w:color="auto"/>
                                                                                  </w:divBdr>
                                                                                </w:div>
                                                                                <w:div w:id="2040281398">
                                                                                  <w:marLeft w:val="0"/>
                                                                                  <w:marRight w:val="0"/>
                                                                                  <w:marTop w:val="0"/>
                                                                                  <w:marBottom w:val="0"/>
                                                                                  <w:divBdr>
                                                                                    <w:top w:val="none" w:sz="0" w:space="0" w:color="auto"/>
                                                                                    <w:left w:val="none" w:sz="0" w:space="0" w:color="auto"/>
                                                                                    <w:bottom w:val="none" w:sz="0" w:space="0" w:color="auto"/>
                                                                                    <w:right w:val="none" w:sz="0" w:space="0" w:color="auto"/>
                                                                                  </w:divBdr>
                                                                                </w:div>
                                                                                <w:div w:id="2062053564">
                                                                                  <w:marLeft w:val="0"/>
                                                                                  <w:marRight w:val="0"/>
                                                                                  <w:marTop w:val="0"/>
                                                                                  <w:marBottom w:val="0"/>
                                                                                  <w:divBdr>
                                                                                    <w:top w:val="none" w:sz="0" w:space="0" w:color="auto"/>
                                                                                    <w:left w:val="none" w:sz="0" w:space="0" w:color="auto"/>
                                                                                    <w:bottom w:val="none" w:sz="0" w:space="0" w:color="auto"/>
                                                                                    <w:right w:val="none" w:sz="0" w:space="0" w:color="auto"/>
                                                                                  </w:divBdr>
                                                                                </w:div>
                                                                                <w:div w:id="2062090621">
                                                                                  <w:marLeft w:val="0"/>
                                                                                  <w:marRight w:val="0"/>
                                                                                  <w:marTop w:val="0"/>
                                                                                  <w:marBottom w:val="0"/>
                                                                                  <w:divBdr>
                                                                                    <w:top w:val="none" w:sz="0" w:space="0" w:color="auto"/>
                                                                                    <w:left w:val="none" w:sz="0" w:space="0" w:color="auto"/>
                                                                                    <w:bottom w:val="none" w:sz="0" w:space="0" w:color="auto"/>
                                                                                    <w:right w:val="none" w:sz="0" w:space="0" w:color="auto"/>
                                                                                  </w:divBdr>
                                                                                </w:div>
                                                                                <w:div w:id="2122065146">
                                                                                  <w:marLeft w:val="0"/>
                                                                                  <w:marRight w:val="0"/>
                                                                                  <w:marTop w:val="0"/>
                                                                                  <w:marBottom w:val="0"/>
                                                                                  <w:divBdr>
                                                                                    <w:top w:val="none" w:sz="0" w:space="0" w:color="auto"/>
                                                                                    <w:left w:val="none" w:sz="0" w:space="0" w:color="auto"/>
                                                                                    <w:bottom w:val="none" w:sz="0" w:space="0" w:color="auto"/>
                                                                                    <w:right w:val="none" w:sz="0" w:space="0" w:color="auto"/>
                                                                                  </w:divBdr>
                                                                                </w:div>
                                                                                <w:div w:id="2122528407">
                                                                                  <w:marLeft w:val="0"/>
                                                                                  <w:marRight w:val="0"/>
                                                                                  <w:marTop w:val="0"/>
                                                                                  <w:marBottom w:val="0"/>
                                                                                  <w:divBdr>
                                                                                    <w:top w:val="none" w:sz="0" w:space="0" w:color="auto"/>
                                                                                    <w:left w:val="none" w:sz="0" w:space="0" w:color="auto"/>
                                                                                    <w:bottom w:val="none" w:sz="0" w:space="0" w:color="auto"/>
                                                                                    <w:right w:val="none" w:sz="0" w:space="0" w:color="auto"/>
                                                                                  </w:divBdr>
                                                                                </w:div>
                                                                                <w:div w:id="2122646381">
                                                                                  <w:marLeft w:val="0"/>
                                                                                  <w:marRight w:val="0"/>
                                                                                  <w:marTop w:val="0"/>
                                                                                  <w:marBottom w:val="0"/>
                                                                                  <w:divBdr>
                                                                                    <w:top w:val="none" w:sz="0" w:space="0" w:color="auto"/>
                                                                                    <w:left w:val="none" w:sz="0" w:space="0" w:color="auto"/>
                                                                                    <w:bottom w:val="none" w:sz="0" w:space="0" w:color="auto"/>
                                                                                    <w:right w:val="none" w:sz="0" w:space="0" w:color="auto"/>
                                                                                  </w:divBdr>
                                                                                </w:div>
                                                                                <w:div w:id="212337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21575688">
      <w:bodyDiv w:val="1"/>
      <w:marLeft w:val="0"/>
      <w:marRight w:val="0"/>
      <w:marTop w:val="0"/>
      <w:marBottom w:val="0"/>
      <w:divBdr>
        <w:top w:val="none" w:sz="0" w:space="0" w:color="auto"/>
        <w:left w:val="none" w:sz="0" w:space="0" w:color="auto"/>
        <w:bottom w:val="none" w:sz="0" w:space="0" w:color="auto"/>
        <w:right w:val="none" w:sz="0" w:space="0" w:color="auto"/>
      </w:divBdr>
    </w:div>
    <w:div w:id="633947712">
      <w:bodyDiv w:val="1"/>
      <w:marLeft w:val="0"/>
      <w:marRight w:val="0"/>
      <w:marTop w:val="0"/>
      <w:marBottom w:val="0"/>
      <w:divBdr>
        <w:top w:val="none" w:sz="0" w:space="0" w:color="auto"/>
        <w:left w:val="none" w:sz="0" w:space="0" w:color="auto"/>
        <w:bottom w:val="none" w:sz="0" w:space="0" w:color="auto"/>
        <w:right w:val="none" w:sz="0" w:space="0" w:color="auto"/>
      </w:divBdr>
    </w:div>
    <w:div w:id="639311570">
      <w:bodyDiv w:val="1"/>
      <w:marLeft w:val="0"/>
      <w:marRight w:val="0"/>
      <w:marTop w:val="0"/>
      <w:marBottom w:val="0"/>
      <w:divBdr>
        <w:top w:val="none" w:sz="0" w:space="0" w:color="auto"/>
        <w:left w:val="none" w:sz="0" w:space="0" w:color="auto"/>
        <w:bottom w:val="none" w:sz="0" w:space="0" w:color="auto"/>
        <w:right w:val="none" w:sz="0" w:space="0" w:color="auto"/>
      </w:divBdr>
    </w:div>
    <w:div w:id="652566558">
      <w:bodyDiv w:val="1"/>
      <w:marLeft w:val="0"/>
      <w:marRight w:val="0"/>
      <w:marTop w:val="0"/>
      <w:marBottom w:val="0"/>
      <w:divBdr>
        <w:top w:val="none" w:sz="0" w:space="0" w:color="auto"/>
        <w:left w:val="none" w:sz="0" w:space="0" w:color="auto"/>
        <w:bottom w:val="none" w:sz="0" w:space="0" w:color="auto"/>
        <w:right w:val="none" w:sz="0" w:space="0" w:color="auto"/>
      </w:divBdr>
    </w:div>
    <w:div w:id="655186502">
      <w:bodyDiv w:val="1"/>
      <w:marLeft w:val="0"/>
      <w:marRight w:val="0"/>
      <w:marTop w:val="0"/>
      <w:marBottom w:val="0"/>
      <w:divBdr>
        <w:top w:val="none" w:sz="0" w:space="0" w:color="auto"/>
        <w:left w:val="none" w:sz="0" w:space="0" w:color="auto"/>
        <w:bottom w:val="none" w:sz="0" w:space="0" w:color="auto"/>
        <w:right w:val="none" w:sz="0" w:space="0" w:color="auto"/>
      </w:divBdr>
      <w:divsChild>
        <w:div w:id="1149904443">
          <w:marLeft w:val="0"/>
          <w:marRight w:val="0"/>
          <w:marTop w:val="0"/>
          <w:marBottom w:val="0"/>
          <w:divBdr>
            <w:top w:val="none" w:sz="0" w:space="0" w:color="auto"/>
            <w:left w:val="none" w:sz="0" w:space="0" w:color="auto"/>
            <w:bottom w:val="none" w:sz="0" w:space="0" w:color="auto"/>
            <w:right w:val="none" w:sz="0" w:space="0" w:color="auto"/>
          </w:divBdr>
          <w:divsChild>
            <w:div w:id="1821461141">
              <w:marLeft w:val="0"/>
              <w:marRight w:val="0"/>
              <w:marTop w:val="0"/>
              <w:marBottom w:val="0"/>
              <w:divBdr>
                <w:top w:val="none" w:sz="0" w:space="0" w:color="auto"/>
                <w:left w:val="none" w:sz="0" w:space="0" w:color="auto"/>
                <w:bottom w:val="none" w:sz="0" w:space="0" w:color="auto"/>
                <w:right w:val="none" w:sz="0" w:space="0" w:color="auto"/>
              </w:divBdr>
              <w:divsChild>
                <w:div w:id="1765222489">
                  <w:marLeft w:val="0"/>
                  <w:marRight w:val="0"/>
                  <w:marTop w:val="0"/>
                  <w:marBottom w:val="0"/>
                  <w:divBdr>
                    <w:top w:val="none" w:sz="0" w:space="0" w:color="auto"/>
                    <w:left w:val="none" w:sz="0" w:space="0" w:color="auto"/>
                    <w:bottom w:val="none" w:sz="0" w:space="0" w:color="auto"/>
                    <w:right w:val="none" w:sz="0" w:space="0" w:color="auto"/>
                  </w:divBdr>
                  <w:divsChild>
                    <w:div w:id="1040126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5475624">
      <w:bodyDiv w:val="1"/>
      <w:marLeft w:val="0"/>
      <w:marRight w:val="0"/>
      <w:marTop w:val="0"/>
      <w:marBottom w:val="0"/>
      <w:divBdr>
        <w:top w:val="none" w:sz="0" w:space="0" w:color="auto"/>
        <w:left w:val="none" w:sz="0" w:space="0" w:color="auto"/>
        <w:bottom w:val="none" w:sz="0" w:space="0" w:color="auto"/>
        <w:right w:val="none" w:sz="0" w:space="0" w:color="auto"/>
      </w:divBdr>
    </w:div>
    <w:div w:id="666134327">
      <w:bodyDiv w:val="1"/>
      <w:marLeft w:val="0"/>
      <w:marRight w:val="0"/>
      <w:marTop w:val="0"/>
      <w:marBottom w:val="0"/>
      <w:divBdr>
        <w:top w:val="none" w:sz="0" w:space="0" w:color="auto"/>
        <w:left w:val="none" w:sz="0" w:space="0" w:color="auto"/>
        <w:bottom w:val="none" w:sz="0" w:space="0" w:color="auto"/>
        <w:right w:val="none" w:sz="0" w:space="0" w:color="auto"/>
      </w:divBdr>
    </w:div>
    <w:div w:id="667944781">
      <w:bodyDiv w:val="1"/>
      <w:marLeft w:val="0"/>
      <w:marRight w:val="0"/>
      <w:marTop w:val="0"/>
      <w:marBottom w:val="0"/>
      <w:divBdr>
        <w:top w:val="none" w:sz="0" w:space="0" w:color="auto"/>
        <w:left w:val="none" w:sz="0" w:space="0" w:color="auto"/>
        <w:bottom w:val="none" w:sz="0" w:space="0" w:color="auto"/>
        <w:right w:val="none" w:sz="0" w:space="0" w:color="auto"/>
      </w:divBdr>
      <w:divsChild>
        <w:div w:id="1881741788">
          <w:marLeft w:val="0"/>
          <w:marRight w:val="0"/>
          <w:marTop w:val="0"/>
          <w:marBottom w:val="0"/>
          <w:divBdr>
            <w:top w:val="none" w:sz="0" w:space="0" w:color="auto"/>
            <w:left w:val="none" w:sz="0" w:space="0" w:color="auto"/>
            <w:bottom w:val="none" w:sz="0" w:space="0" w:color="auto"/>
            <w:right w:val="none" w:sz="0" w:space="0" w:color="auto"/>
          </w:divBdr>
          <w:divsChild>
            <w:div w:id="1523975708">
              <w:marLeft w:val="0"/>
              <w:marRight w:val="0"/>
              <w:marTop w:val="0"/>
              <w:marBottom w:val="0"/>
              <w:divBdr>
                <w:top w:val="none" w:sz="0" w:space="0" w:color="auto"/>
                <w:left w:val="none" w:sz="0" w:space="0" w:color="auto"/>
                <w:bottom w:val="none" w:sz="0" w:space="0" w:color="auto"/>
                <w:right w:val="none" w:sz="0" w:space="0" w:color="auto"/>
              </w:divBdr>
              <w:divsChild>
                <w:div w:id="205214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677496">
      <w:bodyDiv w:val="1"/>
      <w:marLeft w:val="0"/>
      <w:marRight w:val="0"/>
      <w:marTop w:val="0"/>
      <w:marBottom w:val="0"/>
      <w:divBdr>
        <w:top w:val="none" w:sz="0" w:space="0" w:color="auto"/>
        <w:left w:val="none" w:sz="0" w:space="0" w:color="auto"/>
        <w:bottom w:val="none" w:sz="0" w:space="0" w:color="auto"/>
        <w:right w:val="none" w:sz="0" w:space="0" w:color="auto"/>
      </w:divBdr>
      <w:divsChild>
        <w:div w:id="1145077263">
          <w:marLeft w:val="0"/>
          <w:marRight w:val="0"/>
          <w:marTop w:val="0"/>
          <w:marBottom w:val="0"/>
          <w:divBdr>
            <w:top w:val="none" w:sz="0" w:space="0" w:color="auto"/>
            <w:left w:val="none" w:sz="0" w:space="0" w:color="auto"/>
            <w:bottom w:val="none" w:sz="0" w:space="0" w:color="auto"/>
            <w:right w:val="none" w:sz="0" w:space="0" w:color="auto"/>
          </w:divBdr>
          <w:divsChild>
            <w:div w:id="1257402921">
              <w:marLeft w:val="0"/>
              <w:marRight w:val="0"/>
              <w:marTop w:val="0"/>
              <w:marBottom w:val="0"/>
              <w:divBdr>
                <w:top w:val="none" w:sz="0" w:space="0" w:color="auto"/>
                <w:left w:val="none" w:sz="0" w:space="0" w:color="auto"/>
                <w:bottom w:val="none" w:sz="0" w:space="0" w:color="auto"/>
                <w:right w:val="none" w:sz="0" w:space="0" w:color="auto"/>
              </w:divBdr>
              <w:divsChild>
                <w:div w:id="70707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570072">
          <w:marLeft w:val="0"/>
          <w:marRight w:val="0"/>
          <w:marTop w:val="0"/>
          <w:marBottom w:val="0"/>
          <w:divBdr>
            <w:top w:val="none" w:sz="0" w:space="0" w:color="auto"/>
            <w:left w:val="none" w:sz="0" w:space="0" w:color="auto"/>
            <w:bottom w:val="none" w:sz="0" w:space="0" w:color="auto"/>
            <w:right w:val="none" w:sz="0" w:space="0" w:color="auto"/>
          </w:divBdr>
          <w:divsChild>
            <w:div w:id="862549860">
              <w:marLeft w:val="0"/>
              <w:marRight w:val="0"/>
              <w:marTop w:val="0"/>
              <w:marBottom w:val="0"/>
              <w:divBdr>
                <w:top w:val="none" w:sz="0" w:space="0" w:color="auto"/>
                <w:left w:val="none" w:sz="0" w:space="0" w:color="auto"/>
                <w:bottom w:val="none" w:sz="0" w:space="0" w:color="auto"/>
                <w:right w:val="none" w:sz="0" w:space="0" w:color="auto"/>
              </w:divBdr>
              <w:divsChild>
                <w:div w:id="348873166">
                  <w:marLeft w:val="0"/>
                  <w:marRight w:val="0"/>
                  <w:marTop w:val="0"/>
                  <w:marBottom w:val="0"/>
                  <w:divBdr>
                    <w:top w:val="none" w:sz="0" w:space="0" w:color="auto"/>
                    <w:left w:val="none" w:sz="0" w:space="0" w:color="auto"/>
                    <w:bottom w:val="none" w:sz="0" w:space="0" w:color="auto"/>
                    <w:right w:val="none" w:sz="0" w:space="0" w:color="auto"/>
                  </w:divBdr>
                </w:div>
              </w:divsChild>
            </w:div>
            <w:div w:id="1037319916">
              <w:marLeft w:val="0"/>
              <w:marRight w:val="0"/>
              <w:marTop w:val="0"/>
              <w:marBottom w:val="0"/>
              <w:divBdr>
                <w:top w:val="none" w:sz="0" w:space="0" w:color="auto"/>
                <w:left w:val="none" w:sz="0" w:space="0" w:color="auto"/>
                <w:bottom w:val="none" w:sz="0" w:space="0" w:color="auto"/>
                <w:right w:val="none" w:sz="0" w:space="0" w:color="auto"/>
              </w:divBdr>
              <w:divsChild>
                <w:div w:id="1168791069">
                  <w:marLeft w:val="0"/>
                  <w:marRight w:val="0"/>
                  <w:marTop w:val="0"/>
                  <w:marBottom w:val="0"/>
                  <w:divBdr>
                    <w:top w:val="none" w:sz="0" w:space="0" w:color="auto"/>
                    <w:left w:val="none" w:sz="0" w:space="0" w:color="auto"/>
                    <w:bottom w:val="none" w:sz="0" w:space="0" w:color="auto"/>
                    <w:right w:val="none" w:sz="0" w:space="0" w:color="auto"/>
                  </w:divBdr>
                </w:div>
              </w:divsChild>
            </w:div>
            <w:div w:id="1521158513">
              <w:marLeft w:val="0"/>
              <w:marRight w:val="0"/>
              <w:marTop w:val="0"/>
              <w:marBottom w:val="0"/>
              <w:divBdr>
                <w:top w:val="none" w:sz="0" w:space="0" w:color="auto"/>
                <w:left w:val="none" w:sz="0" w:space="0" w:color="auto"/>
                <w:bottom w:val="none" w:sz="0" w:space="0" w:color="auto"/>
                <w:right w:val="none" w:sz="0" w:space="0" w:color="auto"/>
              </w:divBdr>
              <w:divsChild>
                <w:div w:id="153657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260732">
      <w:bodyDiv w:val="1"/>
      <w:marLeft w:val="0"/>
      <w:marRight w:val="0"/>
      <w:marTop w:val="0"/>
      <w:marBottom w:val="0"/>
      <w:divBdr>
        <w:top w:val="none" w:sz="0" w:space="0" w:color="auto"/>
        <w:left w:val="none" w:sz="0" w:space="0" w:color="auto"/>
        <w:bottom w:val="none" w:sz="0" w:space="0" w:color="auto"/>
        <w:right w:val="none" w:sz="0" w:space="0" w:color="auto"/>
      </w:divBdr>
      <w:divsChild>
        <w:div w:id="2111733646">
          <w:marLeft w:val="0"/>
          <w:marRight w:val="0"/>
          <w:marTop w:val="0"/>
          <w:marBottom w:val="0"/>
          <w:divBdr>
            <w:top w:val="none" w:sz="0" w:space="0" w:color="auto"/>
            <w:left w:val="none" w:sz="0" w:space="0" w:color="auto"/>
            <w:bottom w:val="none" w:sz="0" w:space="0" w:color="auto"/>
            <w:right w:val="none" w:sz="0" w:space="0" w:color="auto"/>
          </w:divBdr>
          <w:divsChild>
            <w:div w:id="726495003">
              <w:marLeft w:val="0"/>
              <w:marRight w:val="0"/>
              <w:marTop w:val="0"/>
              <w:marBottom w:val="0"/>
              <w:divBdr>
                <w:top w:val="none" w:sz="0" w:space="0" w:color="auto"/>
                <w:left w:val="none" w:sz="0" w:space="0" w:color="auto"/>
                <w:bottom w:val="none" w:sz="0" w:space="0" w:color="auto"/>
                <w:right w:val="none" w:sz="0" w:space="0" w:color="auto"/>
              </w:divBdr>
              <w:divsChild>
                <w:div w:id="1177117397">
                  <w:marLeft w:val="0"/>
                  <w:marRight w:val="0"/>
                  <w:marTop w:val="0"/>
                  <w:marBottom w:val="0"/>
                  <w:divBdr>
                    <w:top w:val="none" w:sz="0" w:space="0" w:color="auto"/>
                    <w:left w:val="none" w:sz="0" w:space="0" w:color="auto"/>
                    <w:bottom w:val="none" w:sz="0" w:space="0" w:color="auto"/>
                    <w:right w:val="none" w:sz="0" w:space="0" w:color="auto"/>
                  </w:divBdr>
                  <w:divsChild>
                    <w:div w:id="1817146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4554042">
      <w:bodyDiv w:val="1"/>
      <w:marLeft w:val="0"/>
      <w:marRight w:val="0"/>
      <w:marTop w:val="0"/>
      <w:marBottom w:val="0"/>
      <w:divBdr>
        <w:top w:val="none" w:sz="0" w:space="0" w:color="auto"/>
        <w:left w:val="none" w:sz="0" w:space="0" w:color="auto"/>
        <w:bottom w:val="none" w:sz="0" w:space="0" w:color="auto"/>
        <w:right w:val="none" w:sz="0" w:space="0" w:color="auto"/>
      </w:divBdr>
      <w:divsChild>
        <w:div w:id="1237328149">
          <w:marLeft w:val="0"/>
          <w:marRight w:val="0"/>
          <w:marTop w:val="0"/>
          <w:marBottom w:val="0"/>
          <w:divBdr>
            <w:top w:val="none" w:sz="0" w:space="0" w:color="auto"/>
            <w:left w:val="none" w:sz="0" w:space="0" w:color="auto"/>
            <w:bottom w:val="none" w:sz="0" w:space="0" w:color="auto"/>
            <w:right w:val="none" w:sz="0" w:space="0" w:color="auto"/>
          </w:divBdr>
          <w:divsChild>
            <w:div w:id="1816482607">
              <w:marLeft w:val="0"/>
              <w:marRight w:val="0"/>
              <w:marTop w:val="0"/>
              <w:marBottom w:val="0"/>
              <w:divBdr>
                <w:top w:val="none" w:sz="0" w:space="0" w:color="auto"/>
                <w:left w:val="none" w:sz="0" w:space="0" w:color="auto"/>
                <w:bottom w:val="none" w:sz="0" w:space="0" w:color="auto"/>
                <w:right w:val="none" w:sz="0" w:space="0" w:color="auto"/>
              </w:divBdr>
              <w:divsChild>
                <w:div w:id="885265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1227653">
      <w:bodyDiv w:val="1"/>
      <w:marLeft w:val="0"/>
      <w:marRight w:val="0"/>
      <w:marTop w:val="0"/>
      <w:marBottom w:val="0"/>
      <w:divBdr>
        <w:top w:val="none" w:sz="0" w:space="0" w:color="auto"/>
        <w:left w:val="none" w:sz="0" w:space="0" w:color="auto"/>
        <w:bottom w:val="none" w:sz="0" w:space="0" w:color="auto"/>
        <w:right w:val="none" w:sz="0" w:space="0" w:color="auto"/>
      </w:divBdr>
      <w:divsChild>
        <w:div w:id="1346400799">
          <w:marLeft w:val="0"/>
          <w:marRight w:val="0"/>
          <w:marTop w:val="0"/>
          <w:marBottom w:val="0"/>
          <w:divBdr>
            <w:top w:val="none" w:sz="0" w:space="0" w:color="auto"/>
            <w:left w:val="none" w:sz="0" w:space="0" w:color="auto"/>
            <w:bottom w:val="none" w:sz="0" w:space="0" w:color="auto"/>
            <w:right w:val="none" w:sz="0" w:space="0" w:color="auto"/>
          </w:divBdr>
          <w:divsChild>
            <w:div w:id="1171526923">
              <w:marLeft w:val="0"/>
              <w:marRight w:val="0"/>
              <w:marTop w:val="0"/>
              <w:marBottom w:val="0"/>
              <w:divBdr>
                <w:top w:val="none" w:sz="0" w:space="0" w:color="auto"/>
                <w:left w:val="none" w:sz="0" w:space="0" w:color="auto"/>
                <w:bottom w:val="none" w:sz="0" w:space="0" w:color="auto"/>
                <w:right w:val="none" w:sz="0" w:space="0" w:color="auto"/>
              </w:divBdr>
              <w:divsChild>
                <w:div w:id="1142194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3026">
      <w:bodyDiv w:val="1"/>
      <w:marLeft w:val="0"/>
      <w:marRight w:val="0"/>
      <w:marTop w:val="0"/>
      <w:marBottom w:val="0"/>
      <w:divBdr>
        <w:top w:val="none" w:sz="0" w:space="0" w:color="auto"/>
        <w:left w:val="none" w:sz="0" w:space="0" w:color="auto"/>
        <w:bottom w:val="none" w:sz="0" w:space="0" w:color="auto"/>
        <w:right w:val="none" w:sz="0" w:space="0" w:color="auto"/>
      </w:divBdr>
    </w:div>
    <w:div w:id="711613094">
      <w:bodyDiv w:val="1"/>
      <w:marLeft w:val="0"/>
      <w:marRight w:val="0"/>
      <w:marTop w:val="0"/>
      <w:marBottom w:val="0"/>
      <w:divBdr>
        <w:top w:val="none" w:sz="0" w:space="0" w:color="auto"/>
        <w:left w:val="none" w:sz="0" w:space="0" w:color="auto"/>
        <w:bottom w:val="none" w:sz="0" w:space="0" w:color="auto"/>
        <w:right w:val="none" w:sz="0" w:space="0" w:color="auto"/>
      </w:divBdr>
    </w:div>
    <w:div w:id="716465744">
      <w:bodyDiv w:val="1"/>
      <w:marLeft w:val="0"/>
      <w:marRight w:val="0"/>
      <w:marTop w:val="0"/>
      <w:marBottom w:val="0"/>
      <w:divBdr>
        <w:top w:val="none" w:sz="0" w:space="0" w:color="auto"/>
        <w:left w:val="none" w:sz="0" w:space="0" w:color="auto"/>
        <w:bottom w:val="none" w:sz="0" w:space="0" w:color="auto"/>
        <w:right w:val="none" w:sz="0" w:space="0" w:color="auto"/>
      </w:divBdr>
      <w:divsChild>
        <w:div w:id="932274948">
          <w:marLeft w:val="0"/>
          <w:marRight w:val="0"/>
          <w:marTop w:val="0"/>
          <w:marBottom w:val="0"/>
          <w:divBdr>
            <w:top w:val="none" w:sz="0" w:space="0" w:color="auto"/>
            <w:left w:val="none" w:sz="0" w:space="0" w:color="auto"/>
            <w:bottom w:val="none" w:sz="0" w:space="0" w:color="auto"/>
            <w:right w:val="none" w:sz="0" w:space="0" w:color="auto"/>
          </w:divBdr>
          <w:divsChild>
            <w:div w:id="277104660">
              <w:marLeft w:val="0"/>
              <w:marRight w:val="0"/>
              <w:marTop w:val="0"/>
              <w:marBottom w:val="0"/>
              <w:divBdr>
                <w:top w:val="none" w:sz="0" w:space="0" w:color="auto"/>
                <w:left w:val="none" w:sz="0" w:space="0" w:color="auto"/>
                <w:bottom w:val="none" w:sz="0" w:space="0" w:color="auto"/>
                <w:right w:val="none" w:sz="0" w:space="0" w:color="auto"/>
              </w:divBdr>
              <w:divsChild>
                <w:div w:id="23312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279612">
      <w:bodyDiv w:val="1"/>
      <w:marLeft w:val="0"/>
      <w:marRight w:val="0"/>
      <w:marTop w:val="0"/>
      <w:marBottom w:val="0"/>
      <w:divBdr>
        <w:top w:val="none" w:sz="0" w:space="0" w:color="auto"/>
        <w:left w:val="none" w:sz="0" w:space="0" w:color="auto"/>
        <w:bottom w:val="none" w:sz="0" w:space="0" w:color="auto"/>
        <w:right w:val="none" w:sz="0" w:space="0" w:color="auto"/>
      </w:divBdr>
    </w:div>
    <w:div w:id="725567842">
      <w:bodyDiv w:val="1"/>
      <w:marLeft w:val="0"/>
      <w:marRight w:val="0"/>
      <w:marTop w:val="0"/>
      <w:marBottom w:val="0"/>
      <w:divBdr>
        <w:top w:val="none" w:sz="0" w:space="0" w:color="auto"/>
        <w:left w:val="none" w:sz="0" w:space="0" w:color="auto"/>
        <w:bottom w:val="none" w:sz="0" w:space="0" w:color="auto"/>
        <w:right w:val="none" w:sz="0" w:space="0" w:color="auto"/>
      </w:divBdr>
    </w:div>
    <w:div w:id="726342060">
      <w:bodyDiv w:val="1"/>
      <w:marLeft w:val="0"/>
      <w:marRight w:val="0"/>
      <w:marTop w:val="0"/>
      <w:marBottom w:val="0"/>
      <w:divBdr>
        <w:top w:val="none" w:sz="0" w:space="0" w:color="auto"/>
        <w:left w:val="none" w:sz="0" w:space="0" w:color="auto"/>
        <w:bottom w:val="none" w:sz="0" w:space="0" w:color="auto"/>
        <w:right w:val="none" w:sz="0" w:space="0" w:color="auto"/>
      </w:divBdr>
      <w:divsChild>
        <w:div w:id="515005447">
          <w:marLeft w:val="0"/>
          <w:marRight w:val="0"/>
          <w:marTop w:val="0"/>
          <w:marBottom w:val="0"/>
          <w:divBdr>
            <w:top w:val="none" w:sz="0" w:space="0" w:color="auto"/>
            <w:left w:val="none" w:sz="0" w:space="0" w:color="auto"/>
            <w:bottom w:val="none" w:sz="0" w:space="0" w:color="auto"/>
            <w:right w:val="none" w:sz="0" w:space="0" w:color="auto"/>
          </w:divBdr>
        </w:div>
      </w:divsChild>
    </w:div>
    <w:div w:id="729036575">
      <w:bodyDiv w:val="1"/>
      <w:marLeft w:val="0"/>
      <w:marRight w:val="0"/>
      <w:marTop w:val="0"/>
      <w:marBottom w:val="0"/>
      <w:divBdr>
        <w:top w:val="none" w:sz="0" w:space="0" w:color="auto"/>
        <w:left w:val="none" w:sz="0" w:space="0" w:color="auto"/>
        <w:bottom w:val="none" w:sz="0" w:space="0" w:color="auto"/>
        <w:right w:val="none" w:sz="0" w:space="0" w:color="auto"/>
      </w:divBdr>
      <w:divsChild>
        <w:div w:id="1788230561">
          <w:marLeft w:val="0"/>
          <w:marRight w:val="0"/>
          <w:marTop w:val="0"/>
          <w:marBottom w:val="0"/>
          <w:divBdr>
            <w:top w:val="none" w:sz="0" w:space="0" w:color="auto"/>
            <w:left w:val="none" w:sz="0" w:space="0" w:color="auto"/>
            <w:bottom w:val="none" w:sz="0" w:space="0" w:color="auto"/>
            <w:right w:val="none" w:sz="0" w:space="0" w:color="auto"/>
          </w:divBdr>
          <w:divsChild>
            <w:div w:id="1631980881">
              <w:marLeft w:val="0"/>
              <w:marRight w:val="0"/>
              <w:marTop w:val="0"/>
              <w:marBottom w:val="0"/>
              <w:divBdr>
                <w:top w:val="none" w:sz="0" w:space="0" w:color="auto"/>
                <w:left w:val="none" w:sz="0" w:space="0" w:color="auto"/>
                <w:bottom w:val="none" w:sz="0" w:space="0" w:color="auto"/>
                <w:right w:val="none" w:sz="0" w:space="0" w:color="auto"/>
              </w:divBdr>
              <w:divsChild>
                <w:div w:id="119958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350926">
      <w:bodyDiv w:val="1"/>
      <w:marLeft w:val="0"/>
      <w:marRight w:val="0"/>
      <w:marTop w:val="0"/>
      <w:marBottom w:val="0"/>
      <w:divBdr>
        <w:top w:val="none" w:sz="0" w:space="0" w:color="auto"/>
        <w:left w:val="none" w:sz="0" w:space="0" w:color="auto"/>
        <w:bottom w:val="none" w:sz="0" w:space="0" w:color="auto"/>
        <w:right w:val="none" w:sz="0" w:space="0" w:color="auto"/>
      </w:divBdr>
    </w:div>
    <w:div w:id="732048579">
      <w:bodyDiv w:val="1"/>
      <w:marLeft w:val="0"/>
      <w:marRight w:val="0"/>
      <w:marTop w:val="0"/>
      <w:marBottom w:val="0"/>
      <w:divBdr>
        <w:top w:val="none" w:sz="0" w:space="0" w:color="auto"/>
        <w:left w:val="none" w:sz="0" w:space="0" w:color="auto"/>
        <w:bottom w:val="none" w:sz="0" w:space="0" w:color="auto"/>
        <w:right w:val="none" w:sz="0" w:space="0" w:color="auto"/>
      </w:divBdr>
    </w:div>
    <w:div w:id="732318424">
      <w:bodyDiv w:val="1"/>
      <w:marLeft w:val="0"/>
      <w:marRight w:val="0"/>
      <w:marTop w:val="0"/>
      <w:marBottom w:val="0"/>
      <w:divBdr>
        <w:top w:val="none" w:sz="0" w:space="0" w:color="auto"/>
        <w:left w:val="none" w:sz="0" w:space="0" w:color="auto"/>
        <w:bottom w:val="none" w:sz="0" w:space="0" w:color="auto"/>
        <w:right w:val="none" w:sz="0" w:space="0" w:color="auto"/>
      </w:divBdr>
    </w:div>
    <w:div w:id="737440125">
      <w:bodyDiv w:val="1"/>
      <w:marLeft w:val="0"/>
      <w:marRight w:val="0"/>
      <w:marTop w:val="0"/>
      <w:marBottom w:val="0"/>
      <w:divBdr>
        <w:top w:val="none" w:sz="0" w:space="0" w:color="auto"/>
        <w:left w:val="none" w:sz="0" w:space="0" w:color="auto"/>
        <w:bottom w:val="none" w:sz="0" w:space="0" w:color="auto"/>
        <w:right w:val="none" w:sz="0" w:space="0" w:color="auto"/>
      </w:divBdr>
      <w:divsChild>
        <w:div w:id="487093884">
          <w:marLeft w:val="0"/>
          <w:marRight w:val="0"/>
          <w:marTop w:val="0"/>
          <w:marBottom w:val="0"/>
          <w:divBdr>
            <w:top w:val="none" w:sz="0" w:space="0" w:color="auto"/>
            <w:left w:val="none" w:sz="0" w:space="0" w:color="auto"/>
            <w:bottom w:val="none" w:sz="0" w:space="0" w:color="auto"/>
            <w:right w:val="none" w:sz="0" w:space="0" w:color="auto"/>
          </w:divBdr>
          <w:divsChild>
            <w:div w:id="984309464">
              <w:marLeft w:val="0"/>
              <w:marRight w:val="0"/>
              <w:marTop w:val="0"/>
              <w:marBottom w:val="0"/>
              <w:divBdr>
                <w:top w:val="none" w:sz="0" w:space="0" w:color="auto"/>
                <w:left w:val="none" w:sz="0" w:space="0" w:color="auto"/>
                <w:bottom w:val="none" w:sz="0" w:space="0" w:color="auto"/>
                <w:right w:val="none" w:sz="0" w:space="0" w:color="auto"/>
              </w:divBdr>
              <w:divsChild>
                <w:div w:id="399207283">
                  <w:marLeft w:val="0"/>
                  <w:marRight w:val="0"/>
                  <w:marTop w:val="0"/>
                  <w:marBottom w:val="0"/>
                  <w:divBdr>
                    <w:top w:val="none" w:sz="0" w:space="0" w:color="auto"/>
                    <w:left w:val="none" w:sz="0" w:space="0" w:color="auto"/>
                    <w:bottom w:val="none" w:sz="0" w:space="0" w:color="auto"/>
                    <w:right w:val="none" w:sz="0" w:space="0" w:color="auto"/>
                  </w:divBdr>
                  <w:divsChild>
                    <w:div w:id="470906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3571893">
      <w:bodyDiv w:val="1"/>
      <w:marLeft w:val="0"/>
      <w:marRight w:val="0"/>
      <w:marTop w:val="0"/>
      <w:marBottom w:val="0"/>
      <w:divBdr>
        <w:top w:val="none" w:sz="0" w:space="0" w:color="auto"/>
        <w:left w:val="none" w:sz="0" w:space="0" w:color="auto"/>
        <w:bottom w:val="none" w:sz="0" w:space="0" w:color="auto"/>
        <w:right w:val="none" w:sz="0" w:space="0" w:color="auto"/>
      </w:divBdr>
      <w:divsChild>
        <w:div w:id="230846406">
          <w:marLeft w:val="0"/>
          <w:marRight w:val="0"/>
          <w:marTop w:val="0"/>
          <w:marBottom w:val="0"/>
          <w:divBdr>
            <w:top w:val="none" w:sz="0" w:space="0" w:color="auto"/>
            <w:left w:val="none" w:sz="0" w:space="0" w:color="auto"/>
            <w:bottom w:val="none" w:sz="0" w:space="0" w:color="auto"/>
            <w:right w:val="none" w:sz="0" w:space="0" w:color="auto"/>
          </w:divBdr>
          <w:divsChild>
            <w:div w:id="1789161634">
              <w:marLeft w:val="0"/>
              <w:marRight w:val="0"/>
              <w:marTop w:val="0"/>
              <w:marBottom w:val="0"/>
              <w:divBdr>
                <w:top w:val="none" w:sz="0" w:space="0" w:color="auto"/>
                <w:left w:val="none" w:sz="0" w:space="0" w:color="auto"/>
                <w:bottom w:val="none" w:sz="0" w:space="0" w:color="auto"/>
                <w:right w:val="none" w:sz="0" w:space="0" w:color="auto"/>
              </w:divBdr>
              <w:divsChild>
                <w:div w:id="111347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716552">
          <w:marLeft w:val="0"/>
          <w:marRight w:val="0"/>
          <w:marTop w:val="0"/>
          <w:marBottom w:val="0"/>
          <w:divBdr>
            <w:top w:val="none" w:sz="0" w:space="0" w:color="auto"/>
            <w:left w:val="none" w:sz="0" w:space="0" w:color="auto"/>
            <w:bottom w:val="none" w:sz="0" w:space="0" w:color="auto"/>
            <w:right w:val="none" w:sz="0" w:space="0" w:color="auto"/>
          </w:divBdr>
          <w:divsChild>
            <w:div w:id="1305238897">
              <w:marLeft w:val="0"/>
              <w:marRight w:val="0"/>
              <w:marTop w:val="0"/>
              <w:marBottom w:val="0"/>
              <w:divBdr>
                <w:top w:val="none" w:sz="0" w:space="0" w:color="auto"/>
                <w:left w:val="none" w:sz="0" w:space="0" w:color="auto"/>
                <w:bottom w:val="none" w:sz="0" w:space="0" w:color="auto"/>
                <w:right w:val="none" w:sz="0" w:space="0" w:color="auto"/>
              </w:divBdr>
              <w:divsChild>
                <w:div w:id="296181392">
                  <w:marLeft w:val="0"/>
                  <w:marRight w:val="0"/>
                  <w:marTop w:val="0"/>
                  <w:marBottom w:val="0"/>
                  <w:divBdr>
                    <w:top w:val="none" w:sz="0" w:space="0" w:color="auto"/>
                    <w:left w:val="none" w:sz="0" w:space="0" w:color="auto"/>
                    <w:bottom w:val="none" w:sz="0" w:space="0" w:color="auto"/>
                    <w:right w:val="none" w:sz="0" w:space="0" w:color="auto"/>
                  </w:divBdr>
                </w:div>
              </w:divsChild>
            </w:div>
            <w:div w:id="1663897765">
              <w:marLeft w:val="0"/>
              <w:marRight w:val="0"/>
              <w:marTop w:val="0"/>
              <w:marBottom w:val="0"/>
              <w:divBdr>
                <w:top w:val="none" w:sz="0" w:space="0" w:color="auto"/>
                <w:left w:val="none" w:sz="0" w:space="0" w:color="auto"/>
                <w:bottom w:val="none" w:sz="0" w:space="0" w:color="auto"/>
                <w:right w:val="none" w:sz="0" w:space="0" w:color="auto"/>
              </w:divBdr>
              <w:divsChild>
                <w:div w:id="1618292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583346">
      <w:bodyDiv w:val="1"/>
      <w:marLeft w:val="0"/>
      <w:marRight w:val="0"/>
      <w:marTop w:val="0"/>
      <w:marBottom w:val="0"/>
      <w:divBdr>
        <w:top w:val="none" w:sz="0" w:space="0" w:color="auto"/>
        <w:left w:val="none" w:sz="0" w:space="0" w:color="auto"/>
        <w:bottom w:val="none" w:sz="0" w:space="0" w:color="auto"/>
        <w:right w:val="none" w:sz="0" w:space="0" w:color="auto"/>
      </w:divBdr>
    </w:div>
    <w:div w:id="757604293">
      <w:bodyDiv w:val="1"/>
      <w:marLeft w:val="0"/>
      <w:marRight w:val="0"/>
      <w:marTop w:val="0"/>
      <w:marBottom w:val="0"/>
      <w:divBdr>
        <w:top w:val="none" w:sz="0" w:space="0" w:color="auto"/>
        <w:left w:val="none" w:sz="0" w:space="0" w:color="auto"/>
        <w:bottom w:val="none" w:sz="0" w:space="0" w:color="auto"/>
        <w:right w:val="none" w:sz="0" w:space="0" w:color="auto"/>
      </w:divBdr>
    </w:div>
    <w:div w:id="760880576">
      <w:bodyDiv w:val="1"/>
      <w:marLeft w:val="0"/>
      <w:marRight w:val="0"/>
      <w:marTop w:val="0"/>
      <w:marBottom w:val="0"/>
      <w:divBdr>
        <w:top w:val="none" w:sz="0" w:space="0" w:color="auto"/>
        <w:left w:val="none" w:sz="0" w:space="0" w:color="auto"/>
        <w:bottom w:val="none" w:sz="0" w:space="0" w:color="auto"/>
        <w:right w:val="none" w:sz="0" w:space="0" w:color="auto"/>
      </w:divBdr>
      <w:divsChild>
        <w:div w:id="969434390">
          <w:marLeft w:val="0"/>
          <w:marRight w:val="0"/>
          <w:marTop w:val="0"/>
          <w:marBottom w:val="0"/>
          <w:divBdr>
            <w:top w:val="none" w:sz="0" w:space="0" w:color="auto"/>
            <w:left w:val="none" w:sz="0" w:space="0" w:color="auto"/>
            <w:bottom w:val="none" w:sz="0" w:space="0" w:color="auto"/>
            <w:right w:val="none" w:sz="0" w:space="0" w:color="auto"/>
          </w:divBdr>
          <w:divsChild>
            <w:div w:id="1325164536">
              <w:marLeft w:val="0"/>
              <w:marRight w:val="0"/>
              <w:marTop w:val="0"/>
              <w:marBottom w:val="0"/>
              <w:divBdr>
                <w:top w:val="none" w:sz="0" w:space="0" w:color="auto"/>
                <w:left w:val="none" w:sz="0" w:space="0" w:color="auto"/>
                <w:bottom w:val="none" w:sz="0" w:space="0" w:color="auto"/>
                <w:right w:val="none" w:sz="0" w:space="0" w:color="auto"/>
              </w:divBdr>
              <w:divsChild>
                <w:div w:id="1294285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182226">
      <w:bodyDiv w:val="1"/>
      <w:marLeft w:val="0"/>
      <w:marRight w:val="0"/>
      <w:marTop w:val="0"/>
      <w:marBottom w:val="0"/>
      <w:divBdr>
        <w:top w:val="none" w:sz="0" w:space="0" w:color="auto"/>
        <w:left w:val="none" w:sz="0" w:space="0" w:color="auto"/>
        <w:bottom w:val="none" w:sz="0" w:space="0" w:color="auto"/>
        <w:right w:val="none" w:sz="0" w:space="0" w:color="auto"/>
      </w:divBdr>
    </w:div>
    <w:div w:id="770203503">
      <w:bodyDiv w:val="1"/>
      <w:marLeft w:val="0"/>
      <w:marRight w:val="0"/>
      <w:marTop w:val="0"/>
      <w:marBottom w:val="0"/>
      <w:divBdr>
        <w:top w:val="none" w:sz="0" w:space="0" w:color="auto"/>
        <w:left w:val="none" w:sz="0" w:space="0" w:color="auto"/>
        <w:bottom w:val="none" w:sz="0" w:space="0" w:color="auto"/>
        <w:right w:val="none" w:sz="0" w:space="0" w:color="auto"/>
      </w:divBdr>
    </w:div>
    <w:div w:id="773137670">
      <w:bodyDiv w:val="1"/>
      <w:marLeft w:val="0"/>
      <w:marRight w:val="0"/>
      <w:marTop w:val="0"/>
      <w:marBottom w:val="0"/>
      <w:divBdr>
        <w:top w:val="none" w:sz="0" w:space="0" w:color="auto"/>
        <w:left w:val="none" w:sz="0" w:space="0" w:color="auto"/>
        <w:bottom w:val="none" w:sz="0" w:space="0" w:color="auto"/>
        <w:right w:val="none" w:sz="0" w:space="0" w:color="auto"/>
      </w:divBdr>
      <w:divsChild>
        <w:div w:id="1165903247">
          <w:marLeft w:val="0"/>
          <w:marRight w:val="0"/>
          <w:marTop w:val="0"/>
          <w:marBottom w:val="0"/>
          <w:divBdr>
            <w:top w:val="none" w:sz="0" w:space="0" w:color="auto"/>
            <w:left w:val="none" w:sz="0" w:space="0" w:color="auto"/>
            <w:bottom w:val="none" w:sz="0" w:space="0" w:color="auto"/>
            <w:right w:val="none" w:sz="0" w:space="0" w:color="auto"/>
          </w:divBdr>
          <w:divsChild>
            <w:div w:id="184055821">
              <w:marLeft w:val="0"/>
              <w:marRight w:val="0"/>
              <w:marTop w:val="0"/>
              <w:marBottom w:val="0"/>
              <w:divBdr>
                <w:top w:val="none" w:sz="0" w:space="0" w:color="auto"/>
                <w:left w:val="none" w:sz="0" w:space="0" w:color="auto"/>
                <w:bottom w:val="none" w:sz="0" w:space="0" w:color="auto"/>
                <w:right w:val="none" w:sz="0" w:space="0" w:color="auto"/>
              </w:divBdr>
              <w:divsChild>
                <w:div w:id="883178370">
                  <w:marLeft w:val="0"/>
                  <w:marRight w:val="0"/>
                  <w:marTop w:val="0"/>
                  <w:marBottom w:val="0"/>
                  <w:divBdr>
                    <w:top w:val="none" w:sz="0" w:space="0" w:color="auto"/>
                    <w:left w:val="none" w:sz="0" w:space="0" w:color="auto"/>
                    <w:bottom w:val="none" w:sz="0" w:space="0" w:color="auto"/>
                    <w:right w:val="none" w:sz="0" w:space="0" w:color="auto"/>
                  </w:divBdr>
                  <w:divsChild>
                    <w:div w:id="2015648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6292722">
      <w:bodyDiv w:val="1"/>
      <w:marLeft w:val="0"/>
      <w:marRight w:val="0"/>
      <w:marTop w:val="0"/>
      <w:marBottom w:val="0"/>
      <w:divBdr>
        <w:top w:val="none" w:sz="0" w:space="0" w:color="auto"/>
        <w:left w:val="none" w:sz="0" w:space="0" w:color="auto"/>
        <w:bottom w:val="none" w:sz="0" w:space="0" w:color="auto"/>
        <w:right w:val="none" w:sz="0" w:space="0" w:color="auto"/>
      </w:divBdr>
      <w:divsChild>
        <w:div w:id="1229271288">
          <w:marLeft w:val="0"/>
          <w:marRight w:val="0"/>
          <w:marTop w:val="0"/>
          <w:marBottom w:val="0"/>
          <w:divBdr>
            <w:top w:val="none" w:sz="0" w:space="0" w:color="auto"/>
            <w:left w:val="none" w:sz="0" w:space="0" w:color="auto"/>
            <w:bottom w:val="none" w:sz="0" w:space="0" w:color="auto"/>
            <w:right w:val="none" w:sz="0" w:space="0" w:color="auto"/>
          </w:divBdr>
          <w:divsChild>
            <w:div w:id="17050359">
              <w:marLeft w:val="0"/>
              <w:marRight w:val="0"/>
              <w:marTop w:val="0"/>
              <w:marBottom w:val="0"/>
              <w:divBdr>
                <w:top w:val="none" w:sz="0" w:space="0" w:color="auto"/>
                <w:left w:val="none" w:sz="0" w:space="0" w:color="auto"/>
                <w:bottom w:val="none" w:sz="0" w:space="0" w:color="auto"/>
                <w:right w:val="none" w:sz="0" w:space="0" w:color="auto"/>
              </w:divBdr>
              <w:divsChild>
                <w:div w:id="1297489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881460">
      <w:bodyDiv w:val="1"/>
      <w:marLeft w:val="0"/>
      <w:marRight w:val="0"/>
      <w:marTop w:val="0"/>
      <w:marBottom w:val="0"/>
      <w:divBdr>
        <w:top w:val="none" w:sz="0" w:space="0" w:color="auto"/>
        <w:left w:val="none" w:sz="0" w:space="0" w:color="auto"/>
        <w:bottom w:val="none" w:sz="0" w:space="0" w:color="auto"/>
        <w:right w:val="none" w:sz="0" w:space="0" w:color="auto"/>
      </w:divBdr>
    </w:div>
    <w:div w:id="790977844">
      <w:bodyDiv w:val="1"/>
      <w:marLeft w:val="0"/>
      <w:marRight w:val="0"/>
      <w:marTop w:val="0"/>
      <w:marBottom w:val="0"/>
      <w:divBdr>
        <w:top w:val="none" w:sz="0" w:space="0" w:color="auto"/>
        <w:left w:val="none" w:sz="0" w:space="0" w:color="auto"/>
        <w:bottom w:val="none" w:sz="0" w:space="0" w:color="auto"/>
        <w:right w:val="none" w:sz="0" w:space="0" w:color="auto"/>
      </w:divBdr>
    </w:div>
    <w:div w:id="798765186">
      <w:bodyDiv w:val="1"/>
      <w:marLeft w:val="0"/>
      <w:marRight w:val="0"/>
      <w:marTop w:val="0"/>
      <w:marBottom w:val="0"/>
      <w:divBdr>
        <w:top w:val="none" w:sz="0" w:space="0" w:color="auto"/>
        <w:left w:val="none" w:sz="0" w:space="0" w:color="auto"/>
        <w:bottom w:val="none" w:sz="0" w:space="0" w:color="auto"/>
        <w:right w:val="none" w:sz="0" w:space="0" w:color="auto"/>
      </w:divBdr>
    </w:div>
    <w:div w:id="811211347">
      <w:bodyDiv w:val="1"/>
      <w:marLeft w:val="0"/>
      <w:marRight w:val="0"/>
      <w:marTop w:val="0"/>
      <w:marBottom w:val="0"/>
      <w:divBdr>
        <w:top w:val="none" w:sz="0" w:space="0" w:color="auto"/>
        <w:left w:val="none" w:sz="0" w:space="0" w:color="auto"/>
        <w:bottom w:val="none" w:sz="0" w:space="0" w:color="auto"/>
        <w:right w:val="none" w:sz="0" w:space="0" w:color="auto"/>
      </w:divBdr>
      <w:divsChild>
        <w:div w:id="448397930">
          <w:marLeft w:val="0"/>
          <w:marRight w:val="0"/>
          <w:marTop w:val="0"/>
          <w:marBottom w:val="0"/>
          <w:divBdr>
            <w:top w:val="none" w:sz="0" w:space="0" w:color="auto"/>
            <w:left w:val="none" w:sz="0" w:space="0" w:color="auto"/>
            <w:bottom w:val="none" w:sz="0" w:space="0" w:color="auto"/>
            <w:right w:val="none" w:sz="0" w:space="0" w:color="auto"/>
          </w:divBdr>
          <w:divsChild>
            <w:div w:id="160509459">
              <w:marLeft w:val="0"/>
              <w:marRight w:val="0"/>
              <w:marTop w:val="0"/>
              <w:marBottom w:val="0"/>
              <w:divBdr>
                <w:top w:val="none" w:sz="0" w:space="0" w:color="auto"/>
                <w:left w:val="none" w:sz="0" w:space="0" w:color="auto"/>
                <w:bottom w:val="none" w:sz="0" w:space="0" w:color="auto"/>
                <w:right w:val="none" w:sz="0" w:space="0" w:color="auto"/>
              </w:divBdr>
              <w:divsChild>
                <w:div w:id="1810173439">
                  <w:marLeft w:val="0"/>
                  <w:marRight w:val="0"/>
                  <w:marTop w:val="0"/>
                  <w:marBottom w:val="0"/>
                  <w:divBdr>
                    <w:top w:val="none" w:sz="0" w:space="0" w:color="auto"/>
                    <w:left w:val="none" w:sz="0" w:space="0" w:color="auto"/>
                    <w:bottom w:val="none" w:sz="0" w:space="0" w:color="auto"/>
                    <w:right w:val="none" w:sz="0" w:space="0" w:color="auto"/>
                  </w:divBdr>
                  <w:divsChild>
                    <w:div w:id="1345208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4957963">
      <w:bodyDiv w:val="1"/>
      <w:marLeft w:val="0"/>
      <w:marRight w:val="0"/>
      <w:marTop w:val="0"/>
      <w:marBottom w:val="0"/>
      <w:divBdr>
        <w:top w:val="none" w:sz="0" w:space="0" w:color="auto"/>
        <w:left w:val="none" w:sz="0" w:space="0" w:color="auto"/>
        <w:bottom w:val="none" w:sz="0" w:space="0" w:color="auto"/>
        <w:right w:val="none" w:sz="0" w:space="0" w:color="auto"/>
      </w:divBdr>
      <w:divsChild>
        <w:div w:id="2073576457">
          <w:marLeft w:val="0"/>
          <w:marRight w:val="0"/>
          <w:marTop w:val="0"/>
          <w:marBottom w:val="0"/>
          <w:divBdr>
            <w:top w:val="none" w:sz="0" w:space="0" w:color="auto"/>
            <w:left w:val="none" w:sz="0" w:space="0" w:color="auto"/>
            <w:bottom w:val="none" w:sz="0" w:space="0" w:color="auto"/>
            <w:right w:val="none" w:sz="0" w:space="0" w:color="auto"/>
          </w:divBdr>
          <w:divsChild>
            <w:div w:id="1828207066">
              <w:marLeft w:val="0"/>
              <w:marRight w:val="0"/>
              <w:marTop w:val="0"/>
              <w:marBottom w:val="0"/>
              <w:divBdr>
                <w:top w:val="none" w:sz="0" w:space="0" w:color="auto"/>
                <w:left w:val="none" w:sz="0" w:space="0" w:color="auto"/>
                <w:bottom w:val="none" w:sz="0" w:space="0" w:color="auto"/>
                <w:right w:val="none" w:sz="0" w:space="0" w:color="auto"/>
              </w:divBdr>
              <w:divsChild>
                <w:div w:id="1736472300">
                  <w:marLeft w:val="0"/>
                  <w:marRight w:val="0"/>
                  <w:marTop w:val="0"/>
                  <w:marBottom w:val="0"/>
                  <w:divBdr>
                    <w:top w:val="none" w:sz="0" w:space="0" w:color="auto"/>
                    <w:left w:val="none" w:sz="0" w:space="0" w:color="auto"/>
                    <w:bottom w:val="none" w:sz="0" w:space="0" w:color="auto"/>
                    <w:right w:val="none" w:sz="0" w:space="0" w:color="auto"/>
                  </w:divBdr>
                  <w:divsChild>
                    <w:div w:id="10928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5221319">
      <w:bodyDiv w:val="1"/>
      <w:marLeft w:val="0"/>
      <w:marRight w:val="0"/>
      <w:marTop w:val="0"/>
      <w:marBottom w:val="0"/>
      <w:divBdr>
        <w:top w:val="none" w:sz="0" w:space="0" w:color="auto"/>
        <w:left w:val="none" w:sz="0" w:space="0" w:color="auto"/>
        <w:bottom w:val="none" w:sz="0" w:space="0" w:color="auto"/>
        <w:right w:val="none" w:sz="0" w:space="0" w:color="auto"/>
      </w:divBdr>
    </w:div>
    <w:div w:id="847719130">
      <w:bodyDiv w:val="1"/>
      <w:marLeft w:val="0"/>
      <w:marRight w:val="0"/>
      <w:marTop w:val="0"/>
      <w:marBottom w:val="0"/>
      <w:divBdr>
        <w:top w:val="none" w:sz="0" w:space="0" w:color="auto"/>
        <w:left w:val="none" w:sz="0" w:space="0" w:color="auto"/>
        <w:bottom w:val="none" w:sz="0" w:space="0" w:color="auto"/>
        <w:right w:val="none" w:sz="0" w:space="0" w:color="auto"/>
      </w:divBdr>
    </w:div>
    <w:div w:id="879173904">
      <w:bodyDiv w:val="1"/>
      <w:marLeft w:val="0"/>
      <w:marRight w:val="0"/>
      <w:marTop w:val="0"/>
      <w:marBottom w:val="0"/>
      <w:divBdr>
        <w:top w:val="none" w:sz="0" w:space="0" w:color="auto"/>
        <w:left w:val="none" w:sz="0" w:space="0" w:color="auto"/>
        <w:bottom w:val="none" w:sz="0" w:space="0" w:color="auto"/>
        <w:right w:val="none" w:sz="0" w:space="0" w:color="auto"/>
      </w:divBdr>
    </w:div>
    <w:div w:id="882592482">
      <w:bodyDiv w:val="1"/>
      <w:marLeft w:val="0"/>
      <w:marRight w:val="0"/>
      <w:marTop w:val="0"/>
      <w:marBottom w:val="0"/>
      <w:divBdr>
        <w:top w:val="none" w:sz="0" w:space="0" w:color="auto"/>
        <w:left w:val="none" w:sz="0" w:space="0" w:color="auto"/>
        <w:bottom w:val="none" w:sz="0" w:space="0" w:color="auto"/>
        <w:right w:val="none" w:sz="0" w:space="0" w:color="auto"/>
      </w:divBdr>
    </w:div>
    <w:div w:id="888151814">
      <w:bodyDiv w:val="1"/>
      <w:marLeft w:val="0"/>
      <w:marRight w:val="0"/>
      <w:marTop w:val="0"/>
      <w:marBottom w:val="0"/>
      <w:divBdr>
        <w:top w:val="none" w:sz="0" w:space="0" w:color="auto"/>
        <w:left w:val="none" w:sz="0" w:space="0" w:color="auto"/>
        <w:bottom w:val="none" w:sz="0" w:space="0" w:color="auto"/>
        <w:right w:val="none" w:sz="0" w:space="0" w:color="auto"/>
      </w:divBdr>
    </w:div>
    <w:div w:id="893396799">
      <w:bodyDiv w:val="1"/>
      <w:marLeft w:val="0"/>
      <w:marRight w:val="0"/>
      <w:marTop w:val="0"/>
      <w:marBottom w:val="0"/>
      <w:divBdr>
        <w:top w:val="none" w:sz="0" w:space="0" w:color="auto"/>
        <w:left w:val="none" w:sz="0" w:space="0" w:color="auto"/>
        <w:bottom w:val="none" w:sz="0" w:space="0" w:color="auto"/>
        <w:right w:val="none" w:sz="0" w:space="0" w:color="auto"/>
      </w:divBdr>
    </w:div>
    <w:div w:id="899900286">
      <w:bodyDiv w:val="1"/>
      <w:marLeft w:val="0"/>
      <w:marRight w:val="0"/>
      <w:marTop w:val="0"/>
      <w:marBottom w:val="0"/>
      <w:divBdr>
        <w:top w:val="none" w:sz="0" w:space="0" w:color="auto"/>
        <w:left w:val="none" w:sz="0" w:space="0" w:color="auto"/>
        <w:bottom w:val="none" w:sz="0" w:space="0" w:color="auto"/>
        <w:right w:val="none" w:sz="0" w:space="0" w:color="auto"/>
      </w:divBdr>
      <w:divsChild>
        <w:div w:id="1148593353">
          <w:marLeft w:val="0"/>
          <w:marRight w:val="0"/>
          <w:marTop w:val="0"/>
          <w:marBottom w:val="0"/>
          <w:divBdr>
            <w:top w:val="none" w:sz="0" w:space="0" w:color="auto"/>
            <w:left w:val="none" w:sz="0" w:space="0" w:color="auto"/>
            <w:bottom w:val="none" w:sz="0" w:space="0" w:color="auto"/>
            <w:right w:val="none" w:sz="0" w:space="0" w:color="auto"/>
          </w:divBdr>
          <w:divsChild>
            <w:div w:id="616258361">
              <w:marLeft w:val="0"/>
              <w:marRight w:val="0"/>
              <w:marTop w:val="0"/>
              <w:marBottom w:val="0"/>
              <w:divBdr>
                <w:top w:val="none" w:sz="0" w:space="0" w:color="auto"/>
                <w:left w:val="none" w:sz="0" w:space="0" w:color="auto"/>
                <w:bottom w:val="none" w:sz="0" w:space="0" w:color="auto"/>
                <w:right w:val="none" w:sz="0" w:space="0" w:color="auto"/>
              </w:divBdr>
              <w:divsChild>
                <w:div w:id="1756318226">
                  <w:marLeft w:val="0"/>
                  <w:marRight w:val="0"/>
                  <w:marTop w:val="0"/>
                  <w:marBottom w:val="0"/>
                  <w:divBdr>
                    <w:top w:val="none" w:sz="0" w:space="0" w:color="auto"/>
                    <w:left w:val="none" w:sz="0" w:space="0" w:color="auto"/>
                    <w:bottom w:val="none" w:sz="0" w:space="0" w:color="auto"/>
                    <w:right w:val="none" w:sz="0" w:space="0" w:color="auto"/>
                  </w:divBdr>
                  <w:divsChild>
                    <w:div w:id="191851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3297150">
      <w:bodyDiv w:val="1"/>
      <w:marLeft w:val="0"/>
      <w:marRight w:val="0"/>
      <w:marTop w:val="0"/>
      <w:marBottom w:val="0"/>
      <w:divBdr>
        <w:top w:val="none" w:sz="0" w:space="0" w:color="auto"/>
        <w:left w:val="none" w:sz="0" w:space="0" w:color="auto"/>
        <w:bottom w:val="none" w:sz="0" w:space="0" w:color="auto"/>
        <w:right w:val="none" w:sz="0" w:space="0" w:color="auto"/>
      </w:divBdr>
      <w:divsChild>
        <w:div w:id="2066559771">
          <w:marLeft w:val="0"/>
          <w:marRight w:val="0"/>
          <w:marTop w:val="0"/>
          <w:marBottom w:val="0"/>
          <w:divBdr>
            <w:top w:val="none" w:sz="0" w:space="0" w:color="auto"/>
            <w:left w:val="none" w:sz="0" w:space="0" w:color="auto"/>
            <w:bottom w:val="none" w:sz="0" w:space="0" w:color="auto"/>
            <w:right w:val="none" w:sz="0" w:space="0" w:color="auto"/>
          </w:divBdr>
          <w:divsChild>
            <w:div w:id="323583512">
              <w:marLeft w:val="0"/>
              <w:marRight w:val="0"/>
              <w:marTop w:val="0"/>
              <w:marBottom w:val="0"/>
              <w:divBdr>
                <w:top w:val="none" w:sz="0" w:space="0" w:color="auto"/>
                <w:left w:val="none" w:sz="0" w:space="0" w:color="auto"/>
                <w:bottom w:val="none" w:sz="0" w:space="0" w:color="auto"/>
                <w:right w:val="none" w:sz="0" w:space="0" w:color="auto"/>
              </w:divBdr>
              <w:divsChild>
                <w:div w:id="623080276">
                  <w:marLeft w:val="0"/>
                  <w:marRight w:val="0"/>
                  <w:marTop w:val="0"/>
                  <w:marBottom w:val="0"/>
                  <w:divBdr>
                    <w:top w:val="none" w:sz="0" w:space="0" w:color="auto"/>
                    <w:left w:val="none" w:sz="0" w:space="0" w:color="auto"/>
                    <w:bottom w:val="none" w:sz="0" w:space="0" w:color="auto"/>
                    <w:right w:val="none" w:sz="0" w:space="0" w:color="auto"/>
                  </w:divBdr>
                  <w:divsChild>
                    <w:div w:id="1823545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3686334">
      <w:bodyDiv w:val="1"/>
      <w:marLeft w:val="0"/>
      <w:marRight w:val="0"/>
      <w:marTop w:val="0"/>
      <w:marBottom w:val="0"/>
      <w:divBdr>
        <w:top w:val="none" w:sz="0" w:space="0" w:color="auto"/>
        <w:left w:val="none" w:sz="0" w:space="0" w:color="auto"/>
        <w:bottom w:val="none" w:sz="0" w:space="0" w:color="auto"/>
        <w:right w:val="none" w:sz="0" w:space="0" w:color="auto"/>
      </w:divBdr>
    </w:div>
    <w:div w:id="905576718">
      <w:bodyDiv w:val="1"/>
      <w:marLeft w:val="0"/>
      <w:marRight w:val="0"/>
      <w:marTop w:val="0"/>
      <w:marBottom w:val="0"/>
      <w:divBdr>
        <w:top w:val="none" w:sz="0" w:space="0" w:color="auto"/>
        <w:left w:val="none" w:sz="0" w:space="0" w:color="auto"/>
        <w:bottom w:val="none" w:sz="0" w:space="0" w:color="auto"/>
        <w:right w:val="none" w:sz="0" w:space="0" w:color="auto"/>
      </w:divBdr>
    </w:div>
    <w:div w:id="906526004">
      <w:bodyDiv w:val="1"/>
      <w:marLeft w:val="0"/>
      <w:marRight w:val="0"/>
      <w:marTop w:val="0"/>
      <w:marBottom w:val="0"/>
      <w:divBdr>
        <w:top w:val="none" w:sz="0" w:space="0" w:color="auto"/>
        <w:left w:val="none" w:sz="0" w:space="0" w:color="auto"/>
        <w:bottom w:val="none" w:sz="0" w:space="0" w:color="auto"/>
        <w:right w:val="none" w:sz="0" w:space="0" w:color="auto"/>
      </w:divBdr>
    </w:div>
    <w:div w:id="922295872">
      <w:bodyDiv w:val="1"/>
      <w:marLeft w:val="0"/>
      <w:marRight w:val="0"/>
      <w:marTop w:val="0"/>
      <w:marBottom w:val="0"/>
      <w:divBdr>
        <w:top w:val="none" w:sz="0" w:space="0" w:color="auto"/>
        <w:left w:val="none" w:sz="0" w:space="0" w:color="auto"/>
        <w:bottom w:val="none" w:sz="0" w:space="0" w:color="auto"/>
        <w:right w:val="none" w:sz="0" w:space="0" w:color="auto"/>
      </w:divBdr>
    </w:div>
    <w:div w:id="932669054">
      <w:bodyDiv w:val="1"/>
      <w:marLeft w:val="0"/>
      <w:marRight w:val="0"/>
      <w:marTop w:val="0"/>
      <w:marBottom w:val="0"/>
      <w:divBdr>
        <w:top w:val="none" w:sz="0" w:space="0" w:color="auto"/>
        <w:left w:val="none" w:sz="0" w:space="0" w:color="auto"/>
        <w:bottom w:val="none" w:sz="0" w:space="0" w:color="auto"/>
        <w:right w:val="none" w:sz="0" w:space="0" w:color="auto"/>
      </w:divBdr>
    </w:div>
    <w:div w:id="933827629">
      <w:bodyDiv w:val="1"/>
      <w:marLeft w:val="0"/>
      <w:marRight w:val="0"/>
      <w:marTop w:val="0"/>
      <w:marBottom w:val="0"/>
      <w:divBdr>
        <w:top w:val="none" w:sz="0" w:space="0" w:color="auto"/>
        <w:left w:val="none" w:sz="0" w:space="0" w:color="auto"/>
        <w:bottom w:val="none" w:sz="0" w:space="0" w:color="auto"/>
        <w:right w:val="none" w:sz="0" w:space="0" w:color="auto"/>
      </w:divBdr>
    </w:div>
    <w:div w:id="939533714">
      <w:bodyDiv w:val="1"/>
      <w:marLeft w:val="0"/>
      <w:marRight w:val="0"/>
      <w:marTop w:val="0"/>
      <w:marBottom w:val="0"/>
      <w:divBdr>
        <w:top w:val="none" w:sz="0" w:space="0" w:color="auto"/>
        <w:left w:val="none" w:sz="0" w:space="0" w:color="auto"/>
        <w:bottom w:val="none" w:sz="0" w:space="0" w:color="auto"/>
        <w:right w:val="none" w:sz="0" w:space="0" w:color="auto"/>
      </w:divBdr>
    </w:div>
    <w:div w:id="946087378">
      <w:bodyDiv w:val="1"/>
      <w:marLeft w:val="0"/>
      <w:marRight w:val="0"/>
      <w:marTop w:val="0"/>
      <w:marBottom w:val="0"/>
      <w:divBdr>
        <w:top w:val="none" w:sz="0" w:space="0" w:color="auto"/>
        <w:left w:val="none" w:sz="0" w:space="0" w:color="auto"/>
        <w:bottom w:val="none" w:sz="0" w:space="0" w:color="auto"/>
        <w:right w:val="none" w:sz="0" w:space="0" w:color="auto"/>
      </w:divBdr>
    </w:div>
    <w:div w:id="948896554">
      <w:bodyDiv w:val="1"/>
      <w:marLeft w:val="0"/>
      <w:marRight w:val="0"/>
      <w:marTop w:val="0"/>
      <w:marBottom w:val="0"/>
      <w:divBdr>
        <w:top w:val="none" w:sz="0" w:space="0" w:color="auto"/>
        <w:left w:val="none" w:sz="0" w:space="0" w:color="auto"/>
        <w:bottom w:val="none" w:sz="0" w:space="0" w:color="auto"/>
        <w:right w:val="none" w:sz="0" w:space="0" w:color="auto"/>
      </w:divBdr>
    </w:div>
    <w:div w:id="953100746">
      <w:bodyDiv w:val="1"/>
      <w:marLeft w:val="0"/>
      <w:marRight w:val="0"/>
      <w:marTop w:val="0"/>
      <w:marBottom w:val="0"/>
      <w:divBdr>
        <w:top w:val="none" w:sz="0" w:space="0" w:color="auto"/>
        <w:left w:val="none" w:sz="0" w:space="0" w:color="auto"/>
        <w:bottom w:val="none" w:sz="0" w:space="0" w:color="auto"/>
        <w:right w:val="none" w:sz="0" w:space="0" w:color="auto"/>
      </w:divBdr>
    </w:div>
    <w:div w:id="961962244">
      <w:bodyDiv w:val="1"/>
      <w:marLeft w:val="0"/>
      <w:marRight w:val="0"/>
      <w:marTop w:val="0"/>
      <w:marBottom w:val="0"/>
      <w:divBdr>
        <w:top w:val="none" w:sz="0" w:space="0" w:color="auto"/>
        <w:left w:val="none" w:sz="0" w:space="0" w:color="auto"/>
        <w:bottom w:val="none" w:sz="0" w:space="0" w:color="auto"/>
        <w:right w:val="none" w:sz="0" w:space="0" w:color="auto"/>
      </w:divBdr>
      <w:divsChild>
        <w:div w:id="488643317">
          <w:marLeft w:val="0"/>
          <w:marRight w:val="0"/>
          <w:marTop w:val="0"/>
          <w:marBottom w:val="0"/>
          <w:divBdr>
            <w:top w:val="none" w:sz="0" w:space="0" w:color="auto"/>
            <w:left w:val="none" w:sz="0" w:space="0" w:color="auto"/>
            <w:bottom w:val="none" w:sz="0" w:space="0" w:color="auto"/>
            <w:right w:val="none" w:sz="0" w:space="0" w:color="auto"/>
          </w:divBdr>
          <w:divsChild>
            <w:div w:id="1902254633">
              <w:marLeft w:val="0"/>
              <w:marRight w:val="0"/>
              <w:marTop w:val="0"/>
              <w:marBottom w:val="0"/>
              <w:divBdr>
                <w:top w:val="none" w:sz="0" w:space="0" w:color="auto"/>
                <w:left w:val="none" w:sz="0" w:space="0" w:color="auto"/>
                <w:bottom w:val="none" w:sz="0" w:space="0" w:color="auto"/>
                <w:right w:val="none" w:sz="0" w:space="0" w:color="auto"/>
              </w:divBdr>
              <w:divsChild>
                <w:div w:id="1105466005">
                  <w:marLeft w:val="0"/>
                  <w:marRight w:val="0"/>
                  <w:marTop w:val="0"/>
                  <w:marBottom w:val="0"/>
                  <w:divBdr>
                    <w:top w:val="none" w:sz="0" w:space="0" w:color="auto"/>
                    <w:left w:val="none" w:sz="0" w:space="0" w:color="auto"/>
                    <w:bottom w:val="none" w:sz="0" w:space="0" w:color="auto"/>
                    <w:right w:val="none" w:sz="0" w:space="0" w:color="auto"/>
                  </w:divBdr>
                  <w:divsChild>
                    <w:div w:id="1990668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3851823">
      <w:bodyDiv w:val="1"/>
      <w:marLeft w:val="0"/>
      <w:marRight w:val="0"/>
      <w:marTop w:val="0"/>
      <w:marBottom w:val="0"/>
      <w:divBdr>
        <w:top w:val="none" w:sz="0" w:space="0" w:color="auto"/>
        <w:left w:val="none" w:sz="0" w:space="0" w:color="auto"/>
        <w:bottom w:val="none" w:sz="0" w:space="0" w:color="auto"/>
        <w:right w:val="none" w:sz="0" w:space="0" w:color="auto"/>
      </w:divBdr>
    </w:div>
    <w:div w:id="968322019">
      <w:bodyDiv w:val="1"/>
      <w:marLeft w:val="0"/>
      <w:marRight w:val="0"/>
      <w:marTop w:val="0"/>
      <w:marBottom w:val="0"/>
      <w:divBdr>
        <w:top w:val="none" w:sz="0" w:space="0" w:color="auto"/>
        <w:left w:val="none" w:sz="0" w:space="0" w:color="auto"/>
        <w:bottom w:val="none" w:sz="0" w:space="0" w:color="auto"/>
        <w:right w:val="none" w:sz="0" w:space="0" w:color="auto"/>
      </w:divBdr>
      <w:divsChild>
        <w:div w:id="2022588842">
          <w:marLeft w:val="0"/>
          <w:marRight w:val="0"/>
          <w:marTop w:val="0"/>
          <w:marBottom w:val="0"/>
          <w:divBdr>
            <w:top w:val="none" w:sz="0" w:space="0" w:color="auto"/>
            <w:left w:val="none" w:sz="0" w:space="0" w:color="auto"/>
            <w:bottom w:val="none" w:sz="0" w:space="0" w:color="auto"/>
            <w:right w:val="none" w:sz="0" w:space="0" w:color="auto"/>
          </w:divBdr>
          <w:divsChild>
            <w:div w:id="588465460">
              <w:marLeft w:val="0"/>
              <w:marRight w:val="0"/>
              <w:marTop w:val="0"/>
              <w:marBottom w:val="0"/>
              <w:divBdr>
                <w:top w:val="none" w:sz="0" w:space="0" w:color="auto"/>
                <w:left w:val="none" w:sz="0" w:space="0" w:color="auto"/>
                <w:bottom w:val="none" w:sz="0" w:space="0" w:color="auto"/>
                <w:right w:val="none" w:sz="0" w:space="0" w:color="auto"/>
              </w:divBdr>
              <w:divsChild>
                <w:div w:id="1845589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178503">
      <w:bodyDiv w:val="1"/>
      <w:marLeft w:val="0"/>
      <w:marRight w:val="0"/>
      <w:marTop w:val="0"/>
      <w:marBottom w:val="0"/>
      <w:divBdr>
        <w:top w:val="none" w:sz="0" w:space="0" w:color="auto"/>
        <w:left w:val="none" w:sz="0" w:space="0" w:color="auto"/>
        <w:bottom w:val="none" w:sz="0" w:space="0" w:color="auto"/>
        <w:right w:val="none" w:sz="0" w:space="0" w:color="auto"/>
      </w:divBdr>
    </w:div>
    <w:div w:id="983656088">
      <w:bodyDiv w:val="1"/>
      <w:marLeft w:val="0"/>
      <w:marRight w:val="0"/>
      <w:marTop w:val="0"/>
      <w:marBottom w:val="0"/>
      <w:divBdr>
        <w:top w:val="none" w:sz="0" w:space="0" w:color="auto"/>
        <w:left w:val="none" w:sz="0" w:space="0" w:color="auto"/>
        <w:bottom w:val="none" w:sz="0" w:space="0" w:color="auto"/>
        <w:right w:val="none" w:sz="0" w:space="0" w:color="auto"/>
      </w:divBdr>
    </w:div>
    <w:div w:id="992370420">
      <w:bodyDiv w:val="1"/>
      <w:marLeft w:val="0"/>
      <w:marRight w:val="0"/>
      <w:marTop w:val="0"/>
      <w:marBottom w:val="0"/>
      <w:divBdr>
        <w:top w:val="none" w:sz="0" w:space="0" w:color="auto"/>
        <w:left w:val="none" w:sz="0" w:space="0" w:color="auto"/>
        <w:bottom w:val="none" w:sz="0" w:space="0" w:color="auto"/>
        <w:right w:val="none" w:sz="0" w:space="0" w:color="auto"/>
      </w:divBdr>
    </w:div>
    <w:div w:id="993099039">
      <w:bodyDiv w:val="1"/>
      <w:marLeft w:val="0"/>
      <w:marRight w:val="0"/>
      <w:marTop w:val="0"/>
      <w:marBottom w:val="0"/>
      <w:divBdr>
        <w:top w:val="none" w:sz="0" w:space="0" w:color="auto"/>
        <w:left w:val="none" w:sz="0" w:space="0" w:color="auto"/>
        <w:bottom w:val="none" w:sz="0" w:space="0" w:color="auto"/>
        <w:right w:val="none" w:sz="0" w:space="0" w:color="auto"/>
      </w:divBdr>
    </w:div>
    <w:div w:id="1003515181">
      <w:bodyDiv w:val="1"/>
      <w:marLeft w:val="0"/>
      <w:marRight w:val="0"/>
      <w:marTop w:val="0"/>
      <w:marBottom w:val="0"/>
      <w:divBdr>
        <w:top w:val="none" w:sz="0" w:space="0" w:color="auto"/>
        <w:left w:val="none" w:sz="0" w:space="0" w:color="auto"/>
        <w:bottom w:val="none" w:sz="0" w:space="0" w:color="auto"/>
        <w:right w:val="none" w:sz="0" w:space="0" w:color="auto"/>
      </w:divBdr>
    </w:div>
    <w:div w:id="1007371440">
      <w:bodyDiv w:val="1"/>
      <w:marLeft w:val="0"/>
      <w:marRight w:val="0"/>
      <w:marTop w:val="0"/>
      <w:marBottom w:val="0"/>
      <w:divBdr>
        <w:top w:val="none" w:sz="0" w:space="0" w:color="auto"/>
        <w:left w:val="none" w:sz="0" w:space="0" w:color="auto"/>
        <w:bottom w:val="none" w:sz="0" w:space="0" w:color="auto"/>
        <w:right w:val="none" w:sz="0" w:space="0" w:color="auto"/>
      </w:divBdr>
      <w:divsChild>
        <w:div w:id="403726051">
          <w:marLeft w:val="0"/>
          <w:marRight w:val="0"/>
          <w:marTop w:val="0"/>
          <w:marBottom w:val="0"/>
          <w:divBdr>
            <w:top w:val="none" w:sz="0" w:space="0" w:color="auto"/>
            <w:left w:val="none" w:sz="0" w:space="0" w:color="auto"/>
            <w:bottom w:val="none" w:sz="0" w:space="0" w:color="auto"/>
            <w:right w:val="none" w:sz="0" w:space="0" w:color="auto"/>
          </w:divBdr>
          <w:divsChild>
            <w:div w:id="1692801236">
              <w:marLeft w:val="0"/>
              <w:marRight w:val="0"/>
              <w:marTop w:val="0"/>
              <w:marBottom w:val="0"/>
              <w:divBdr>
                <w:top w:val="none" w:sz="0" w:space="0" w:color="auto"/>
                <w:left w:val="none" w:sz="0" w:space="0" w:color="auto"/>
                <w:bottom w:val="none" w:sz="0" w:space="0" w:color="auto"/>
                <w:right w:val="none" w:sz="0" w:space="0" w:color="auto"/>
              </w:divBdr>
              <w:divsChild>
                <w:div w:id="79260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945990">
      <w:bodyDiv w:val="1"/>
      <w:marLeft w:val="0"/>
      <w:marRight w:val="0"/>
      <w:marTop w:val="0"/>
      <w:marBottom w:val="0"/>
      <w:divBdr>
        <w:top w:val="none" w:sz="0" w:space="0" w:color="auto"/>
        <w:left w:val="none" w:sz="0" w:space="0" w:color="auto"/>
        <w:bottom w:val="none" w:sz="0" w:space="0" w:color="auto"/>
        <w:right w:val="none" w:sz="0" w:space="0" w:color="auto"/>
      </w:divBdr>
    </w:div>
    <w:div w:id="1010253455">
      <w:bodyDiv w:val="1"/>
      <w:marLeft w:val="0"/>
      <w:marRight w:val="0"/>
      <w:marTop w:val="0"/>
      <w:marBottom w:val="0"/>
      <w:divBdr>
        <w:top w:val="none" w:sz="0" w:space="0" w:color="auto"/>
        <w:left w:val="none" w:sz="0" w:space="0" w:color="auto"/>
        <w:bottom w:val="none" w:sz="0" w:space="0" w:color="auto"/>
        <w:right w:val="none" w:sz="0" w:space="0" w:color="auto"/>
      </w:divBdr>
    </w:div>
    <w:div w:id="1014839725">
      <w:bodyDiv w:val="1"/>
      <w:marLeft w:val="0"/>
      <w:marRight w:val="0"/>
      <w:marTop w:val="0"/>
      <w:marBottom w:val="0"/>
      <w:divBdr>
        <w:top w:val="none" w:sz="0" w:space="0" w:color="auto"/>
        <w:left w:val="none" w:sz="0" w:space="0" w:color="auto"/>
        <w:bottom w:val="none" w:sz="0" w:space="0" w:color="auto"/>
        <w:right w:val="none" w:sz="0" w:space="0" w:color="auto"/>
      </w:divBdr>
    </w:div>
    <w:div w:id="1015500855">
      <w:bodyDiv w:val="1"/>
      <w:marLeft w:val="0"/>
      <w:marRight w:val="0"/>
      <w:marTop w:val="0"/>
      <w:marBottom w:val="0"/>
      <w:divBdr>
        <w:top w:val="none" w:sz="0" w:space="0" w:color="auto"/>
        <w:left w:val="none" w:sz="0" w:space="0" w:color="auto"/>
        <w:bottom w:val="none" w:sz="0" w:space="0" w:color="auto"/>
        <w:right w:val="none" w:sz="0" w:space="0" w:color="auto"/>
      </w:divBdr>
      <w:divsChild>
        <w:div w:id="236983549">
          <w:marLeft w:val="0"/>
          <w:marRight w:val="0"/>
          <w:marTop w:val="0"/>
          <w:marBottom w:val="0"/>
          <w:divBdr>
            <w:top w:val="none" w:sz="0" w:space="0" w:color="auto"/>
            <w:left w:val="none" w:sz="0" w:space="0" w:color="auto"/>
            <w:bottom w:val="none" w:sz="0" w:space="0" w:color="auto"/>
            <w:right w:val="none" w:sz="0" w:space="0" w:color="auto"/>
          </w:divBdr>
          <w:divsChild>
            <w:div w:id="1670131088">
              <w:marLeft w:val="0"/>
              <w:marRight w:val="0"/>
              <w:marTop w:val="0"/>
              <w:marBottom w:val="0"/>
              <w:divBdr>
                <w:top w:val="none" w:sz="0" w:space="0" w:color="auto"/>
                <w:left w:val="none" w:sz="0" w:space="0" w:color="auto"/>
                <w:bottom w:val="none" w:sz="0" w:space="0" w:color="auto"/>
                <w:right w:val="none" w:sz="0" w:space="0" w:color="auto"/>
              </w:divBdr>
              <w:divsChild>
                <w:div w:id="1013147841">
                  <w:marLeft w:val="0"/>
                  <w:marRight w:val="0"/>
                  <w:marTop w:val="0"/>
                  <w:marBottom w:val="0"/>
                  <w:divBdr>
                    <w:top w:val="none" w:sz="0" w:space="0" w:color="auto"/>
                    <w:left w:val="none" w:sz="0" w:space="0" w:color="auto"/>
                    <w:bottom w:val="none" w:sz="0" w:space="0" w:color="auto"/>
                    <w:right w:val="none" w:sz="0" w:space="0" w:color="auto"/>
                  </w:divBdr>
                  <w:divsChild>
                    <w:div w:id="180908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1398295">
      <w:bodyDiv w:val="1"/>
      <w:marLeft w:val="0"/>
      <w:marRight w:val="0"/>
      <w:marTop w:val="0"/>
      <w:marBottom w:val="0"/>
      <w:divBdr>
        <w:top w:val="none" w:sz="0" w:space="0" w:color="auto"/>
        <w:left w:val="none" w:sz="0" w:space="0" w:color="auto"/>
        <w:bottom w:val="none" w:sz="0" w:space="0" w:color="auto"/>
        <w:right w:val="none" w:sz="0" w:space="0" w:color="auto"/>
      </w:divBdr>
    </w:div>
    <w:div w:id="1023366123">
      <w:bodyDiv w:val="1"/>
      <w:marLeft w:val="0"/>
      <w:marRight w:val="0"/>
      <w:marTop w:val="0"/>
      <w:marBottom w:val="0"/>
      <w:divBdr>
        <w:top w:val="none" w:sz="0" w:space="0" w:color="auto"/>
        <w:left w:val="none" w:sz="0" w:space="0" w:color="auto"/>
        <w:bottom w:val="none" w:sz="0" w:space="0" w:color="auto"/>
        <w:right w:val="none" w:sz="0" w:space="0" w:color="auto"/>
      </w:divBdr>
    </w:div>
    <w:div w:id="1030106988">
      <w:bodyDiv w:val="1"/>
      <w:marLeft w:val="0"/>
      <w:marRight w:val="0"/>
      <w:marTop w:val="0"/>
      <w:marBottom w:val="0"/>
      <w:divBdr>
        <w:top w:val="none" w:sz="0" w:space="0" w:color="auto"/>
        <w:left w:val="none" w:sz="0" w:space="0" w:color="auto"/>
        <w:bottom w:val="none" w:sz="0" w:space="0" w:color="auto"/>
        <w:right w:val="none" w:sz="0" w:space="0" w:color="auto"/>
      </w:divBdr>
    </w:div>
    <w:div w:id="1031495937">
      <w:bodyDiv w:val="1"/>
      <w:marLeft w:val="0"/>
      <w:marRight w:val="0"/>
      <w:marTop w:val="0"/>
      <w:marBottom w:val="0"/>
      <w:divBdr>
        <w:top w:val="none" w:sz="0" w:space="0" w:color="auto"/>
        <w:left w:val="none" w:sz="0" w:space="0" w:color="auto"/>
        <w:bottom w:val="none" w:sz="0" w:space="0" w:color="auto"/>
        <w:right w:val="none" w:sz="0" w:space="0" w:color="auto"/>
      </w:divBdr>
    </w:div>
    <w:div w:id="1035010258">
      <w:bodyDiv w:val="1"/>
      <w:marLeft w:val="0"/>
      <w:marRight w:val="0"/>
      <w:marTop w:val="0"/>
      <w:marBottom w:val="0"/>
      <w:divBdr>
        <w:top w:val="none" w:sz="0" w:space="0" w:color="auto"/>
        <w:left w:val="none" w:sz="0" w:space="0" w:color="auto"/>
        <w:bottom w:val="none" w:sz="0" w:space="0" w:color="auto"/>
        <w:right w:val="none" w:sz="0" w:space="0" w:color="auto"/>
      </w:divBdr>
      <w:divsChild>
        <w:div w:id="809832284">
          <w:marLeft w:val="0"/>
          <w:marRight w:val="0"/>
          <w:marTop w:val="0"/>
          <w:marBottom w:val="0"/>
          <w:divBdr>
            <w:top w:val="none" w:sz="0" w:space="0" w:color="auto"/>
            <w:left w:val="none" w:sz="0" w:space="0" w:color="auto"/>
            <w:bottom w:val="none" w:sz="0" w:space="0" w:color="auto"/>
            <w:right w:val="none" w:sz="0" w:space="0" w:color="auto"/>
          </w:divBdr>
          <w:divsChild>
            <w:div w:id="1890067603">
              <w:marLeft w:val="0"/>
              <w:marRight w:val="0"/>
              <w:marTop w:val="0"/>
              <w:marBottom w:val="0"/>
              <w:divBdr>
                <w:top w:val="none" w:sz="0" w:space="0" w:color="auto"/>
                <w:left w:val="none" w:sz="0" w:space="0" w:color="auto"/>
                <w:bottom w:val="none" w:sz="0" w:space="0" w:color="auto"/>
                <w:right w:val="none" w:sz="0" w:space="0" w:color="auto"/>
              </w:divBdr>
              <w:divsChild>
                <w:div w:id="530145830">
                  <w:marLeft w:val="0"/>
                  <w:marRight w:val="0"/>
                  <w:marTop w:val="0"/>
                  <w:marBottom w:val="0"/>
                  <w:divBdr>
                    <w:top w:val="none" w:sz="0" w:space="0" w:color="auto"/>
                    <w:left w:val="none" w:sz="0" w:space="0" w:color="auto"/>
                    <w:bottom w:val="none" w:sz="0" w:space="0" w:color="auto"/>
                    <w:right w:val="none" w:sz="0" w:space="0" w:color="auto"/>
                  </w:divBdr>
                  <w:divsChild>
                    <w:div w:id="1795320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6128051">
      <w:bodyDiv w:val="1"/>
      <w:marLeft w:val="0"/>
      <w:marRight w:val="0"/>
      <w:marTop w:val="0"/>
      <w:marBottom w:val="0"/>
      <w:divBdr>
        <w:top w:val="none" w:sz="0" w:space="0" w:color="auto"/>
        <w:left w:val="none" w:sz="0" w:space="0" w:color="auto"/>
        <w:bottom w:val="none" w:sz="0" w:space="0" w:color="auto"/>
        <w:right w:val="none" w:sz="0" w:space="0" w:color="auto"/>
      </w:divBdr>
    </w:div>
    <w:div w:id="1043022158">
      <w:bodyDiv w:val="1"/>
      <w:marLeft w:val="0"/>
      <w:marRight w:val="0"/>
      <w:marTop w:val="0"/>
      <w:marBottom w:val="0"/>
      <w:divBdr>
        <w:top w:val="none" w:sz="0" w:space="0" w:color="auto"/>
        <w:left w:val="none" w:sz="0" w:space="0" w:color="auto"/>
        <w:bottom w:val="none" w:sz="0" w:space="0" w:color="auto"/>
        <w:right w:val="none" w:sz="0" w:space="0" w:color="auto"/>
      </w:divBdr>
    </w:div>
    <w:div w:id="1047946675">
      <w:bodyDiv w:val="1"/>
      <w:marLeft w:val="0"/>
      <w:marRight w:val="0"/>
      <w:marTop w:val="0"/>
      <w:marBottom w:val="0"/>
      <w:divBdr>
        <w:top w:val="none" w:sz="0" w:space="0" w:color="auto"/>
        <w:left w:val="none" w:sz="0" w:space="0" w:color="auto"/>
        <w:bottom w:val="none" w:sz="0" w:space="0" w:color="auto"/>
        <w:right w:val="none" w:sz="0" w:space="0" w:color="auto"/>
      </w:divBdr>
      <w:divsChild>
        <w:div w:id="1307012762">
          <w:marLeft w:val="0"/>
          <w:marRight w:val="0"/>
          <w:marTop w:val="0"/>
          <w:marBottom w:val="0"/>
          <w:divBdr>
            <w:top w:val="none" w:sz="0" w:space="0" w:color="auto"/>
            <w:left w:val="none" w:sz="0" w:space="0" w:color="auto"/>
            <w:bottom w:val="none" w:sz="0" w:space="0" w:color="auto"/>
            <w:right w:val="none" w:sz="0" w:space="0" w:color="auto"/>
          </w:divBdr>
          <w:divsChild>
            <w:div w:id="1672946272">
              <w:marLeft w:val="0"/>
              <w:marRight w:val="0"/>
              <w:marTop w:val="0"/>
              <w:marBottom w:val="0"/>
              <w:divBdr>
                <w:top w:val="none" w:sz="0" w:space="0" w:color="auto"/>
                <w:left w:val="none" w:sz="0" w:space="0" w:color="auto"/>
                <w:bottom w:val="none" w:sz="0" w:space="0" w:color="auto"/>
                <w:right w:val="none" w:sz="0" w:space="0" w:color="auto"/>
              </w:divBdr>
              <w:divsChild>
                <w:div w:id="60759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917152">
      <w:bodyDiv w:val="1"/>
      <w:marLeft w:val="0"/>
      <w:marRight w:val="0"/>
      <w:marTop w:val="0"/>
      <w:marBottom w:val="0"/>
      <w:divBdr>
        <w:top w:val="none" w:sz="0" w:space="0" w:color="auto"/>
        <w:left w:val="none" w:sz="0" w:space="0" w:color="auto"/>
        <w:bottom w:val="none" w:sz="0" w:space="0" w:color="auto"/>
        <w:right w:val="none" w:sz="0" w:space="0" w:color="auto"/>
      </w:divBdr>
      <w:divsChild>
        <w:div w:id="1341278331">
          <w:marLeft w:val="0"/>
          <w:marRight w:val="0"/>
          <w:marTop w:val="0"/>
          <w:marBottom w:val="0"/>
          <w:divBdr>
            <w:top w:val="none" w:sz="0" w:space="0" w:color="auto"/>
            <w:left w:val="none" w:sz="0" w:space="0" w:color="auto"/>
            <w:bottom w:val="none" w:sz="0" w:space="0" w:color="auto"/>
            <w:right w:val="none" w:sz="0" w:space="0" w:color="auto"/>
          </w:divBdr>
          <w:divsChild>
            <w:div w:id="1112941683">
              <w:marLeft w:val="0"/>
              <w:marRight w:val="0"/>
              <w:marTop w:val="0"/>
              <w:marBottom w:val="0"/>
              <w:divBdr>
                <w:top w:val="none" w:sz="0" w:space="0" w:color="auto"/>
                <w:left w:val="none" w:sz="0" w:space="0" w:color="auto"/>
                <w:bottom w:val="none" w:sz="0" w:space="0" w:color="auto"/>
                <w:right w:val="none" w:sz="0" w:space="0" w:color="auto"/>
              </w:divBdr>
              <w:divsChild>
                <w:div w:id="1461339679">
                  <w:marLeft w:val="0"/>
                  <w:marRight w:val="0"/>
                  <w:marTop w:val="0"/>
                  <w:marBottom w:val="0"/>
                  <w:divBdr>
                    <w:top w:val="none" w:sz="0" w:space="0" w:color="auto"/>
                    <w:left w:val="none" w:sz="0" w:space="0" w:color="auto"/>
                    <w:bottom w:val="none" w:sz="0" w:space="0" w:color="auto"/>
                    <w:right w:val="none" w:sz="0" w:space="0" w:color="auto"/>
                  </w:divBdr>
                  <w:divsChild>
                    <w:div w:id="765425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2967818">
      <w:bodyDiv w:val="1"/>
      <w:marLeft w:val="0"/>
      <w:marRight w:val="0"/>
      <w:marTop w:val="0"/>
      <w:marBottom w:val="0"/>
      <w:divBdr>
        <w:top w:val="none" w:sz="0" w:space="0" w:color="auto"/>
        <w:left w:val="none" w:sz="0" w:space="0" w:color="auto"/>
        <w:bottom w:val="none" w:sz="0" w:space="0" w:color="auto"/>
        <w:right w:val="none" w:sz="0" w:space="0" w:color="auto"/>
      </w:divBdr>
    </w:div>
    <w:div w:id="1055659622">
      <w:bodyDiv w:val="1"/>
      <w:marLeft w:val="0"/>
      <w:marRight w:val="0"/>
      <w:marTop w:val="0"/>
      <w:marBottom w:val="0"/>
      <w:divBdr>
        <w:top w:val="none" w:sz="0" w:space="0" w:color="auto"/>
        <w:left w:val="none" w:sz="0" w:space="0" w:color="auto"/>
        <w:bottom w:val="none" w:sz="0" w:space="0" w:color="auto"/>
        <w:right w:val="none" w:sz="0" w:space="0" w:color="auto"/>
      </w:divBdr>
    </w:div>
    <w:div w:id="1058669553">
      <w:bodyDiv w:val="1"/>
      <w:marLeft w:val="0"/>
      <w:marRight w:val="0"/>
      <w:marTop w:val="0"/>
      <w:marBottom w:val="0"/>
      <w:divBdr>
        <w:top w:val="none" w:sz="0" w:space="0" w:color="auto"/>
        <w:left w:val="none" w:sz="0" w:space="0" w:color="auto"/>
        <w:bottom w:val="none" w:sz="0" w:space="0" w:color="auto"/>
        <w:right w:val="none" w:sz="0" w:space="0" w:color="auto"/>
      </w:divBdr>
      <w:divsChild>
        <w:div w:id="2061250508">
          <w:marLeft w:val="0"/>
          <w:marRight w:val="0"/>
          <w:marTop w:val="0"/>
          <w:marBottom w:val="0"/>
          <w:divBdr>
            <w:top w:val="none" w:sz="0" w:space="0" w:color="auto"/>
            <w:left w:val="none" w:sz="0" w:space="0" w:color="auto"/>
            <w:bottom w:val="none" w:sz="0" w:space="0" w:color="auto"/>
            <w:right w:val="none" w:sz="0" w:space="0" w:color="auto"/>
          </w:divBdr>
          <w:divsChild>
            <w:div w:id="1875842443">
              <w:marLeft w:val="0"/>
              <w:marRight w:val="0"/>
              <w:marTop w:val="0"/>
              <w:marBottom w:val="0"/>
              <w:divBdr>
                <w:top w:val="none" w:sz="0" w:space="0" w:color="auto"/>
                <w:left w:val="none" w:sz="0" w:space="0" w:color="auto"/>
                <w:bottom w:val="none" w:sz="0" w:space="0" w:color="auto"/>
                <w:right w:val="none" w:sz="0" w:space="0" w:color="auto"/>
              </w:divBdr>
              <w:divsChild>
                <w:div w:id="1638412971">
                  <w:marLeft w:val="0"/>
                  <w:marRight w:val="0"/>
                  <w:marTop w:val="0"/>
                  <w:marBottom w:val="0"/>
                  <w:divBdr>
                    <w:top w:val="none" w:sz="0" w:space="0" w:color="auto"/>
                    <w:left w:val="none" w:sz="0" w:space="0" w:color="auto"/>
                    <w:bottom w:val="none" w:sz="0" w:space="0" w:color="auto"/>
                    <w:right w:val="none" w:sz="0" w:space="0" w:color="auto"/>
                  </w:divBdr>
                  <w:divsChild>
                    <w:div w:id="83573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1715225">
      <w:bodyDiv w:val="1"/>
      <w:marLeft w:val="0"/>
      <w:marRight w:val="0"/>
      <w:marTop w:val="0"/>
      <w:marBottom w:val="0"/>
      <w:divBdr>
        <w:top w:val="none" w:sz="0" w:space="0" w:color="auto"/>
        <w:left w:val="none" w:sz="0" w:space="0" w:color="auto"/>
        <w:bottom w:val="none" w:sz="0" w:space="0" w:color="auto"/>
        <w:right w:val="none" w:sz="0" w:space="0" w:color="auto"/>
      </w:divBdr>
    </w:div>
    <w:div w:id="1077674976">
      <w:bodyDiv w:val="1"/>
      <w:marLeft w:val="0"/>
      <w:marRight w:val="0"/>
      <w:marTop w:val="0"/>
      <w:marBottom w:val="0"/>
      <w:divBdr>
        <w:top w:val="none" w:sz="0" w:space="0" w:color="auto"/>
        <w:left w:val="none" w:sz="0" w:space="0" w:color="auto"/>
        <w:bottom w:val="none" w:sz="0" w:space="0" w:color="auto"/>
        <w:right w:val="none" w:sz="0" w:space="0" w:color="auto"/>
      </w:divBdr>
      <w:divsChild>
        <w:div w:id="1354578996">
          <w:marLeft w:val="0"/>
          <w:marRight w:val="0"/>
          <w:marTop w:val="0"/>
          <w:marBottom w:val="0"/>
          <w:divBdr>
            <w:top w:val="none" w:sz="0" w:space="0" w:color="auto"/>
            <w:left w:val="none" w:sz="0" w:space="0" w:color="auto"/>
            <w:bottom w:val="none" w:sz="0" w:space="0" w:color="auto"/>
            <w:right w:val="none" w:sz="0" w:space="0" w:color="auto"/>
          </w:divBdr>
          <w:divsChild>
            <w:div w:id="2010525301">
              <w:marLeft w:val="0"/>
              <w:marRight w:val="0"/>
              <w:marTop w:val="0"/>
              <w:marBottom w:val="0"/>
              <w:divBdr>
                <w:top w:val="none" w:sz="0" w:space="0" w:color="auto"/>
                <w:left w:val="none" w:sz="0" w:space="0" w:color="auto"/>
                <w:bottom w:val="none" w:sz="0" w:space="0" w:color="auto"/>
                <w:right w:val="none" w:sz="0" w:space="0" w:color="auto"/>
              </w:divBdr>
              <w:divsChild>
                <w:div w:id="631524694">
                  <w:marLeft w:val="0"/>
                  <w:marRight w:val="0"/>
                  <w:marTop w:val="0"/>
                  <w:marBottom w:val="0"/>
                  <w:divBdr>
                    <w:top w:val="none" w:sz="0" w:space="0" w:color="auto"/>
                    <w:left w:val="none" w:sz="0" w:space="0" w:color="auto"/>
                    <w:bottom w:val="none" w:sz="0" w:space="0" w:color="auto"/>
                    <w:right w:val="none" w:sz="0" w:space="0" w:color="auto"/>
                  </w:divBdr>
                  <w:divsChild>
                    <w:div w:id="178272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8677507">
      <w:bodyDiv w:val="1"/>
      <w:marLeft w:val="0"/>
      <w:marRight w:val="0"/>
      <w:marTop w:val="0"/>
      <w:marBottom w:val="0"/>
      <w:divBdr>
        <w:top w:val="none" w:sz="0" w:space="0" w:color="auto"/>
        <w:left w:val="none" w:sz="0" w:space="0" w:color="auto"/>
        <w:bottom w:val="none" w:sz="0" w:space="0" w:color="auto"/>
        <w:right w:val="none" w:sz="0" w:space="0" w:color="auto"/>
      </w:divBdr>
    </w:div>
    <w:div w:id="1081025015">
      <w:bodyDiv w:val="1"/>
      <w:marLeft w:val="0"/>
      <w:marRight w:val="0"/>
      <w:marTop w:val="0"/>
      <w:marBottom w:val="0"/>
      <w:divBdr>
        <w:top w:val="none" w:sz="0" w:space="0" w:color="auto"/>
        <w:left w:val="none" w:sz="0" w:space="0" w:color="auto"/>
        <w:bottom w:val="none" w:sz="0" w:space="0" w:color="auto"/>
        <w:right w:val="none" w:sz="0" w:space="0" w:color="auto"/>
      </w:divBdr>
      <w:divsChild>
        <w:div w:id="1990136311">
          <w:marLeft w:val="0"/>
          <w:marRight w:val="0"/>
          <w:marTop w:val="0"/>
          <w:marBottom w:val="0"/>
          <w:divBdr>
            <w:top w:val="none" w:sz="0" w:space="0" w:color="auto"/>
            <w:left w:val="none" w:sz="0" w:space="0" w:color="auto"/>
            <w:bottom w:val="none" w:sz="0" w:space="0" w:color="auto"/>
            <w:right w:val="none" w:sz="0" w:space="0" w:color="auto"/>
          </w:divBdr>
          <w:divsChild>
            <w:div w:id="1340153414">
              <w:marLeft w:val="0"/>
              <w:marRight w:val="0"/>
              <w:marTop w:val="0"/>
              <w:marBottom w:val="0"/>
              <w:divBdr>
                <w:top w:val="none" w:sz="0" w:space="0" w:color="auto"/>
                <w:left w:val="none" w:sz="0" w:space="0" w:color="auto"/>
                <w:bottom w:val="none" w:sz="0" w:space="0" w:color="auto"/>
                <w:right w:val="none" w:sz="0" w:space="0" w:color="auto"/>
              </w:divBdr>
              <w:divsChild>
                <w:div w:id="240870929">
                  <w:marLeft w:val="0"/>
                  <w:marRight w:val="0"/>
                  <w:marTop w:val="0"/>
                  <w:marBottom w:val="0"/>
                  <w:divBdr>
                    <w:top w:val="none" w:sz="0" w:space="0" w:color="auto"/>
                    <w:left w:val="none" w:sz="0" w:space="0" w:color="auto"/>
                    <w:bottom w:val="none" w:sz="0" w:space="0" w:color="auto"/>
                    <w:right w:val="none" w:sz="0" w:space="0" w:color="auto"/>
                  </w:divBdr>
                  <w:divsChild>
                    <w:div w:id="24419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4497239">
      <w:bodyDiv w:val="1"/>
      <w:marLeft w:val="0"/>
      <w:marRight w:val="0"/>
      <w:marTop w:val="0"/>
      <w:marBottom w:val="0"/>
      <w:divBdr>
        <w:top w:val="none" w:sz="0" w:space="0" w:color="auto"/>
        <w:left w:val="none" w:sz="0" w:space="0" w:color="auto"/>
        <w:bottom w:val="none" w:sz="0" w:space="0" w:color="auto"/>
        <w:right w:val="none" w:sz="0" w:space="0" w:color="auto"/>
      </w:divBdr>
      <w:divsChild>
        <w:div w:id="1576476292">
          <w:marLeft w:val="0"/>
          <w:marRight w:val="0"/>
          <w:marTop w:val="0"/>
          <w:marBottom w:val="0"/>
          <w:divBdr>
            <w:top w:val="none" w:sz="0" w:space="0" w:color="auto"/>
            <w:left w:val="none" w:sz="0" w:space="0" w:color="auto"/>
            <w:bottom w:val="none" w:sz="0" w:space="0" w:color="auto"/>
            <w:right w:val="none" w:sz="0" w:space="0" w:color="auto"/>
          </w:divBdr>
          <w:divsChild>
            <w:div w:id="1543520216">
              <w:marLeft w:val="0"/>
              <w:marRight w:val="0"/>
              <w:marTop w:val="0"/>
              <w:marBottom w:val="0"/>
              <w:divBdr>
                <w:top w:val="none" w:sz="0" w:space="0" w:color="auto"/>
                <w:left w:val="none" w:sz="0" w:space="0" w:color="auto"/>
                <w:bottom w:val="none" w:sz="0" w:space="0" w:color="auto"/>
                <w:right w:val="none" w:sz="0" w:space="0" w:color="auto"/>
              </w:divBdr>
              <w:divsChild>
                <w:div w:id="2119837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346287">
      <w:bodyDiv w:val="1"/>
      <w:marLeft w:val="0"/>
      <w:marRight w:val="0"/>
      <w:marTop w:val="0"/>
      <w:marBottom w:val="0"/>
      <w:divBdr>
        <w:top w:val="none" w:sz="0" w:space="0" w:color="auto"/>
        <w:left w:val="none" w:sz="0" w:space="0" w:color="auto"/>
        <w:bottom w:val="none" w:sz="0" w:space="0" w:color="auto"/>
        <w:right w:val="none" w:sz="0" w:space="0" w:color="auto"/>
      </w:divBdr>
    </w:div>
    <w:div w:id="1097679014">
      <w:bodyDiv w:val="1"/>
      <w:marLeft w:val="0"/>
      <w:marRight w:val="0"/>
      <w:marTop w:val="0"/>
      <w:marBottom w:val="0"/>
      <w:divBdr>
        <w:top w:val="none" w:sz="0" w:space="0" w:color="auto"/>
        <w:left w:val="none" w:sz="0" w:space="0" w:color="auto"/>
        <w:bottom w:val="none" w:sz="0" w:space="0" w:color="auto"/>
        <w:right w:val="none" w:sz="0" w:space="0" w:color="auto"/>
      </w:divBdr>
    </w:div>
    <w:div w:id="1106463827">
      <w:bodyDiv w:val="1"/>
      <w:marLeft w:val="0"/>
      <w:marRight w:val="0"/>
      <w:marTop w:val="0"/>
      <w:marBottom w:val="0"/>
      <w:divBdr>
        <w:top w:val="none" w:sz="0" w:space="0" w:color="auto"/>
        <w:left w:val="none" w:sz="0" w:space="0" w:color="auto"/>
        <w:bottom w:val="none" w:sz="0" w:space="0" w:color="auto"/>
        <w:right w:val="none" w:sz="0" w:space="0" w:color="auto"/>
      </w:divBdr>
    </w:div>
    <w:div w:id="1107388934">
      <w:bodyDiv w:val="1"/>
      <w:marLeft w:val="0"/>
      <w:marRight w:val="0"/>
      <w:marTop w:val="0"/>
      <w:marBottom w:val="0"/>
      <w:divBdr>
        <w:top w:val="none" w:sz="0" w:space="0" w:color="auto"/>
        <w:left w:val="none" w:sz="0" w:space="0" w:color="auto"/>
        <w:bottom w:val="none" w:sz="0" w:space="0" w:color="auto"/>
        <w:right w:val="none" w:sz="0" w:space="0" w:color="auto"/>
      </w:divBdr>
    </w:div>
    <w:div w:id="1110393157">
      <w:bodyDiv w:val="1"/>
      <w:marLeft w:val="0"/>
      <w:marRight w:val="0"/>
      <w:marTop w:val="0"/>
      <w:marBottom w:val="0"/>
      <w:divBdr>
        <w:top w:val="none" w:sz="0" w:space="0" w:color="auto"/>
        <w:left w:val="none" w:sz="0" w:space="0" w:color="auto"/>
        <w:bottom w:val="none" w:sz="0" w:space="0" w:color="auto"/>
        <w:right w:val="none" w:sz="0" w:space="0" w:color="auto"/>
      </w:divBdr>
      <w:divsChild>
        <w:div w:id="825559226">
          <w:marLeft w:val="0"/>
          <w:marRight w:val="0"/>
          <w:marTop w:val="0"/>
          <w:marBottom w:val="0"/>
          <w:divBdr>
            <w:top w:val="none" w:sz="0" w:space="0" w:color="auto"/>
            <w:left w:val="none" w:sz="0" w:space="0" w:color="auto"/>
            <w:bottom w:val="none" w:sz="0" w:space="0" w:color="auto"/>
            <w:right w:val="none" w:sz="0" w:space="0" w:color="auto"/>
          </w:divBdr>
          <w:divsChild>
            <w:div w:id="262543336">
              <w:marLeft w:val="0"/>
              <w:marRight w:val="0"/>
              <w:marTop w:val="0"/>
              <w:marBottom w:val="0"/>
              <w:divBdr>
                <w:top w:val="none" w:sz="0" w:space="0" w:color="auto"/>
                <w:left w:val="none" w:sz="0" w:space="0" w:color="auto"/>
                <w:bottom w:val="none" w:sz="0" w:space="0" w:color="auto"/>
                <w:right w:val="none" w:sz="0" w:space="0" w:color="auto"/>
              </w:divBdr>
              <w:divsChild>
                <w:div w:id="1194003500">
                  <w:marLeft w:val="0"/>
                  <w:marRight w:val="0"/>
                  <w:marTop w:val="0"/>
                  <w:marBottom w:val="0"/>
                  <w:divBdr>
                    <w:top w:val="none" w:sz="0" w:space="0" w:color="auto"/>
                    <w:left w:val="none" w:sz="0" w:space="0" w:color="auto"/>
                    <w:bottom w:val="none" w:sz="0" w:space="0" w:color="auto"/>
                    <w:right w:val="none" w:sz="0" w:space="0" w:color="auto"/>
                  </w:divBdr>
                  <w:divsChild>
                    <w:div w:id="1331371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4403770">
      <w:bodyDiv w:val="1"/>
      <w:marLeft w:val="0"/>
      <w:marRight w:val="0"/>
      <w:marTop w:val="0"/>
      <w:marBottom w:val="0"/>
      <w:divBdr>
        <w:top w:val="none" w:sz="0" w:space="0" w:color="auto"/>
        <w:left w:val="none" w:sz="0" w:space="0" w:color="auto"/>
        <w:bottom w:val="none" w:sz="0" w:space="0" w:color="auto"/>
        <w:right w:val="none" w:sz="0" w:space="0" w:color="auto"/>
      </w:divBdr>
    </w:div>
    <w:div w:id="1120300511">
      <w:bodyDiv w:val="1"/>
      <w:marLeft w:val="0"/>
      <w:marRight w:val="0"/>
      <w:marTop w:val="0"/>
      <w:marBottom w:val="0"/>
      <w:divBdr>
        <w:top w:val="none" w:sz="0" w:space="0" w:color="auto"/>
        <w:left w:val="none" w:sz="0" w:space="0" w:color="auto"/>
        <w:bottom w:val="none" w:sz="0" w:space="0" w:color="auto"/>
        <w:right w:val="none" w:sz="0" w:space="0" w:color="auto"/>
      </w:divBdr>
      <w:divsChild>
        <w:div w:id="1446150064">
          <w:marLeft w:val="0"/>
          <w:marRight w:val="0"/>
          <w:marTop w:val="0"/>
          <w:marBottom w:val="0"/>
          <w:divBdr>
            <w:top w:val="none" w:sz="0" w:space="0" w:color="auto"/>
            <w:left w:val="none" w:sz="0" w:space="0" w:color="auto"/>
            <w:bottom w:val="none" w:sz="0" w:space="0" w:color="auto"/>
            <w:right w:val="none" w:sz="0" w:space="0" w:color="auto"/>
          </w:divBdr>
          <w:divsChild>
            <w:div w:id="1026443231">
              <w:marLeft w:val="0"/>
              <w:marRight w:val="0"/>
              <w:marTop w:val="0"/>
              <w:marBottom w:val="0"/>
              <w:divBdr>
                <w:top w:val="none" w:sz="0" w:space="0" w:color="auto"/>
                <w:left w:val="none" w:sz="0" w:space="0" w:color="auto"/>
                <w:bottom w:val="none" w:sz="0" w:space="0" w:color="auto"/>
                <w:right w:val="none" w:sz="0" w:space="0" w:color="auto"/>
              </w:divBdr>
              <w:divsChild>
                <w:div w:id="404647215">
                  <w:marLeft w:val="0"/>
                  <w:marRight w:val="0"/>
                  <w:marTop w:val="0"/>
                  <w:marBottom w:val="0"/>
                  <w:divBdr>
                    <w:top w:val="none" w:sz="0" w:space="0" w:color="auto"/>
                    <w:left w:val="none" w:sz="0" w:space="0" w:color="auto"/>
                    <w:bottom w:val="none" w:sz="0" w:space="0" w:color="auto"/>
                    <w:right w:val="none" w:sz="0" w:space="0" w:color="auto"/>
                  </w:divBdr>
                  <w:divsChild>
                    <w:div w:id="1557427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490765">
      <w:bodyDiv w:val="1"/>
      <w:marLeft w:val="0"/>
      <w:marRight w:val="0"/>
      <w:marTop w:val="0"/>
      <w:marBottom w:val="0"/>
      <w:divBdr>
        <w:top w:val="none" w:sz="0" w:space="0" w:color="auto"/>
        <w:left w:val="none" w:sz="0" w:space="0" w:color="auto"/>
        <w:bottom w:val="none" w:sz="0" w:space="0" w:color="auto"/>
        <w:right w:val="none" w:sz="0" w:space="0" w:color="auto"/>
      </w:divBdr>
    </w:div>
    <w:div w:id="1120877278">
      <w:bodyDiv w:val="1"/>
      <w:marLeft w:val="0"/>
      <w:marRight w:val="0"/>
      <w:marTop w:val="0"/>
      <w:marBottom w:val="0"/>
      <w:divBdr>
        <w:top w:val="none" w:sz="0" w:space="0" w:color="auto"/>
        <w:left w:val="none" w:sz="0" w:space="0" w:color="auto"/>
        <w:bottom w:val="none" w:sz="0" w:space="0" w:color="auto"/>
        <w:right w:val="none" w:sz="0" w:space="0" w:color="auto"/>
      </w:divBdr>
    </w:div>
    <w:div w:id="1129320055">
      <w:bodyDiv w:val="1"/>
      <w:marLeft w:val="0"/>
      <w:marRight w:val="0"/>
      <w:marTop w:val="0"/>
      <w:marBottom w:val="0"/>
      <w:divBdr>
        <w:top w:val="none" w:sz="0" w:space="0" w:color="auto"/>
        <w:left w:val="none" w:sz="0" w:space="0" w:color="auto"/>
        <w:bottom w:val="none" w:sz="0" w:space="0" w:color="auto"/>
        <w:right w:val="none" w:sz="0" w:space="0" w:color="auto"/>
      </w:divBdr>
    </w:div>
    <w:div w:id="1136482650">
      <w:bodyDiv w:val="1"/>
      <w:marLeft w:val="0"/>
      <w:marRight w:val="0"/>
      <w:marTop w:val="0"/>
      <w:marBottom w:val="0"/>
      <w:divBdr>
        <w:top w:val="none" w:sz="0" w:space="0" w:color="auto"/>
        <w:left w:val="none" w:sz="0" w:space="0" w:color="auto"/>
        <w:bottom w:val="none" w:sz="0" w:space="0" w:color="auto"/>
        <w:right w:val="none" w:sz="0" w:space="0" w:color="auto"/>
      </w:divBdr>
      <w:divsChild>
        <w:div w:id="1817798305">
          <w:marLeft w:val="0"/>
          <w:marRight w:val="0"/>
          <w:marTop w:val="0"/>
          <w:marBottom w:val="0"/>
          <w:divBdr>
            <w:top w:val="none" w:sz="0" w:space="0" w:color="auto"/>
            <w:left w:val="none" w:sz="0" w:space="0" w:color="auto"/>
            <w:bottom w:val="none" w:sz="0" w:space="0" w:color="auto"/>
            <w:right w:val="none" w:sz="0" w:space="0" w:color="auto"/>
          </w:divBdr>
          <w:divsChild>
            <w:div w:id="1399012499">
              <w:marLeft w:val="0"/>
              <w:marRight w:val="0"/>
              <w:marTop w:val="0"/>
              <w:marBottom w:val="0"/>
              <w:divBdr>
                <w:top w:val="none" w:sz="0" w:space="0" w:color="auto"/>
                <w:left w:val="none" w:sz="0" w:space="0" w:color="auto"/>
                <w:bottom w:val="none" w:sz="0" w:space="0" w:color="auto"/>
                <w:right w:val="none" w:sz="0" w:space="0" w:color="auto"/>
              </w:divBdr>
              <w:divsChild>
                <w:div w:id="1525560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691396">
      <w:bodyDiv w:val="1"/>
      <w:marLeft w:val="0"/>
      <w:marRight w:val="0"/>
      <w:marTop w:val="0"/>
      <w:marBottom w:val="0"/>
      <w:divBdr>
        <w:top w:val="none" w:sz="0" w:space="0" w:color="auto"/>
        <w:left w:val="none" w:sz="0" w:space="0" w:color="auto"/>
        <w:bottom w:val="none" w:sz="0" w:space="0" w:color="auto"/>
        <w:right w:val="none" w:sz="0" w:space="0" w:color="auto"/>
      </w:divBdr>
    </w:div>
    <w:div w:id="1145661773">
      <w:bodyDiv w:val="1"/>
      <w:marLeft w:val="0"/>
      <w:marRight w:val="0"/>
      <w:marTop w:val="0"/>
      <w:marBottom w:val="0"/>
      <w:divBdr>
        <w:top w:val="none" w:sz="0" w:space="0" w:color="auto"/>
        <w:left w:val="none" w:sz="0" w:space="0" w:color="auto"/>
        <w:bottom w:val="none" w:sz="0" w:space="0" w:color="auto"/>
        <w:right w:val="none" w:sz="0" w:space="0" w:color="auto"/>
      </w:divBdr>
      <w:divsChild>
        <w:div w:id="1091270226">
          <w:marLeft w:val="0"/>
          <w:marRight w:val="0"/>
          <w:marTop w:val="0"/>
          <w:marBottom w:val="0"/>
          <w:divBdr>
            <w:top w:val="none" w:sz="0" w:space="0" w:color="auto"/>
            <w:left w:val="none" w:sz="0" w:space="0" w:color="auto"/>
            <w:bottom w:val="none" w:sz="0" w:space="0" w:color="auto"/>
            <w:right w:val="none" w:sz="0" w:space="0" w:color="auto"/>
          </w:divBdr>
          <w:divsChild>
            <w:div w:id="1659113078">
              <w:marLeft w:val="0"/>
              <w:marRight w:val="0"/>
              <w:marTop w:val="0"/>
              <w:marBottom w:val="0"/>
              <w:divBdr>
                <w:top w:val="none" w:sz="0" w:space="0" w:color="auto"/>
                <w:left w:val="none" w:sz="0" w:space="0" w:color="auto"/>
                <w:bottom w:val="none" w:sz="0" w:space="0" w:color="auto"/>
                <w:right w:val="none" w:sz="0" w:space="0" w:color="auto"/>
              </w:divBdr>
              <w:divsChild>
                <w:div w:id="196285591">
                  <w:marLeft w:val="0"/>
                  <w:marRight w:val="0"/>
                  <w:marTop w:val="0"/>
                  <w:marBottom w:val="0"/>
                  <w:divBdr>
                    <w:top w:val="none" w:sz="0" w:space="0" w:color="auto"/>
                    <w:left w:val="none" w:sz="0" w:space="0" w:color="auto"/>
                    <w:bottom w:val="none" w:sz="0" w:space="0" w:color="auto"/>
                    <w:right w:val="none" w:sz="0" w:space="0" w:color="auto"/>
                  </w:divBdr>
                  <w:divsChild>
                    <w:div w:id="824321327">
                      <w:marLeft w:val="0"/>
                      <w:marRight w:val="0"/>
                      <w:marTop w:val="0"/>
                      <w:marBottom w:val="0"/>
                      <w:divBdr>
                        <w:top w:val="none" w:sz="0" w:space="0" w:color="auto"/>
                        <w:left w:val="none" w:sz="0" w:space="0" w:color="auto"/>
                        <w:bottom w:val="none" w:sz="0" w:space="0" w:color="auto"/>
                        <w:right w:val="none" w:sz="0" w:space="0" w:color="auto"/>
                      </w:divBdr>
                    </w:div>
                  </w:divsChild>
                </w:div>
                <w:div w:id="325981085">
                  <w:marLeft w:val="0"/>
                  <w:marRight w:val="0"/>
                  <w:marTop w:val="0"/>
                  <w:marBottom w:val="0"/>
                  <w:divBdr>
                    <w:top w:val="none" w:sz="0" w:space="0" w:color="auto"/>
                    <w:left w:val="none" w:sz="0" w:space="0" w:color="auto"/>
                    <w:bottom w:val="none" w:sz="0" w:space="0" w:color="auto"/>
                    <w:right w:val="none" w:sz="0" w:space="0" w:color="auto"/>
                  </w:divBdr>
                  <w:divsChild>
                    <w:div w:id="354697821">
                      <w:marLeft w:val="0"/>
                      <w:marRight w:val="0"/>
                      <w:marTop w:val="0"/>
                      <w:marBottom w:val="0"/>
                      <w:divBdr>
                        <w:top w:val="none" w:sz="0" w:space="0" w:color="auto"/>
                        <w:left w:val="none" w:sz="0" w:space="0" w:color="auto"/>
                        <w:bottom w:val="none" w:sz="0" w:space="0" w:color="auto"/>
                        <w:right w:val="none" w:sz="0" w:space="0" w:color="auto"/>
                      </w:divBdr>
                    </w:div>
                  </w:divsChild>
                </w:div>
                <w:div w:id="660157868">
                  <w:marLeft w:val="0"/>
                  <w:marRight w:val="0"/>
                  <w:marTop w:val="0"/>
                  <w:marBottom w:val="0"/>
                  <w:divBdr>
                    <w:top w:val="none" w:sz="0" w:space="0" w:color="auto"/>
                    <w:left w:val="none" w:sz="0" w:space="0" w:color="auto"/>
                    <w:bottom w:val="none" w:sz="0" w:space="0" w:color="auto"/>
                    <w:right w:val="none" w:sz="0" w:space="0" w:color="auto"/>
                  </w:divBdr>
                  <w:divsChild>
                    <w:div w:id="1308820488">
                      <w:marLeft w:val="0"/>
                      <w:marRight w:val="0"/>
                      <w:marTop w:val="0"/>
                      <w:marBottom w:val="0"/>
                      <w:divBdr>
                        <w:top w:val="none" w:sz="0" w:space="0" w:color="auto"/>
                        <w:left w:val="none" w:sz="0" w:space="0" w:color="auto"/>
                        <w:bottom w:val="none" w:sz="0" w:space="0" w:color="auto"/>
                        <w:right w:val="none" w:sz="0" w:space="0" w:color="auto"/>
                      </w:divBdr>
                    </w:div>
                  </w:divsChild>
                </w:div>
                <w:div w:id="663900759">
                  <w:marLeft w:val="0"/>
                  <w:marRight w:val="0"/>
                  <w:marTop w:val="0"/>
                  <w:marBottom w:val="0"/>
                  <w:divBdr>
                    <w:top w:val="none" w:sz="0" w:space="0" w:color="auto"/>
                    <w:left w:val="none" w:sz="0" w:space="0" w:color="auto"/>
                    <w:bottom w:val="none" w:sz="0" w:space="0" w:color="auto"/>
                    <w:right w:val="none" w:sz="0" w:space="0" w:color="auto"/>
                  </w:divBdr>
                  <w:divsChild>
                    <w:div w:id="1394696857">
                      <w:marLeft w:val="0"/>
                      <w:marRight w:val="0"/>
                      <w:marTop w:val="0"/>
                      <w:marBottom w:val="0"/>
                      <w:divBdr>
                        <w:top w:val="none" w:sz="0" w:space="0" w:color="auto"/>
                        <w:left w:val="none" w:sz="0" w:space="0" w:color="auto"/>
                        <w:bottom w:val="none" w:sz="0" w:space="0" w:color="auto"/>
                        <w:right w:val="none" w:sz="0" w:space="0" w:color="auto"/>
                      </w:divBdr>
                    </w:div>
                  </w:divsChild>
                </w:div>
                <w:div w:id="930359709">
                  <w:marLeft w:val="0"/>
                  <w:marRight w:val="0"/>
                  <w:marTop w:val="0"/>
                  <w:marBottom w:val="0"/>
                  <w:divBdr>
                    <w:top w:val="none" w:sz="0" w:space="0" w:color="auto"/>
                    <w:left w:val="none" w:sz="0" w:space="0" w:color="auto"/>
                    <w:bottom w:val="none" w:sz="0" w:space="0" w:color="auto"/>
                    <w:right w:val="none" w:sz="0" w:space="0" w:color="auto"/>
                  </w:divBdr>
                  <w:divsChild>
                    <w:div w:id="1929459637">
                      <w:marLeft w:val="0"/>
                      <w:marRight w:val="0"/>
                      <w:marTop w:val="0"/>
                      <w:marBottom w:val="0"/>
                      <w:divBdr>
                        <w:top w:val="none" w:sz="0" w:space="0" w:color="auto"/>
                        <w:left w:val="none" w:sz="0" w:space="0" w:color="auto"/>
                        <w:bottom w:val="none" w:sz="0" w:space="0" w:color="auto"/>
                        <w:right w:val="none" w:sz="0" w:space="0" w:color="auto"/>
                      </w:divBdr>
                    </w:div>
                  </w:divsChild>
                </w:div>
                <w:div w:id="1085028019">
                  <w:marLeft w:val="0"/>
                  <w:marRight w:val="0"/>
                  <w:marTop w:val="0"/>
                  <w:marBottom w:val="0"/>
                  <w:divBdr>
                    <w:top w:val="none" w:sz="0" w:space="0" w:color="auto"/>
                    <w:left w:val="none" w:sz="0" w:space="0" w:color="auto"/>
                    <w:bottom w:val="none" w:sz="0" w:space="0" w:color="auto"/>
                    <w:right w:val="none" w:sz="0" w:space="0" w:color="auto"/>
                  </w:divBdr>
                  <w:divsChild>
                    <w:div w:id="1031806259">
                      <w:marLeft w:val="0"/>
                      <w:marRight w:val="0"/>
                      <w:marTop w:val="0"/>
                      <w:marBottom w:val="0"/>
                      <w:divBdr>
                        <w:top w:val="none" w:sz="0" w:space="0" w:color="auto"/>
                        <w:left w:val="none" w:sz="0" w:space="0" w:color="auto"/>
                        <w:bottom w:val="none" w:sz="0" w:space="0" w:color="auto"/>
                        <w:right w:val="none" w:sz="0" w:space="0" w:color="auto"/>
                      </w:divBdr>
                    </w:div>
                  </w:divsChild>
                </w:div>
                <w:div w:id="1255438375">
                  <w:marLeft w:val="0"/>
                  <w:marRight w:val="0"/>
                  <w:marTop w:val="0"/>
                  <w:marBottom w:val="0"/>
                  <w:divBdr>
                    <w:top w:val="none" w:sz="0" w:space="0" w:color="auto"/>
                    <w:left w:val="none" w:sz="0" w:space="0" w:color="auto"/>
                    <w:bottom w:val="none" w:sz="0" w:space="0" w:color="auto"/>
                    <w:right w:val="none" w:sz="0" w:space="0" w:color="auto"/>
                  </w:divBdr>
                  <w:divsChild>
                    <w:div w:id="1938322519">
                      <w:marLeft w:val="0"/>
                      <w:marRight w:val="0"/>
                      <w:marTop w:val="0"/>
                      <w:marBottom w:val="0"/>
                      <w:divBdr>
                        <w:top w:val="none" w:sz="0" w:space="0" w:color="auto"/>
                        <w:left w:val="none" w:sz="0" w:space="0" w:color="auto"/>
                        <w:bottom w:val="none" w:sz="0" w:space="0" w:color="auto"/>
                        <w:right w:val="none" w:sz="0" w:space="0" w:color="auto"/>
                      </w:divBdr>
                    </w:div>
                  </w:divsChild>
                </w:div>
                <w:div w:id="1835484605">
                  <w:marLeft w:val="0"/>
                  <w:marRight w:val="0"/>
                  <w:marTop w:val="0"/>
                  <w:marBottom w:val="0"/>
                  <w:divBdr>
                    <w:top w:val="none" w:sz="0" w:space="0" w:color="auto"/>
                    <w:left w:val="none" w:sz="0" w:space="0" w:color="auto"/>
                    <w:bottom w:val="none" w:sz="0" w:space="0" w:color="auto"/>
                    <w:right w:val="none" w:sz="0" w:space="0" w:color="auto"/>
                  </w:divBdr>
                  <w:divsChild>
                    <w:div w:id="205217591">
                      <w:marLeft w:val="0"/>
                      <w:marRight w:val="0"/>
                      <w:marTop w:val="0"/>
                      <w:marBottom w:val="0"/>
                      <w:divBdr>
                        <w:top w:val="none" w:sz="0" w:space="0" w:color="auto"/>
                        <w:left w:val="none" w:sz="0" w:space="0" w:color="auto"/>
                        <w:bottom w:val="none" w:sz="0" w:space="0" w:color="auto"/>
                        <w:right w:val="none" w:sz="0" w:space="0" w:color="auto"/>
                      </w:divBdr>
                    </w:div>
                  </w:divsChild>
                </w:div>
                <w:div w:id="1846509445">
                  <w:marLeft w:val="0"/>
                  <w:marRight w:val="0"/>
                  <w:marTop w:val="0"/>
                  <w:marBottom w:val="0"/>
                  <w:divBdr>
                    <w:top w:val="none" w:sz="0" w:space="0" w:color="auto"/>
                    <w:left w:val="none" w:sz="0" w:space="0" w:color="auto"/>
                    <w:bottom w:val="none" w:sz="0" w:space="0" w:color="auto"/>
                    <w:right w:val="none" w:sz="0" w:space="0" w:color="auto"/>
                  </w:divBdr>
                  <w:divsChild>
                    <w:div w:id="55050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8255058">
      <w:bodyDiv w:val="1"/>
      <w:marLeft w:val="0"/>
      <w:marRight w:val="0"/>
      <w:marTop w:val="0"/>
      <w:marBottom w:val="0"/>
      <w:divBdr>
        <w:top w:val="none" w:sz="0" w:space="0" w:color="auto"/>
        <w:left w:val="none" w:sz="0" w:space="0" w:color="auto"/>
        <w:bottom w:val="none" w:sz="0" w:space="0" w:color="auto"/>
        <w:right w:val="none" w:sz="0" w:space="0" w:color="auto"/>
      </w:divBdr>
      <w:divsChild>
        <w:div w:id="675811928">
          <w:marLeft w:val="0"/>
          <w:marRight w:val="0"/>
          <w:marTop w:val="0"/>
          <w:marBottom w:val="0"/>
          <w:divBdr>
            <w:top w:val="none" w:sz="0" w:space="0" w:color="auto"/>
            <w:left w:val="none" w:sz="0" w:space="0" w:color="auto"/>
            <w:bottom w:val="none" w:sz="0" w:space="0" w:color="auto"/>
            <w:right w:val="none" w:sz="0" w:space="0" w:color="auto"/>
          </w:divBdr>
          <w:divsChild>
            <w:div w:id="1084455735">
              <w:marLeft w:val="0"/>
              <w:marRight w:val="0"/>
              <w:marTop w:val="0"/>
              <w:marBottom w:val="0"/>
              <w:divBdr>
                <w:top w:val="none" w:sz="0" w:space="0" w:color="auto"/>
                <w:left w:val="none" w:sz="0" w:space="0" w:color="auto"/>
                <w:bottom w:val="none" w:sz="0" w:space="0" w:color="auto"/>
                <w:right w:val="none" w:sz="0" w:space="0" w:color="auto"/>
              </w:divBdr>
              <w:divsChild>
                <w:div w:id="1629240519">
                  <w:marLeft w:val="0"/>
                  <w:marRight w:val="0"/>
                  <w:marTop w:val="0"/>
                  <w:marBottom w:val="0"/>
                  <w:divBdr>
                    <w:top w:val="none" w:sz="0" w:space="0" w:color="auto"/>
                    <w:left w:val="none" w:sz="0" w:space="0" w:color="auto"/>
                    <w:bottom w:val="none" w:sz="0" w:space="0" w:color="auto"/>
                    <w:right w:val="none" w:sz="0" w:space="0" w:color="auto"/>
                  </w:divBdr>
                </w:div>
              </w:divsChild>
            </w:div>
            <w:div w:id="1204249249">
              <w:marLeft w:val="0"/>
              <w:marRight w:val="0"/>
              <w:marTop w:val="0"/>
              <w:marBottom w:val="0"/>
              <w:divBdr>
                <w:top w:val="none" w:sz="0" w:space="0" w:color="auto"/>
                <w:left w:val="none" w:sz="0" w:space="0" w:color="auto"/>
                <w:bottom w:val="none" w:sz="0" w:space="0" w:color="auto"/>
                <w:right w:val="none" w:sz="0" w:space="0" w:color="auto"/>
              </w:divBdr>
              <w:divsChild>
                <w:div w:id="2086292434">
                  <w:marLeft w:val="0"/>
                  <w:marRight w:val="0"/>
                  <w:marTop w:val="0"/>
                  <w:marBottom w:val="0"/>
                  <w:divBdr>
                    <w:top w:val="none" w:sz="0" w:space="0" w:color="auto"/>
                    <w:left w:val="none" w:sz="0" w:space="0" w:color="auto"/>
                    <w:bottom w:val="none" w:sz="0" w:space="0" w:color="auto"/>
                    <w:right w:val="none" w:sz="0" w:space="0" w:color="auto"/>
                  </w:divBdr>
                </w:div>
              </w:divsChild>
            </w:div>
            <w:div w:id="1294796994">
              <w:marLeft w:val="0"/>
              <w:marRight w:val="0"/>
              <w:marTop w:val="0"/>
              <w:marBottom w:val="0"/>
              <w:divBdr>
                <w:top w:val="none" w:sz="0" w:space="0" w:color="auto"/>
                <w:left w:val="none" w:sz="0" w:space="0" w:color="auto"/>
                <w:bottom w:val="none" w:sz="0" w:space="0" w:color="auto"/>
                <w:right w:val="none" w:sz="0" w:space="0" w:color="auto"/>
              </w:divBdr>
              <w:divsChild>
                <w:div w:id="1760908840">
                  <w:marLeft w:val="0"/>
                  <w:marRight w:val="0"/>
                  <w:marTop w:val="0"/>
                  <w:marBottom w:val="0"/>
                  <w:divBdr>
                    <w:top w:val="none" w:sz="0" w:space="0" w:color="auto"/>
                    <w:left w:val="none" w:sz="0" w:space="0" w:color="auto"/>
                    <w:bottom w:val="none" w:sz="0" w:space="0" w:color="auto"/>
                    <w:right w:val="none" w:sz="0" w:space="0" w:color="auto"/>
                  </w:divBdr>
                </w:div>
              </w:divsChild>
            </w:div>
            <w:div w:id="1461341096">
              <w:marLeft w:val="0"/>
              <w:marRight w:val="0"/>
              <w:marTop w:val="0"/>
              <w:marBottom w:val="0"/>
              <w:divBdr>
                <w:top w:val="none" w:sz="0" w:space="0" w:color="auto"/>
                <w:left w:val="none" w:sz="0" w:space="0" w:color="auto"/>
                <w:bottom w:val="none" w:sz="0" w:space="0" w:color="auto"/>
                <w:right w:val="none" w:sz="0" w:space="0" w:color="auto"/>
              </w:divBdr>
              <w:divsChild>
                <w:div w:id="705789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726734">
      <w:bodyDiv w:val="1"/>
      <w:marLeft w:val="0"/>
      <w:marRight w:val="0"/>
      <w:marTop w:val="0"/>
      <w:marBottom w:val="0"/>
      <w:divBdr>
        <w:top w:val="none" w:sz="0" w:space="0" w:color="auto"/>
        <w:left w:val="none" w:sz="0" w:space="0" w:color="auto"/>
        <w:bottom w:val="none" w:sz="0" w:space="0" w:color="auto"/>
        <w:right w:val="none" w:sz="0" w:space="0" w:color="auto"/>
      </w:divBdr>
    </w:div>
    <w:div w:id="1177698055">
      <w:bodyDiv w:val="1"/>
      <w:marLeft w:val="0"/>
      <w:marRight w:val="0"/>
      <w:marTop w:val="0"/>
      <w:marBottom w:val="0"/>
      <w:divBdr>
        <w:top w:val="none" w:sz="0" w:space="0" w:color="auto"/>
        <w:left w:val="none" w:sz="0" w:space="0" w:color="auto"/>
        <w:bottom w:val="none" w:sz="0" w:space="0" w:color="auto"/>
        <w:right w:val="none" w:sz="0" w:space="0" w:color="auto"/>
      </w:divBdr>
      <w:divsChild>
        <w:div w:id="67849180">
          <w:marLeft w:val="0"/>
          <w:marRight w:val="0"/>
          <w:marTop w:val="0"/>
          <w:marBottom w:val="0"/>
          <w:divBdr>
            <w:top w:val="none" w:sz="0" w:space="0" w:color="auto"/>
            <w:left w:val="none" w:sz="0" w:space="0" w:color="auto"/>
            <w:bottom w:val="none" w:sz="0" w:space="0" w:color="auto"/>
            <w:right w:val="none" w:sz="0" w:space="0" w:color="auto"/>
          </w:divBdr>
          <w:divsChild>
            <w:div w:id="2130004954">
              <w:marLeft w:val="0"/>
              <w:marRight w:val="0"/>
              <w:marTop w:val="0"/>
              <w:marBottom w:val="0"/>
              <w:divBdr>
                <w:top w:val="none" w:sz="0" w:space="0" w:color="auto"/>
                <w:left w:val="none" w:sz="0" w:space="0" w:color="auto"/>
                <w:bottom w:val="none" w:sz="0" w:space="0" w:color="auto"/>
                <w:right w:val="none" w:sz="0" w:space="0" w:color="auto"/>
              </w:divBdr>
              <w:divsChild>
                <w:div w:id="60346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3940281">
      <w:bodyDiv w:val="1"/>
      <w:marLeft w:val="0"/>
      <w:marRight w:val="0"/>
      <w:marTop w:val="0"/>
      <w:marBottom w:val="0"/>
      <w:divBdr>
        <w:top w:val="none" w:sz="0" w:space="0" w:color="auto"/>
        <w:left w:val="none" w:sz="0" w:space="0" w:color="auto"/>
        <w:bottom w:val="none" w:sz="0" w:space="0" w:color="auto"/>
        <w:right w:val="none" w:sz="0" w:space="0" w:color="auto"/>
      </w:divBdr>
      <w:divsChild>
        <w:div w:id="588277018">
          <w:marLeft w:val="0"/>
          <w:marRight w:val="0"/>
          <w:marTop w:val="0"/>
          <w:marBottom w:val="0"/>
          <w:divBdr>
            <w:top w:val="none" w:sz="0" w:space="0" w:color="auto"/>
            <w:left w:val="none" w:sz="0" w:space="0" w:color="auto"/>
            <w:bottom w:val="none" w:sz="0" w:space="0" w:color="auto"/>
            <w:right w:val="none" w:sz="0" w:space="0" w:color="auto"/>
          </w:divBdr>
          <w:divsChild>
            <w:div w:id="1553536950">
              <w:marLeft w:val="0"/>
              <w:marRight w:val="0"/>
              <w:marTop w:val="0"/>
              <w:marBottom w:val="0"/>
              <w:divBdr>
                <w:top w:val="none" w:sz="0" w:space="0" w:color="auto"/>
                <w:left w:val="none" w:sz="0" w:space="0" w:color="auto"/>
                <w:bottom w:val="none" w:sz="0" w:space="0" w:color="auto"/>
                <w:right w:val="none" w:sz="0" w:space="0" w:color="auto"/>
              </w:divBdr>
              <w:divsChild>
                <w:div w:id="1056054767">
                  <w:marLeft w:val="0"/>
                  <w:marRight w:val="0"/>
                  <w:marTop w:val="0"/>
                  <w:marBottom w:val="0"/>
                  <w:divBdr>
                    <w:top w:val="none" w:sz="0" w:space="0" w:color="auto"/>
                    <w:left w:val="none" w:sz="0" w:space="0" w:color="auto"/>
                    <w:bottom w:val="none" w:sz="0" w:space="0" w:color="auto"/>
                    <w:right w:val="none" w:sz="0" w:space="0" w:color="auto"/>
                  </w:divBdr>
                  <w:divsChild>
                    <w:div w:id="182092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5340664">
      <w:bodyDiv w:val="1"/>
      <w:marLeft w:val="0"/>
      <w:marRight w:val="0"/>
      <w:marTop w:val="0"/>
      <w:marBottom w:val="0"/>
      <w:divBdr>
        <w:top w:val="none" w:sz="0" w:space="0" w:color="auto"/>
        <w:left w:val="none" w:sz="0" w:space="0" w:color="auto"/>
        <w:bottom w:val="none" w:sz="0" w:space="0" w:color="auto"/>
        <w:right w:val="none" w:sz="0" w:space="0" w:color="auto"/>
      </w:divBdr>
    </w:div>
    <w:div w:id="1208646836">
      <w:bodyDiv w:val="1"/>
      <w:marLeft w:val="0"/>
      <w:marRight w:val="0"/>
      <w:marTop w:val="0"/>
      <w:marBottom w:val="0"/>
      <w:divBdr>
        <w:top w:val="none" w:sz="0" w:space="0" w:color="auto"/>
        <w:left w:val="none" w:sz="0" w:space="0" w:color="auto"/>
        <w:bottom w:val="none" w:sz="0" w:space="0" w:color="auto"/>
        <w:right w:val="none" w:sz="0" w:space="0" w:color="auto"/>
      </w:divBdr>
    </w:div>
    <w:div w:id="1210341929">
      <w:bodyDiv w:val="1"/>
      <w:marLeft w:val="0"/>
      <w:marRight w:val="0"/>
      <w:marTop w:val="0"/>
      <w:marBottom w:val="0"/>
      <w:divBdr>
        <w:top w:val="none" w:sz="0" w:space="0" w:color="auto"/>
        <w:left w:val="none" w:sz="0" w:space="0" w:color="auto"/>
        <w:bottom w:val="none" w:sz="0" w:space="0" w:color="auto"/>
        <w:right w:val="none" w:sz="0" w:space="0" w:color="auto"/>
      </w:divBdr>
    </w:div>
    <w:div w:id="1211113766">
      <w:bodyDiv w:val="1"/>
      <w:marLeft w:val="0"/>
      <w:marRight w:val="0"/>
      <w:marTop w:val="0"/>
      <w:marBottom w:val="0"/>
      <w:divBdr>
        <w:top w:val="none" w:sz="0" w:space="0" w:color="auto"/>
        <w:left w:val="none" w:sz="0" w:space="0" w:color="auto"/>
        <w:bottom w:val="none" w:sz="0" w:space="0" w:color="auto"/>
        <w:right w:val="none" w:sz="0" w:space="0" w:color="auto"/>
      </w:divBdr>
      <w:divsChild>
        <w:div w:id="1432965895">
          <w:marLeft w:val="0"/>
          <w:marRight w:val="0"/>
          <w:marTop w:val="0"/>
          <w:marBottom w:val="0"/>
          <w:divBdr>
            <w:top w:val="none" w:sz="0" w:space="0" w:color="auto"/>
            <w:left w:val="none" w:sz="0" w:space="0" w:color="auto"/>
            <w:bottom w:val="none" w:sz="0" w:space="0" w:color="auto"/>
            <w:right w:val="none" w:sz="0" w:space="0" w:color="auto"/>
          </w:divBdr>
          <w:divsChild>
            <w:div w:id="494538358">
              <w:marLeft w:val="0"/>
              <w:marRight w:val="0"/>
              <w:marTop w:val="0"/>
              <w:marBottom w:val="0"/>
              <w:divBdr>
                <w:top w:val="none" w:sz="0" w:space="0" w:color="auto"/>
                <w:left w:val="none" w:sz="0" w:space="0" w:color="auto"/>
                <w:bottom w:val="none" w:sz="0" w:space="0" w:color="auto"/>
                <w:right w:val="none" w:sz="0" w:space="0" w:color="auto"/>
              </w:divBdr>
              <w:divsChild>
                <w:div w:id="491725400">
                  <w:marLeft w:val="0"/>
                  <w:marRight w:val="0"/>
                  <w:marTop w:val="0"/>
                  <w:marBottom w:val="0"/>
                  <w:divBdr>
                    <w:top w:val="none" w:sz="0" w:space="0" w:color="auto"/>
                    <w:left w:val="none" w:sz="0" w:space="0" w:color="auto"/>
                    <w:bottom w:val="none" w:sz="0" w:space="0" w:color="auto"/>
                    <w:right w:val="none" w:sz="0" w:space="0" w:color="auto"/>
                  </w:divBdr>
                  <w:divsChild>
                    <w:div w:id="132567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4924727">
      <w:bodyDiv w:val="1"/>
      <w:marLeft w:val="0"/>
      <w:marRight w:val="0"/>
      <w:marTop w:val="0"/>
      <w:marBottom w:val="0"/>
      <w:divBdr>
        <w:top w:val="none" w:sz="0" w:space="0" w:color="auto"/>
        <w:left w:val="none" w:sz="0" w:space="0" w:color="auto"/>
        <w:bottom w:val="none" w:sz="0" w:space="0" w:color="auto"/>
        <w:right w:val="none" w:sz="0" w:space="0" w:color="auto"/>
      </w:divBdr>
      <w:divsChild>
        <w:div w:id="2121677159">
          <w:marLeft w:val="0"/>
          <w:marRight w:val="0"/>
          <w:marTop w:val="0"/>
          <w:marBottom w:val="0"/>
          <w:divBdr>
            <w:top w:val="none" w:sz="0" w:space="0" w:color="auto"/>
            <w:left w:val="none" w:sz="0" w:space="0" w:color="auto"/>
            <w:bottom w:val="none" w:sz="0" w:space="0" w:color="auto"/>
            <w:right w:val="none" w:sz="0" w:space="0" w:color="auto"/>
          </w:divBdr>
          <w:divsChild>
            <w:div w:id="1181358622">
              <w:marLeft w:val="0"/>
              <w:marRight w:val="0"/>
              <w:marTop w:val="0"/>
              <w:marBottom w:val="0"/>
              <w:divBdr>
                <w:top w:val="none" w:sz="0" w:space="0" w:color="auto"/>
                <w:left w:val="none" w:sz="0" w:space="0" w:color="auto"/>
                <w:bottom w:val="none" w:sz="0" w:space="0" w:color="auto"/>
                <w:right w:val="none" w:sz="0" w:space="0" w:color="auto"/>
              </w:divBdr>
              <w:divsChild>
                <w:div w:id="1546218222">
                  <w:marLeft w:val="0"/>
                  <w:marRight w:val="0"/>
                  <w:marTop w:val="0"/>
                  <w:marBottom w:val="0"/>
                  <w:divBdr>
                    <w:top w:val="none" w:sz="0" w:space="0" w:color="auto"/>
                    <w:left w:val="none" w:sz="0" w:space="0" w:color="auto"/>
                    <w:bottom w:val="none" w:sz="0" w:space="0" w:color="auto"/>
                    <w:right w:val="none" w:sz="0" w:space="0" w:color="auto"/>
                  </w:divBdr>
                </w:div>
              </w:divsChild>
            </w:div>
            <w:div w:id="1632394195">
              <w:marLeft w:val="0"/>
              <w:marRight w:val="0"/>
              <w:marTop w:val="0"/>
              <w:marBottom w:val="0"/>
              <w:divBdr>
                <w:top w:val="none" w:sz="0" w:space="0" w:color="auto"/>
                <w:left w:val="none" w:sz="0" w:space="0" w:color="auto"/>
                <w:bottom w:val="none" w:sz="0" w:space="0" w:color="auto"/>
                <w:right w:val="none" w:sz="0" w:space="0" w:color="auto"/>
              </w:divBdr>
              <w:divsChild>
                <w:div w:id="1181317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633944">
      <w:bodyDiv w:val="1"/>
      <w:marLeft w:val="0"/>
      <w:marRight w:val="0"/>
      <w:marTop w:val="0"/>
      <w:marBottom w:val="0"/>
      <w:divBdr>
        <w:top w:val="none" w:sz="0" w:space="0" w:color="auto"/>
        <w:left w:val="none" w:sz="0" w:space="0" w:color="auto"/>
        <w:bottom w:val="none" w:sz="0" w:space="0" w:color="auto"/>
        <w:right w:val="none" w:sz="0" w:space="0" w:color="auto"/>
      </w:divBdr>
    </w:div>
    <w:div w:id="1225798891">
      <w:bodyDiv w:val="1"/>
      <w:marLeft w:val="0"/>
      <w:marRight w:val="0"/>
      <w:marTop w:val="0"/>
      <w:marBottom w:val="0"/>
      <w:divBdr>
        <w:top w:val="none" w:sz="0" w:space="0" w:color="auto"/>
        <w:left w:val="none" w:sz="0" w:space="0" w:color="auto"/>
        <w:bottom w:val="none" w:sz="0" w:space="0" w:color="auto"/>
        <w:right w:val="none" w:sz="0" w:space="0" w:color="auto"/>
      </w:divBdr>
    </w:div>
    <w:div w:id="1228149989">
      <w:bodyDiv w:val="1"/>
      <w:marLeft w:val="0"/>
      <w:marRight w:val="0"/>
      <w:marTop w:val="0"/>
      <w:marBottom w:val="0"/>
      <w:divBdr>
        <w:top w:val="none" w:sz="0" w:space="0" w:color="auto"/>
        <w:left w:val="none" w:sz="0" w:space="0" w:color="auto"/>
        <w:bottom w:val="none" w:sz="0" w:space="0" w:color="auto"/>
        <w:right w:val="none" w:sz="0" w:space="0" w:color="auto"/>
      </w:divBdr>
      <w:divsChild>
        <w:div w:id="1561286357">
          <w:marLeft w:val="0"/>
          <w:marRight w:val="0"/>
          <w:marTop w:val="0"/>
          <w:marBottom w:val="0"/>
          <w:divBdr>
            <w:top w:val="none" w:sz="0" w:space="0" w:color="auto"/>
            <w:left w:val="none" w:sz="0" w:space="0" w:color="auto"/>
            <w:bottom w:val="none" w:sz="0" w:space="0" w:color="auto"/>
            <w:right w:val="none" w:sz="0" w:space="0" w:color="auto"/>
          </w:divBdr>
          <w:divsChild>
            <w:div w:id="33191032">
              <w:marLeft w:val="0"/>
              <w:marRight w:val="0"/>
              <w:marTop w:val="0"/>
              <w:marBottom w:val="0"/>
              <w:divBdr>
                <w:top w:val="none" w:sz="0" w:space="0" w:color="auto"/>
                <w:left w:val="none" w:sz="0" w:space="0" w:color="auto"/>
                <w:bottom w:val="none" w:sz="0" w:space="0" w:color="auto"/>
                <w:right w:val="none" w:sz="0" w:space="0" w:color="auto"/>
              </w:divBdr>
              <w:divsChild>
                <w:div w:id="1914584565">
                  <w:marLeft w:val="0"/>
                  <w:marRight w:val="0"/>
                  <w:marTop w:val="0"/>
                  <w:marBottom w:val="0"/>
                  <w:divBdr>
                    <w:top w:val="none" w:sz="0" w:space="0" w:color="auto"/>
                    <w:left w:val="none" w:sz="0" w:space="0" w:color="auto"/>
                    <w:bottom w:val="none" w:sz="0" w:space="0" w:color="auto"/>
                    <w:right w:val="none" w:sz="0" w:space="0" w:color="auto"/>
                  </w:divBdr>
                  <w:divsChild>
                    <w:div w:id="158606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611339">
      <w:bodyDiv w:val="1"/>
      <w:marLeft w:val="0"/>
      <w:marRight w:val="0"/>
      <w:marTop w:val="0"/>
      <w:marBottom w:val="0"/>
      <w:divBdr>
        <w:top w:val="none" w:sz="0" w:space="0" w:color="auto"/>
        <w:left w:val="none" w:sz="0" w:space="0" w:color="auto"/>
        <w:bottom w:val="none" w:sz="0" w:space="0" w:color="auto"/>
        <w:right w:val="none" w:sz="0" w:space="0" w:color="auto"/>
      </w:divBdr>
    </w:div>
    <w:div w:id="1231964649">
      <w:bodyDiv w:val="1"/>
      <w:marLeft w:val="0"/>
      <w:marRight w:val="0"/>
      <w:marTop w:val="0"/>
      <w:marBottom w:val="0"/>
      <w:divBdr>
        <w:top w:val="none" w:sz="0" w:space="0" w:color="auto"/>
        <w:left w:val="none" w:sz="0" w:space="0" w:color="auto"/>
        <w:bottom w:val="none" w:sz="0" w:space="0" w:color="auto"/>
        <w:right w:val="none" w:sz="0" w:space="0" w:color="auto"/>
      </w:divBdr>
      <w:divsChild>
        <w:div w:id="180976530">
          <w:marLeft w:val="0"/>
          <w:marRight w:val="0"/>
          <w:marTop w:val="0"/>
          <w:marBottom w:val="0"/>
          <w:divBdr>
            <w:top w:val="none" w:sz="0" w:space="0" w:color="auto"/>
            <w:left w:val="none" w:sz="0" w:space="0" w:color="auto"/>
            <w:bottom w:val="none" w:sz="0" w:space="0" w:color="auto"/>
            <w:right w:val="none" w:sz="0" w:space="0" w:color="auto"/>
          </w:divBdr>
          <w:divsChild>
            <w:div w:id="725179232">
              <w:marLeft w:val="0"/>
              <w:marRight w:val="0"/>
              <w:marTop w:val="0"/>
              <w:marBottom w:val="0"/>
              <w:divBdr>
                <w:top w:val="none" w:sz="0" w:space="0" w:color="auto"/>
                <w:left w:val="none" w:sz="0" w:space="0" w:color="auto"/>
                <w:bottom w:val="none" w:sz="0" w:space="0" w:color="auto"/>
                <w:right w:val="none" w:sz="0" w:space="0" w:color="auto"/>
              </w:divBdr>
              <w:divsChild>
                <w:div w:id="2090687979">
                  <w:marLeft w:val="0"/>
                  <w:marRight w:val="0"/>
                  <w:marTop w:val="0"/>
                  <w:marBottom w:val="0"/>
                  <w:divBdr>
                    <w:top w:val="none" w:sz="0" w:space="0" w:color="auto"/>
                    <w:left w:val="none" w:sz="0" w:space="0" w:color="auto"/>
                    <w:bottom w:val="none" w:sz="0" w:space="0" w:color="auto"/>
                    <w:right w:val="none" w:sz="0" w:space="0" w:color="auto"/>
                  </w:divBdr>
                  <w:divsChild>
                    <w:div w:id="1560902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3152303">
      <w:bodyDiv w:val="1"/>
      <w:marLeft w:val="0"/>
      <w:marRight w:val="0"/>
      <w:marTop w:val="0"/>
      <w:marBottom w:val="0"/>
      <w:divBdr>
        <w:top w:val="none" w:sz="0" w:space="0" w:color="auto"/>
        <w:left w:val="none" w:sz="0" w:space="0" w:color="auto"/>
        <w:bottom w:val="none" w:sz="0" w:space="0" w:color="auto"/>
        <w:right w:val="none" w:sz="0" w:space="0" w:color="auto"/>
      </w:divBdr>
    </w:div>
    <w:div w:id="1238201313">
      <w:bodyDiv w:val="1"/>
      <w:marLeft w:val="0"/>
      <w:marRight w:val="0"/>
      <w:marTop w:val="0"/>
      <w:marBottom w:val="0"/>
      <w:divBdr>
        <w:top w:val="none" w:sz="0" w:space="0" w:color="auto"/>
        <w:left w:val="none" w:sz="0" w:space="0" w:color="auto"/>
        <w:bottom w:val="none" w:sz="0" w:space="0" w:color="auto"/>
        <w:right w:val="none" w:sz="0" w:space="0" w:color="auto"/>
      </w:divBdr>
    </w:div>
    <w:div w:id="1238400355">
      <w:bodyDiv w:val="1"/>
      <w:marLeft w:val="0"/>
      <w:marRight w:val="0"/>
      <w:marTop w:val="0"/>
      <w:marBottom w:val="0"/>
      <w:divBdr>
        <w:top w:val="none" w:sz="0" w:space="0" w:color="auto"/>
        <w:left w:val="none" w:sz="0" w:space="0" w:color="auto"/>
        <w:bottom w:val="none" w:sz="0" w:space="0" w:color="auto"/>
        <w:right w:val="none" w:sz="0" w:space="0" w:color="auto"/>
      </w:divBdr>
      <w:divsChild>
        <w:div w:id="1527519382">
          <w:marLeft w:val="0"/>
          <w:marRight w:val="0"/>
          <w:marTop w:val="0"/>
          <w:marBottom w:val="0"/>
          <w:divBdr>
            <w:top w:val="none" w:sz="0" w:space="0" w:color="auto"/>
            <w:left w:val="none" w:sz="0" w:space="0" w:color="auto"/>
            <w:bottom w:val="none" w:sz="0" w:space="0" w:color="auto"/>
            <w:right w:val="none" w:sz="0" w:space="0" w:color="auto"/>
          </w:divBdr>
          <w:divsChild>
            <w:div w:id="1076437377">
              <w:marLeft w:val="0"/>
              <w:marRight w:val="0"/>
              <w:marTop w:val="0"/>
              <w:marBottom w:val="0"/>
              <w:divBdr>
                <w:top w:val="none" w:sz="0" w:space="0" w:color="auto"/>
                <w:left w:val="none" w:sz="0" w:space="0" w:color="auto"/>
                <w:bottom w:val="none" w:sz="0" w:space="0" w:color="auto"/>
                <w:right w:val="none" w:sz="0" w:space="0" w:color="auto"/>
              </w:divBdr>
              <w:divsChild>
                <w:div w:id="1341814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3297138">
      <w:bodyDiv w:val="1"/>
      <w:marLeft w:val="0"/>
      <w:marRight w:val="0"/>
      <w:marTop w:val="0"/>
      <w:marBottom w:val="0"/>
      <w:divBdr>
        <w:top w:val="none" w:sz="0" w:space="0" w:color="auto"/>
        <w:left w:val="none" w:sz="0" w:space="0" w:color="auto"/>
        <w:bottom w:val="none" w:sz="0" w:space="0" w:color="auto"/>
        <w:right w:val="none" w:sz="0" w:space="0" w:color="auto"/>
      </w:divBdr>
    </w:div>
    <w:div w:id="1247568900">
      <w:bodyDiv w:val="1"/>
      <w:marLeft w:val="0"/>
      <w:marRight w:val="0"/>
      <w:marTop w:val="0"/>
      <w:marBottom w:val="0"/>
      <w:divBdr>
        <w:top w:val="none" w:sz="0" w:space="0" w:color="auto"/>
        <w:left w:val="none" w:sz="0" w:space="0" w:color="auto"/>
        <w:bottom w:val="none" w:sz="0" w:space="0" w:color="auto"/>
        <w:right w:val="none" w:sz="0" w:space="0" w:color="auto"/>
      </w:divBdr>
    </w:div>
    <w:div w:id="1251279254">
      <w:bodyDiv w:val="1"/>
      <w:marLeft w:val="0"/>
      <w:marRight w:val="0"/>
      <w:marTop w:val="0"/>
      <w:marBottom w:val="0"/>
      <w:divBdr>
        <w:top w:val="none" w:sz="0" w:space="0" w:color="auto"/>
        <w:left w:val="none" w:sz="0" w:space="0" w:color="auto"/>
        <w:bottom w:val="none" w:sz="0" w:space="0" w:color="auto"/>
        <w:right w:val="none" w:sz="0" w:space="0" w:color="auto"/>
      </w:divBdr>
    </w:div>
    <w:div w:id="1254360725">
      <w:bodyDiv w:val="1"/>
      <w:marLeft w:val="0"/>
      <w:marRight w:val="0"/>
      <w:marTop w:val="0"/>
      <w:marBottom w:val="0"/>
      <w:divBdr>
        <w:top w:val="none" w:sz="0" w:space="0" w:color="auto"/>
        <w:left w:val="none" w:sz="0" w:space="0" w:color="auto"/>
        <w:bottom w:val="none" w:sz="0" w:space="0" w:color="auto"/>
        <w:right w:val="none" w:sz="0" w:space="0" w:color="auto"/>
      </w:divBdr>
    </w:div>
    <w:div w:id="1260328652">
      <w:bodyDiv w:val="1"/>
      <w:marLeft w:val="0"/>
      <w:marRight w:val="0"/>
      <w:marTop w:val="0"/>
      <w:marBottom w:val="0"/>
      <w:divBdr>
        <w:top w:val="none" w:sz="0" w:space="0" w:color="auto"/>
        <w:left w:val="none" w:sz="0" w:space="0" w:color="auto"/>
        <w:bottom w:val="none" w:sz="0" w:space="0" w:color="auto"/>
        <w:right w:val="none" w:sz="0" w:space="0" w:color="auto"/>
      </w:divBdr>
      <w:divsChild>
        <w:div w:id="1175922873">
          <w:marLeft w:val="0"/>
          <w:marRight w:val="0"/>
          <w:marTop w:val="0"/>
          <w:marBottom w:val="0"/>
          <w:divBdr>
            <w:top w:val="none" w:sz="0" w:space="0" w:color="auto"/>
            <w:left w:val="none" w:sz="0" w:space="0" w:color="auto"/>
            <w:bottom w:val="none" w:sz="0" w:space="0" w:color="auto"/>
            <w:right w:val="none" w:sz="0" w:space="0" w:color="auto"/>
          </w:divBdr>
          <w:divsChild>
            <w:div w:id="408041701">
              <w:marLeft w:val="0"/>
              <w:marRight w:val="0"/>
              <w:marTop w:val="0"/>
              <w:marBottom w:val="0"/>
              <w:divBdr>
                <w:top w:val="none" w:sz="0" w:space="0" w:color="auto"/>
                <w:left w:val="none" w:sz="0" w:space="0" w:color="auto"/>
                <w:bottom w:val="none" w:sz="0" w:space="0" w:color="auto"/>
                <w:right w:val="none" w:sz="0" w:space="0" w:color="auto"/>
              </w:divBdr>
              <w:divsChild>
                <w:div w:id="132300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580913">
      <w:bodyDiv w:val="1"/>
      <w:marLeft w:val="0"/>
      <w:marRight w:val="0"/>
      <w:marTop w:val="0"/>
      <w:marBottom w:val="0"/>
      <w:divBdr>
        <w:top w:val="none" w:sz="0" w:space="0" w:color="auto"/>
        <w:left w:val="none" w:sz="0" w:space="0" w:color="auto"/>
        <w:bottom w:val="none" w:sz="0" w:space="0" w:color="auto"/>
        <w:right w:val="none" w:sz="0" w:space="0" w:color="auto"/>
      </w:divBdr>
      <w:divsChild>
        <w:div w:id="1144812274">
          <w:marLeft w:val="0"/>
          <w:marRight w:val="0"/>
          <w:marTop w:val="0"/>
          <w:marBottom w:val="0"/>
          <w:divBdr>
            <w:top w:val="none" w:sz="0" w:space="0" w:color="auto"/>
            <w:left w:val="none" w:sz="0" w:space="0" w:color="auto"/>
            <w:bottom w:val="none" w:sz="0" w:space="0" w:color="auto"/>
            <w:right w:val="none" w:sz="0" w:space="0" w:color="auto"/>
          </w:divBdr>
          <w:divsChild>
            <w:div w:id="816264401">
              <w:marLeft w:val="0"/>
              <w:marRight w:val="0"/>
              <w:marTop w:val="0"/>
              <w:marBottom w:val="0"/>
              <w:divBdr>
                <w:top w:val="none" w:sz="0" w:space="0" w:color="auto"/>
                <w:left w:val="none" w:sz="0" w:space="0" w:color="auto"/>
                <w:bottom w:val="none" w:sz="0" w:space="0" w:color="auto"/>
                <w:right w:val="none" w:sz="0" w:space="0" w:color="auto"/>
              </w:divBdr>
              <w:divsChild>
                <w:div w:id="1089036406">
                  <w:marLeft w:val="0"/>
                  <w:marRight w:val="0"/>
                  <w:marTop w:val="0"/>
                  <w:marBottom w:val="0"/>
                  <w:divBdr>
                    <w:top w:val="none" w:sz="0" w:space="0" w:color="auto"/>
                    <w:left w:val="none" w:sz="0" w:space="0" w:color="auto"/>
                    <w:bottom w:val="none" w:sz="0" w:space="0" w:color="auto"/>
                    <w:right w:val="none" w:sz="0" w:space="0" w:color="auto"/>
                  </w:divBdr>
                  <w:divsChild>
                    <w:div w:id="203325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5774611">
      <w:bodyDiv w:val="1"/>
      <w:marLeft w:val="0"/>
      <w:marRight w:val="0"/>
      <w:marTop w:val="0"/>
      <w:marBottom w:val="0"/>
      <w:divBdr>
        <w:top w:val="none" w:sz="0" w:space="0" w:color="auto"/>
        <w:left w:val="none" w:sz="0" w:space="0" w:color="auto"/>
        <w:bottom w:val="none" w:sz="0" w:space="0" w:color="auto"/>
        <w:right w:val="none" w:sz="0" w:space="0" w:color="auto"/>
      </w:divBdr>
      <w:divsChild>
        <w:div w:id="1703821322">
          <w:marLeft w:val="0"/>
          <w:marRight w:val="0"/>
          <w:marTop w:val="0"/>
          <w:marBottom w:val="0"/>
          <w:divBdr>
            <w:top w:val="none" w:sz="0" w:space="0" w:color="auto"/>
            <w:left w:val="none" w:sz="0" w:space="0" w:color="auto"/>
            <w:bottom w:val="none" w:sz="0" w:space="0" w:color="auto"/>
            <w:right w:val="none" w:sz="0" w:space="0" w:color="auto"/>
          </w:divBdr>
          <w:divsChild>
            <w:div w:id="1230388554">
              <w:marLeft w:val="0"/>
              <w:marRight w:val="0"/>
              <w:marTop w:val="0"/>
              <w:marBottom w:val="0"/>
              <w:divBdr>
                <w:top w:val="none" w:sz="0" w:space="0" w:color="auto"/>
                <w:left w:val="none" w:sz="0" w:space="0" w:color="auto"/>
                <w:bottom w:val="none" w:sz="0" w:space="0" w:color="auto"/>
                <w:right w:val="none" w:sz="0" w:space="0" w:color="auto"/>
              </w:divBdr>
              <w:divsChild>
                <w:div w:id="643244403">
                  <w:marLeft w:val="0"/>
                  <w:marRight w:val="0"/>
                  <w:marTop w:val="0"/>
                  <w:marBottom w:val="0"/>
                  <w:divBdr>
                    <w:top w:val="none" w:sz="0" w:space="0" w:color="auto"/>
                    <w:left w:val="none" w:sz="0" w:space="0" w:color="auto"/>
                    <w:bottom w:val="none" w:sz="0" w:space="0" w:color="auto"/>
                    <w:right w:val="none" w:sz="0" w:space="0" w:color="auto"/>
                  </w:divBdr>
                  <w:divsChild>
                    <w:div w:id="1927954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9505092">
      <w:bodyDiv w:val="1"/>
      <w:marLeft w:val="0"/>
      <w:marRight w:val="0"/>
      <w:marTop w:val="0"/>
      <w:marBottom w:val="0"/>
      <w:divBdr>
        <w:top w:val="none" w:sz="0" w:space="0" w:color="auto"/>
        <w:left w:val="none" w:sz="0" w:space="0" w:color="auto"/>
        <w:bottom w:val="none" w:sz="0" w:space="0" w:color="auto"/>
        <w:right w:val="none" w:sz="0" w:space="0" w:color="auto"/>
      </w:divBdr>
      <w:divsChild>
        <w:div w:id="1599437711">
          <w:marLeft w:val="0"/>
          <w:marRight w:val="0"/>
          <w:marTop w:val="0"/>
          <w:marBottom w:val="0"/>
          <w:divBdr>
            <w:top w:val="none" w:sz="0" w:space="0" w:color="auto"/>
            <w:left w:val="none" w:sz="0" w:space="0" w:color="auto"/>
            <w:bottom w:val="none" w:sz="0" w:space="0" w:color="auto"/>
            <w:right w:val="none" w:sz="0" w:space="0" w:color="auto"/>
          </w:divBdr>
          <w:divsChild>
            <w:div w:id="695421416">
              <w:marLeft w:val="0"/>
              <w:marRight w:val="0"/>
              <w:marTop w:val="0"/>
              <w:marBottom w:val="0"/>
              <w:divBdr>
                <w:top w:val="none" w:sz="0" w:space="0" w:color="auto"/>
                <w:left w:val="none" w:sz="0" w:space="0" w:color="auto"/>
                <w:bottom w:val="none" w:sz="0" w:space="0" w:color="auto"/>
                <w:right w:val="none" w:sz="0" w:space="0" w:color="auto"/>
              </w:divBdr>
              <w:divsChild>
                <w:div w:id="585648141">
                  <w:marLeft w:val="0"/>
                  <w:marRight w:val="0"/>
                  <w:marTop w:val="0"/>
                  <w:marBottom w:val="0"/>
                  <w:divBdr>
                    <w:top w:val="none" w:sz="0" w:space="0" w:color="auto"/>
                    <w:left w:val="none" w:sz="0" w:space="0" w:color="auto"/>
                    <w:bottom w:val="none" w:sz="0" w:space="0" w:color="auto"/>
                    <w:right w:val="none" w:sz="0" w:space="0" w:color="auto"/>
                  </w:divBdr>
                  <w:divsChild>
                    <w:div w:id="163934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7876093">
      <w:bodyDiv w:val="1"/>
      <w:marLeft w:val="0"/>
      <w:marRight w:val="0"/>
      <w:marTop w:val="0"/>
      <w:marBottom w:val="0"/>
      <w:divBdr>
        <w:top w:val="none" w:sz="0" w:space="0" w:color="auto"/>
        <w:left w:val="none" w:sz="0" w:space="0" w:color="auto"/>
        <w:bottom w:val="none" w:sz="0" w:space="0" w:color="auto"/>
        <w:right w:val="none" w:sz="0" w:space="0" w:color="auto"/>
      </w:divBdr>
    </w:div>
    <w:div w:id="1298678262">
      <w:bodyDiv w:val="1"/>
      <w:marLeft w:val="0"/>
      <w:marRight w:val="0"/>
      <w:marTop w:val="0"/>
      <w:marBottom w:val="0"/>
      <w:divBdr>
        <w:top w:val="none" w:sz="0" w:space="0" w:color="auto"/>
        <w:left w:val="none" w:sz="0" w:space="0" w:color="auto"/>
        <w:bottom w:val="none" w:sz="0" w:space="0" w:color="auto"/>
        <w:right w:val="none" w:sz="0" w:space="0" w:color="auto"/>
      </w:divBdr>
    </w:div>
    <w:div w:id="1300451460">
      <w:bodyDiv w:val="1"/>
      <w:marLeft w:val="0"/>
      <w:marRight w:val="0"/>
      <w:marTop w:val="0"/>
      <w:marBottom w:val="0"/>
      <w:divBdr>
        <w:top w:val="none" w:sz="0" w:space="0" w:color="auto"/>
        <w:left w:val="none" w:sz="0" w:space="0" w:color="auto"/>
        <w:bottom w:val="none" w:sz="0" w:space="0" w:color="auto"/>
        <w:right w:val="none" w:sz="0" w:space="0" w:color="auto"/>
      </w:divBdr>
    </w:div>
    <w:div w:id="1310482634">
      <w:bodyDiv w:val="1"/>
      <w:marLeft w:val="0"/>
      <w:marRight w:val="0"/>
      <w:marTop w:val="0"/>
      <w:marBottom w:val="0"/>
      <w:divBdr>
        <w:top w:val="none" w:sz="0" w:space="0" w:color="auto"/>
        <w:left w:val="none" w:sz="0" w:space="0" w:color="auto"/>
        <w:bottom w:val="none" w:sz="0" w:space="0" w:color="auto"/>
        <w:right w:val="none" w:sz="0" w:space="0" w:color="auto"/>
      </w:divBdr>
      <w:divsChild>
        <w:div w:id="1456102505">
          <w:marLeft w:val="0"/>
          <w:marRight w:val="0"/>
          <w:marTop w:val="0"/>
          <w:marBottom w:val="0"/>
          <w:divBdr>
            <w:top w:val="none" w:sz="0" w:space="0" w:color="auto"/>
            <w:left w:val="none" w:sz="0" w:space="0" w:color="auto"/>
            <w:bottom w:val="none" w:sz="0" w:space="0" w:color="auto"/>
            <w:right w:val="none" w:sz="0" w:space="0" w:color="auto"/>
          </w:divBdr>
          <w:divsChild>
            <w:div w:id="237592207">
              <w:marLeft w:val="0"/>
              <w:marRight w:val="0"/>
              <w:marTop w:val="0"/>
              <w:marBottom w:val="0"/>
              <w:divBdr>
                <w:top w:val="none" w:sz="0" w:space="0" w:color="auto"/>
                <w:left w:val="none" w:sz="0" w:space="0" w:color="auto"/>
                <w:bottom w:val="none" w:sz="0" w:space="0" w:color="auto"/>
                <w:right w:val="none" w:sz="0" w:space="0" w:color="auto"/>
              </w:divBdr>
              <w:divsChild>
                <w:div w:id="1564833010">
                  <w:marLeft w:val="0"/>
                  <w:marRight w:val="0"/>
                  <w:marTop w:val="0"/>
                  <w:marBottom w:val="0"/>
                  <w:divBdr>
                    <w:top w:val="none" w:sz="0" w:space="0" w:color="auto"/>
                    <w:left w:val="none" w:sz="0" w:space="0" w:color="auto"/>
                    <w:bottom w:val="none" w:sz="0" w:space="0" w:color="auto"/>
                    <w:right w:val="none" w:sz="0" w:space="0" w:color="auto"/>
                  </w:divBdr>
                </w:div>
              </w:divsChild>
            </w:div>
            <w:div w:id="1979601970">
              <w:marLeft w:val="0"/>
              <w:marRight w:val="0"/>
              <w:marTop w:val="0"/>
              <w:marBottom w:val="0"/>
              <w:divBdr>
                <w:top w:val="none" w:sz="0" w:space="0" w:color="auto"/>
                <w:left w:val="none" w:sz="0" w:space="0" w:color="auto"/>
                <w:bottom w:val="none" w:sz="0" w:space="0" w:color="auto"/>
                <w:right w:val="none" w:sz="0" w:space="0" w:color="auto"/>
              </w:divBdr>
              <w:divsChild>
                <w:div w:id="59035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978236">
      <w:bodyDiv w:val="1"/>
      <w:marLeft w:val="0"/>
      <w:marRight w:val="0"/>
      <w:marTop w:val="0"/>
      <w:marBottom w:val="0"/>
      <w:divBdr>
        <w:top w:val="none" w:sz="0" w:space="0" w:color="auto"/>
        <w:left w:val="none" w:sz="0" w:space="0" w:color="auto"/>
        <w:bottom w:val="none" w:sz="0" w:space="0" w:color="auto"/>
        <w:right w:val="none" w:sz="0" w:space="0" w:color="auto"/>
      </w:divBdr>
      <w:divsChild>
        <w:div w:id="1957054241">
          <w:marLeft w:val="0"/>
          <w:marRight w:val="0"/>
          <w:marTop w:val="0"/>
          <w:marBottom w:val="0"/>
          <w:divBdr>
            <w:top w:val="none" w:sz="0" w:space="0" w:color="auto"/>
            <w:left w:val="none" w:sz="0" w:space="0" w:color="auto"/>
            <w:bottom w:val="none" w:sz="0" w:space="0" w:color="auto"/>
            <w:right w:val="none" w:sz="0" w:space="0" w:color="auto"/>
          </w:divBdr>
          <w:divsChild>
            <w:div w:id="552468793">
              <w:marLeft w:val="0"/>
              <w:marRight w:val="0"/>
              <w:marTop w:val="0"/>
              <w:marBottom w:val="0"/>
              <w:divBdr>
                <w:top w:val="none" w:sz="0" w:space="0" w:color="auto"/>
                <w:left w:val="none" w:sz="0" w:space="0" w:color="auto"/>
                <w:bottom w:val="none" w:sz="0" w:space="0" w:color="auto"/>
                <w:right w:val="none" w:sz="0" w:space="0" w:color="auto"/>
              </w:divBdr>
              <w:divsChild>
                <w:div w:id="94210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5644473">
      <w:bodyDiv w:val="1"/>
      <w:marLeft w:val="0"/>
      <w:marRight w:val="0"/>
      <w:marTop w:val="0"/>
      <w:marBottom w:val="0"/>
      <w:divBdr>
        <w:top w:val="none" w:sz="0" w:space="0" w:color="auto"/>
        <w:left w:val="none" w:sz="0" w:space="0" w:color="auto"/>
        <w:bottom w:val="none" w:sz="0" w:space="0" w:color="auto"/>
        <w:right w:val="none" w:sz="0" w:space="0" w:color="auto"/>
      </w:divBdr>
    </w:div>
    <w:div w:id="1316569971">
      <w:bodyDiv w:val="1"/>
      <w:marLeft w:val="0"/>
      <w:marRight w:val="0"/>
      <w:marTop w:val="0"/>
      <w:marBottom w:val="0"/>
      <w:divBdr>
        <w:top w:val="none" w:sz="0" w:space="0" w:color="auto"/>
        <w:left w:val="none" w:sz="0" w:space="0" w:color="auto"/>
        <w:bottom w:val="none" w:sz="0" w:space="0" w:color="auto"/>
        <w:right w:val="none" w:sz="0" w:space="0" w:color="auto"/>
      </w:divBdr>
    </w:div>
    <w:div w:id="1326284367">
      <w:bodyDiv w:val="1"/>
      <w:marLeft w:val="0"/>
      <w:marRight w:val="0"/>
      <w:marTop w:val="0"/>
      <w:marBottom w:val="0"/>
      <w:divBdr>
        <w:top w:val="none" w:sz="0" w:space="0" w:color="auto"/>
        <w:left w:val="none" w:sz="0" w:space="0" w:color="auto"/>
        <w:bottom w:val="none" w:sz="0" w:space="0" w:color="auto"/>
        <w:right w:val="none" w:sz="0" w:space="0" w:color="auto"/>
      </w:divBdr>
    </w:div>
    <w:div w:id="1335958331">
      <w:bodyDiv w:val="1"/>
      <w:marLeft w:val="0"/>
      <w:marRight w:val="0"/>
      <w:marTop w:val="0"/>
      <w:marBottom w:val="0"/>
      <w:divBdr>
        <w:top w:val="none" w:sz="0" w:space="0" w:color="auto"/>
        <w:left w:val="none" w:sz="0" w:space="0" w:color="auto"/>
        <w:bottom w:val="none" w:sz="0" w:space="0" w:color="auto"/>
        <w:right w:val="none" w:sz="0" w:space="0" w:color="auto"/>
      </w:divBdr>
    </w:div>
    <w:div w:id="1338993748">
      <w:bodyDiv w:val="1"/>
      <w:marLeft w:val="0"/>
      <w:marRight w:val="0"/>
      <w:marTop w:val="0"/>
      <w:marBottom w:val="0"/>
      <w:divBdr>
        <w:top w:val="none" w:sz="0" w:space="0" w:color="auto"/>
        <w:left w:val="none" w:sz="0" w:space="0" w:color="auto"/>
        <w:bottom w:val="none" w:sz="0" w:space="0" w:color="auto"/>
        <w:right w:val="none" w:sz="0" w:space="0" w:color="auto"/>
      </w:divBdr>
    </w:div>
    <w:div w:id="1340081835">
      <w:bodyDiv w:val="1"/>
      <w:marLeft w:val="0"/>
      <w:marRight w:val="0"/>
      <w:marTop w:val="0"/>
      <w:marBottom w:val="0"/>
      <w:divBdr>
        <w:top w:val="none" w:sz="0" w:space="0" w:color="auto"/>
        <w:left w:val="none" w:sz="0" w:space="0" w:color="auto"/>
        <w:bottom w:val="none" w:sz="0" w:space="0" w:color="auto"/>
        <w:right w:val="none" w:sz="0" w:space="0" w:color="auto"/>
      </w:divBdr>
    </w:div>
    <w:div w:id="1346592423">
      <w:bodyDiv w:val="1"/>
      <w:marLeft w:val="0"/>
      <w:marRight w:val="0"/>
      <w:marTop w:val="0"/>
      <w:marBottom w:val="0"/>
      <w:divBdr>
        <w:top w:val="none" w:sz="0" w:space="0" w:color="auto"/>
        <w:left w:val="none" w:sz="0" w:space="0" w:color="auto"/>
        <w:bottom w:val="none" w:sz="0" w:space="0" w:color="auto"/>
        <w:right w:val="none" w:sz="0" w:space="0" w:color="auto"/>
      </w:divBdr>
      <w:divsChild>
        <w:div w:id="1115715361">
          <w:marLeft w:val="0"/>
          <w:marRight w:val="0"/>
          <w:marTop w:val="0"/>
          <w:marBottom w:val="0"/>
          <w:divBdr>
            <w:top w:val="none" w:sz="0" w:space="0" w:color="auto"/>
            <w:left w:val="none" w:sz="0" w:space="0" w:color="auto"/>
            <w:bottom w:val="none" w:sz="0" w:space="0" w:color="auto"/>
            <w:right w:val="none" w:sz="0" w:space="0" w:color="auto"/>
          </w:divBdr>
          <w:divsChild>
            <w:div w:id="1735350150">
              <w:marLeft w:val="0"/>
              <w:marRight w:val="0"/>
              <w:marTop w:val="0"/>
              <w:marBottom w:val="0"/>
              <w:divBdr>
                <w:top w:val="none" w:sz="0" w:space="0" w:color="auto"/>
                <w:left w:val="none" w:sz="0" w:space="0" w:color="auto"/>
                <w:bottom w:val="none" w:sz="0" w:space="0" w:color="auto"/>
                <w:right w:val="none" w:sz="0" w:space="0" w:color="auto"/>
              </w:divBdr>
              <w:divsChild>
                <w:div w:id="1389377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950167">
      <w:bodyDiv w:val="1"/>
      <w:marLeft w:val="0"/>
      <w:marRight w:val="0"/>
      <w:marTop w:val="0"/>
      <w:marBottom w:val="0"/>
      <w:divBdr>
        <w:top w:val="none" w:sz="0" w:space="0" w:color="auto"/>
        <w:left w:val="none" w:sz="0" w:space="0" w:color="auto"/>
        <w:bottom w:val="none" w:sz="0" w:space="0" w:color="auto"/>
        <w:right w:val="none" w:sz="0" w:space="0" w:color="auto"/>
      </w:divBdr>
    </w:div>
    <w:div w:id="1361199009">
      <w:bodyDiv w:val="1"/>
      <w:marLeft w:val="0"/>
      <w:marRight w:val="0"/>
      <w:marTop w:val="0"/>
      <w:marBottom w:val="0"/>
      <w:divBdr>
        <w:top w:val="none" w:sz="0" w:space="0" w:color="auto"/>
        <w:left w:val="none" w:sz="0" w:space="0" w:color="auto"/>
        <w:bottom w:val="none" w:sz="0" w:space="0" w:color="auto"/>
        <w:right w:val="none" w:sz="0" w:space="0" w:color="auto"/>
      </w:divBdr>
    </w:div>
    <w:div w:id="1363019359">
      <w:bodyDiv w:val="1"/>
      <w:marLeft w:val="0"/>
      <w:marRight w:val="0"/>
      <w:marTop w:val="0"/>
      <w:marBottom w:val="0"/>
      <w:divBdr>
        <w:top w:val="none" w:sz="0" w:space="0" w:color="auto"/>
        <w:left w:val="none" w:sz="0" w:space="0" w:color="auto"/>
        <w:bottom w:val="none" w:sz="0" w:space="0" w:color="auto"/>
        <w:right w:val="none" w:sz="0" w:space="0" w:color="auto"/>
      </w:divBdr>
    </w:div>
    <w:div w:id="1424061720">
      <w:bodyDiv w:val="1"/>
      <w:marLeft w:val="0"/>
      <w:marRight w:val="0"/>
      <w:marTop w:val="0"/>
      <w:marBottom w:val="0"/>
      <w:divBdr>
        <w:top w:val="none" w:sz="0" w:space="0" w:color="auto"/>
        <w:left w:val="none" w:sz="0" w:space="0" w:color="auto"/>
        <w:bottom w:val="none" w:sz="0" w:space="0" w:color="auto"/>
        <w:right w:val="none" w:sz="0" w:space="0" w:color="auto"/>
      </w:divBdr>
    </w:div>
    <w:div w:id="1427310317">
      <w:bodyDiv w:val="1"/>
      <w:marLeft w:val="0"/>
      <w:marRight w:val="0"/>
      <w:marTop w:val="0"/>
      <w:marBottom w:val="0"/>
      <w:divBdr>
        <w:top w:val="none" w:sz="0" w:space="0" w:color="auto"/>
        <w:left w:val="none" w:sz="0" w:space="0" w:color="auto"/>
        <w:bottom w:val="none" w:sz="0" w:space="0" w:color="auto"/>
        <w:right w:val="none" w:sz="0" w:space="0" w:color="auto"/>
      </w:divBdr>
    </w:div>
    <w:div w:id="1431897620">
      <w:bodyDiv w:val="1"/>
      <w:marLeft w:val="0"/>
      <w:marRight w:val="0"/>
      <w:marTop w:val="0"/>
      <w:marBottom w:val="0"/>
      <w:divBdr>
        <w:top w:val="none" w:sz="0" w:space="0" w:color="auto"/>
        <w:left w:val="none" w:sz="0" w:space="0" w:color="auto"/>
        <w:bottom w:val="none" w:sz="0" w:space="0" w:color="auto"/>
        <w:right w:val="none" w:sz="0" w:space="0" w:color="auto"/>
      </w:divBdr>
    </w:div>
    <w:div w:id="1437795306">
      <w:bodyDiv w:val="1"/>
      <w:marLeft w:val="0"/>
      <w:marRight w:val="0"/>
      <w:marTop w:val="0"/>
      <w:marBottom w:val="0"/>
      <w:divBdr>
        <w:top w:val="none" w:sz="0" w:space="0" w:color="auto"/>
        <w:left w:val="none" w:sz="0" w:space="0" w:color="auto"/>
        <w:bottom w:val="none" w:sz="0" w:space="0" w:color="auto"/>
        <w:right w:val="none" w:sz="0" w:space="0" w:color="auto"/>
      </w:divBdr>
    </w:div>
    <w:div w:id="1441686687">
      <w:bodyDiv w:val="1"/>
      <w:marLeft w:val="0"/>
      <w:marRight w:val="0"/>
      <w:marTop w:val="0"/>
      <w:marBottom w:val="0"/>
      <w:divBdr>
        <w:top w:val="none" w:sz="0" w:space="0" w:color="auto"/>
        <w:left w:val="none" w:sz="0" w:space="0" w:color="auto"/>
        <w:bottom w:val="none" w:sz="0" w:space="0" w:color="auto"/>
        <w:right w:val="none" w:sz="0" w:space="0" w:color="auto"/>
      </w:divBdr>
    </w:div>
    <w:div w:id="1447969486">
      <w:bodyDiv w:val="1"/>
      <w:marLeft w:val="0"/>
      <w:marRight w:val="0"/>
      <w:marTop w:val="0"/>
      <w:marBottom w:val="0"/>
      <w:divBdr>
        <w:top w:val="none" w:sz="0" w:space="0" w:color="auto"/>
        <w:left w:val="none" w:sz="0" w:space="0" w:color="auto"/>
        <w:bottom w:val="none" w:sz="0" w:space="0" w:color="auto"/>
        <w:right w:val="none" w:sz="0" w:space="0" w:color="auto"/>
      </w:divBdr>
    </w:div>
    <w:div w:id="1451437675">
      <w:bodyDiv w:val="1"/>
      <w:marLeft w:val="0"/>
      <w:marRight w:val="0"/>
      <w:marTop w:val="0"/>
      <w:marBottom w:val="0"/>
      <w:divBdr>
        <w:top w:val="none" w:sz="0" w:space="0" w:color="auto"/>
        <w:left w:val="none" w:sz="0" w:space="0" w:color="auto"/>
        <w:bottom w:val="none" w:sz="0" w:space="0" w:color="auto"/>
        <w:right w:val="none" w:sz="0" w:space="0" w:color="auto"/>
      </w:divBdr>
    </w:div>
    <w:div w:id="1457525958">
      <w:bodyDiv w:val="1"/>
      <w:marLeft w:val="0"/>
      <w:marRight w:val="0"/>
      <w:marTop w:val="0"/>
      <w:marBottom w:val="0"/>
      <w:divBdr>
        <w:top w:val="none" w:sz="0" w:space="0" w:color="auto"/>
        <w:left w:val="none" w:sz="0" w:space="0" w:color="auto"/>
        <w:bottom w:val="none" w:sz="0" w:space="0" w:color="auto"/>
        <w:right w:val="none" w:sz="0" w:space="0" w:color="auto"/>
      </w:divBdr>
    </w:div>
    <w:div w:id="1476605806">
      <w:bodyDiv w:val="1"/>
      <w:marLeft w:val="0"/>
      <w:marRight w:val="0"/>
      <w:marTop w:val="0"/>
      <w:marBottom w:val="0"/>
      <w:divBdr>
        <w:top w:val="none" w:sz="0" w:space="0" w:color="auto"/>
        <w:left w:val="none" w:sz="0" w:space="0" w:color="auto"/>
        <w:bottom w:val="none" w:sz="0" w:space="0" w:color="auto"/>
        <w:right w:val="none" w:sz="0" w:space="0" w:color="auto"/>
      </w:divBdr>
    </w:div>
    <w:div w:id="1483041835">
      <w:bodyDiv w:val="1"/>
      <w:marLeft w:val="0"/>
      <w:marRight w:val="0"/>
      <w:marTop w:val="0"/>
      <w:marBottom w:val="0"/>
      <w:divBdr>
        <w:top w:val="none" w:sz="0" w:space="0" w:color="auto"/>
        <w:left w:val="none" w:sz="0" w:space="0" w:color="auto"/>
        <w:bottom w:val="none" w:sz="0" w:space="0" w:color="auto"/>
        <w:right w:val="none" w:sz="0" w:space="0" w:color="auto"/>
      </w:divBdr>
    </w:div>
    <w:div w:id="1490168277">
      <w:bodyDiv w:val="1"/>
      <w:marLeft w:val="0"/>
      <w:marRight w:val="0"/>
      <w:marTop w:val="0"/>
      <w:marBottom w:val="0"/>
      <w:divBdr>
        <w:top w:val="none" w:sz="0" w:space="0" w:color="auto"/>
        <w:left w:val="none" w:sz="0" w:space="0" w:color="auto"/>
        <w:bottom w:val="none" w:sz="0" w:space="0" w:color="auto"/>
        <w:right w:val="none" w:sz="0" w:space="0" w:color="auto"/>
      </w:divBdr>
      <w:divsChild>
        <w:div w:id="1934703669">
          <w:marLeft w:val="0"/>
          <w:marRight w:val="0"/>
          <w:marTop w:val="0"/>
          <w:marBottom w:val="0"/>
          <w:divBdr>
            <w:top w:val="none" w:sz="0" w:space="0" w:color="auto"/>
            <w:left w:val="none" w:sz="0" w:space="0" w:color="auto"/>
            <w:bottom w:val="none" w:sz="0" w:space="0" w:color="auto"/>
            <w:right w:val="none" w:sz="0" w:space="0" w:color="auto"/>
          </w:divBdr>
          <w:divsChild>
            <w:div w:id="2013605057">
              <w:marLeft w:val="0"/>
              <w:marRight w:val="0"/>
              <w:marTop w:val="0"/>
              <w:marBottom w:val="0"/>
              <w:divBdr>
                <w:top w:val="none" w:sz="0" w:space="0" w:color="auto"/>
                <w:left w:val="none" w:sz="0" w:space="0" w:color="auto"/>
                <w:bottom w:val="none" w:sz="0" w:space="0" w:color="auto"/>
                <w:right w:val="none" w:sz="0" w:space="0" w:color="auto"/>
              </w:divBdr>
              <w:divsChild>
                <w:div w:id="1901868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178585">
      <w:bodyDiv w:val="1"/>
      <w:marLeft w:val="0"/>
      <w:marRight w:val="0"/>
      <w:marTop w:val="0"/>
      <w:marBottom w:val="0"/>
      <w:divBdr>
        <w:top w:val="none" w:sz="0" w:space="0" w:color="auto"/>
        <w:left w:val="none" w:sz="0" w:space="0" w:color="auto"/>
        <w:bottom w:val="none" w:sz="0" w:space="0" w:color="auto"/>
        <w:right w:val="none" w:sz="0" w:space="0" w:color="auto"/>
      </w:divBdr>
    </w:div>
    <w:div w:id="1523326275">
      <w:bodyDiv w:val="1"/>
      <w:marLeft w:val="0"/>
      <w:marRight w:val="0"/>
      <w:marTop w:val="0"/>
      <w:marBottom w:val="0"/>
      <w:divBdr>
        <w:top w:val="none" w:sz="0" w:space="0" w:color="auto"/>
        <w:left w:val="none" w:sz="0" w:space="0" w:color="auto"/>
        <w:bottom w:val="none" w:sz="0" w:space="0" w:color="auto"/>
        <w:right w:val="none" w:sz="0" w:space="0" w:color="auto"/>
      </w:divBdr>
    </w:div>
    <w:div w:id="1529827486">
      <w:bodyDiv w:val="1"/>
      <w:marLeft w:val="0"/>
      <w:marRight w:val="0"/>
      <w:marTop w:val="0"/>
      <w:marBottom w:val="0"/>
      <w:divBdr>
        <w:top w:val="none" w:sz="0" w:space="0" w:color="auto"/>
        <w:left w:val="none" w:sz="0" w:space="0" w:color="auto"/>
        <w:bottom w:val="none" w:sz="0" w:space="0" w:color="auto"/>
        <w:right w:val="none" w:sz="0" w:space="0" w:color="auto"/>
      </w:divBdr>
    </w:div>
    <w:div w:id="1536696959">
      <w:bodyDiv w:val="1"/>
      <w:marLeft w:val="0"/>
      <w:marRight w:val="0"/>
      <w:marTop w:val="0"/>
      <w:marBottom w:val="0"/>
      <w:divBdr>
        <w:top w:val="none" w:sz="0" w:space="0" w:color="auto"/>
        <w:left w:val="none" w:sz="0" w:space="0" w:color="auto"/>
        <w:bottom w:val="none" w:sz="0" w:space="0" w:color="auto"/>
        <w:right w:val="none" w:sz="0" w:space="0" w:color="auto"/>
      </w:divBdr>
    </w:div>
    <w:div w:id="1544365349">
      <w:bodyDiv w:val="1"/>
      <w:marLeft w:val="0"/>
      <w:marRight w:val="0"/>
      <w:marTop w:val="0"/>
      <w:marBottom w:val="0"/>
      <w:divBdr>
        <w:top w:val="none" w:sz="0" w:space="0" w:color="auto"/>
        <w:left w:val="none" w:sz="0" w:space="0" w:color="auto"/>
        <w:bottom w:val="none" w:sz="0" w:space="0" w:color="auto"/>
        <w:right w:val="none" w:sz="0" w:space="0" w:color="auto"/>
      </w:divBdr>
    </w:div>
    <w:div w:id="1547645279">
      <w:bodyDiv w:val="1"/>
      <w:marLeft w:val="0"/>
      <w:marRight w:val="0"/>
      <w:marTop w:val="0"/>
      <w:marBottom w:val="0"/>
      <w:divBdr>
        <w:top w:val="none" w:sz="0" w:space="0" w:color="auto"/>
        <w:left w:val="none" w:sz="0" w:space="0" w:color="auto"/>
        <w:bottom w:val="none" w:sz="0" w:space="0" w:color="auto"/>
        <w:right w:val="none" w:sz="0" w:space="0" w:color="auto"/>
      </w:divBdr>
      <w:divsChild>
        <w:div w:id="756101279">
          <w:marLeft w:val="0"/>
          <w:marRight w:val="0"/>
          <w:marTop w:val="0"/>
          <w:marBottom w:val="0"/>
          <w:divBdr>
            <w:top w:val="none" w:sz="0" w:space="0" w:color="auto"/>
            <w:left w:val="none" w:sz="0" w:space="0" w:color="auto"/>
            <w:bottom w:val="none" w:sz="0" w:space="0" w:color="auto"/>
            <w:right w:val="none" w:sz="0" w:space="0" w:color="auto"/>
          </w:divBdr>
          <w:divsChild>
            <w:div w:id="1949116727">
              <w:marLeft w:val="0"/>
              <w:marRight w:val="0"/>
              <w:marTop w:val="0"/>
              <w:marBottom w:val="0"/>
              <w:divBdr>
                <w:top w:val="none" w:sz="0" w:space="0" w:color="auto"/>
                <w:left w:val="none" w:sz="0" w:space="0" w:color="auto"/>
                <w:bottom w:val="none" w:sz="0" w:space="0" w:color="auto"/>
                <w:right w:val="none" w:sz="0" w:space="0" w:color="auto"/>
              </w:divBdr>
              <w:divsChild>
                <w:div w:id="1717391178">
                  <w:marLeft w:val="0"/>
                  <w:marRight w:val="0"/>
                  <w:marTop w:val="0"/>
                  <w:marBottom w:val="0"/>
                  <w:divBdr>
                    <w:top w:val="none" w:sz="0" w:space="0" w:color="auto"/>
                    <w:left w:val="none" w:sz="0" w:space="0" w:color="auto"/>
                    <w:bottom w:val="none" w:sz="0" w:space="0" w:color="auto"/>
                    <w:right w:val="none" w:sz="0" w:space="0" w:color="auto"/>
                  </w:divBdr>
                  <w:divsChild>
                    <w:div w:id="174083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7720866">
      <w:bodyDiv w:val="1"/>
      <w:marLeft w:val="0"/>
      <w:marRight w:val="0"/>
      <w:marTop w:val="0"/>
      <w:marBottom w:val="0"/>
      <w:divBdr>
        <w:top w:val="none" w:sz="0" w:space="0" w:color="auto"/>
        <w:left w:val="none" w:sz="0" w:space="0" w:color="auto"/>
        <w:bottom w:val="none" w:sz="0" w:space="0" w:color="auto"/>
        <w:right w:val="none" w:sz="0" w:space="0" w:color="auto"/>
      </w:divBdr>
    </w:div>
    <w:div w:id="1553075107">
      <w:bodyDiv w:val="1"/>
      <w:marLeft w:val="0"/>
      <w:marRight w:val="0"/>
      <w:marTop w:val="0"/>
      <w:marBottom w:val="0"/>
      <w:divBdr>
        <w:top w:val="none" w:sz="0" w:space="0" w:color="auto"/>
        <w:left w:val="none" w:sz="0" w:space="0" w:color="auto"/>
        <w:bottom w:val="none" w:sz="0" w:space="0" w:color="auto"/>
        <w:right w:val="none" w:sz="0" w:space="0" w:color="auto"/>
      </w:divBdr>
    </w:div>
    <w:div w:id="1563637445">
      <w:bodyDiv w:val="1"/>
      <w:marLeft w:val="0"/>
      <w:marRight w:val="0"/>
      <w:marTop w:val="0"/>
      <w:marBottom w:val="0"/>
      <w:divBdr>
        <w:top w:val="none" w:sz="0" w:space="0" w:color="auto"/>
        <w:left w:val="none" w:sz="0" w:space="0" w:color="auto"/>
        <w:bottom w:val="none" w:sz="0" w:space="0" w:color="auto"/>
        <w:right w:val="none" w:sz="0" w:space="0" w:color="auto"/>
      </w:divBdr>
      <w:divsChild>
        <w:div w:id="619990851">
          <w:marLeft w:val="0"/>
          <w:marRight w:val="0"/>
          <w:marTop w:val="0"/>
          <w:marBottom w:val="0"/>
          <w:divBdr>
            <w:top w:val="none" w:sz="0" w:space="0" w:color="auto"/>
            <w:left w:val="none" w:sz="0" w:space="0" w:color="auto"/>
            <w:bottom w:val="none" w:sz="0" w:space="0" w:color="auto"/>
            <w:right w:val="none" w:sz="0" w:space="0" w:color="auto"/>
          </w:divBdr>
          <w:divsChild>
            <w:div w:id="1878811736">
              <w:marLeft w:val="0"/>
              <w:marRight w:val="0"/>
              <w:marTop w:val="0"/>
              <w:marBottom w:val="0"/>
              <w:divBdr>
                <w:top w:val="none" w:sz="0" w:space="0" w:color="auto"/>
                <w:left w:val="none" w:sz="0" w:space="0" w:color="auto"/>
                <w:bottom w:val="none" w:sz="0" w:space="0" w:color="auto"/>
                <w:right w:val="none" w:sz="0" w:space="0" w:color="auto"/>
              </w:divBdr>
              <w:divsChild>
                <w:div w:id="263652068">
                  <w:marLeft w:val="0"/>
                  <w:marRight w:val="0"/>
                  <w:marTop w:val="0"/>
                  <w:marBottom w:val="0"/>
                  <w:divBdr>
                    <w:top w:val="none" w:sz="0" w:space="0" w:color="auto"/>
                    <w:left w:val="none" w:sz="0" w:space="0" w:color="auto"/>
                    <w:bottom w:val="none" w:sz="0" w:space="0" w:color="auto"/>
                    <w:right w:val="none" w:sz="0" w:space="0" w:color="auto"/>
                  </w:divBdr>
                  <w:divsChild>
                    <w:div w:id="1795825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3980440">
      <w:bodyDiv w:val="1"/>
      <w:marLeft w:val="0"/>
      <w:marRight w:val="0"/>
      <w:marTop w:val="0"/>
      <w:marBottom w:val="0"/>
      <w:divBdr>
        <w:top w:val="none" w:sz="0" w:space="0" w:color="auto"/>
        <w:left w:val="none" w:sz="0" w:space="0" w:color="auto"/>
        <w:bottom w:val="none" w:sz="0" w:space="0" w:color="auto"/>
        <w:right w:val="none" w:sz="0" w:space="0" w:color="auto"/>
      </w:divBdr>
      <w:divsChild>
        <w:div w:id="197862558">
          <w:marLeft w:val="0"/>
          <w:marRight w:val="0"/>
          <w:marTop w:val="0"/>
          <w:marBottom w:val="0"/>
          <w:divBdr>
            <w:top w:val="none" w:sz="0" w:space="0" w:color="auto"/>
            <w:left w:val="none" w:sz="0" w:space="0" w:color="auto"/>
            <w:bottom w:val="none" w:sz="0" w:space="0" w:color="auto"/>
            <w:right w:val="none" w:sz="0" w:space="0" w:color="auto"/>
          </w:divBdr>
          <w:divsChild>
            <w:div w:id="1039934013">
              <w:marLeft w:val="0"/>
              <w:marRight w:val="0"/>
              <w:marTop w:val="0"/>
              <w:marBottom w:val="0"/>
              <w:divBdr>
                <w:top w:val="none" w:sz="0" w:space="0" w:color="auto"/>
                <w:left w:val="none" w:sz="0" w:space="0" w:color="auto"/>
                <w:bottom w:val="none" w:sz="0" w:space="0" w:color="auto"/>
                <w:right w:val="none" w:sz="0" w:space="0" w:color="auto"/>
              </w:divBdr>
              <w:divsChild>
                <w:div w:id="1020005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786190">
      <w:bodyDiv w:val="1"/>
      <w:marLeft w:val="0"/>
      <w:marRight w:val="0"/>
      <w:marTop w:val="0"/>
      <w:marBottom w:val="0"/>
      <w:divBdr>
        <w:top w:val="none" w:sz="0" w:space="0" w:color="auto"/>
        <w:left w:val="none" w:sz="0" w:space="0" w:color="auto"/>
        <w:bottom w:val="none" w:sz="0" w:space="0" w:color="auto"/>
        <w:right w:val="none" w:sz="0" w:space="0" w:color="auto"/>
      </w:divBdr>
    </w:div>
    <w:div w:id="1593009117">
      <w:bodyDiv w:val="1"/>
      <w:marLeft w:val="0"/>
      <w:marRight w:val="0"/>
      <w:marTop w:val="0"/>
      <w:marBottom w:val="0"/>
      <w:divBdr>
        <w:top w:val="none" w:sz="0" w:space="0" w:color="auto"/>
        <w:left w:val="none" w:sz="0" w:space="0" w:color="auto"/>
        <w:bottom w:val="none" w:sz="0" w:space="0" w:color="auto"/>
        <w:right w:val="none" w:sz="0" w:space="0" w:color="auto"/>
      </w:divBdr>
    </w:div>
    <w:div w:id="1593009245">
      <w:bodyDiv w:val="1"/>
      <w:marLeft w:val="0"/>
      <w:marRight w:val="0"/>
      <w:marTop w:val="0"/>
      <w:marBottom w:val="0"/>
      <w:divBdr>
        <w:top w:val="none" w:sz="0" w:space="0" w:color="auto"/>
        <w:left w:val="none" w:sz="0" w:space="0" w:color="auto"/>
        <w:bottom w:val="none" w:sz="0" w:space="0" w:color="auto"/>
        <w:right w:val="none" w:sz="0" w:space="0" w:color="auto"/>
      </w:divBdr>
    </w:div>
    <w:div w:id="1596396885">
      <w:bodyDiv w:val="1"/>
      <w:marLeft w:val="0"/>
      <w:marRight w:val="0"/>
      <w:marTop w:val="0"/>
      <w:marBottom w:val="0"/>
      <w:divBdr>
        <w:top w:val="none" w:sz="0" w:space="0" w:color="auto"/>
        <w:left w:val="none" w:sz="0" w:space="0" w:color="auto"/>
        <w:bottom w:val="none" w:sz="0" w:space="0" w:color="auto"/>
        <w:right w:val="none" w:sz="0" w:space="0" w:color="auto"/>
      </w:divBdr>
    </w:div>
    <w:div w:id="1597052896">
      <w:bodyDiv w:val="1"/>
      <w:marLeft w:val="0"/>
      <w:marRight w:val="0"/>
      <w:marTop w:val="0"/>
      <w:marBottom w:val="0"/>
      <w:divBdr>
        <w:top w:val="none" w:sz="0" w:space="0" w:color="auto"/>
        <w:left w:val="none" w:sz="0" w:space="0" w:color="auto"/>
        <w:bottom w:val="none" w:sz="0" w:space="0" w:color="auto"/>
        <w:right w:val="none" w:sz="0" w:space="0" w:color="auto"/>
      </w:divBdr>
    </w:div>
    <w:div w:id="1602100554">
      <w:bodyDiv w:val="1"/>
      <w:marLeft w:val="0"/>
      <w:marRight w:val="0"/>
      <w:marTop w:val="0"/>
      <w:marBottom w:val="0"/>
      <w:divBdr>
        <w:top w:val="none" w:sz="0" w:space="0" w:color="auto"/>
        <w:left w:val="none" w:sz="0" w:space="0" w:color="auto"/>
        <w:bottom w:val="none" w:sz="0" w:space="0" w:color="auto"/>
        <w:right w:val="none" w:sz="0" w:space="0" w:color="auto"/>
      </w:divBdr>
    </w:div>
    <w:div w:id="1603875912">
      <w:bodyDiv w:val="1"/>
      <w:marLeft w:val="0"/>
      <w:marRight w:val="0"/>
      <w:marTop w:val="0"/>
      <w:marBottom w:val="0"/>
      <w:divBdr>
        <w:top w:val="none" w:sz="0" w:space="0" w:color="auto"/>
        <w:left w:val="none" w:sz="0" w:space="0" w:color="auto"/>
        <w:bottom w:val="none" w:sz="0" w:space="0" w:color="auto"/>
        <w:right w:val="none" w:sz="0" w:space="0" w:color="auto"/>
      </w:divBdr>
    </w:div>
    <w:div w:id="1623608855">
      <w:bodyDiv w:val="1"/>
      <w:marLeft w:val="0"/>
      <w:marRight w:val="0"/>
      <w:marTop w:val="0"/>
      <w:marBottom w:val="0"/>
      <w:divBdr>
        <w:top w:val="none" w:sz="0" w:space="0" w:color="auto"/>
        <w:left w:val="none" w:sz="0" w:space="0" w:color="auto"/>
        <w:bottom w:val="none" w:sz="0" w:space="0" w:color="auto"/>
        <w:right w:val="none" w:sz="0" w:space="0" w:color="auto"/>
      </w:divBdr>
    </w:div>
    <w:div w:id="1632789585">
      <w:bodyDiv w:val="1"/>
      <w:marLeft w:val="0"/>
      <w:marRight w:val="0"/>
      <w:marTop w:val="0"/>
      <w:marBottom w:val="0"/>
      <w:divBdr>
        <w:top w:val="none" w:sz="0" w:space="0" w:color="auto"/>
        <w:left w:val="none" w:sz="0" w:space="0" w:color="auto"/>
        <w:bottom w:val="none" w:sz="0" w:space="0" w:color="auto"/>
        <w:right w:val="none" w:sz="0" w:space="0" w:color="auto"/>
      </w:divBdr>
    </w:div>
    <w:div w:id="1637296402">
      <w:bodyDiv w:val="1"/>
      <w:marLeft w:val="0"/>
      <w:marRight w:val="0"/>
      <w:marTop w:val="0"/>
      <w:marBottom w:val="0"/>
      <w:divBdr>
        <w:top w:val="none" w:sz="0" w:space="0" w:color="auto"/>
        <w:left w:val="none" w:sz="0" w:space="0" w:color="auto"/>
        <w:bottom w:val="none" w:sz="0" w:space="0" w:color="auto"/>
        <w:right w:val="none" w:sz="0" w:space="0" w:color="auto"/>
      </w:divBdr>
    </w:div>
    <w:div w:id="1638146447">
      <w:bodyDiv w:val="1"/>
      <w:marLeft w:val="0"/>
      <w:marRight w:val="0"/>
      <w:marTop w:val="0"/>
      <w:marBottom w:val="0"/>
      <w:divBdr>
        <w:top w:val="none" w:sz="0" w:space="0" w:color="auto"/>
        <w:left w:val="none" w:sz="0" w:space="0" w:color="auto"/>
        <w:bottom w:val="none" w:sz="0" w:space="0" w:color="auto"/>
        <w:right w:val="none" w:sz="0" w:space="0" w:color="auto"/>
      </w:divBdr>
      <w:divsChild>
        <w:div w:id="718556768">
          <w:marLeft w:val="0"/>
          <w:marRight w:val="0"/>
          <w:marTop w:val="0"/>
          <w:marBottom w:val="0"/>
          <w:divBdr>
            <w:top w:val="none" w:sz="0" w:space="0" w:color="auto"/>
            <w:left w:val="none" w:sz="0" w:space="0" w:color="auto"/>
            <w:bottom w:val="none" w:sz="0" w:space="0" w:color="auto"/>
            <w:right w:val="none" w:sz="0" w:space="0" w:color="auto"/>
          </w:divBdr>
          <w:divsChild>
            <w:div w:id="831676500">
              <w:marLeft w:val="0"/>
              <w:marRight w:val="0"/>
              <w:marTop w:val="0"/>
              <w:marBottom w:val="0"/>
              <w:divBdr>
                <w:top w:val="none" w:sz="0" w:space="0" w:color="auto"/>
                <w:left w:val="none" w:sz="0" w:space="0" w:color="auto"/>
                <w:bottom w:val="none" w:sz="0" w:space="0" w:color="auto"/>
                <w:right w:val="none" w:sz="0" w:space="0" w:color="auto"/>
              </w:divBdr>
              <w:divsChild>
                <w:div w:id="1933389381">
                  <w:marLeft w:val="0"/>
                  <w:marRight w:val="0"/>
                  <w:marTop w:val="0"/>
                  <w:marBottom w:val="0"/>
                  <w:divBdr>
                    <w:top w:val="none" w:sz="0" w:space="0" w:color="auto"/>
                    <w:left w:val="none" w:sz="0" w:space="0" w:color="auto"/>
                    <w:bottom w:val="none" w:sz="0" w:space="0" w:color="auto"/>
                    <w:right w:val="none" w:sz="0" w:space="0" w:color="auto"/>
                  </w:divBdr>
                  <w:divsChild>
                    <w:div w:id="26108914">
                      <w:marLeft w:val="0"/>
                      <w:marRight w:val="0"/>
                      <w:marTop w:val="0"/>
                      <w:marBottom w:val="0"/>
                      <w:divBdr>
                        <w:top w:val="none" w:sz="0" w:space="0" w:color="auto"/>
                        <w:left w:val="none" w:sz="0" w:space="0" w:color="auto"/>
                        <w:bottom w:val="none" w:sz="0" w:space="0" w:color="auto"/>
                        <w:right w:val="none" w:sz="0" w:space="0" w:color="auto"/>
                      </w:divBdr>
                      <w:divsChild>
                        <w:div w:id="1192765503">
                          <w:marLeft w:val="0"/>
                          <w:marRight w:val="0"/>
                          <w:marTop w:val="0"/>
                          <w:marBottom w:val="0"/>
                          <w:divBdr>
                            <w:top w:val="none" w:sz="0" w:space="0" w:color="auto"/>
                            <w:left w:val="none" w:sz="0" w:space="0" w:color="auto"/>
                            <w:bottom w:val="none" w:sz="0" w:space="0" w:color="auto"/>
                            <w:right w:val="none" w:sz="0" w:space="0" w:color="auto"/>
                          </w:divBdr>
                          <w:divsChild>
                            <w:div w:id="1947733995">
                              <w:marLeft w:val="12300"/>
                              <w:marRight w:val="0"/>
                              <w:marTop w:val="0"/>
                              <w:marBottom w:val="0"/>
                              <w:divBdr>
                                <w:top w:val="none" w:sz="0" w:space="0" w:color="auto"/>
                                <w:left w:val="none" w:sz="0" w:space="0" w:color="auto"/>
                                <w:bottom w:val="none" w:sz="0" w:space="0" w:color="auto"/>
                                <w:right w:val="none" w:sz="0" w:space="0" w:color="auto"/>
                              </w:divBdr>
                              <w:divsChild>
                                <w:div w:id="1466462516">
                                  <w:marLeft w:val="0"/>
                                  <w:marRight w:val="0"/>
                                  <w:marTop w:val="0"/>
                                  <w:marBottom w:val="0"/>
                                  <w:divBdr>
                                    <w:top w:val="none" w:sz="0" w:space="0" w:color="auto"/>
                                    <w:left w:val="none" w:sz="0" w:space="0" w:color="auto"/>
                                    <w:bottom w:val="none" w:sz="0" w:space="0" w:color="auto"/>
                                    <w:right w:val="none" w:sz="0" w:space="0" w:color="auto"/>
                                  </w:divBdr>
                                  <w:divsChild>
                                    <w:div w:id="578712466">
                                      <w:marLeft w:val="0"/>
                                      <w:marRight w:val="0"/>
                                      <w:marTop w:val="0"/>
                                      <w:marBottom w:val="390"/>
                                      <w:divBdr>
                                        <w:top w:val="none" w:sz="0" w:space="0" w:color="auto"/>
                                        <w:left w:val="none" w:sz="0" w:space="0" w:color="auto"/>
                                        <w:bottom w:val="none" w:sz="0" w:space="0" w:color="auto"/>
                                        <w:right w:val="none" w:sz="0" w:space="0" w:color="auto"/>
                                      </w:divBdr>
                                      <w:divsChild>
                                        <w:div w:id="1318995510">
                                          <w:marLeft w:val="0"/>
                                          <w:marRight w:val="0"/>
                                          <w:marTop w:val="0"/>
                                          <w:marBottom w:val="0"/>
                                          <w:divBdr>
                                            <w:top w:val="none" w:sz="0" w:space="0" w:color="auto"/>
                                            <w:left w:val="none" w:sz="0" w:space="0" w:color="auto"/>
                                            <w:bottom w:val="none" w:sz="0" w:space="0" w:color="auto"/>
                                            <w:right w:val="none" w:sz="0" w:space="0" w:color="auto"/>
                                          </w:divBdr>
                                          <w:divsChild>
                                            <w:div w:id="30495285">
                                              <w:marLeft w:val="0"/>
                                              <w:marRight w:val="0"/>
                                              <w:marTop w:val="0"/>
                                              <w:marBottom w:val="0"/>
                                              <w:divBdr>
                                                <w:top w:val="none" w:sz="0" w:space="0" w:color="auto"/>
                                                <w:left w:val="none" w:sz="0" w:space="0" w:color="auto"/>
                                                <w:bottom w:val="none" w:sz="0" w:space="0" w:color="auto"/>
                                                <w:right w:val="none" w:sz="0" w:space="0" w:color="auto"/>
                                              </w:divBdr>
                                              <w:divsChild>
                                                <w:div w:id="1456095300">
                                                  <w:marLeft w:val="0"/>
                                                  <w:marRight w:val="0"/>
                                                  <w:marTop w:val="0"/>
                                                  <w:marBottom w:val="0"/>
                                                  <w:divBdr>
                                                    <w:top w:val="none" w:sz="0" w:space="0" w:color="auto"/>
                                                    <w:left w:val="none" w:sz="0" w:space="0" w:color="auto"/>
                                                    <w:bottom w:val="none" w:sz="0" w:space="0" w:color="auto"/>
                                                    <w:right w:val="none" w:sz="0" w:space="0" w:color="auto"/>
                                                  </w:divBdr>
                                                  <w:divsChild>
                                                    <w:div w:id="1424453462">
                                                      <w:marLeft w:val="0"/>
                                                      <w:marRight w:val="0"/>
                                                      <w:marTop w:val="0"/>
                                                      <w:marBottom w:val="0"/>
                                                      <w:divBdr>
                                                        <w:top w:val="none" w:sz="0" w:space="0" w:color="auto"/>
                                                        <w:left w:val="none" w:sz="0" w:space="0" w:color="auto"/>
                                                        <w:bottom w:val="none" w:sz="0" w:space="0" w:color="auto"/>
                                                        <w:right w:val="none" w:sz="0" w:space="0" w:color="auto"/>
                                                      </w:divBdr>
                                                      <w:divsChild>
                                                        <w:div w:id="298651044">
                                                          <w:marLeft w:val="0"/>
                                                          <w:marRight w:val="0"/>
                                                          <w:marTop w:val="0"/>
                                                          <w:marBottom w:val="0"/>
                                                          <w:divBdr>
                                                            <w:top w:val="none" w:sz="0" w:space="0" w:color="auto"/>
                                                            <w:left w:val="none" w:sz="0" w:space="0" w:color="auto"/>
                                                            <w:bottom w:val="none" w:sz="0" w:space="0" w:color="auto"/>
                                                            <w:right w:val="none" w:sz="0" w:space="0" w:color="auto"/>
                                                          </w:divBdr>
                                                          <w:divsChild>
                                                            <w:div w:id="1696149324">
                                                              <w:marLeft w:val="0"/>
                                                              <w:marRight w:val="0"/>
                                                              <w:marTop w:val="0"/>
                                                              <w:marBottom w:val="0"/>
                                                              <w:divBdr>
                                                                <w:top w:val="none" w:sz="0" w:space="0" w:color="auto"/>
                                                                <w:left w:val="none" w:sz="0" w:space="0" w:color="auto"/>
                                                                <w:bottom w:val="none" w:sz="0" w:space="0" w:color="auto"/>
                                                                <w:right w:val="none" w:sz="0" w:space="0" w:color="auto"/>
                                                              </w:divBdr>
                                                              <w:divsChild>
                                                                <w:div w:id="1003776100">
                                                                  <w:marLeft w:val="0"/>
                                                                  <w:marRight w:val="0"/>
                                                                  <w:marTop w:val="0"/>
                                                                  <w:marBottom w:val="0"/>
                                                                  <w:divBdr>
                                                                    <w:top w:val="none" w:sz="0" w:space="0" w:color="auto"/>
                                                                    <w:left w:val="none" w:sz="0" w:space="0" w:color="auto"/>
                                                                    <w:bottom w:val="none" w:sz="0" w:space="0" w:color="auto"/>
                                                                    <w:right w:val="none" w:sz="0" w:space="0" w:color="auto"/>
                                                                  </w:divBdr>
                                                                  <w:divsChild>
                                                                    <w:div w:id="2005861134">
                                                                      <w:marLeft w:val="0"/>
                                                                      <w:marRight w:val="0"/>
                                                                      <w:marTop w:val="0"/>
                                                                      <w:marBottom w:val="0"/>
                                                                      <w:divBdr>
                                                                        <w:top w:val="none" w:sz="0" w:space="0" w:color="auto"/>
                                                                        <w:left w:val="none" w:sz="0" w:space="0" w:color="auto"/>
                                                                        <w:bottom w:val="none" w:sz="0" w:space="0" w:color="auto"/>
                                                                        <w:right w:val="none" w:sz="0" w:space="0" w:color="auto"/>
                                                                      </w:divBdr>
                                                                      <w:divsChild>
                                                                        <w:div w:id="868297107">
                                                                          <w:marLeft w:val="0"/>
                                                                          <w:marRight w:val="0"/>
                                                                          <w:marTop w:val="0"/>
                                                                          <w:marBottom w:val="0"/>
                                                                          <w:divBdr>
                                                                            <w:top w:val="none" w:sz="0" w:space="0" w:color="auto"/>
                                                                            <w:left w:val="none" w:sz="0" w:space="0" w:color="auto"/>
                                                                            <w:bottom w:val="none" w:sz="0" w:space="0" w:color="auto"/>
                                                                            <w:right w:val="none" w:sz="0" w:space="0" w:color="auto"/>
                                                                          </w:divBdr>
                                                                          <w:divsChild>
                                                                            <w:div w:id="5522915">
                                                                              <w:marLeft w:val="0"/>
                                                                              <w:marRight w:val="0"/>
                                                                              <w:marTop w:val="0"/>
                                                                              <w:marBottom w:val="0"/>
                                                                              <w:divBdr>
                                                                                <w:top w:val="none" w:sz="0" w:space="0" w:color="auto"/>
                                                                                <w:left w:val="none" w:sz="0" w:space="0" w:color="auto"/>
                                                                                <w:bottom w:val="none" w:sz="0" w:space="0" w:color="auto"/>
                                                                                <w:right w:val="none" w:sz="0" w:space="0" w:color="auto"/>
                                                                              </w:divBdr>
                                                                              <w:divsChild>
                                                                                <w:div w:id="1834490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40920807">
      <w:bodyDiv w:val="1"/>
      <w:marLeft w:val="0"/>
      <w:marRight w:val="0"/>
      <w:marTop w:val="0"/>
      <w:marBottom w:val="0"/>
      <w:divBdr>
        <w:top w:val="none" w:sz="0" w:space="0" w:color="auto"/>
        <w:left w:val="none" w:sz="0" w:space="0" w:color="auto"/>
        <w:bottom w:val="none" w:sz="0" w:space="0" w:color="auto"/>
        <w:right w:val="none" w:sz="0" w:space="0" w:color="auto"/>
      </w:divBdr>
      <w:divsChild>
        <w:div w:id="934366523">
          <w:marLeft w:val="0"/>
          <w:marRight w:val="0"/>
          <w:marTop w:val="0"/>
          <w:marBottom w:val="0"/>
          <w:divBdr>
            <w:top w:val="none" w:sz="0" w:space="0" w:color="auto"/>
            <w:left w:val="none" w:sz="0" w:space="0" w:color="auto"/>
            <w:bottom w:val="none" w:sz="0" w:space="0" w:color="auto"/>
            <w:right w:val="none" w:sz="0" w:space="0" w:color="auto"/>
          </w:divBdr>
          <w:divsChild>
            <w:div w:id="715006112">
              <w:marLeft w:val="0"/>
              <w:marRight w:val="0"/>
              <w:marTop w:val="0"/>
              <w:marBottom w:val="0"/>
              <w:divBdr>
                <w:top w:val="none" w:sz="0" w:space="0" w:color="auto"/>
                <w:left w:val="none" w:sz="0" w:space="0" w:color="auto"/>
                <w:bottom w:val="none" w:sz="0" w:space="0" w:color="auto"/>
                <w:right w:val="none" w:sz="0" w:space="0" w:color="auto"/>
              </w:divBdr>
              <w:divsChild>
                <w:div w:id="1672876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681736">
      <w:bodyDiv w:val="1"/>
      <w:marLeft w:val="0"/>
      <w:marRight w:val="0"/>
      <w:marTop w:val="0"/>
      <w:marBottom w:val="0"/>
      <w:divBdr>
        <w:top w:val="none" w:sz="0" w:space="0" w:color="auto"/>
        <w:left w:val="none" w:sz="0" w:space="0" w:color="auto"/>
        <w:bottom w:val="none" w:sz="0" w:space="0" w:color="auto"/>
        <w:right w:val="none" w:sz="0" w:space="0" w:color="auto"/>
      </w:divBdr>
    </w:div>
    <w:div w:id="1654337875">
      <w:bodyDiv w:val="1"/>
      <w:marLeft w:val="0"/>
      <w:marRight w:val="0"/>
      <w:marTop w:val="0"/>
      <w:marBottom w:val="0"/>
      <w:divBdr>
        <w:top w:val="none" w:sz="0" w:space="0" w:color="auto"/>
        <w:left w:val="none" w:sz="0" w:space="0" w:color="auto"/>
        <w:bottom w:val="none" w:sz="0" w:space="0" w:color="auto"/>
        <w:right w:val="none" w:sz="0" w:space="0" w:color="auto"/>
      </w:divBdr>
    </w:div>
    <w:div w:id="1655260681">
      <w:bodyDiv w:val="1"/>
      <w:marLeft w:val="0"/>
      <w:marRight w:val="0"/>
      <w:marTop w:val="0"/>
      <w:marBottom w:val="0"/>
      <w:divBdr>
        <w:top w:val="none" w:sz="0" w:space="0" w:color="auto"/>
        <w:left w:val="none" w:sz="0" w:space="0" w:color="auto"/>
        <w:bottom w:val="none" w:sz="0" w:space="0" w:color="auto"/>
        <w:right w:val="none" w:sz="0" w:space="0" w:color="auto"/>
      </w:divBdr>
    </w:div>
    <w:div w:id="1658800215">
      <w:bodyDiv w:val="1"/>
      <w:marLeft w:val="0"/>
      <w:marRight w:val="0"/>
      <w:marTop w:val="0"/>
      <w:marBottom w:val="0"/>
      <w:divBdr>
        <w:top w:val="none" w:sz="0" w:space="0" w:color="auto"/>
        <w:left w:val="none" w:sz="0" w:space="0" w:color="auto"/>
        <w:bottom w:val="none" w:sz="0" w:space="0" w:color="auto"/>
        <w:right w:val="none" w:sz="0" w:space="0" w:color="auto"/>
      </w:divBdr>
      <w:divsChild>
        <w:div w:id="672949488">
          <w:marLeft w:val="0"/>
          <w:marRight w:val="0"/>
          <w:marTop w:val="0"/>
          <w:marBottom w:val="0"/>
          <w:divBdr>
            <w:top w:val="none" w:sz="0" w:space="0" w:color="auto"/>
            <w:left w:val="none" w:sz="0" w:space="0" w:color="auto"/>
            <w:bottom w:val="none" w:sz="0" w:space="0" w:color="auto"/>
            <w:right w:val="none" w:sz="0" w:space="0" w:color="auto"/>
          </w:divBdr>
          <w:divsChild>
            <w:div w:id="1973289752">
              <w:marLeft w:val="0"/>
              <w:marRight w:val="0"/>
              <w:marTop w:val="0"/>
              <w:marBottom w:val="0"/>
              <w:divBdr>
                <w:top w:val="none" w:sz="0" w:space="0" w:color="auto"/>
                <w:left w:val="none" w:sz="0" w:space="0" w:color="auto"/>
                <w:bottom w:val="none" w:sz="0" w:space="0" w:color="auto"/>
                <w:right w:val="none" w:sz="0" w:space="0" w:color="auto"/>
              </w:divBdr>
              <w:divsChild>
                <w:div w:id="312030995">
                  <w:marLeft w:val="0"/>
                  <w:marRight w:val="0"/>
                  <w:marTop w:val="0"/>
                  <w:marBottom w:val="0"/>
                  <w:divBdr>
                    <w:top w:val="none" w:sz="0" w:space="0" w:color="auto"/>
                    <w:left w:val="none" w:sz="0" w:space="0" w:color="auto"/>
                    <w:bottom w:val="none" w:sz="0" w:space="0" w:color="auto"/>
                    <w:right w:val="none" w:sz="0" w:space="0" w:color="auto"/>
                  </w:divBdr>
                  <w:divsChild>
                    <w:div w:id="134682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0845935">
      <w:bodyDiv w:val="1"/>
      <w:marLeft w:val="0"/>
      <w:marRight w:val="0"/>
      <w:marTop w:val="0"/>
      <w:marBottom w:val="0"/>
      <w:divBdr>
        <w:top w:val="none" w:sz="0" w:space="0" w:color="auto"/>
        <w:left w:val="none" w:sz="0" w:space="0" w:color="auto"/>
        <w:bottom w:val="none" w:sz="0" w:space="0" w:color="auto"/>
        <w:right w:val="none" w:sz="0" w:space="0" w:color="auto"/>
      </w:divBdr>
      <w:divsChild>
        <w:div w:id="341054064">
          <w:marLeft w:val="0"/>
          <w:marRight w:val="0"/>
          <w:marTop w:val="0"/>
          <w:marBottom w:val="0"/>
          <w:divBdr>
            <w:top w:val="none" w:sz="0" w:space="0" w:color="auto"/>
            <w:left w:val="none" w:sz="0" w:space="0" w:color="auto"/>
            <w:bottom w:val="none" w:sz="0" w:space="0" w:color="auto"/>
            <w:right w:val="none" w:sz="0" w:space="0" w:color="auto"/>
          </w:divBdr>
          <w:divsChild>
            <w:div w:id="1031346135">
              <w:marLeft w:val="0"/>
              <w:marRight w:val="0"/>
              <w:marTop w:val="0"/>
              <w:marBottom w:val="0"/>
              <w:divBdr>
                <w:top w:val="none" w:sz="0" w:space="0" w:color="auto"/>
                <w:left w:val="none" w:sz="0" w:space="0" w:color="auto"/>
                <w:bottom w:val="none" w:sz="0" w:space="0" w:color="auto"/>
                <w:right w:val="none" w:sz="0" w:space="0" w:color="auto"/>
              </w:divBdr>
              <w:divsChild>
                <w:div w:id="1384014973">
                  <w:marLeft w:val="0"/>
                  <w:marRight w:val="0"/>
                  <w:marTop w:val="0"/>
                  <w:marBottom w:val="0"/>
                  <w:divBdr>
                    <w:top w:val="none" w:sz="0" w:space="0" w:color="auto"/>
                    <w:left w:val="none" w:sz="0" w:space="0" w:color="auto"/>
                    <w:bottom w:val="none" w:sz="0" w:space="0" w:color="auto"/>
                    <w:right w:val="none" w:sz="0" w:space="0" w:color="auto"/>
                  </w:divBdr>
                  <w:divsChild>
                    <w:div w:id="25960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4041268">
      <w:bodyDiv w:val="1"/>
      <w:marLeft w:val="0"/>
      <w:marRight w:val="0"/>
      <w:marTop w:val="0"/>
      <w:marBottom w:val="0"/>
      <w:divBdr>
        <w:top w:val="none" w:sz="0" w:space="0" w:color="auto"/>
        <w:left w:val="none" w:sz="0" w:space="0" w:color="auto"/>
        <w:bottom w:val="none" w:sz="0" w:space="0" w:color="auto"/>
        <w:right w:val="none" w:sz="0" w:space="0" w:color="auto"/>
      </w:divBdr>
      <w:divsChild>
        <w:div w:id="1794322678">
          <w:marLeft w:val="0"/>
          <w:marRight w:val="0"/>
          <w:marTop w:val="0"/>
          <w:marBottom w:val="0"/>
          <w:divBdr>
            <w:top w:val="none" w:sz="0" w:space="0" w:color="auto"/>
            <w:left w:val="none" w:sz="0" w:space="0" w:color="auto"/>
            <w:bottom w:val="none" w:sz="0" w:space="0" w:color="auto"/>
            <w:right w:val="none" w:sz="0" w:space="0" w:color="auto"/>
          </w:divBdr>
          <w:divsChild>
            <w:div w:id="1454130784">
              <w:marLeft w:val="0"/>
              <w:marRight w:val="0"/>
              <w:marTop w:val="0"/>
              <w:marBottom w:val="0"/>
              <w:divBdr>
                <w:top w:val="none" w:sz="0" w:space="0" w:color="auto"/>
                <w:left w:val="none" w:sz="0" w:space="0" w:color="auto"/>
                <w:bottom w:val="none" w:sz="0" w:space="0" w:color="auto"/>
                <w:right w:val="none" w:sz="0" w:space="0" w:color="auto"/>
              </w:divBdr>
              <w:divsChild>
                <w:div w:id="1735622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551287">
      <w:bodyDiv w:val="1"/>
      <w:marLeft w:val="0"/>
      <w:marRight w:val="0"/>
      <w:marTop w:val="0"/>
      <w:marBottom w:val="0"/>
      <w:divBdr>
        <w:top w:val="none" w:sz="0" w:space="0" w:color="auto"/>
        <w:left w:val="none" w:sz="0" w:space="0" w:color="auto"/>
        <w:bottom w:val="none" w:sz="0" w:space="0" w:color="auto"/>
        <w:right w:val="none" w:sz="0" w:space="0" w:color="auto"/>
      </w:divBdr>
    </w:div>
    <w:div w:id="1665742323">
      <w:bodyDiv w:val="1"/>
      <w:marLeft w:val="0"/>
      <w:marRight w:val="0"/>
      <w:marTop w:val="0"/>
      <w:marBottom w:val="0"/>
      <w:divBdr>
        <w:top w:val="none" w:sz="0" w:space="0" w:color="auto"/>
        <w:left w:val="none" w:sz="0" w:space="0" w:color="auto"/>
        <w:bottom w:val="none" w:sz="0" w:space="0" w:color="auto"/>
        <w:right w:val="none" w:sz="0" w:space="0" w:color="auto"/>
      </w:divBdr>
    </w:div>
    <w:div w:id="1666474605">
      <w:bodyDiv w:val="1"/>
      <w:marLeft w:val="0"/>
      <w:marRight w:val="0"/>
      <w:marTop w:val="0"/>
      <w:marBottom w:val="0"/>
      <w:divBdr>
        <w:top w:val="none" w:sz="0" w:space="0" w:color="auto"/>
        <w:left w:val="none" w:sz="0" w:space="0" w:color="auto"/>
        <w:bottom w:val="none" w:sz="0" w:space="0" w:color="auto"/>
        <w:right w:val="none" w:sz="0" w:space="0" w:color="auto"/>
      </w:divBdr>
    </w:div>
    <w:div w:id="1667897808">
      <w:bodyDiv w:val="1"/>
      <w:marLeft w:val="0"/>
      <w:marRight w:val="0"/>
      <w:marTop w:val="0"/>
      <w:marBottom w:val="0"/>
      <w:divBdr>
        <w:top w:val="none" w:sz="0" w:space="0" w:color="auto"/>
        <w:left w:val="none" w:sz="0" w:space="0" w:color="auto"/>
        <w:bottom w:val="none" w:sz="0" w:space="0" w:color="auto"/>
        <w:right w:val="none" w:sz="0" w:space="0" w:color="auto"/>
      </w:divBdr>
      <w:divsChild>
        <w:div w:id="1071465319">
          <w:marLeft w:val="0"/>
          <w:marRight w:val="0"/>
          <w:marTop w:val="0"/>
          <w:marBottom w:val="0"/>
          <w:divBdr>
            <w:top w:val="none" w:sz="0" w:space="0" w:color="auto"/>
            <w:left w:val="none" w:sz="0" w:space="0" w:color="auto"/>
            <w:bottom w:val="none" w:sz="0" w:space="0" w:color="auto"/>
            <w:right w:val="none" w:sz="0" w:space="0" w:color="auto"/>
          </w:divBdr>
          <w:divsChild>
            <w:div w:id="1802264571">
              <w:marLeft w:val="0"/>
              <w:marRight w:val="0"/>
              <w:marTop w:val="0"/>
              <w:marBottom w:val="0"/>
              <w:divBdr>
                <w:top w:val="none" w:sz="0" w:space="0" w:color="auto"/>
                <w:left w:val="none" w:sz="0" w:space="0" w:color="auto"/>
                <w:bottom w:val="none" w:sz="0" w:space="0" w:color="auto"/>
                <w:right w:val="none" w:sz="0" w:space="0" w:color="auto"/>
              </w:divBdr>
              <w:divsChild>
                <w:div w:id="2032298931">
                  <w:marLeft w:val="0"/>
                  <w:marRight w:val="0"/>
                  <w:marTop w:val="0"/>
                  <w:marBottom w:val="0"/>
                  <w:divBdr>
                    <w:top w:val="none" w:sz="0" w:space="0" w:color="auto"/>
                    <w:left w:val="none" w:sz="0" w:space="0" w:color="auto"/>
                    <w:bottom w:val="none" w:sz="0" w:space="0" w:color="auto"/>
                    <w:right w:val="none" w:sz="0" w:space="0" w:color="auto"/>
                  </w:divBdr>
                  <w:divsChild>
                    <w:div w:id="121773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5181652">
      <w:bodyDiv w:val="1"/>
      <w:marLeft w:val="0"/>
      <w:marRight w:val="0"/>
      <w:marTop w:val="0"/>
      <w:marBottom w:val="0"/>
      <w:divBdr>
        <w:top w:val="none" w:sz="0" w:space="0" w:color="auto"/>
        <w:left w:val="none" w:sz="0" w:space="0" w:color="auto"/>
        <w:bottom w:val="none" w:sz="0" w:space="0" w:color="auto"/>
        <w:right w:val="none" w:sz="0" w:space="0" w:color="auto"/>
      </w:divBdr>
    </w:div>
    <w:div w:id="1688018024">
      <w:bodyDiv w:val="1"/>
      <w:marLeft w:val="0"/>
      <w:marRight w:val="0"/>
      <w:marTop w:val="0"/>
      <w:marBottom w:val="0"/>
      <w:divBdr>
        <w:top w:val="none" w:sz="0" w:space="0" w:color="auto"/>
        <w:left w:val="none" w:sz="0" w:space="0" w:color="auto"/>
        <w:bottom w:val="none" w:sz="0" w:space="0" w:color="auto"/>
        <w:right w:val="none" w:sz="0" w:space="0" w:color="auto"/>
      </w:divBdr>
    </w:div>
    <w:div w:id="1689941523">
      <w:bodyDiv w:val="1"/>
      <w:marLeft w:val="0"/>
      <w:marRight w:val="0"/>
      <w:marTop w:val="0"/>
      <w:marBottom w:val="0"/>
      <w:divBdr>
        <w:top w:val="none" w:sz="0" w:space="0" w:color="auto"/>
        <w:left w:val="none" w:sz="0" w:space="0" w:color="auto"/>
        <w:bottom w:val="none" w:sz="0" w:space="0" w:color="auto"/>
        <w:right w:val="none" w:sz="0" w:space="0" w:color="auto"/>
      </w:divBdr>
    </w:div>
    <w:div w:id="1702827386">
      <w:bodyDiv w:val="1"/>
      <w:marLeft w:val="0"/>
      <w:marRight w:val="0"/>
      <w:marTop w:val="0"/>
      <w:marBottom w:val="0"/>
      <w:divBdr>
        <w:top w:val="none" w:sz="0" w:space="0" w:color="auto"/>
        <w:left w:val="none" w:sz="0" w:space="0" w:color="auto"/>
        <w:bottom w:val="none" w:sz="0" w:space="0" w:color="auto"/>
        <w:right w:val="none" w:sz="0" w:space="0" w:color="auto"/>
      </w:divBdr>
      <w:divsChild>
        <w:div w:id="230238260">
          <w:marLeft w:val="0"/>
          <w:marRight w:val="0"/>
          <w:marTop w:val="0"/>
          <w:marBottom w:val="0"/>
          <w:divBdr>
            <w:top w:val="none" w:sz="0" w:space="0" w:color="auto"/>
            <w:left w:val="none" w:sz="0" w:space="0" w:color="auto"/>
            <w:bottom w:val="none" w:sz="0" w:space="0" w:color="auto"/>
            <w:right w:val="none" w:sz="0" w:space="0" w:color="auto"/>
          </w:divBdr>
          <w:divsChild>
            <w:div w:id="390154769">
              <w:marLeft w:val="0"/>
              <w:marRight w:val="0"/>
              <w:marTop w:val="0"/>
              <w:marBottom w:val="0"/>
              <w:divBdr>
                <w:top w:val="none" w:sz="0" w:space="0" w:color="auto"/>
                <w:left w:val="none" w:sz="0" w:space="0" w:color="auto"/>
                <w:bottom w:val="none" w:sz="0" w:space="0" w:color="auto"/>
                <w:right w:val="none" w:sz="0" w:space="0" w:color="auto"/>
              </w:divBdr>
              <w:divsChild>
                <w:div w:id="1864325664">
                  <w:marLeft w:val="0"/>
                  <w:marRight w:val="0"/>
                  <w:marTop w:val="0"/>
                  <w:marBottom w:val="0"/>
                  <w:divBdr>
                    <w:top w:val="none" w:sz="0" w:space="0" w:color="auto"/>
                    <w:left w:val="none" w:sz="0" w:space="0" w:color="auto"/>
                    <w:bottom w:val="none" w:sz="0" w:space="0" w:color="auto"/>
                    <w:right w:val="none" w:sz="0" w:space="0" w:color="auto"/>
                  </w:divBdr>
                  <w:divsChild>
                    <w:div w:id="1666861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6444753">
      <w:bodyDiv w:val="1"/>
      <w:marLeft w:val="0"/>
      <w:marRight w:val="0"/>
      <w:marTop w:val="0"/>
      <w:marBottom w:val="0"/>
      <w:divBdr>
        <w:top w:val="none" w:sz="0" w:space="0" w:color="auto"/>
        <w:left w:val="none" w:sz="0" w:space="0" w:color="auto"/>
        <w:bottom w:val="none" w:sz="0" w:space="0" w:color="auto"/>
        <w:right w:val="none" w:sz="0" w:space="0" w:color="auto"/>
      </w:divBdr>
      <w:divsChild>
        <w:div w:id="521936047">
          <w:marLeft w:val="0"/>
          <w:marRight w:val="0"/>
          <w:marTop w:val="0"/>
          <w:marBottom w:val="0"/>
          <w:divBdr>
            <w:top w:val="none" w:sz="0" w:space="0" w:color="auto"/>
            <w:left w:val="none" w:sz="0" w:space="0" w:color="auto"/>
            <w:bottom w:val="none" w:sz="0" w:space="0" w:color="auto"/>
            <w:right w:val="none" w:sz="0" w:space="0" w:color="auto"/>
          </w:divBdr>
          <w:divsChild>
            <w:div w:id="749279067">
              <w:marLeft w:val="0"/>
              <w:marRight w:val="0"/>
              <w:marTop w:val="0"/>
              <w:marBottom w:val="0"/>
              <w:divBdr>
                <w:top w:val="none" w:sz="0" w:space="0" w:color="auto"/>
                <w:left w:val="none" w:sz="0" w:space="0" w:color="auto"/>
                <w:bottom w:val="none" w:sz="0" w:space="0" w:color="auto"/>
                <w:right w:val="none" w:sz="0" w:space="0" w:color="auto"/>
              </w:divBdr>
              <w:divsChild>
                <w:div w:id="1513374242">
                  <w:marLeft w:val="0"/>
                  <w:marRight w:val="0"/>
                  <w:marTop w:val="0"/>
                  <w:marBottom w:val="0"/>
                  <w:divBdr>
                    <w:top w:val="none" w:sz="0" w:space="0" w:color="auto"/>
                    <w:left w:val="none" w:sz="0" w:space="0" w:color="auto"/>
                    <w:bottom w:val="none" w:sz="0" w:space="0" w:color="auto"/>
                    <w:right w:val="none" w:sz="0" w:space="0" w:color="auto"/>
                  </w:divBdr>
                  <w:divsChild>
                    <w:div w:id="1048604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025993">
      <w:bodyDiv w:val="1"/>
      <w:marLeft w:val="0"/>
      <w:marRight w:val="0"/>
      <w:marTop w:val="0"/>
      <w:marBottom w:val="0"/>
      <w:divBdr>
        <w:top w:val="none" w:sz="0" w:space="0" w:color="auto"/>
        <w:left w:val="none" w:sz="0" w:space="0" w:color="auto"/>
        <w:bottom w:val="none" w:sz="0" w:space="0" w:color="auto"/>
        <w:right w:val="none" w:sz="0" w:space="0" w:color="auto"/>
      </w:divBdr>
      <w:divsChild>
        <w:div w:id="477646786">
          <w:marLeft w:val="0"/>
          <w:marRight w:val="0"/>
          <w:marTop w:val="0"/>
          <w:marBottom w:val="0"/>
          <w:divBdr>
            <w:top w:val="none" w:sz="0" w:space="0" w:color="auto"/>
            <w:left w:val="none" w:sz="0" w:space="0" w:color="auto"/>
            <w:bottom w:val="none" w:sz="0" w:space="0" w:color="auto"/>
            <w:right w:val="none" w:sz="0" w:space="0" w:color="auto"/>
          </w:divBdr>
          <w:divsChild>
            <w:div w:id="1086654472">
              <w:marLeft w:val="0"/>
              <w:marRight w:val="0"/>
              <w:marTop w:val="0"/>
              <w:marBottom w:val="0"/>
              <w:divBdr>
                <w:top w:val="none" w:sz="0" w:space="0" w:color="auto"/>
                <w:left w:val="none" w:sz="0" w:space="0" w:color="auto"/>
                <w:bottom w:val="none" w:sz="0" w:space="0" w:color="auto"/>
                <w:right w:val="none" w:sz="0" w:space="0" w:color="auto"/>
              </w:divBdr>
              <w:divsChild>
                <w:div w:id="1054545279">
                  <w:marLeft w:val="0"/>
                  <w:marRight w:val="0"/>
                  <w:marTop w:val="0"/>
                  <w:marBottom w:val="0"/>
                  <w:divBdr>
                    <w:top w:val="none" w:sz="0" w:space="0" w:color="auto"/>
                    <w:left w:val="none" w:sz="0" w:space="0" w:color="auto"/>
                    <w:bottom w:val="none" w:sz="0" w:space="0" w:color="auto"/>
                    <w:right w:val="none" w:sz="0" w:space="0" w:color="auto"/>
                  </w:divBdr>
                  <w:divsChild>
                    <w:div w:id="93875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488534">
      <w:bodyDiv w:val="1"/>
      <w:marLeft w:val="0"/>
      <w:marRight w:val="0"/>
      <w:marTop w:val="0"/>
      <w:marBottom w:val="0"/>
      <w:divBdr>
        <w:top w:val="none" w:sz="0" w:space="0" w:color="auto"/>
        <w:left w:val="none" w:sz="0" w:space="0" w:color="auto"/>
        <w:bottom w:val="none" w:sz="0" w:space="0" w:color="auto"/>
        <w:right w:val="none" w:sz="0" w:space="0" w:color="auto"/>
      </w:divBdr>
      <w:divsChild>
        <w:div w:id="1589729038">
          <w:marLeft w:val="0"/>
          <w:marRight w:val="0"/>
          <w:marTop w:val="0"/>
          <w:marBottom w:val="0"/>
          <w:divBdr>
            <w:top w:val="none" w:sz="0" w:space="0" w:color="auto"/>
            <w:left w:val="none" w:sz="0" w:space="0" w:color="auto"/>
            <w:bottom w:val="none" w:sz="0" w:space="0" w:color="auto"/>
            <w:right w:val="none" w:sz="0" w:space="0" w:color="auto"/>
          </w:divBdr>
        </w:div>
      </w:divsChild>
    </w:div>
    <w:div w:id="1712992706">
      <w:bodyDiv w:val="1"/>
      <w:marLeft w:val="0"/>
      <w:marRight w:val="0"/>
      <w:marTop w:val="0"/>
      <w:marBottom w:val="0"/>
      <w:divBdr>
        <w:top w:val="none" w:sz="0" w:space="0" w:color="auto"/>
        <w:left w:val="none" w:sz="0" w:space="0" w:color="auto"/>
        <w:bottom w:val="none" w:sz="0" w:space="0" w:color="auto"/>
        <w:right w:val="none" w:sz="0" w:space="0" w:color="auto"/>
      </w:divBdr>
      <w:divsChild>
        <w:div w:id="1129594350">
          <w:marLeft w:val="0"/>
          <w:marRight w:val="0"/>
          <w:marTop w:val="0"/>
          <w:marBottom w:val="0"/>
          <w:divBdr>
            <w:top w:val="none" w:sz="0" w:space="0" w:color="auto"/>
            <w:left w:val="none" w:sz="0" w:space="0" w:color="auto"/>
            <w:bottom w:val="none" w:sz="0" w:space="0" w:color="auto"/>
            <w:right w:val="none" w:sz="0" w:space="0" w:color="auto"/>
          </w:divBdr>
          <w:divsChild>
            <w:div w:id="1732457654">
              <w:marLeft w:val="0"/>
              <w:marRight w:val="0"/>
              <w:marTop w:val="0"/>
              <w:marBottom w:val="0"/>
              <w:divBdr>
                <w:top w:val="none" w:sz="0" w:space="0" w:color="auto"/>
                <w:left w:val="none" w:sz="0" w:space="0" w:color="auto"/>
                <w:bottom w:val="none" w:sz="0" w:space="0" w:color="auto"/>
                <w:right w:val="none" w:sz="0" w:space="0" w:color="auto"/>
              </w:divBdr>
              <w:divsChild>
                <w:div w:id="974065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655723">
      <w:bodyDiv w:val="1"/>
      <w:marLeft w:val="0"/>
      <w:marRight w:val="0"/>
      <w:marTop w:val="0"/>
      <w:marBottom w:val="0"/>
      <w:divBdr>
        <w:top w:val="none" w:sz="0" w:space="0" w:color="auto"/>
        <w:left w:val="none" w:sz="0" w:space="0" w:color="auto"/>
        <w:bottom w:val="none" w:sz="0" w:space="0" w:color="auto"/>
        <w:right w:val="none" w:sz="0" w:space="0" w:color="auto"/>
      </w:divBdr>
      <w:divsChild>
        <w:div w:id="1566141310">
          <w:marLeft w:val="0"/>
          <w:marRight w:val="0"/>
          <w:marTop w:val="0"/>
          <w:marBottom w:val="0"/>
          <w:divBdr>
            <w:top w:val="none" w:sz="0" w:space="0" w:color="auto"/>
            <w:left w:val="none" w:sz="0" w:space="0" w:color="auto"/>
            <w:bottom w:val="none" w:sz="0" w:space="0" w:color="auto"/>
            <w:right w:val="none" w:sz="0" w:space="0" w:color="auto"/>
          </w:divBdr>
          <w:divsChild>
            <w:div w:id="1196698119">
              <w:marLeft w:val="0"/>
              <w:marRight w:val="0"/>
              <w:marTop w:val="0"/>
              <w:marBottom w:val="0"/>
              <w:divBdr>
                <w:top w:val="none" w:sz="0" w:space="0" w:color="auto"/>
                <w:left w:val="none" w:sz="0" w:space="0" w:color="auto"/>
                <w:bottom w:val="none" w:sz="0" w:space="0" w:color="auto"/>
                <w:right w:val="none" w:sz="0" w:space="0" w:color="auto"/>
              </w:divBdr>
              <w:divsChild>
                <w:div w:id="126222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588538">
      <w:bodyDiv w:val="1"/>
      <w:marLeft w:val="0"/>
      <w:marRight w:val="0"/>
      <w:marTop w:val="0"/>
      <w:marBottom w:val="0"/>
      <w:divBdr>
        <w:top w:val="none" w:sz="0" w:space="0" w:color="auto"/>
        <w:left w:val="none" w:sz="0" w:space="0" w:color="auto"/>
        <w:bottom w:val="none" w:sz="0" w:space="0" w:color="auto"/>
        <w:right w:val="none" w:sz="0" w:space="0" w:color="auto"/>
      </w:divBdr>
    </w:div>
    <w:div w:id="1723747787">
      <w:bodyDiv w:val="1"/>
      <w:marLeft w:val="0"/>
      <w:marRight w:val="0"/>
      <w:marTop w:val="0"/>
      <w:marBottom w:val="0"/>
      <w:divBdr>
        <w:top w:val="none" w:sz="0" w:space="0" w:color="auto"/>
        <w:left w:val="none" w:sz="0" w:space="0" w:color="auto"/>
        <w:bottom w:val="none" w:sz="0" w:space="0" w:color="auto"/>
        <w:right w:val="none" w:sz="0" w:space="0" w:color="auto"/>
      </w:divBdr>
    </w:div>
    <w:div w:id="1729065217">
      <w:bodyDiv w:val="1"/>
      <w:marLeft w:val="0"/>
      <w:marRight w:val="0"/>
      <w:marTop w:val="0"/>
      <w:marBottom w:val="0"/>
      <w:divBdr>
        <w:top w:val="none" w:sz="0" w:space="0" w:color="auto"/>
        <w:left w:val="none" w:sz="0" w:space="0" w:color="auto"/>
        <w:bottom w:val="none" w:sz="0" w:space="0" w:color="auto"/>
        <w:right w:val="none" w:sz="0" w:space="0" w:color="auto"/>
      </w:divBdr>
    </w:div>
    <w:div w:id="1731152091">
      <w:bodyDiv w:val="1"/>
      <w:marLeft w:val="0"/>
      <w:marRight w:val="0"/>
      <w:marTop w:val="0"/>
      <w:marBottom w:val="0"/>
      <w:divBdr>
        <w:top w:val="none" w:sz="0" w:space="0" w:color="auto"/>
        <w:left w:val="none" w:sz="0" w:space="0" w:color="auto"/>
        <w:bottom w:val="none" w:sz="0" w:space="0" w:color="auto"/>
        <w:right w:val="none" w:sz="0" w:space="0" w:color="auto"/>
      </w:divBdr>
      <w:divsChild>
        <w:div w:id="187761467">
          <w:marLeft w:val="0"/>
          <w:marRight w:val="0"/>
          <w:marTop w:val="0"/>
          <w:marBottom w:val="0"/>
          <w:divBdr>
            <w:top w:val="none" w:sz="0" w:space="0" w:color="auto"/>
            <w:left w:val="none" w:sz="0" w:space="0" w:color="auto"/>
            <w:bottom w:val="none" w:sz="0" w:space="0" w:color="auto"/>
            <w:right w:val="none" w:sz="0" w:space="0" w:color="auto"/>
          </w:divBdr>
          <w:divsChild>
            <w:div w:id="49816909">
              <w:marLeft w:val="0"/>
              <w:marRight w:val="0"/>
              <w:marTop w:val="0"/>
              <w:marBottom w:val="0"/>
              <w:divBdr>
                <w:top w:val="none" w:sz="0" w:space="0" w:color="auto"/>
                <w:left w:val="none" w:sz="0" w:space="0" w:color="auto"/>
                <w:bottom w:val="none" w:sz="0" w:space="0" w:color="auto"/>
                <w:right w:val="none" w:sz="0" w:space="0" w:color="auto"/>
              </w:divBdr>
              <w:divsChild>
                <w:div w:id="453719421">
                  <w:marLeft w:val="0"/>
                  <w:marRight w:val="0"/>
                  <w:marTop w:val="0"/>
                  <w:marBottom w:val="0"/>
                  <w:divBdr>
                    <w:top w:val="none" w:sz="0" w:space="0" w:color="auto"/>
                    <w:left w:val="none" w:sz="0" w:space="0" w:color="auto"/>
                    <w:bottom w:val="none" w:sz="0" w:space="0" w:color="auto"/>
                    <w:right w:val="none" w:sz="0" w:space="0" w:color="auto"/>
                  </w:divBdr>
                  <w:divsChild>
                    <w:div w:id="198647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789666">
      <w:bodyDiv w:val="1"/>
      <w:marLeft w:val="0"/>
      <w:marRight w:val="0"/>
      <w:marTop w:val="0"/>
      <w:marBottom w:val="0"/>
      <w:divBdr>
        <w:top w:val="none" w:sz="0" w:space="0" w:color="auto"/>
        <w:left w:val="none" w:sz="0" w:space="0" w:color="auto"/>
        <w:bottom w:val="none" w:sz="0" w:space="0" w:color="auto"/>
        <w:right w:val="none" w:sz="0" w:space="0" w:color="auto"/>
      </w:divBdr>
    </w:div>
    <w:div w:id="1761173485">
      <w:bodyDiv w:val="1"/>
      <w:marLeft w:val="0"/>
      <w:marRight w:val="0"/>
      <w:marTop w:val="0"/>
      <w:marBottom w:val="0"/>
      <w:divBdr>
        <w:top w:val="none" w:sz="0" w:space="0" w:color="auto"/>
        <w:left w:val="none" w:sz="0" w:space="0" w:color="auto"/>
        <w:bottom w:val="none" w:sz="0" w:space="0" w:color="auto"/>
        <w:right w:val="none" w:sz="0" w:space="0" w:color="auto"/>
      </w:divBdr>
    </w:div>
    <w:div w:id="1765490673">
      <w:bodyDiv w:val="1"/>
      <w:marLeft w:val="0"/>
      <w:marRight w:val="0"/>
      <w:marTop w:val="0"/>
      <w:marBottom w:val="0"/>
      <w:divBdr>
        <w:top w:val="none" w:sz="0" w:space="0" w:color="auto"/>
        <w:left w:val="none" w:sz="0" w:space="0" w:color="auto"/>
        <w:bottom w:val="none" w:sz="0" w:space="0" w:color="auto"/>
        <w:right w:val="none" w:sz="0" w:space="0" w:color="auto"/>
      </w:divBdr>
    </w:div>
    <w:div w:id="1791315132">
      <w:bodyDiv w:val="1"/>
      <w:marLeft w:val="0"/>
      <w:marRight w:val="0"/>
      <w:marTop w:val="0"/>
      <w:marBottom w:val="0"/>
      <w:divBdr>
        <w:top w:val="none" w:sz="0" w:space="0" w:color="auto"/>
        <w:left w:val="none" w:sz="0" w:space="0" w:color="auto"/>
        <w:bottom w:val="none" w:sz="0" w:space="0" w:color="auto"/>
        <w:right w:val="none" w:sz="0" w:space="0" w:color="auto"/>
      </w:divBdr>
      <w:divsChild>
        <w:div w:id="365327044">
          <w:marLeft w:val="0"/>
          <w:marRight w:val="0"/>
          <w:marTop w:val="0"/>
          <w:marBottom w:val="0"/>
          <w:divBdr>
            <w:top w:val="none" w:sz="0" w:space="0" w:color="auto"/>
            <w:left w:val="none" w:sz="0" w:space="0" w:color="auto"/>
            <w:bottom w:val="none" w:sz="0" w:space="0" w:color="auto"/>
            <w:right w:val="none" w:sz="0" w:space="0" w:color="auto"/>
          </w:divBdr>
        </w:div>
        <w:div w:id="1248005773">
          <w:marLeft w:val="0"/>
          <w:marRight w:val="0"/>
          <w:marTop w:val="0"/>
          <w:marBottom w:val="0"/>
          <w:divBdr>
            <w:top w:val="none" w:sz="0" w:space="0" w:color="auto"/>
            <w:left w:val="none" w:sz="0" w:space="0" w:color="auto"/>
            <w:bottom w:val="none" w:sz="0" w:space="0" w:color="auto"/>
            <w:right w:val="none" w:sz="0" w:space="0" w:color="auto"/>
          </w:divBdr>
        </w:div>
        <w:div w:id="1339314075">
          <w:marLeft w:val="0"/>
          <w:marRight w:val="0"/>
          <w:marTop w:val="0"/>
          <w:marBottom w:val="0"/>
          <w:divBdr>
            <w:top w:val="none" w:sz="0" w:space="0" w:color="auto"/>
            <w:left w:val="none" w:sz="0" w:space="0" w:color="auto"/>
            <w:bottom w:val="none" w:sz="0" w:space="0" w:color="auto"/>
            <w:right w:val="none" w:sz="0" w:space="0" w:color="auto"/>
          </w:divBdr>
        </w:div>
        <w:div w:id="1824422640">
          <w:marLeft w:val="0"/>
          <w:marRight w:val="0"/>
          <w:marTop w:val="0"/>
          <w:marBottom w:val="0"/>
          <w:divBdr>
            <w:top w:val="none" w:sz="0" w:space="0" w:color="auto"/>
            <w:left w:val="none" w:sz="0" w:space="0" w:color="auto"/>
            <w:bottom w:val="none" w:sz="0" w:space="0" w:color="auto"/>
            <w:right w:val="none" w:sz="0" w:space="0" w:color="auto"/>
          </w:divBdr>
        </w:div>
        <w:div w:id="2017271750">
          <w:marLeft w:val="0"/>
          <w:marRight w:val="0"/>
          <w:marTop w:val="0"/>
          <w:marBottom w:val="0"/>
          <w:divBdr>
            <w:top w:val="none" w:sz="0" w:space="0" w:color="auto"/>
            <w:left w:val="none" w:sz="0" w:space="0" w:color="auto"/>
            <w:bottom w:val="none" w:sz="0" w:space="0" w:color="auto"/>
            <w:right w:val="none" w:sz="0" w:space="0" w:color="auto"/>
          </w:divBdr>
        </w:div>
        <w:div w:id="2081172975">
          <w:marLeft w:val="0"/>
          <w:marRight w:val="0"/>
          <w:marTop w:val="0"/>
          <w:marBottom w:val="0"/>
          <w:divBdr>
            <w:top w:val="none" w:sz="0" w:space="0" w:color="auto"/>
            <w:left w:val="none" w:sz="0" w:space="0" w:color="auto"/>
            <w:bottom w:val="none" w:sz="0" w:space="0" w:color="auto"/>
            <w:right w:val="none" w:sz="0" w:space="0" w:color="auto"/>
          </w:divBdr>
        </w:div>
        <w:div w:id="2090343203">
          <w:marLeft w:val="0"/>
          <w:marRight w:val="0"/>
          <w:marTop w:val="0"/>
          <w:marBottom w:val="0"/>
          <w:divBdr>
            <w:top w:val="none" w:sz="0" w:space="0" w:color="auto"/>
            <w:left w:val="none" w:sz="0" w:space="0" w:color="auto"/>
            <w:bottom w:val="none" w:sz="0" w:space="0" w:color="auto"/>
            <w:right w:val="none" w:sz="0" w:space="0" w:color="auto"/>
          </w:divBdr>
        </w:div>
      </w:divsChild>
    </w:div>
    <w:div w:id="1793942282">
      <w:bodyDiv w:val="1"/>
      <w:marLeft w:val="0"/>
      <w:marRight w:val="0"/>
      <w:marTop w:val="0"/>
      <w:marBottom w:val="0"/>
      <w:divBdr>
        <w:top w:val="none" w:sz="0" w:space="0" w:color="auto"/>
        <w:left w:val="none" w:sz="0" w:space="0" w:color="auto"/>
        <w:bottom w:val="none" w:sz="0" w:space="0" w:color="auto"/>
        <w:right w:val="none" w:sz="0" w:space="0" w:color="auto"/>
      </w:divBdr>
    </w:div>
    <w:div w:id="1795247701">
      <w:bodyDiv w:val="1"/>
      <w:marLeft w:val="0"/>
      <w:marRight w:val="0"/>
      <w:marTop w:val="0"/>
      <w:marBottom w:val="0"/>
      <w:divBdr>
        <w:top w:val="none" w:sz="0" w:space="0" w:color="auto"/>
        <w:left w:val="none" w:sz="0" w:space="0" w:color="auto"/>
        <w:bottom w:val="none" w:sz="0" w:space="0" w:color="auto"/>
        <w:right w:val="none" w:sz="0" w:space="0" w:color="auto"/>
      </w:divBdr>
    </w:div>
    <w:div w:id="1800151363">
      <w:bodyDiv w:val="1"/>
      <w:marLeft w:val="0"/>
      <w:marRight w:val="0"/>
      <w:marTop w:val="0"/>
      <w:marBottom w:val="0"/>
      <w:divBdr>
        <w:top w:val="none" w:sz="0" w:space="0" w:color="auto"/>
        <w:left w:val="none" w:sz="0" w:space="0" w:color="auto"/>
        <w:bottom w:val="none" w:sz="0" w:space="0" w:color="auto"/>
        <w:right w:val="none" w:sz="0" w:space="0" w:color="auto"/>
      </w:divBdr>
    </w:div>
    <w:div w:id="1802721647">
      <w:bodyDiv w:val="1"/>
      <w:marLeft w:val="0"/>
      <w:marRight w:val="0"/>
      <w:marTop w:val="0"/>
      <w:marBottom w:val="0"/>
      <w:divBdr>
        <w:top w:val="none" w:sz="0" w:space="0" w:color="auto"/>
        <w:left w:val="none" w:sz="0" w:space="0" w:color="auto"/>
        <w:bottom w:val="none" w:sz="0" w:space="0" w:color="auto"/>
        <w:right w:val="none" w:sz="0" w:space="0" w:color="auto"/>
      </w:divBdr>
    </w:div>
    <w:div w:id="1804273712">
      <w:bodyDiv w:val="1"/>
      <w:marLeft w:val="0"/>
      <w:marRight w:val="0"/>
      <w:marTop w:val="0"/>
      <w:marBottom w:val="0"/>
      <w:divBdr>
        <w:top w:val="none" w:sz="0" w:space="0" w:color="auto"/>
        <w:left w:val="none" w:sz="0" w:space="0" w:color="auto"/>
        <w:bottom w:val="none" w:sz="0" w:space="0" w:color="auto"/>
        <w:right w:val="none" w:sz="0" w:space="0" w:color="auto"/>
      </w:divBdr>
      <w:divsChild>
        <w:div w:id="842597492">
          <w:marLeft w:val="0"/>
          <w:marRight w:val="0"/>
          <w:marTop w:val="0"/>
          <w:marBottom w:val="0"/>
          <w:divBdr>
            <w:top w:val="none" w:sz="0" w:space="0" w:color="auto"/>
            <w:left w:val="none" w:sz="0" w:space="0" w:color="auto"/>
            <w:bottom w:val="none" w:sz="0" w:space="0" w:color="auto"/>
            <w:right w:val="none" w:sz="0" w:space="0" w:color="auto"/>
          </w:divBdr>
          <w:divsChild>
            <w:div w:id="779030620">
              <w:marLeft w:val="0"/>
              <w:marRight w:val="0"/>
              <w:marTop w:val="0"/>
              <w:marBottom w:val="0"/>
              <w:divBdr>
                <w:top w:val="none" w:sz="0" w:space="0" w:color="auto"/>
                <w:left w:val="none" w:sz="0" w:space="0" w:color="auto"/>
                <w:bottom w:val="none" w:sz="0" w:space="0" w:color="auto"/>
                <w:right w:val="none" w:sz="0" w:space="0" w:color="auto"/>
              </w:divBdr>
              <w:divsChild>
                <w:div w:id="1168834918">
                  <w:marLeft w:val="0"/>
                  <w:marRight w:val="0"/>
                  <w:marTop w:val="0"/>
                  <w:marBottom w:val="0"/>
                  <w:divBdr>
                    <w:top w:val="none" w:sz="0" w:space="0" w:color="auto"/>
                    <w:left w:val="none" w:sz="0" w:space="0" w:color="auto"/>
                    <w:bottom w:val="none" w:sz="0" w:space="0" w:color="auto"/>
                    <w:right w:val="none" w:sz="0" w:space="0" w:color="auto"/>
                  </w:divBdr>
                  <w:divsChild>
                    <w:div w:id="115114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7624361">
      <w:bodyDiv w:val="1"/>
      <w:marLeft w:val="0"/>
      <w:marRight w:val="0"/>
      <w:marTop w:val="0"/>
      <w:marBottom w:val="0"/>
      <w:divBdr>
        <w:top w:val="none" w:sz="0" w:space="0" w:color="auto"/>
        <w:left w:val="none" w:sz="0" w:space="0" w:color="auto"/>
        <w:bottom w:val="none" w:sz="0" w:space="0" w:color="auto"/>
        <w:right w:val="none" w:sz="0" w:space="0" w:color="auto"/>
      </w:divBdr>
    </w:div>
    <w:div w:id="1819883696">
      <w:bodyDiv w:val="1"/>
      <w:marLeft w:val="0"/>
      <w:marRight w:val="0"/>
      <w:marTop w:val="0"/>
      <w:marBottom w:val="0"/>
      <w:divBdr>
        <w:top w:val="none" w:sz="0" w:space="0" w:color="auto"/>
        <w:left w:val="none" w:sz="0" w:space="0" w:color="auto"/>
        <w:bottom w:val="none" w:sz="0" w:space="0" w:color="auto"/>
        <w:right w:val="none" w:sz="0" w:space="0" w:color="auto"/>
      </w:divBdr>
    </w:div>
    <w:div w:id="1840149829">
      <w:bodyDiv w:val="1"/>
      <w:marLeft w:val="0"/>
      <w:marRight w:val="0"/>
      <w:marTop w:val="0"/>
      <w:marBottom w:val="0"/>
      <w:divBdr>
        <w:top w:val="none" w:sz="0" w:space="0" w:color="auto"/>
        <w:left w:val="none" w:sz="0" w:space="0" w:color="auto"/>
        <w:bottom w:val="none" w:sz="0" w:space="0" w:color="auto"/>
        <w:right w:val="none" w:sz="0" w:space="0" w:color="auto"/>
      </w:divBdr>
    </w:div>
    <w:div w:id="1851676519">
      <w:bodyDiv w:val="1"/>
      <w:marLeft w:val="0"/>
      <w:marRight w:val="0"/>
      <w:marTop w:val="0"/>
      <w:marBottom w:val="0"/>
      <w:divBdr>
        <w:top w:val="none" w:sz="0" w:space="0" w:color="auto"/>
        <w:left w:val="none" w:sz="0" w:space="0" w:color="auto"/>
        <w:bottom w:val="none" w:sz="0" w:space="0" w:color="auto"/>
        <w:right w:val="none" w:sz="0" w:space="0" w:color="auto"/>
      </w:divBdr>
    </w:div>
    <w:div w:id="1854301981">
      <w:bodyDiv w:val="1"/>
      <w:marLeft w:val="0"/>
      <w:marRight w:val="0"/>
      <w:marTop w:val="0"/>
      <w:marBottom w:val="0"/>
      <w:divBdr>
        <w:top w:val="none" w:sz="0" w:space="0" w:color="auto"/>
        <w:left w:val="none" w:sz="0" w:space="0" w:color="auto"/>
        <w:bottom w:val="none" w:sz="0" w:space="0" w:color="auto"/>
        <w:right w:val="none" w:sz="0" w:space="0" w:color="auto"/>
      </w:divBdr>
    </w:div>
    <w:div w:id="1864173910">
      <w:bodyDiv w:val="1"/>
      <w:marLeft w:val="0"/>
      <w:marRight w:val="0"/>
      <w:marTop w:val="0"/>
      <w:marBottom w:val="0"/>
      <w:divBdr>
        <w:top w:val="none" w:sz="0" w:space="0" w:color="auto"/>
        <w:left w:val="none" w:sz="0" w:space="0" w:color="auto"/>
        <w:bottom w:val="none" w:sz="0" w:space="0" w:color="auto"/>
        <w:right w:val="none" w:sz="0" w:space="0" w:color="auto"/>
      </w:divBdr>
    </w:div>
    <w:div w:id="1869949439">
      <w:bodyDiv w:val="1"/>
      <w:marLeft w:val="0"/>
      <w:marRight w:val="0"/>
      <w:marTop w:val="0"/>
      <w:marBottom w:val="0"/>
      <w:divBdr>
        <w:top w:val="none" w:sz="0" w:space="0" w:color="auto"/>
        <w:left w:val="none" w:sz="0" w:space="0" w:color="auto"/>
        <w:bottom w:val="none" w:sz="0" w:space="0" w:color="auto"/>
        <w:right w:val="none" w:sz="0" w:space="0" w:color="auto"/>
      </w:divBdr>
    </w:div>
    <w:div w:id="1881355807">
      <w:bodyDiv w:val="1"/>
      <w:marLeft w:val="0"/>
      <w:marRight w:val="0"/>
      <w:marTop w:val="0"/>
      <w:marBottom w:val="0"/>
      <w:divBdr>
        <w:top w:val="none" w:sz="0" w:space="0" w:color="auto"/>
        <w:left w:val="none" w:sz="0" w:space="0" w:color="auto"/>
        <w:bottom w:val="none" w:sz="0" w:space="0" w:color="auto"/>
        <w:right w:val="none" w:sz="0" w:space="0" w:color="auto"/>
      </w:divBdr>
    </w:div>
    <w:div w:id="1885174978">
      <w:bodyDiv w:val="1"/>
      <w:marLeft w:val="0"/>
      <w:marRight w:val="0"/>
      <w:marTop w:val="0"/>
      <w:marBottom w:val="0"/>
      <w:divBdr>
        <w:top w:val="none" w:sz="0" w:space="0" w:color="auto"/>
        <w:left w:val="none" w:sz="0" w:space="0" w:color="auto"/>
        <w:bottom w:val="none" w:sz="0" w:space="0" w:color="auto"/>
        <w:right w:val="none" w:sz="0" w:space="0" w:color="auto"/>
      </w:divBdr>
      <w:divsChild>
        <w:div w:id="1071660039">
          <w:marLeft w:val="0"/>
          <w:marRight w:val="0"/>
          <w:marTop w:val="0"/>
          <w:marBottom w:val="0"/>
          <w:divBdr>
            <w:top w:val="none" w:sz="0" w:space="0" w:color="auto"/>
            <w:left w:val="none" w:sz="0" w:space="0" w:color="auto"/>
            <w:bottom w:val="none" w:sz="0" w:space="0" w:color="auto"/>
            <w:right w:val="none" w:sz="0" w:space="0" w:color="auto"/>
          </w:divBdr>
          <w:divsChild>
            <w:div w:id="692655841">
              <w:marLeft w:val="0"/>
              <w:marRight w:val="0"/>
              <w:marTop w:val="0"/>
              <w:marBottom w:val="0"/>
              <w:divBdr>
                <w:top w:val="none" w:sz="0" w:space="0" w:color="auto"/>
                <w:left w:val="none" w:sz="0" w:space="0" w:color="auto"/>
                <w:bottom w:val="none" w:sz="0" w:space="0" w:color="auto"/>
                <w:right w:val="none" w:sz="0" w:space="0" w:color="auto"/>
              </w:divBdr>
              <w:divsChild>
                <w:div w:id="1625498003">
                  <w:marLeft w:val="0"/>
                  <w:marRight w:val="0"/>
                  <w:marTop w:val="0"/>
                  <w:marBottom w:val="0"/>
                  <w:divBdr>
                    <w:top w:val="none" w:sz="0" w:space="0" w:color="auto"/>
                    <w:left w:val="none" w:sz="0" w:space="0" w:color="auto"/>
                    <w:bottom w:val="none" w:sz="0" w:space="0" w:color="auto"/>
                    <w:right w:val="none" w:sz="0" w:space="0" w:color="auto"/>
                  </w:divBdr>
                  <w:divsChild>
                    <w:div w:id="10617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8226499">
      <w:bodyDiv w:val="1"/>
      <w:marLeft w:val="0"/>
      <w:marRight w:val="0"/>
      <w:marTop w:val="0"/>
      <w:marBottom w:val="0"/>
      <w:divBdr>
        <w:top w:val="none" w:sz="0" w:space="0" w:color="auto"/>
        <w:left w:val="none" w:sz="0" w:space="0" w:color="auto"/>
        <w:bottom w:val="none" w:sz="0" w:space="0" w:color="auto"/>
        <w:right w:val="none" w:sz="0" w:space="0" w:color="auto"/>
      </w:divBdr>
    </w:div>
    <w:div w:id="1906143669">
      <w:bodyDiv w:val="1"/>
      <w:marLeft w:val="0"/>
      <w:marRight w:val="0"/>
      <w:marTop w:val="0"/>
      <w:marBottom w:val="0"/>
      <w:divBdr>
        <w:top w:val="none" w:sz="0" w:space="0" w:color="auto"/>
        <w:left w:val="none" w:sz="0" w:space="0" w:color="auto"/>
        <w:bottom w:val="none" w:sz="0" w:space="0" w:color="auto"/>
        <w:right w:val="none" w:sz="0" w:space="0" w:color="auto"/>
      </w:divBdr>
    </w:div>
    <w:div w:id="1906796954">
      <w:bodyDiv w:val="1"/>
      <w:marLeft w:val="0"/>
      <w:marRight w:val="0"/>
      <w:marTop w:val="0"/>
      <w:marBottom w:val="0"/>
      <w:divBdr>
        <w:top w:val="none" w:sz="0" w:space="0" w:color="auto"/>
        <w:left w:val="none" w:sz="0" w:space="0" w:color="auto"/>
        <w:bottom w:val="none" w:sz="0" w:space="0" w:color="auto"/>
        <w:right w:val="none" w:sz="0" w:space="0" w:color="auto"/>
      </w:divBdr>
      <w:divsChild>
        <w:div w:id="564488112">
          <w:marLeft w:val="0"/>
          <w:marRight w:val="0"/>
          <w:marTop w:val="0"/>
          <w:marBottom w:val="0"/>
          <w:divBdr>
            <w:top w:val="none" w:sz="0" w:space="0" w:color="auto"/>
            <w:left w:val="none" w:sz="0" w:space="0" w:color="auto"/>
            <w:bottom w:val="none" w:sz="0" w:space="0" w:color="auto"/>
            <w:right w:val="none" w:sz="0" w:space="0" w:color="auto"/>
          </w:divBdr>
          <w:divsChild>
            <w:div w:id="811799454">
              <w:marLeft w:val="0"/>
              <w:marRight w:val="0"/>
              <w:marTop w:val="0"/>
              <w:marBottom w:val="0"/>
              <w:divBdr>
                <w:top w:val="none" w:sz="0" w:space="0" w:color="auto"/>
                <w:left w:val="none" w:sz="0" w:space="0" w:color="auto"/>
                <w:bottom w:val="none" w:sz="0" w:space="0" w:color="auto"/>
                <w:right w:val="none" w:sz="0" w:space="0" w:color="auto"/>
              </w:divBdr>
              <w:divsChild>
                <w:div w:id="2114782646">
                  <w:marLeft w:val="0"/>
                  <w:marRight w:val="0"/>
                  <w:marTop w:val="0"/>
                  <w:marBottom w:val="0"/>
                  <w:divBdr>
                    <w:top w:val="none" w:sz="0" w:space="0" w:color="auto"/>
                    <w:left w:val="none" w:sz="0" w:space="0" w:color="auto"/>
                    <w:bottom w:val="none" w:sz="0" w:space="0" w:color="auto"/>
                    <w:right w:val="none" w:sz="0" w:space="0" w:color="auto"/>
                  </w:divBdr>
                  <w:divsChild>
                    <w:div w:id="982663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7497812">
      <w:bodyDiv w:val="1"/>
      <w:marLeft w:val="0"/>
      <w:marRight w:val="0"/>
      <w:marTop w:val="0"/>
      <w:marBottom w:val="0"/>
      <w:divBdr>
        <w:top w:val="none" w:sz="0" w:space="0" w:color="auto"/>
        <w:left w:val="none" w:sz="0" w:space="0" w:color="auto"/>
        <w:bottom w:val="none" w:sz="0" w:space="0" w:color="auto"/>
        <w:right w:val="none" w:sz="0" w:space="0" w:color="auto"/>
      </w:divBdr>
    </w:div>
    <w:div w:id="1917546911">
      <w:bodyDiv w:val="1"/>
      <w:marLeft w:val="0"/>
      <w:marRight w:val="0"/>
      <w:marTop w:val="0"/>
      <w:marBottom w:val="0"/>
      <w:divBdr>
        <w:top w:val="none" w:sz="0" w:space="0" w:color="auto"/>
        <w:left w:val="none" w:sz="0" w:space="0" w:color="auto"/>
        <w:bottom w:val="none" w:sz="0" w:space="0" w:color="auto"/>
        <w:right w:val="none" w:sz="0" w:space="0" w:color="auto"/>
      </w:divBdr>
    </w:div>
    <w:div w:id="1930894149">
      <w:bodyDiv w:val="1"/>
      <w:marLeft w:val="0"/>
      <w:marRight w:val="0"/>
      <w:marTop w:val="0"/>
      <w:marBottom w:val="0"/>
      <w:divBdr>
        <w:top w:val="none" w:sz="0" w:space="0" w:color="auto"/>
        <w:left w:val="none" w:sz="0" w:space="0" w:color="auto"/>
        <w:bottom w:val="none" w:sz="0" w:space="0" w:color="auto"/>
        <w:right w:val="none" w:sz="0" w:space="0" w:color="auto"/>
      </w:divBdr>
    </w:div>
    <w:div w:id="1936555114">
      <w:bodyDiv w:val="1"/>
      <w:marLeft w:val="0"/>
      <w:marRight w:val="0"/>
      <w:marTop w:val="0"/>
      <w:marBottom w:val="0"/>
      <w:divBdr>
        <w:top w:val="none" w:sz="0" w:space="0" w:color="auto"/>
        <w:left w:val="none" w:sz="0" w:space="0" w:color="auto"/>
        <w:bottom w:val="none" w:sz="0" w:space="0" w:color="auto"/>
        <w:right w:val="none" w:sz="0" w:space="0" w:color="auto"/>
      </w:divBdr>
    </w:div>
    <w:div w:id="1940328936">
      <w:bodyDiv w:val="1"/>
      <w:marLeft w:val="0"/>
      <w:marRight w:val="0"/>
      <w:marTop w:val="0"/>
      <w:marBottom w:val="0"/>
      <w:divBdr>
        <w:top w:val="none" w:sz="0" w:space="0" w:color="auto"/>
        <w:left w:val="none" w:sz="0" w:space="0" w:color="auto"/>
        <w:bottom w:val="none" w:sz="0" w:space="0" w:color="auto"/>
        <w:right w:val="none" w:sz="0" w:space="0" w:color="auto"/>
      </w:divBdr>
      <w:divsChild>
        <w:div w:id="891237342">
          <w:marLeft w:val="0"/>
          <w:marRight w:val="0"/>
          <w:marTop w:val="0"/>
          <w:marBottom w:val="0"/>
          <w:divBdr>
            <w:top w:val="none" w:sz="0" w:space="0" w:color="auto"/>
            <w:left w:val="none" w:sz="0" w:space="0" w:color="auto"/>
            <w:bottom w:val="none" w:sz="0" w:space="0" w:color="auto"/>
            <w:right w:val="none" w:sz="0" w:space="0" w:color="auto"/>
          </w:divBdr>
          <w:divsChild>
            <w:div w:id="1160846099">
              <w:marLeft w:val="0"/>
              <w:marRight w:val="0"/>
              <w:marTop w:val="0"/>
              <w:marBottom w:val="0"/>
              <w:divBdr>
                <w:top w:val="none" w:sz="0" w:space="0" w:color="auto"/>
                <w:left w:val="none" w:sz="0" w:space="0" w:color="auto"/>
                <w:bottom w:val="none" w:sz="0" w:space="0" w:color="auto"/>
                <w:right w:val="none" w:sz="0" w:space="0" w:color="auto"/>
              </w:divBdr>
              <w:divsChild>
                <w:div w:id="210988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881125">
      <w:bodyDiv w:val="1"/>
      <w:marLeft w:val="0"/>
      <w:marRight w:val="0"/>
      <w:marTop w:val="0"/>
      <w:marBottom w:val="0"/>
      <w:divBdr>
        <w:top w:val="none" w:sz="0" w:space="0" w:color="auto"/>
        <w:left w:val="none" w:sz="0" w:space="0" w:color="auto"/>
        <w:bottom w:val="none" w:sz="0" w:space="0" w:color="auto"/>
        <w:right w:val="none" w:sz="0" w:space="0" w:color="auto"/>
      </w:divBdr>
    </w:div>
    <w:div w:id="1943683091">
      <w:bodyDiv w:val="1"/>
      <w:marLeft w:val="0"/>
      <w:marRight w:val="0"/>
      <w:marTop w:val="0"/>
      <w:marBottom w:val="0"/>
      <w:divBdr>
        <w:top w:val="none" w:sz="0" w:space="0" w:color="auto"/>
        <w:left w:val="none" w:sz="0" w:space="0" w:color="auto"/>
        <w:bottom w:val="none" w:sz="0" w:space="0" w:color="auto"/>
        <w:right w:val="none" w:sz="0" w:space="0" w:color="auto"/>
      </w:divBdr>
      <w:divsChild>
        <w:div w:id="158469277">
          <w:marLeft w:val="0"/>
          <w:marRight w:val="0"/>
          <w:marTop w:val="0"/>
          <w:marBottom w:val="0"/>
          <w:divBdr>
            <w:top w:val="none" w:sz="0" w:space="0" w:color="auto"/>
            <w:left w:val="none" w:sz="0" w:space="0" w:color="auto"/>
            <w:bottom w:val="none" w:sz="0" w:space="0" w:color="auto"/>
            <w:right w:val="none" w:sz="0" w:space="0" w:color="auto"/>
          </w:divBdr>
          <w:divsChild>
            <w:div w:id="189270651">
              <w:marLeft w:val="0"/>
              <w:marRight w:val="0"/>
              <w:marTop w:val="0"/>
              <w:marBottom w:val="0"/>
              <w:divBdr>
                <w:top w:val="none" w:sz="0" w:space="0" w:color="auto"/>
                <w:left w:val="none" w:sz="0" w:space="0" w:color="auto"/>
                <w:bottom w:val="none" w:sz="0" w:space="0" w:color="auto"/>
                <w:right w:val="none" w:sz="0" w:space="0" w:color="auto"/>
              </w:divBdr>
              <w:divsChild>
                <w:div w:id="665012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112386">
      <w:bodyDiv w:val="1"/>
      <w:marLeft w:val="0"/>
      <w:marRight w:val="0"/>
      <w:marTop w:val="0"/>
      <w:marBottom w:val="0"/>
      <w:divBdr>
        <w:top w:val="none" w:sz="0" w:space="0" w:color="auto"/>
        <w:left w:val="none" w:sz="0" w:space="0" w:color="auto"/>
        <w:bottom w:val="none" w:sz="0" w:space="0" w:color="auto"/>
        <w:right w:val="none" w:sz="0" w:space="0" w:color="auto"/>
      </w:divBdr>
      <w:divsChild>
        <w:div w:id="1082604995">
          <w:marLeft w:val="0"/>
          <w:marRight w:val="0"/>
          <w:marTop w:val="0"/>
          <w:marBottom w:val="0"/>
          <w:divBdr>
            <w:top w:val="none" w:sz="0" w:space="0" w:color="auto"/>
            <w:left w:val="none" w:sz="0" w:space="0" w:color="auto"/>
            <w:bottom w:val="none" w:sz="0" w:space="0" w:color="auto"/>
            <w:right w:val="none" w:sz="0" w:space="0" w:color="auto"/>
          </w:divBdr>
          <w:divsChild>
            <w:div w:id="265889092">
              <w:marLeft w:val="0"/>
              <w:marRight w:val="0"/>
              <w:marTop w:val="0"/>
              <w:marBottom w:val="0"/>
              <w:divBdr>
                <w:top w:val="none" w:sz="0" w:space="0" w:color="auto"/>
                <w:left w:val="none" w:sz="0" w:space="0" w:color="auto"/>
                <w:bottom w:val="none" w:sz="0" w:space="0" w:color="auto"/>
                <w:right w:val="none" w:sz="0" w:space="0" w:color="auto"/>
              </w:divBdr>
              <w:divsChild>
                <w:div w:id="1750997958">
                  <w:marLeft w:val="0"/>
                  <w:marRight w:val="0"/>
                  <w:marTop w:val="0"/>
                  <w:marBottom w:val="0"/>
                  <w:divBdr>
                    <w:top w:val="none" w:sz="0" w:space="0" w:color="auto"/>
                    <w:left w:val="none" w:sz="0" w:space="0" w:color="auto"/>
                    <w:bottom w:val="none" w:sz="0" w:space="0" w:color="auto"/>
                    <w:right w:val="none" w:sz="0" w:space="0" w:color="auto"/>
                  </w:divBdr>
                  <w:divsChild>
                    <w:div w:id="1505121135">
                      <w:marLeft w:val="0"/>
                      <w:marRight w:val="0"/>
                      <w:marTop w:val="0"/>
                      <w:marBottom w:val="0"/>
                      <w:divBdr>
                        <w:top w:val="none" w:sz="0" w:space="0" w:color="auto"/>
                        <w:left w:val="none" w:sz="0" w:space="0" w:color="auto"/>
                        <w:bottom w:val="none" w:sz="0" w:space="0" w:color="auto"/>
                        <w:right w:val="none" w:sz="0" w:space="0" w:color="auto"/>
                      </w:divBdr>
                      <w:divsChild>
                        <w:div w:id="127673712">
                          <w:marLeft w:val="0"/>
                          <w:marRight w:val="0"/>
                          <w:marTop w:val="0"/>
                          <w:marBottom w:val="0"/>
                          <w:divBdr>
                            <w:top w:val="none" w:sz="0" w:space="0" w:color="auto"/>
                            <w:left w:val="none" w:sz="0" w:space="0" w:color="auto"/>
                            <w:bottom w:val="none" w:sz="0" w:space="0" w:color="auto"/>
                            <w:right w:val="none" w:sz="0" w:space="0" w:color="auto"/>
                          </w:divBdr>
                          <w:divsChild>
                            <w:div w:id="806313037">
                              <w:marLeft w:val="0"/>
                              <w:marRight w:val="0"/>
                              <w:marTop w:val="0"/>
                              <w:marBottom w:val="0"/>
                              <w:divBdr>
                                <w:top w:val="none" w:sz="0" w:space="0" w:color="auto"/>
                                <w:left w:val="none" w:sz="0" w:space="0" w:color="auto"/>
                                <w:bottom w:val="none" w:sz="0" w:space="0" w:color="auto"/>
                                <w:right w:val="none" w:sz="0" w:space="0" w:color="auto"/>
                              </w:divBdr>
                              <w:divsChild>
                                <w:div w:id="1860045362">
                                  <w:marLeft w:val="0"/>
                                  <w:marRight w:val="0"/>
                                  <w:marTop w:val="0"/>
                                  <w:marBottom w:val="0"/>
                                  <w:divBdr>
                                    <w:top w:val="none" w:sz="0" w:space="0" w:color="auto"/>
                                    <w:left w:val="none" w:sz="0" w:space="0" w:color="auto"/>
                                    <w:bottom w:val="none" w:sz="0" w:space="0" w:color="auto"/>
                                    <w:right w:val="none" w:sz="0" w:space="0" w:color="auto"/>
                                  </w:divBdr>
                                  <w:divsChild>
                                    <w:div w:id="916476690">
                                      <w:marLeft w:val="0"/>
                                      <w:marRight w:val="0"/>
                                      <w:marTop w:val="0"/>
                                      <w:marBottom w:val="0"/>
                                      <w:divBdr>
                                        <w:top w:val="none" w:sz="0" w:space="0" w:color="auto"/>
                                        <w:left w:val="none" w:sz="0" w:space="0" w:color="auto"/>
                                        <w:bottom w:val="none" w:sz="0" w:space="0" w:color="auto"/>
                                        <w:right w:val="none" w:sz="0" w:space="0" w:color="auto"/>
                                      </w:divBdr>
                                      <w:divsChild>
                                        <w:div w:id="654142363">
                                          <w:marLeft w:val="0"/>
                                          <w:marRight w:val="0"/>
                                          <w:marTop w:val="0"/>
                                          <w:marBottom w:val="0"/>
                                          <w:divBdr>
                                            <w:top w:val="none" w:sz="0" w:space="0" w:color="auto"/>
                                            <w:left w:val="none" w:sz="0" w:space="0" w:color="auto"/>
                                            <w:bottom w:val="none" w:sz="0" w:space="0" w:color="auto"/>
                                            <w:right w:val="none" w:sz="0" w:space="0" w:color="auto"/>
                                          </w:divBdr>
                                          <w:divsChild>
                                            <w:div w:id="1128860497">
                                              <w:marLeft w:val="0"/>
                                              <w:marRight w:val="0"/>
                                              <w:marTop w:val="0"/>
                                              <w:marBottom w:val="0"/>
                                              <w:divBdr>
                                                <w:top w:val="none" w:sz="0" w:space="0" w:color="auto"/>
                                                <w:left w:val="none" w:sz="0" w:space="0" w:color="auto"/>
                                                <w:bottom w:val="none" w:sz="0" w:space="0" w:color="auto"/>
                                                <w:right w:val="none" w:sz="0" w:space="0" w:color="auto"/>
                                              </w:divBdr>
                                              <w:divsChild>
                                                <w:div w:id="1356228747">
                                                  <w:marLeft w:val="0"/>
                                                  <w:marRight w:val="0"/>
                                                  <w:marTop w:val="0"/>
                                                  <w:marBottom w:val="0"/>
                                                  <w:divBdr>
                                                    <w:top w:val="none" w:sz="0" w:space="0" w:color="auto"/>
                                                    <w:left w:val="none" w:sz="0" w:space="0" w:color="auto"/>
                                                    <w:bottom w:val="none" w:sz="0" w:space="0" w:color="auto"/>
                                                    <w:right w:val="none" w:sz="0" w:space="0" w:color="auto"/>
                                                  </w:divBdr>
                                                  <w:divsChild>
                                                    <w:div w:id="1086154511">
                                                      <w:marLeft w:val="0"/>
                                                      <w:marRight w:val="0"/>
                                                      <w:marTop w:val="0"/>
                                                      <w:marBottom w:val="0"/>
                                                      <w:divBdr>
                                                        <w:top w:val="single" w:sz="6" w:space="0" w:color="ABABAB"/>
                                                        <w:left w:val="single" w:sz="6" w:space="0" w:color="ABABAB"/>
                                                        <w:bottom w:val="none" w:sz="0" w:space="0" w:color="auto"/>
                                                        <w:right w:val="single" w:sz="6" w:space="0" w:color="ABABAB"/>
                                                      </w:divBdr>
                                                      <w:divsChild>
                                                        <w:div w:id="953436637">
                                                          <w:marLeft w:val="0"/>
                                                          <w:marRight w:val="0"/>
                                                          <w:marTop w:val="0"/>
                                                          <w:marBottom w:val="0"/>
                                                          <w:divBdr>
                                                            <w:top w:val="none" w:sz="0" w:space="0" w:color="auto"/>
                                                            <w:left w:val="none" w:sz="0" w:space="0" w:color="auto"/>
                                                            <w:bottom w:val="none" w:sz="0" w:space="0" w:color="auto"/>
                                                            <w:right w:val="none" w:sz="0" w:space="0" w:color="auto"/>
                                                          </w:divBdr>
                                                          <w:divsChild>
                                                            <w:div w:id="2024622190">
                                                              <w:marLeft w:val="0"/>
                                                              <w:marRight w:val="0"/>
                                                              <w:marTop w:val="0"/>
                                                              <w:marBottom w:val="0"/>
                                                              <w:divBdr>
                                                                <w:top w:val="none" w:sz="0" w:space="0" w:color="auto"/>
                                                                <w:left w:val="none" w:sz="0" w:space="0" w:color="auto"/>
                                                                <w:bottom w:val="none" w:sz="0" w:space="0" w:color="auto"/>
                                                                <w:right w:val="none" w:sz="0" w:space="0" w:color="auto"/>
                                                              </w:divBdr>
                                                              <w:divsChild>
                                                                <w:div w:id="1185368539">
                                                                  <w:marLeft w:val="0"/>
                                                                  <w:marRight w:val="0"/>
                                                                  <w:marTop w:val="0"/>
                                                                  <w:marBottom w:val="0"/>
                                                                  <w:divBdr>
                                                                    <w:top w:val="none" w:sz="0" w:space="0" w:color="auto"/>
                                                                    <w:left w:val="none" w:sz="0" w:space="0" w:color="auto"/>
                                                                    <w:bottom w:val="none" w:sz="0" w:space="0" w:color="auto"/>
                                                                    <w:right w:val="none" w:sz="0" w:space="0" w:color="auto"/>
                                                                  </w:divBdr>
                                                                  <w:divsChild>
                                                                    <w:div w:id="35200978">
                                                                      <w:marLeft w:val="0"/>
                                                                      <w:marRight w:val="0"/>
                                                                      <w:marTop w:val="0"/>
                                                                      <w:marBottom w:val="0"/>
                                                                      <w:divBdr>
                                                                        <w:top w:val="none" w:sz="0" w:space="0" w:color="auto"/>
                                                                        <w:left w:val="none" w:sz="0" w:space="0" w:color="auto"/>
                                                                        <w:bottom w:val="none" w:sz="0" w:space="0" w:color="auto"/>
                                                                        <w:right w:val="none" w:sz="0" w:space="0" w:color="auto"/>
                                                                      </w:divBdr>
                                                                      <w:divsChild>
                                                                        <w:div w:id="816919729">
                                                                          <w:marLeft w:val="0"/>
                                                                          <w:marRight w:val="0"/>
                                                                          <w:marTop w:val="0"/>
                                                                          <w:marBottom w:val="0"/>
                                                                          <w:divBdr>
                                                                            <w:top w:val="none" w:sz="0" w:space="0" w:color="auto"/>
                                                                            <w:left w:val="none" w:sz="0" w:space="0" w:color="auto"/>
                                                                            <w:bottom w:val="none" w:sz="0" w:space="0" w:color="auto"/>
                                                                            <w:right w:val="none" w:sz="0" w:space="0" w:color="auto"/>
                                                                          </w:divBdr>
                                                                          <w:divsChild>
                                                                            <w:div w:id="2003119352">
                                                                              <w:marLeft w:val="0"/>
                                                                              <w:marRight w:val="0"/>
                                                                              <w:marTop w:val="0"/>
                                                                              <w:marBottom w:val="0"/>
                                                                              <w:divBdr>
                                                                                <w:top w:val="none" w:sz="0" w:space="0" w:color="auto"/>
                                                                                <w:left w:val="none" w:sz="0" w:space="0" w:color="auto"/>
                                                                                <w:bottom w:val="none" w:sz="0" w:space="0" w:color="auto"/>
                                                                                <w:right w:val="none" w:sz="0" w:space="0" w:color="auto"/>
                                                                              </w:divBdr>
                                                                              <w:divsChild>
                                                                                <w:div w:id="2561078">
                                                                                  <w:marLeft w:val="0"/>
                                                                                  <w:marRight w:val="0"/>
                                                                                  <w:marTop w:val="0"/>
                                                                                  <w:marBottom w:val="0"/>
                                                                                  <w:divBdr>
                                                                                    <w:top w:val="none" w:sz="0" w:space="0" w:color="auto"/>
                                                                                    <w:left w:val="none" w:sz="0" w:space="0" w:color="auto"/>
                                                                                    <w:bottom w:val="none" w:sz="0" w:space="0" w:color="auto"/>
                                                                                    <w:right w:val="none" w:sz="0" w:space="0" w:color="auto"/>
                                                                                  </w:divBdr>
                                                                                </w:div>
                                                                                <w:div w:id="10575191">
                                                                                  <w:marLeft w:val="0"/>
                                                                                  <w:marRight w:val="0"/>
                                                                                  <w:marTop w:val="0"/>
                                                                                  <w:marBottom w:val="0"/>
                                                                                  <w:divBdr>
                                                                                    <w:top w:val="none" w:sz="0" w:space="0" w:color="auto"/>
                                                                                    <w:left w:val="none" w:sz="0" w:space="0" w:color="auto"/>
                                                                                    <w:bottom w:val="none" w:sz="0" w:space="0" w:color="auto"/>
                                                                                    <w:right w:val="none" w:sz="0" w:space="0" w:color="auto"/>
                                                                                  </w:divBdr>
                                                                                </w:div>
                                                                                <w:div w:id="28991291">
                                                                                  <w:marLeft w:val="0"/>
                                                                                  <w:marRight w:val="0"/>
                                                                                  <w:marTop w:val="0"/>
                                                                                  <w:marBottom w:val="0"/>
                                                                                  <w:divBdr>
                                                                                    <w:top w:val="none" w:sz="0" w:space="0" w:color="auto"/>
                                                                                    <w:left w:val="none" w:sz="0" w:space="0" w:color="auto"/>
                                                                                    <w:bottom w:val="none" w:sz="0" w:space="0" w:color="auto"/>
                                                                                    <w:right w:val="none" w:sz="0" w:space="0" w:color="auto"/>
                                                                                  </w:divBdr>
                                                                                </w:div>
                                                                                <w:div w:id="42367611">
                                                                                  <w:marLeft w:val="0"/>
                                                                                  <w:marRight w:val="0"/>
                                                                                  <w:marTop w:val="0"/>
                                                                                  <w:marBottom w:val="0"/>
                                                                                  <w:divBdr>
                                                                                    <w:top w:val="none" w:sz="0" w:space="0" w:color="auto"/>
                                                                                    <w:left w:val="none" w:sz="0" w:space="0" w:color="auto"/>
                                                                                    <w:bottom w:val="none" w:sz="0" w:space="0" w:color="auto"/>
                                                                                    <w:right w:val="none" w:sz="0" w:space="0" w:color="auto"/>
                                                                                  </w:divBdr>
                                                                                </w:div>
                                                                                <w:div w:id="50155885">
                                                                                  <w:marLeft w:val="0"/>
                                                                                  <w:marRight w:val="0"/>
                                                                                  <w:marTop w:val="0"/>
                                                                                  <w:marBottom w:val="0"/>
                                                                                  <w:divBdr>
                                                                                    <w:top w:val="none" w:sz="0" w:space="0" w:color="auto"/>
                                                                                    <w:left w:val="none" w:sz="0" w:space="0" w:color="auto"/>
                                                                                    <w:bottom w:val="none" w:sz="0" w:space="0" w:color="auto"/>
                                                                                    <w:right w:val="none" w:sz="0" w:space="0" w:color="auto"/>
                                                                                  </w:divBdr>
                                                                                </w:div>
                                                                                <w:div w:id="53092048">
                                                                                  <w:marLeft w:val="0"/>
                                                                                  <w:marRight w:val="0"/>
                                                                                  <w:marTop w:val="0"/>
                                                                                  <w:marBottom w:val="0"/>
                                                                                  <w:divBdr>
                                                                                    <w:top w:val="none" w:sz="0" w:space="0" w:color="auto"/>
                                                                                    <w:left w:val="none" w:sz="0" w:space="0" w:color="auto"/>
                                                                                    <w:bottom w:val="none" w:sz="0" w:space="0" w:color="auto"/>
                                                                                    <w:right w:val="none" w:sz="0" w:space="0" w:color="auto"/>
                                                                                  </w:divBdr>
                                                                                </w:div>
                                                                                <w:div w:id="60295322">
                                                                                  <w:marLeft w:val="0"/>
                                                                                  <w:marRight w:val="0"/>
                                                                                  <w:marTop w:val="0"/>
                                                                                  <w:marBottom w:val="0"/>
                                                                                  <w:divBdr>
                                                                                    <w:top w:val="none" w:sz="0" w:space="0" w:color="auto"/>
                                                                                    <w:left w:val="none" w:sz="0" w:space="0" w:color="auto"/>
                                                                                    <w:bottom w:val="none" w:sz="0" w:space="0" w:color="auto"/>
                                                                                    <w:right w:val="none" w:sz="0" w:space="0" w:color="auto"/>
                                                                                  </w:divBdr>
                                                                                </w:div>
                                                                                <w:div w:id="64954221">
                                                                                  <w:marLeft w:val="0"/>
                                                                                  <w:marRight w:val="0"/>
                                                                                  <w:marTop w:val="0"/>
                                                                                  <w:marBottom w:val="0"/>
                                                                                  <w:divBdr>
                                                                                    <w:top w:val="none" w:sz="0" w:space="0" w:color="auto"/>
                                                                                    <w:left w:val="none" w:sz="0" w:space="0" w:color="auto"/>
                                                                                    <w:bottom w:val="none" w:sz="0" w:space="0" w:color="auto"/>
                                                                                    <w:right w:val="none" w:sz="0" w:space="0" w:color="auto"/>
                                                                                  </w:divBdr>
                                                                                </w:div>
                                                                                <w:div w:id="89201066">
                                                                                  <w:marLeft w:val="0"/>
                                                                                  <w:marRight w:val="0"/>
                                                                                  <w:marTop w:val="0"/>
                                                                                  <w:marBottom w:val="0"/>
                                                                                  <w:divBdr>
                                                                                    <w:top w:val="none" w:sz="0" w:space="0" w:color="auto"/>
                                                                                    <w:left w:val="none" w:sz="0" w:space="0" w:color="auto"/>
                                                                                    <w:bottom w:val="none" w:sz="0" w:space="0" w:color="auto"/>
                                                                                    <w:right w:val="none" w:sz="0" w:space="0" w:color="auto"/>
                                                                                  </w:divBdr>
                                                                                </w:div>
                                                                                <w:div w:id="113331469">
                                                                                  <w:marLeft w:val="0"/>
                                                                                  <w:marRight w:val="0"/>
                                                                                  <w:marTop w:val="0"/>
                                                                                  <w:marBottom w:val="0"/>
                                                                                  <w:divBdr>
                                                                                    <w:top w:val="none" w:sz="0" w:space="0" w:color="auto"/>
                                                                                    <w:left w:val="none" w:sz="0" w:space="0" w:color="auto"/>
                                                                                    <w:bottom w:val="none" w:sz="0" w:space="0" w:color="auto"/>
                                                                                    <w:right w:val="none" w:sz="0" w:space="0" w:color="auto"/>
                                                                                  </w:divBdr>
                                                                                </w:div>
                                                                                <w:div w:id="117575737">
                                                                                  <w:marLeft w:val="0"/>
                                                                                  <w:marRight w:val="0"/>
                                                                                  <w:marTop w:val="0"/>
                                                                                  <w:marBottom w:val="0"/>
                                                                                  <w:divBdr>
                                                                                    <w:top w:val="none" w:sz="0" w:space="0" w:color="auto"/>
                                                                                    <w:left w:val="none" w:sz="0" w:space="0" w:color="auto"/>
                                                                                    <w:bottom w:val="none" w:sz="0" w:space="0" w:color="auto"/>
                                                                                    <w:right w:val="none" w:sz="0" w:space="0" w:color="auto"/>
                                                                                  </w:divBdr>
                                                                                </w:div>
                                                                                <w:div w:id="131290774">
                                                                                  <w:marLeft w:val="0"/>
                                                                                  <w:marRight w:val="0"/>
                                                                                  <w:marTop w:val="0"/>
                                                                                  <w:marBottom w:val="0"/>
                                                                                  <w:divBdr>
                                                                                    <w:top w:val="none" w:sz="0" w:space="0" w:color="auto"/>
                                                                                    <w:left w:val="none" w:sz="0" w:space="0" w:color="auto"/>
                                                                                    <w:bottom w:val="none" w:sz="0" w:space="0" w:color="auto"/>
                                                                                    <w:right w:val="none" w:sz="0" w:space="0" w:color="auto"/>
                                                                                  </w:divBdr>
                                                                                </w:div>
                                                                                <w:div w:id="144015148">
                                                                                  <w:marLeft w:val="0"/>
                                                                                  <w:marRight w:val="0"/>
                                                                                  <w:marTop w:val="0"/>
                                                                                  <w:marBottom w:val="0"/>
                                                                                  <w:divBdr>
                                                                                    <w:top w:val="none" w:sz="0" w:space="0" w:color="auto"/>
                                                                                    <w:left w:val="none" w:sz="0" w:space="0" w:color="auto"/>
                                                                                    <w:bottom w:val="none" w:sz="0" w:space="0" w:color="auto"/>
                                                                                    <w:right w:val="none" w:sz="0" w:space="0" w:color="auto"/>
                                                                                  </w:divBdr>
                                                                                </w:div>
                                                                                <w:div w:id="158733585">
                                                                                  <w:marLeft w:val="0"/>
                                                                                  <w:marRight w:val="0"/>
                                                                                  <w:marTop w:val="0"/>
                                                                                  <w:marBottom w:val="0"/>
                                                                                  <w:divBdr>
                                                                                    <w:top w:val="none" w:sz="0" w:space="0" w:color="auto"/>
                                                                                    <w:left w:val="none" w:sz="0" w:space="0" w:color="auto"/>
                                                                                    <w:bottom w:val="none" w:sz="0" w:space="0" w:color="auto"/>
                                                                                    <w:right w:val="none" w:sz="0" w:space="0" w:color="auto"/>
                                                                                  </w:divBdr>
                                                                                </w:div>
                                                                                <w:div w:id="165438167">
                                                                                  <w:marLeft w:val="0"/>
                                                                                  <w:marRight w:val="0"/>
                                                                                  <w:marTop w:val="0"/>
                                                                                  <w:marBottom w:val="0"/>
                                                                                  <w:divBdr>
                                                                                    <w:top w:val="none" w:sz="0" w:space="0" w:color="auto"/>
                                                                                    <w:left w:val="none" w:sz="0" w:space="0" w:color="auto"/>
                                                                                    <w:bottom w:val="none" w:sz="0" w:space="0" w:color="auto"/>
                                                                                    <w:right w:val="none" w:sz="0" w:space="0" w:color="auto"/>
                                                                                  </w:divBdr>
                                                                                  <w:divsChild>
                                                                                    <w:div w:id="919682766">
                                                                                      <w:marLeft w:val="0"/>
                                                                                      <w:marRight w:val="0"/>
                                                                                      <w:marTop w:val="0"/>
                                                                                      <w:marBottom w:val="0"/>
                                                                                      <w:divBdr>
                                                                                        <w:top w:val="none" w:sz="0" w:space="0" w:color="auto"/>
                                                                                        <w:left w:val="none" w:sz="0" w:space="0" w:color="auto"/>
                                                                                        <w:bottom w:val="none" w:sz="0" w:space="0" w:color="auto"/>
                                                                                        <w:right w:val="none" w:sz="0" w:space="0" w:color="auto"/>
                                                                                      </w:divBdr>
                                                                                    </w:div>
                                                                                    <w:div w:id="1767993745">
                                                                                      <w:marLeft w:val="0"/>
                                                                                      <w:marRight w:val="0"/>
                                                                                      <w:marTop w:val="0"/>
                                                                                      <w:marBottom w:val="0"/>
                                                                                      <w:divBdr>
                                                                                        <w:top w:val="none" w:sz="0" w:space="0" w:color="auto"/>
                                                                                        <w:left w:val="none" w:sz="0" w:space="0" w:color="auto"/>
                                                                                        <w:bottom w:val="none" w:sz="0" w:space="0" w:color="auto"/>
                                                                                        <w:right w:val="none" w:sz="0" w:space="0" w:color="auto"/>
                                                                                      </w:divBdr>
                                                                                    </w:div>
                                                                                    <w:div w:id="1830630540">
                                                                                      <w:marLeft w:val="0"/>
                                                                                      <w:marRight w:val="0"/>
                                                                                      <w:marTop w:val="0"/>
                                                                                      <w:marBottom w:val="0"/>
                                                                                      <w:divBdr>
                                                                                        <w:top w:val="none" w:sz="0" w:space="0" w:color="auto"/>
                                                                                        <w:left w:val="none" w:sz="0" w:space="0" w:color="auto"/>
                                                                                        <w:bottom w:val="none" w:sz="0" w:space="0" w:color="auto"/>
                                                                                        <w:right w:val="none" w:sz="0" w:space="0" w:color="auto"/>
                                                                                      </w:divBdr>
                                                                                    </w:div>
                                                                                  </w:divsChild>
                                                                                </w:div>
                                                                                <w:div w:id="200174080">
                                                                                  <w:marLeft w:val="0"/>
                                                                                  <w:marRight w:val="0"/>
                                                                                  <w:marTop w:val="0"/>
                                                                                  <w:marBottom w:val="0"/>
                                                                                  <w:divBdr>
                                                                                    <w:top w:val="none" w:sz="0" w:space="0" w:color="auto"/>
                                                                                    <w:left w:val="none" w:sz="0" w:space="0" w:color="auto"/>
                                                                                    <w:bottom w:val="none" w:sz="0" w:space="0" w:color="auto"/>
                                                                                    <w:right w:val="none" w:sz="0" w:space="0" w:color="auto"/>
                                                                                  </w:divBdr>
                                                                                </w:div>
                                                                                <w:div w:id="200409742">
                                                                                  <w:marLeft w:val="0"/>
                                                                                  <w:marRight w:val="0"/>
                                                                                  <w:marTop w:val="0"/>
                                                                                  <w:marBottom w:val="0"/>
                                                                                  <w:divBdr>
                                                                                    <w:top w:val="none" w:sz="0" w:space="0" w:color="auto"/>
                                                                                    <w:left w:val="none" w:sz="0" w:space="0" w:color="auto"/>
                                                                                    <w:bottom w:val="none" w:sz="0" w:space="0" w:color="auto"/>
                                                                                    <w:right w:val="none" w:sz="0" w:space="0" w:color="auto"/>
                                                                                  </w:divBdr>
                                                                                  <w:divsChild>
                                                                                    <w:div w:id="1006860016">
                                                                                      <w:marLeft w:val="-75"/>
                                                                                      <w:marRight w:val="0"/>
                                                                                      <w:marTop w:val="30"/>
                                                                                      <w:marBottom w:val="30"/>
                                                                                      <w:divBdr>
                                                                                        <w:top w:val="none" w:sz="0" w:space="0" w:color="auto"/>
                                                                                        <w:left w:val="none" w:sz="0" w:space="0" w:color="auto"/>
                                                                                        <w:bottom w:val="none" w:sz="0" w:space="0" w:color="auto"/>
                                                                                        <w:right w:val="none" w:sz="0" w:space="0" w:color="auto"/>
                                                                                      </w:divBdr>
                                                                                      <w:divsChild>
                                                                                        <w:div w:id="98067160">
                                                                                          <w:marLeft w:val="0"/>
                                                                                          <w:marRight w:val="0"/>
                                                                                          <w:marTop w:val="0"/>
                                                                                          <w:marBottom w:val="0"/>
                                                                                          <w:divBdr>
                                                                                            <w:top w:val="none" w:sz="0" w:space="0" w:color="auto"/>
                                                                                            <w:left w:val="none" w:sz="0" w:space="0" w:color="auto"/>
                                                                                            <w:bottom w:val="none" w:sz="0" w:space="0" w:color="auto"/>
                                                                                            <w:right w:val="none" w:sz="0" w:space="0" w:color="auto"/>
                                                                                          </w:divBdr>
                                                                                          <w:divsChild>
                                                                                            <w:div w:id="668757076">
                                                                                              <w:marLeft w:val="0"/>
                                                                                              <w:marRight w:val="0"/>
                                                                                              <w:marTop w:val="0"/>
                                                                                              <w:marBottom w:val="0"/>
                                                                                              <w:divBdr>
                                                                                                <w:top w:val="none" w:sz="0" w:space="0" w:color="auto"/>
                                                                                                <w:left w:val="none" w:sz="0" w:space="0" w:color="auto"/>
                                                                                                <w:bottom w:val="none" w:sz="0" w:space="0" w:color="auto"/>
                                                                                                <w:right w:val="none" w:sz="0" w:space="0" w:color="auto"/>
                                                                                              </w:divBdr>
                                                                                            </w:div>
                                                                                          </w:divsChild>
                                                                                        </w:div>
                                                                                        <w:div w:id="132987590">
                                                                                          <w:marLeft w:val="0"/>
                                                                                          <w:marRight w:val="0"/>
                                                                                          <w:marTop w:val="0"/>
                                                                                          <w:marBottom w:val="0"/>
                                                                                          <w:divBdr>
                                                                                            <w:top w:val="none" w:sz="0" w:space="0" w:color="auto"/>
                                                                                            <w:left w:val="none" w:sz="0" w:space="0" w:color="auto"/>
                                                                                            <w:bottom w:val="none" w:sz="0" w:space="0" w:color="auto"/>
                                                                                            <w:right w:val="none" w:sz="0" w:space="0" w:color="auto"/>
                                                                                          </w:divBdr>
                                                                                          <w:divsChild>
                                                                                            <w:div w:id="1056079371">
                                                                                              <w:marLeft w:val="0"/>
                                                                                              <w:marRight w:val="0"/>
                                                                                              <w:marTop w:val="0"/>
                                                                                              <w:marBottom w:val="0"/>
                                                                                              <w:divBdr>
                                                                                                <w:top w:val="none" w:sz="0" w:space="0" w:color="auto"/>
                                                                                                <w:left w:val="none" w:sz="0" w:space="0" w:color="auto"/>
                                                                                                <w:bottom w:val="none" w:sz="0" w:space="0" w:color="auto"/>
                                                                                                <w:right w:val="none" w:sz="0" w:space="0" w:color="auto"/>
                                                                                              </w:divBdr>
                                                                                            </w:div>
                                                                                          </w:divsChild>
                                                                                        </w:div>
                                                                                        <w:div w:id="161119365">
                                                                                          <w:marLeft w:val="0"/>
                                                                                          <w:marRight w:val="0"/>
                                                                                          <w:marTop w:val="0"/>
                                                                                          <w:marBottom w:val="0"/>
                                                                                          <w:divBdr>
                                                                                            <w:top w:val="none" w:sz="0" w:space="0" w:color="auto"/>
                                                                                            <w:left w:val="none" w:sz="0" w:space="0" w:color="auto"/>
                                                                                            <w:bottom w:val="none" w:sz="0" w:space="0" w:color="auto"/>
                                                                                            <w:right w:val="none" w:sz="0" w:space="0" w:color="auto"/>
                                                                                          </w:divBdr>
                                                                                          <w:divsChild>
                                                                                            <w:div w:id="1441415960">
                                                                                              <w:marLeft w:val="0"/>
                                                                                              <w:marRight w:val="0"/>
                                                                                              <w:marTop w:val="0"/>
                                                                                              <w:marBottom w:val="0"/>
                                                                                              <w:divBdr>
                                                                                                <w:top w:val="none" w:sz="0" w:space="0" w:color="auto"/>
                                                                                                <w:left w:val="none" w:sz="0" w:space="0" w:color="auto"/>
                                                                                                <w:bottom w:val="none" w:sz="0" w:space="0" w:color="auto"/>
                                                                                                <w:right w:val="none" w:sz="0" w:space="0" w:color="auto"/>
                                                                                              </w:divBdr>
                                                                                            </w:div>
                                                                                          </w:divsChild>
                                                                                        </w:div>
                                                                                        <w:div w:id="229463677">
                                                                                          <w:marLeft w:val="0"/>
                                                                                          <w:marRight w:val="0"/>
                                                                                          <w:marTop w:val="0"/>
                                                                                          <w:marBottom w:val="0"/>
                                                                                          <w:divBdr>
                                                                                            <w:top w:val="none" w:sz="0" w:space="0" w:color="auto"/>
                                                                                            <w:left w:val="none" w:sz="0" w:space="0" w:color="auto"/>
                                                                                            <w:bottom w:val="none" w:sz="0" w:space="0" w:color="auto"/>
                                                                                            <w:right w:val="none" w:sz="0" w:space="0" w:color="auto"/>
                                                                                          </w:divBdr>
                                                                                          <w:divsChild>
                                                                                            <w:div w:id="1661233727">
                                                                                              <w:marLeft w:val="0"/>
                                                                                              <w:marRight w:val="0"/>
                                                                                              <w:marTop w:val="0"/>
                                                                                              <w:marBottom w:val="0"/>
                                                                                              <w:divBdr>
                                                                                                <w:top w:val="none" w:sz="0" w:space="0" w:color="auto"/>
                                                                                                <w:left w:val="none" w:sz="0" w:space="0" w:color="auto"/>
                                                                                                <w:bottom w:val="none" w:sz="0" w:space="0" w:color="auto"/>
                                                                                                <w:right w:val="none" w:sz="0" w:space="0" w:color="auto"/>
                                                                                              </w:divBdr>
                                                                                            </w:div>
                                                                                          </w:divsChild>
                                                                                        </w:div>
                                                                                        <w:div w:id="275186669">
                                                                                          <w:marLeft w:val="0"/>
                                                                                          <w:marRight w:val="0"/>
                                                                                          <w:marTop w:val="0"/>
                                                                                          <w:marBottom w:val="0"/>
                                                                                          <w:divBdr>
                                                                                            <w:top w:val="none" w:sz="0" w:space="0" w:color="auto"/>
                                                                                            <w:left w:val="none" w:sz="0" w:space="0" w:color="auto"/>
                                                                                            <w:bottom w:val="none" w:sz="0" w:space="0" w:color="auto"/>
                                                                                            <w:right w:val="none" w:sz="0" w:space="0" w:color="auto"/>
                                                                                          </w:divBdr>
                                                                                          <w:divsChild>
                                                                                            <w:div w:id="189536782">
                                                                                              <w:marLeft w:val="0"/>
                                                                                              <w:marRight w:val="0"/>
                                                                                              <w:marTop w:val="0"/>
                                                                                              <w:marBottom w:val="0"/>
                                                                                              <w:divBdr>
                                                                                                <w:top w:val="none" w:sz="0" w:space="0" w:color="auto"/>
                                                                                                <w:left w:val="none" w:sz="0" w:space="0" w:color="auto"/>
                                                                                                <w:bottom w:val="none" w:sz="0" w:space="0" w:color="auto"/>
                                                                                                <w:right w:val="none" w:sz="0" w:space="0" w:color="auto"/>
                                                                                              </w:divBdr>
                                                                                            </w:div>
                                                                                          </w:divsChild>
                                                                                        </w:div>
                                                                                        <w:div w:id="533428026">
                                                                                          <w:marLeft w:val="0"/>
                                                                                          <w:marRight w:val="0"/>
                                                                                          <w:marTop w:val="0"/>
                                                                                          <w:marBottom w:val="0"/>
                                                                                          <w:divBdr>
                                                                                            <w:top w:val="none" w:sz="0" w:space="0" w:color="auto"/>
                                                                                            <w:left w:val="none" w:sz="0" w:space="0" w:color="auto"/>
                                                                                            <w:bottom w:val="none" w:sz="0" w:space="0" w:color="auto"/>
                                                                                            <w:right w:val="none" w:sz="0" w:space="0" w:color="auto"/>
                                                                                          </w:divBdr>
                                                                                          <w:divsChild>
                                                                                            <w:div w:id="1455708327">
                                                                                              <w:marLeft w:val="0"/>
                                                                                              <w:marRight w:val="0"/>
                                                                                              <w:marTop w:val="0"/>
                                                                                              <w:marBottom w:val="0"/>
                                                                                              <w:divBdr>
                                                                                                <w:top w:val="none" w:sz="0" w:space="0" w:color="auto"/>
                                                                                                <w:left w:val="none" w:sz="0" w:space="0" w:color="auto"/>
                                                                                                <w:bottom w:val="none" w:sz="0" w:space="0" w:color="auto"/>
                                                                                                <w:right w:val="none" w:sz="0" w:space="0" w:color="auto"/>
                                                                                              </w:divBdr>
                                                                                            </w:div>
                                                                                          </w:divsChild>
                                                                                        </w:div>
                                                                                        <w:div w:id="581570154">
                                                                                          <w:marLeft w:val="0"/>
                                                                                          <w:marRight w:val="0"/>
                                                                                          <w:marTop w:val="0"/>
                                                                                          <w:marBottom w:val="0"/>
                                                                                          <w:divBdr>
                                                                                            <w:top w:val="none" w:sz="0" w:space="0" w:color="auto"/>
                                                                                            <w:left w:val="none" w:sz="0" w:space="0" w:color="auto"/>
                                                                                            <w:bottom w:val="none" w:sz="0" w:space="0" w:color="auto"/>
                                                                                            <w:right w:val="none" w:sz="0" w:space="0" w:color="auto"/>
                                                                                          </w:divBdr>
                                                                                          <w:divsChild>
                                                                                            <w:div w:id="140656015">
                                                                                              <w:marLeft w:val="0"/>
                                                                                              <w:marRight w:val="0"/>
                                                                                              <w:marTop w:val="0"/>
                                                                                              <w:marBottom w:val="0"/>
                                                                                              <w:divBdr>
                                                                                                <w:top w:val="none" w:sz="0" w:space="0" w:color="auto"/>
                                                                                                <w:left w:val="none" w:sz="0" w:space="0" w:color="auto"/>
                                                                                                <w:bottom w:val="none" w:sz="0" w:space="0" w:color="auto"/>
                                                                                                <w:right w:val="none" w:sz="0" w:space="0" w:color="auto"/>
                                                                                              </w:divBdr>
                                                                                            </w:div>
                                                                                            <w:div w:id="698354058">
                                                                                              <w:marLeft w:val="0"/>
                                                                                              <w:marRight w:val="0"/>
                                                                                              <w:marTop w:val="0"/>
                                                                                              <w:marBottom w:val="0"/>
                                                                                              <w:divBdr>
                                                                                                <w:top w:val="none" w:sz="0" w:space="0" w:color="auto"/>
                                                                                                <w:left w:val="none" w:sz="0" w:space="0" w:color="auto"/>
                                                                                                <w:bottom w:val="none" w:sz="0" w:space="0" w:color="auto"/>
                                                                                                <w:right w:val="none" w:sz="0" w:space="0" w:color="auto"/>
                                                                                              </w:divBdr>
                                                                                            </w:div>
                                                                                          </w:divsChild>
                                                                                        </w:div>
                                                                                        <w:div w:id="611672642">
                                                                                          <w:marLeft w:val="0"/>
                                                                                          <w:marRight w:val="0"/>
                                                                                          <w:marTop w:val="0"/>
                                                                                          <w:marBottom w:val="0"/>
                                                                                          <w:divBdr>
                                                                                            <w:top w:val="none" w:sz="0" w:space="0" w:color="auto"/>
                                                                                            <w:left w:val="none" w:sz="0" w:space="0" w:color="auto"/>
                                                                                            <w:bottom w:val="none" w:sz="0" w:space="0" w:color="auto"/>
                                                                                            <w:right w:val="none" w:sz="0" w:space="0" w:color="auto"/>
                                                                                          </w:divBdr>
                                                                                          <w:divsChild>
                                                                                            <w:div w:id="1213805259">
                                                                                              <w:marLeft w:val="0"/>
                                                                                              <w:marRight w:val="0"/>
                                                                                              <w:marTop w:val="0"/>
                                                                                              <w:marBottom w:val="0"/>
                                                                                              <w:divBdr>
                                                                                                <w:top w:val="none" w:sz="0" w:space="0" w:color="auto"/>
                                                                                                <w:left w:val="none" w:sz="0" w:space="0" w:color="auto"/>
                                                                                                <w:bottom w:val="none" w:sz="0" w:space="0" w:color="auto"/>
                                                                                                <w:right w:val="none" w:sz="0" w:space="0" w:color="auto"/>
                                                                                              </w:divBdr>
                                                                                            </w:div>
                                                                                          </w:divsChild>
                                                                                        </w:div>
                                                                                        <w:div w:id="675838930">
                                                                                          <w:marLeft w:val="0"/>
                                                                                          <w:marRight w:val="0"/>
                                                                                          <w:marTop w:val="0"/>
                                                                                          <w:marBottom w:val="0"/>
                                                                                          <w:divBdr>
                                                                                            <w:top w:val="none" w:sz="0" w:space="0" w:color="auto"/>
                                                                                            <w:left w:val="none" w:sz="0" w:space="0" w:color="auto"/>
                                                                                            <w:bottom w:val="none" w:sz="0" w:space="0" w:color="auto"/>
                                                                                            <w:right w:val="none" w:sz="0" w:space="0" w:color="auto"/>
                                                                                          </w:divBdr>
                                                                                          <w:divsChild>
                                                                                            <w:div w:id="1949123663">
                                                                                              <w:marLeft w:val="0"/>
                                                                                              <w:marRight w:val="0"/>
                                                                                              <w:marTop w:val="0"/>
                                                                                              <w:marBottom w:val="0"/>
                                                                                              <w:divBdr>
                                                                                                <w:top w:val="none" w:sz="0" w:space="0" w:color="auto"/>
                                                                                                <w:left w:val="none" w:sz="0" w:space="0" w:color="auto"/>
                                                                                                <w:bottom w:val="none" w:sz="0" w:space="0" w:color="auto"/>
                                                                                                <w:right w:val="none" w:sz="0" w:space="0" w:color="auto"/>
                                                                                              </w:divBdr>
                                                                                            </w:div>
                                                                                          </w:divsChild>
                                                                                        </w:div>
                                                                                        <w:div w:id="710615123">
                                                                                          <w:marLeft w:val="0"/>
                                                                                          <w:marRight w:val="0"/>
                                                                                          <w:marTop w:val="0"/>
                                                                                          <w:marBottom w:val="0"/>
                                                                                          <w:divBdr>
                                                                                            <w:top w:val="none" w:sz="0" w:space="0" w:color="auto"/>
                                                                                            <w:left w:val="none" w:sz="0" w:space="0" w:color="auto"/>
                                                                                            <w:bottom w:val="none" w:sz="0" w:space="0" w:color="auto"/>
                                                                                            <w:right w:val="none" w:sz="0" w:space="0" w:color="auto"/>
                                                                                          </w:divBdr>
                                                                                          <w:divsChild>
                                                                                            <w:div w:id="713194929">
                                                                                              <w:marLeft w:val="0"/>
                                                                                              <w:marRight w:val="0"/>
                                                                                              <w:marTop w:val="0"/>
                                                                                              <w:marBottom w:val="0"/>
                                                                                              <w:divBdr>
                                                                                                <w:top w:val="none" w:sz="0" w:space="0" w:color="auto"/>
                                                                                                <w:left w:val="none" w:sz="0" w:space="0" w:color="auto"/>
                                                                                                <w:bottom w:val="none" w:sz="0" w:space="0" w:color="auto"/>
                                                                                                <w:right w:val="none" w:sz="0" w:space="0" w:color="auto"/>
                                                                                              </w:divBdr>
                                                                                            </w:div>
                                                                                          </w:divsChild>
                                                                                        </w:div>
                                                                                        <w:div w:id="764886525">
                                                                                          <w:marLeft w:val="0"/>
                                                                                          <w:marRight w:val="0"/>
                                                                                          <w:marTop w:val="0"/>
                                                                                          <w:marBottom w:val="0"/>
                                                                                          <w:divBdr>
                                                                                            <w:top w:val="none" w:sz="0" w:space="0" w:color="auto"/>
                                                                                            <w:left w:val="none" w:sz="0" w:space="0" w:color="auto"/>
                                                                                            <w:bottom w:val="none" w:sz="0" w:space="0" w:color="auto"/>
                                                                                            <w:right w:val="none" w:sz="0" w:space="0" w:color="auto"/>
                                                                                          </w:divBdr>
                                                                                          <w:divsChild>
                                                                                            <w:div w:id="702751871">
                                                                                              <w:marLeft w:val="0"/>
                                                                                              <w:marRight w:val="0"/>
                                                                                              <w:marTop w:val="0"/>
                                                                                              <w:marBottom w:val="0"/>
                                                                                              <w:divBdr>
                                                                                                <w:top w:val="none" w:sz="0" w:space="0" w:color="auto"/>
                                                                                                <w:left w:val="none" w:sz="0" w:space="0" w:color="auto"/>
                                                                                                <w:bottom w:val="none" w:sz="0" w:space="0" w:color="auto"/>
                                                                                                <w:right w:val="none" w:sz="0" w:space="0" w:color="auto"/>
                                                                                              </w:divBdr>
                                                                                            </w:div>
                                                                                          </w:divsChild>
                                                                                        </w:div>
                                                                                        <w:div w:id="837117814">
                                                                                          <w:marLeft w:val="0"/>
                                                                                          <w:marRight w:val="0"/>
                                                                                          <w:marTop w:val="0"/>
                                                                                          <w:marBottom w:val="0"/>
                                                                                          <w:divBdr>
                                                                                            <w:top w:val="none" w:sz="0" w:space="0" w:color="auto"/>
                                                                                            <w:left w:val="none" w:sz="0" w:space="0" w:color="auto"/>
                                                                                            <w:bottom w:val="none" w:sz="0" w:space="0" w:color="auto"/>
                                                                                            <w:right w:val="none" w:sz="0" w:space="0" w:color="auto"/>
                                                                                          </w:divBdr>
                                                                                          <w:divsChild>
                                                                                            <w:div w:id="2064672423">
                                                                                              <w:marLeft w:val="0"/>
                                                                                              <w:marRight w:val="0"/>
                                                                                              <w:marTop w:val="0"/>
                                                                                              <w:marBottom w:val="0"/>
                                                                                              <w:divBdr>
                                                                                                <w:top w:val="none" w:sz="0" w:space="0" w:color="auto"/>
                                                                                                <w:left w:val="none" w:sz="0" w:space="0" w:color="auto"/>
                                                                                                <w:bottom w:val="none" w:sz="0" w:space="0" w:color="auto"/>
                                                                                                <w:right w:val="none" w:sz="0" w:space="0" w:color="auto"/>
                                                                                              </w:divBdr>
                                                                                            </w:div>
                                                                                          </w:divsChild>
                                                                                        </w:div>
                                                                                        <w:div w:id="856818016">
                                                                                          <w:marLeft w:val="0"/>
                                                                                          <w:marRight w:val="0"/>
                                                                                          <w:marTop w:val="0"/>
                                                                                          <w:marBottom w:val="0"/>
                                                                                          <w:divBdr>
                                                                                            <w:top w:val="none" w:sz="0" w:space="0" w:color="auto"/>
                                                                                            <w:left w:val="none" w:sz="0" w:space="0" w:color="auto"/>
                                                                                            <w:bottom w:val="none" w:sz="0" w:space="0" w:color="auto"/>
                                                                                            <w:right w:val="none" w:sz="0" w:space="0" w:color="auto"/>
                                                                                          </w:divBdr>
                                                                                          <w:divsChild>
                                                                                            <w:div w:id="1178422018">
                                                                                              <w:marLeft w:val="0"/>
                                                                                              <w:marRight w:val="0"/>
                                                                                              <w:marTop w:val="0"/>
                                                                                              <w:marBottom w:val="0"/>
                                                                                              <w:divBdr>
                                                                                                <w:top w:val="none" w:sz="0" w:space="0" w:color="auto"/>
                                                                                                <w:left w:val="none" w:sz="0" w:space="0" w:color="auto"/>
                                                                                                <w:bottom w:val="none" w:sz="0" w:space="0" w:color="auto"/>
                                                                                                <w:right w:val="none" w:sz="0" w:space="0" w:color="auto"/>
                                                                                              </w:divBdr>
                                                                                            </w:div>
                                                                                          </w:divsChild>
                                                                                        </w:div>
                                                                                        <w:div w:id="901604311">
                                                                                          <w:marLeft w:val="0"/>
                                                                                          <w:marRight w:val="0"/>
                                                                                          <w:marTop w:val="0"/>
                                                                                          <w:marBottom w:val="0"/>
                                                                                          <w:divBdr>
                                                                                            <w:top w:val="none" w:sz="0" w:space="0" w:color="auto"/>
                                                                                            <w:left w:val="none" w:sz="0" w:space="0" w:color="auto"/>
                                                                                            <w:bottom w:val="none" w:sz="0" w:space="0" w:color="auto"/>
                                                                                            <w:right w:val="none" w:sz="0" w:space="0" w:color="auto"/>
                                                                                          </w:divBdr>
                                                                                          <w:divsChild>
                                                                                            <w:div w:id="472337588">
                                                                                              <w:marLeft w:val="0"/>
                                                                                              <w:marRight w:val="0"/>
                                                                                              <w:marTop w:val="0"/>
                                                                                              <w:marBottom w:val="0"/>
                                                                                              <w:divBdr>
                                                                                                <w:top w:val="none" w:sz="0" w:space="0" w:color="auto"/>
                                                                                                <w:left w:val="none" w:sz="0" w:space="0" w:color="auto"/>
                                                                                                <w:bottom w:val="none" w:sz="0" w:space="0" w:color="auto"/>
                                                                                                <w:right w:val="none" w:sz="0" w:space="0" w:color="auto"/>
                                                                                              </w:divBdr>
                                                                                            </w:div>
                                                                                          </w:divsChild>
                                                                                        </w:div>
                                                                                        <w:div w:id="994337064">
                                                                                          <w:marLeft w:val="0"/>
                                                                                          <w:marRight w:val="0"/>
                                                                                          <w:marTop w:val="0"/>
                                                                                          <w:marBottom w:val="0"/>
                                                                                          <w:divBdr>
                                                                                            <w:top w:val="none" w:sz="0" w:space="0" w:color="auto"/>
                                                                                            <w:left w:val="none" w:sz="0" w:space="0" w:color="auto"/>
                                                                                            <w:bottom w:val="none" w:sz="0" w:space="0" w:color="auto"/>
                                                                                            <w:right w:val="none" w:sz="0" w:space="0" w:color="auto"/>
                                                                                          </w:divBdr>
                                                                                          <w:divsChild>
                                                                                            <w:div w:id="79453249">
                                                                                              <w:marLeft w:val="0"/>
                                                                                              <w:marRight w:val="0"/>
                                                                                              <w:marTop w:val="0"/>
                                                                                              <w:marBottom w:val="0"/>
                                                                                              <w:divBdr>
                                                                                                <w:top w:val="none" w:sz="0" w:space="0" w:color="auto"/>
                                                                                                <w:left w:val="none" w:sz="0" w:space="0" w:color="auto"/>
                                                                                                <w:bottom w:val="none" w:sz="0" w:space="0" w:color="auto"/>
                                                                                                <w:right w:val="none" w:sz="0" w:space="0" w:color="auto"/>
                                                                                              </w:divBdr>
                                                                                            </w:div>
                                                                                          </w:divsChild>
                                                                                        </w:div>
                                                                                        <w:div w:id="1088112343">
                                                                                          <w:marLeft w:val="0"/>
                                                                                          <w:marRight w:val="0"/>
                                                                                          <w:marTop w:val="0"/>
                                                                                          <w:marBottom w:val="0"/>
                                                                                          <w:divBdr>
                                                                                            <w:top w:val="none" w:sz="0" w:space="0" w:color="auto"/>
                                                                                            <w:left w:val="none" w:sz="0" w:space="0" w:color="auto"/>
                                                                                            <w:bottom w:val="none" w:sz="0" w:space="0" w:color="auto"/>
                                                                                            <w:right w:val="none" w:sz="0" w:space="0" w:color="auto"/>
                                                                                          </w:divBdr>
                                                                                          <w:divsChild>
                                                                                            <w:div w:id="625699626">
                                                                                              <w:marLeft w:val="0"/>
                                                                                              <w:marRight w:val="0"/>
                                                                                              <w:marTop w:val="0"/>
                                                                                              <w:marBottom w:val="0"/>
                                                                                              <w:divBdr>
                                                                                                <w:top w:val="none" w:sz="0" w:space="0" w:color="auto"/>
                                                                                                <w:left w:val="none" w:sz="0" w:space="0" w:color="auto"/>
                                                                                                <w:bottom w:val="none" w:sz="0" w:space="0" w:color="auto"/>
                                                                                                <w:right w:val="none" w:sz="0" w:space="0" w:color="auto"/>
                                                                                              </w:divBdr>
                                                                                            </w:div>
                                                                                          </w:divsChild>
                                                                                        </w:div>
                                                                                        <w:div w:id="1282879443">
                                                                                          <w:marLeft w:val="0"/>
                                                                                          <w:marRight w:val="0"/>
                                                                                          <w:marTop w:val="0"/>
                                                                                          <w:marBottom w:val="0"/>
                                                                                          <w:divBdr>
                                                                                            <w:top w:val="none" w:sz="0" w:space="0" w:color="auto"/>
                                                                                            <w:left w:val="none" w:sz="0" w:space="0" w:color="auto"/>
                                                                                            <w:bottom w:val="none" w:sz="0" w:space="0" w:color="auto"/>
                                                                                            <w:right w:val="none" w:sz="0" w:space="0" w:color="auto"/>
                                                                                          </w:divBdr>
                                                                                          <w:divsChild>
                                                                                            <w:div w:id="97255953">
                                                                                              <w:marLeft w:val="0"/>
                                                                                              <w:marRight w:val="0"/>
                                                                                              <w:marTop w:val="0"/>
                                                                                              <w:marBottom w:val="0"/>
                                                                                              <w:divBdr>
                                                                                                <w:top w:val="none" w:sz="0" w:space="0" w:color="auto"/>
                                                                                                <w:left w:val="none" w:sz="0" w:space="0" w:color="auto"/>
                                                                                                <w:bottom w:val="none" w:sz="0" w:space="0" w:color="auto"/>
                                                                                                <w:right w:val="none" w:sz="0" w:space="0" w:color="auto"/>
                                                                                              </w:divBdr>
                                                                                            </w:div>
                                                                                          </w:divsChild>
                                                                                        </w:div>
                                                                                        <w:div w:id="1292590303">
                                                                                          <w:marLeft w:val="0"/>
                                                                                          <w:marRight w:val="0"/>
                                                                                          <w:marTop w:val="0"/>
                                                                                          <w:marBottom w:val="0"/>
                                                                                          <w:divBdr>
                                                                                            <w:top w:val="none" w:sz="0" w:space="0" w:color="auto"/>
                                                                                            <w:left w:val="none" w:sz="0" w:space="0" w:color="auto"/>
                                                                                            <w:bottom w:val="none" w:sz="0" w:space="0" w:color="auto"/>
                                                                                            <w:right w:val="none" w:sz="0" w:space="0" w:color="auto"/>
                                                                                          </w:divBdr>
                                                                                          <w:divsChild>
                                                                                            <w:div w:id="606347632">
                                                                                              <w:marLeft w:val="0"/>
                                                                                              <w:marRight w:val="0"/>
                                                                                              <w:marTop w:val="0"/>
                                                                                              <w:marBottom w:val="0"/>
                                                                                              <w:divBdr>
                                                                                                <w:top w:val="none" w:sz="0" w:space="0" w:color="auto"/>
                                                                                                <w:left w:val="none" w:sz="0" w:space="0" w:color="auto"/>
                                                                                                <w:bottom w:val="none" w:sz="0" w:space="0" w:color="auto"/>
                                                                                                <w:right w:val="none" w:sz="0" w:space="0" w:color="auto"/>
                                                                                              </w:divBdr>
                                                                                            </w:div>
                                                                                          </w:divsChild>
                                                                                        </w:div>
                                                                                        <w:div w:id="1312097604">
                                                                                          <w:marLeft w:val="0"/>
                                                                                          <w:marRight w:val="0"/>
                                                                                          <w:marTop w:val="0"/>
                                                                                          <w:marBottom w:val="0"/>
                                                                                          <w:divBdr>
                                                                                            <w:top w:val="none" w:sz="0" w:space="0" w:color="auto"/>
                                                                                            <w:left w:val="none" w:sz="0" w:space="0" w:color="auto"/>
                                                                                            <w:bottom w:val="none" w:sz="0" w:space="0" w:color="auto"/>
                                                                                            <w:right w:val="none" w:sz="0" w:space="0" w:color="auto"/>
                                                                                          </w:divBdr>
                                                                                          <w:divsChild>
                                                                                            <w:div w:id="1063063625">
                                                                                              <w:marLeft w:val="0"/>
                                                                                              <w:marRight w:val="0"/>
                                                                                              <w:marTop w:val="0"/>
                                                                                              <w:marBottom w:val="0"/>
                                                                                              <w:divBdr>
                                                                                                <w:top w:val="none" w:sz="0" w:space="0" w:color="auto"/>
                                                                                                <w:left w:val="none" w:sz="0" w:space="0" w:color="auto"/>
                                                                                                <w:bottom w:val="none" w:sz="0" w:space="0" w:color="auto"/>
                                                                                                <w:right w:val="none" w:sz="0" w:space="0" w:color="auto"/>
                                                                                              </w:divBdr>
                                                                                            </w:div>
                                                                                          </w:divsChild>
                                                                                        </w:div>
                                                                                        <w:div w:id="1317223766">
                                                                                          <w:marLeft w:val="0"/>
                                                                                          <w:marRight w:val="0"/>
                                                                                          <w:marTop w:val="0"/>
                                                                                          <w:marBottom w:val="0"/>
                                                                                          <w:divBdr>
                                                                                            <w:top w:val="none" w:sz="0" w:space="0" w:color="auto"/>
                                                                                            <w:left w:val="none" w:sz="0" w:space="0" w:color="auto"/>
                                                                                            <w:bottom w:val="none" w:sz="0" w:space="0" w:color="auto"/>
                                                                                            <w:right w:val="none" w:sz="0" w:space="0" w:color="auto"/>
                                                                                          </w:divBdr>
                                                                                          <w:divsChild>
                                                                                            <w:div w:id="1548183548">
                                                                                              <w:marLeft w:val="0"/>
                                                                                              <w:marRight w:val="0"/>
                                                                                              <w:marTop w:val="0"/>
                                                                                              <w:marBottom w:val="0"/>
                                                                                              <w:divBdr>
                                                                                                <w:top w:val="none" w:sz="0" w:space="0" w:color="auto"/>
                                                                                                <w:left w:val="none" w:sz="0" w:space="0" w:color="auto"/>
                                                                                                <w:bottom w:val="none" w:sz="0" w:space="0" w:color="auto"/>
                                                                                                <w:right w:val="none" w:sz="0" w:space="0" w:color="auto"/>
                                                                                              </w:divBdr>
                                                                                            </w:div>
                                                                                          </w:divsChild>
                                                                                        </w:div>
                                                                                        <w:div w:id="1343821067">
                                                                                          <w:marLeft w:val="0"/>
                                                                                          <w:marRight w:val="0"/>
                                                                                          <w:marTop w:val="0"/>
                                                                                          <w:marBottom w:val="0"/>
                                                                                          <w:divBdr>
                                                                                            <w:top w:val="none" w:sz="0" w:space="0" w:color="auto"/>
                                                                                            <w:left w:val="none" w:sz="0" w:space="0" w:color="auto"/>
                                                                                            <w:bottom w:val="none" w:sz="0" w:space="0" w:color="auto"/>
                                                                                            <w:right w:val="none" w:sz="0" w:space="0" w:color="auto"/>
                                                                                          </w:divBdr>
                                                                                          <w:divsChild>
                                                                                            <w:div w:id="491215286">
                                                                                              <w:marLeft w:val="0"/>
                                                                                              <w:marRight w:val="0"/>
                                                                                              <w:marTop w:val="0"/>
                                                                                              <w:marBottom w:val="0"/>
                                                                                              <w:divBdr>
                                                                                                <w:top w:val="none" w:sz="0" w:space="0" w:color="auto"/>
                                                                                                <w:left w:val="none" w:sz="0" w:space="0" w:color="auto"/>
                                                                                                <w:bottom w:val="none" w:sz="0" w:space="0" w:color="auto"/>
                                                                                                <w:right w:val="none" w:sz="0" w:space="0" w:color="auto"/>
                                                                                              </w:divBdr>
                                                                                            </w:div>
                                                                                          </w:divsChild>
                                                                                        </w:div>
                                                                                        <w:div w:id="1351756109">
                                                                                          <w:marLeft w:val="0"/>
                                                                                          <w:marRight w:val="0"/>
                                                                                          <w:marTop w:val="0"/>
                                                                                          <w:marBottom w:val="0"/>
                                                                                          <w:divBdr>
                                                                                            <w:top w:val="none" w:sz="0" w:space="0" w:color="auto"/>
                                                                                            <w:left w:val="none" w:sz="0" w:space="0" w:color="auto"/>
                                                                                            <w:bottom w:val="none" w:sz="0" w:space="0" w:color="auto"/>
                                                                                            <w:right w:val="none" w:sz="0" w:space="0" w:color="auto"/>
                                                                                          </w:divBdr>
                                                                                          <w:divsChild>
                                                                                            <w:div w:id="986935780">
                                                                                              <w:marLeft w:val="0"/>
                                                                                              <w:marRight w:val="0"/>
                                                                                              <w:marTop w:val="0"/>
                                                                                              <w:marBottom w:val="0"/>
                                                                                              <w:divBdr>
                                                                                                <w:top w:val="none" w:sz="0" w:space="0" w:color="auto"/>
                                                                                                <w:left w:val="none" w:sz="0" w:space="0" w:color="auto"/>
                                                                                                <w:bottom w:val="none" w:sz="0" w:space="0" w:color="auto"/>
                                                                                                <w:right w:val="none" w:sz="0" w:space="0" w:color="auto"/>
                                                                                              </w:divBdr>
                                                                                            </w:div>
                                                                                          </w:divsChild>
                                                                                        </w:div>
                                                                                        <w:div w:id="1433743869">
                                                                                          <w:marLeft w:val="0"/>
                                                                                          <w:marRight w:val="0"/>
                                                                                          <w:marTop w:val="0"/>
                                                                                          <w:marBottom w:val="0"/>
                                                                                          <w:divBdr>
                                                                                            <w:top w:val="none" w:sz="0" w:space="0" w:color="auto"/>
                                                                                            <w:left w:val="none" w:sz="0" w:space="0" w:color="auto"/>
                                                                                            <w:bottom w:val="none" w:sz="0" w:space="0" w:color="auto"/>
                                                                                            <w:right w:val="none" w:sz="0" w:space="0" w:color="auto"/>
                                                                                          </w:divBdr>
                                                                                          <w:divsChild>
                                                                                            <w:div w:id="1401974974">
                                                                                              <w:marLeft w:val="0"/>
                                                                                              <w:marRight w:val="0"/>
                                                                                              <w:marTop w:val="0"/>
                                                                                              <w:marBottom w:val="0"/>
                                                                                              <w:divBdr>
                                                                                                <w:top w:val="none" w:sz="0" w:space="0" w:color="auto"/>
                                                                                                <w:left w:val="none" w:sz="0" w:space="0" w:color="auto"/>
                                                                                                <w:bottom w:val="none" w:sz="0" w:space="0" w:color="auto"/>
                                                                                                <w:right w:val="none" w:sz="0" w:space="0" w:color="auto"/>
                                                                                              </w:divBdr>
                                                                                            </w:div>
                                                                                          </w:divsChild>
                                                                                        </w:div>
                                                                                        <w:div w:id="1508059693">
                                                                                          <w:marLeft w:val="0"/>
                                                                                          <w:marRight w:val="0"/>
                                                                                          <w:marTop w:val="0"/>
                                                                                          <w:marBottom w:val="0"/>
                                                                                          <w:divBdr>
                                                                                            <w:top w:val="none" w:sz="0" w:space="0" w:color="auto"/>
                                                                                            <w:left w:val="none" w:sz="0" w:space="0" w:color="auto"/>
                                                                                            <w:bottom w:val="none" w:sz="0" w:space="0" w:color="auto"/>
                                                                                            <w:right w:val="none" w:sz="0" w:space="0" w:color="auto"/>
                                                                                          </w:divBdr>
                                                                                          <w:divsChild>
                                                                                            <w:div w:id="525489367">
                                                                                              <w:marLeft w:val="0"/>
                                                                                              <w:marRight w:val="0"/>
                                                                                              <w:marTop w:val="0"/>
                                                                                              <w:marBottom w:val="0"/>
                                                                                              <w:divBdr>
                                                                                                <w:top w:val="none" w:sz="0" w:space="0" w:color="auto"/>
                                                                                                <w:left w:val="none" w:sz="0" w:space="0" w:color="auto"/>
                                                                                                <w:bottom w:val="none" w:sz="0" w:space="0" w:color="auto"/>
                                                                                                <w:right w:val="none" w:sz="0" w:space="0" w:color="auto"/>
                                                                                              </w:divBdr>
                                                                                            </w:div>
                                                                                          </w:divsChild>
                                                                                        </w:div>
                                                                                        <w:div w:id="1516724223">
                                                                                          <w:marLeft w:val="0"/>
                                                                                          <w:marRight w:val="0"/>
                                                                                          <w:marTop w:val="0"/>
                                                                                          <w:marBottom w:val="0"/>
                                                                                          <w:divBdr>
                                                                                            <w:top w:val="none" w:sz="0" w:space="0" w:color="auto"/>
                                                                                            <w:left w:val="none" w:sz="0" w:space="0" w:color="auto"/>
                                                                                            <w:bottom w:val="none" w:sz="0" w:space="0" w:color="auto"/>
                                                                                            <w:right w:val="none" w:sz="0" w:space="0" w:color="auto"/>
                                                                                          </w:divBdr>
                                                                                          <w:divsChild>
                                                                                            <w:div w:id="454906231">
                                                                                              <w:marLeft w:val="0"/>
                                                                                              <w:marRight w:val="0"/>
                                                                                              <w:marTop w:val="0"/>
                                                                                              <w:marBottom w:val="0"/>
                                                                                              <w:divBdr>
                                                                                                <w:top w:val="none" w:sz="0" w:space="0" w:color="auto"/>
                                                                                                <w:left w:val="none" w:sz="0" w:space="0" w:color="auto"/>
                                                                                                <w:bottom w:val="none" w:sz="0" w:space="0" w:color="auto"/>
                                                                                                <w:right w:val="none" w:sz="0" w:space="0" w:color="auto"/>
                                                                                              </w:divBdr>
                                                                                            </w:div>
                                                                                          </w:divsChild>
                                                                                        </w:div>
                                                                                        <w:div w:id="1576355590">
                                                                                          <w:marLeft w:val="0"/>
                                                                                          <w:marRight w:val="0"/>
                                                                                          <w:marTop w:val="0"/>
                                                                                          <w:marBottom w:val="0"/>
                                                                                          <w:divBdr>
                                                                                            <w:top w:val="none" w:sz="0" w:space="0" w:color="auto"/>
                                                                                            <w:left w:val="none" w:sz="0" w:space="0" w:color="auto"/>
                                                                                            <w:bottom w:val="none" w:sz="0" w:space="0" w:color="auto"/>
                                                                                            <w:right w:val="none" w:sz="0" w:space="0" w:color="auto"/>
                                                                                          </w:divBdr>
                                                                                          <w:divsChild>
                                                                                            <w:div w:id="1422607103">
                                                                                              <w:marLeft w:val="0"/>
                                                                                              <w:marRight w:val="0"/>
                                                                                              <w:marTop w:val="0"/>
                                                                                              <w:marBottom w:val="0"/>
                                                                                              <w:divBdr>
                                                                                                <w:top w:val="none" w:sz="0" w:space="0" w:color="auto"/>
                                                                                                <w:left w:val="none" w:sz="0" w:space="0" w:color="auto"/>
                                                                                                <w:bottom w:val="none" w:sz="0" w:space="0" w:color="auto"/>
                                                                                                <w:right w:val="none" w:sz="0" w:space="0" w:color="auto"/>
                                                                                              </w:divBdr>
                                                                                            </w:div>
                                                                                          </w:divsChild>
                                                                                        </w:div>
                                                                                        <w:div w:id="2011563410">
                                                                                          <w:marLeft w:val="0"/>
                                                                                          <w:marRight w:val="0"/>
                                                                                          <w:marTop w:val="0"/>
                                                                                          <w:marBottom w:val="0"/>
                                                                                          <w:divBdr>
                                                                                            <w:top w:val="none" w:sz="0" w:space="0" w:color="auto"/>
                                                                                            <w:left w:val="none" w:sz="0" w:space="0" w:color="auto"/>
                                                                                            <w:bottom w:val="none" w:sz="0" w:space="0" w:color="auto"/>
                                                                                            <w:right w:val="none" w:sz="0" w:space="0" w:color="auto"/>
                                                                                          </w:divBdr>
                                                                                          <w:divsChild>
                                                                                            <w:div w:id="53701753">
                                                                                              <w:marLeft w:val="0"/>
                                                                                              <w:marRight w:val="0"/>
                                                                                              <w:marTop w:val="0"/>
                                                                                              <w:marBottom w:val="0"/>
                                                                                              <w:divBdr>
                                                                                                <w:top w:val="none" w:sz="0" w:space="0" w:color="auto"/>
                                                                                                <w:left w:val="none" w:sz="0" w:space="0" w:color="auto"/>
                                                                                                <w:bottom w:val="none" w:sz="0" w:space="0" w:color="auto"/>
                                                                                                <w:right w:val="none" w:sz="0" w:space="0" w:color="auto"/>
                                                                                              </w:divBdr>
                                                                                            </w:div>
                                                                                          </w:divsChild>
                                                                                        </w:div>
                                                                                        <w:div w:id="2015985184">
                                                                                          <w:marLeft w:val="0"/>
                                                                                          <w:marRight w:val="0"/>
                                                                                          <w:marTop w:val="0"/>
                                                                                          <w:marBottom w:val="0"/>
                                                                                          <w:divBdr>
                                                                                            <w:top w:val="none" w:sz="0" w:space="0" w:color="auto"/>
                                                                                            <w:left w:val="none" w:sz="0" w:space="0" w:color="auto"/>
                                                                                            <w:bottom w:val="none" w:sz="0" w:space="0" w:color="auto"/>
                                                                                            <w:right w:val="none" w:sz="0" w:space="0" w:color="auto"/>
                                                                                          </w:divBdr>
                                                                                          <w:divsChild>
                                                                                            <w:div w:id="1288664923">
                                                                                              <w:marLeft w:val="0"/>
                                                                                              <w:marRight w:val="0"/>
                                                                                              <w:marTop w:val="0"/>
                                                                                              <w:marBottom w:val="0"/>
                                                                                              <w:divBdr>
                                                                                                <w:top w:val="none" w:sz="0" w:space="0" w:color="auto"/>
                                                                                                <w:left w:val="none" w:sz="0" w:space="0" w:color="auto"/>
                                                                                                <w:bottom w:val="none" w:sz="0" w:space="0" w:color="auto"/>
                                                                                                <w:right w:val="none" w:sz="0" w:space="0" w:color="auto"/>
                                                                                              </w:divBdr>
                                                                                            </w:div>
                                                                                          </w:divsChild>
                                                                                        </w:div>
                                                                                        <w:div w:id="2091191650">
                                                                                          <w:marLeft w:val="0"/>
                                                                                          <w:marRight w:val="0"/>
                                                                                          <w:marTop w:val="0"/>
                                                                                          <w:marBottom w:val="0"/>
                                                                                          <w:divBdr>
                                                                                            <w:top w:val="none" w:sz="0" w:space="0" w:color="auto"/>
                                                                                            <w:left w:val="none" w:sz="0" w:space="0" w:color="auto"/>
                                                                                            <w:bottom w:val="none" w:sz="0" w:space="0" w:color="auto"/>
                                                                                            <w:right w:val="none" w:sz="0" w:space="0" w:color="auto"/>
                                                                                          </w:divBdr>
                                                                                          <w:divsChild>
                                                                                            <w:div w:id="127220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05361">
                                                                                  <w:marLeft w:val="0"/>
                                                                                  <w:marRight w:val="0"/>
                                                                                  <w:marTop w:val="0"/>
                                                                                  <w:marBottom w:val="0"/>
                                                                                  <w:divBdr>
                                                                                    <w:top w:val="none" w:sz="0" w:space="0" w:color="auto"/>
                                                                                    <w:left w:val="none" w:sz="0" w:space="0" w:color="auto"/>
                                                                                    <w:bottom w:val="none" w:sz="0" w:space="0" w:color="auto"/>
                                                                                    <w:right w:val="none" w:sz="0" w:space="0" w:color="auto"/>
                                                                                  </w:divBdr>
                                                                                </w:div>
                                                                                <w:div w:id="251134921">
                                                                                  <w:marLeft w:val="0"/>
                                                                                  <w:marRight w:val="0"/>
                                                                                  <w:marTop w:val="0"/>
                                                                                  <w:marBottom w:val="0"/>
                                                                                  <w:divBdr>
                                                                                    <w:top w:val="none" w:sz="0" w:space="0" w:color="auto"/>
                                                                                    <w:left w:val="none" w:sz="0" w:space="0" w:color="auto"/>
                                                                                    <w:bottom w:val="none" w:sz="0" w:space="0" w:color="auto"/>
                                                                                    <w:right w:val="none" w:sz="0" w:space="0" w:color="auto"/>
                                                                                  </w:divBdr>
                                                                                </w:div>
                                                                                <w:div w:id="261229491">
                                                                                  <w:marLeft w:val="0"/>
                                                                                  <w:marRight w:val="0"/>
                                                                                  <w:marTop w:val="0"/>
                                                                                  <w:marBottom w:val="0"/>
                                                                                  <w:divBdr>
                                                                                    <w:top w:val="none" w:sz="0" w:space="0" w:color="auto"/>
                                                                                    <w:left w:val="none" w:sz="0" w:space="0" w:color="auto"/>
                                                                                    <w:bottom w:val="none" w:sz="0" w:space="0" w:color="auto"/>
                                                                                    <w:right w:val="none" w:sz="0" w:space="0" w:color="auto"/>
                                                                                  </w:divBdr>
                                                                                </w:div>
                                                                                <w:div w:id="269358994">
                                                                                  <w:marLeft w:val="0"/>
                                                                                  <w:marRight w:val="0"/>
                                                                                  <w:marTop w:val="0"/>
                                                                                  <w:marBottom w:val="0"/>
                                                                                  <w:divBdr>
                                                                                    <w:top w:val="none" w:sz="0" w:space="0" w:color="auto"/>
                                                                                    <w:left w:val="none" w:sz="0" w:space="0" w:color="auto"/>
                                                                                    <w:bottom w:val="none" w:sz="0" w:space="0" w:color="auto"/>
                                                                                    <w:right w:val="none" w:sz="0" w:space="0" w:color="auto"/>
                                                                                  </w:divBdr>
                                                                                </w:div>
                                                                                <w:div w:id="310982670">
                                                                                  <w:marLeft w:val="0"/>
                                                                                  <w:marRight w:val="0"/>
                                                                                  <w:marTop w:val="0"/>
                                                                                  <w:marBottom w:val="0"/>
                                                                                  <w:divBdr>
                                                                                    <w:top w:val="none" w:sz="0" w:space="0" w:color="auto"/>
                                                                                    <w:left w:val="none" w:sz="0" w:space="0" w:color="auto"/>
                                                                                    <w:bottom w:val="none" w:sz="0" w:space="0" w:color="auto"/>
                                                                                    <w:right w:val="none" w:sz="0" w:space="0" w:color="auto"/>
                                                                                  </w:divBdr>
                                                                                </w:div>
                                                                                <w:div w:id="325474660">
                                                                                  <w:marLeft w:val="0"/>
                                                                                  <w:marRight w:val="0"/>
                                                                                  <w:marTop w:val="0"/>
                                                                                  <w:marBottom w:val="0"/>
                                                                                  <w:divBdr>
                                                                                    <w:top w:val="none" w:sz="0" w:space="0" w:color="auto"/>
                                                                                    <w:left w:val="none" w:sz="0" w:space="0" w:color="auto"/>
                                                                                    <w:bottom w:val="none" w:sz="0" w:space="0" w:color="auto"/>
                                                                                    <w:right w:val="none" w:sz="0" w:space="0" w:color="auto"/>
                                                                                  </w:divBdr>
                                                                                </w:div>
                                                                                <w:div w:id="347872505">
                                                                                  <w:marLeft w:val="0"/>
                                                                                  <w:marRight w:val="0"/>
                                                                                  <w:marTop w:val="0"/>
                                                                                  <w:marBottom w:val="0"/>
                                                                                  <w:divBdr>
                                                                                    <w:top w:val="none" w:sz="0" w:space="0" w:color="auto"/>
                                                                                    <w:left w:val="none" w:sz="0" w:space="0" w:color="auto"/>
                                                                                    <w:bottom w:val="none" w:sz="0" w:space="0" w:color="auto"/>
                                                                                    <w:right w:val="none" w:sz="0" w:space="0" w:color="auto"/>
                                                                                  </w:divBdr>
                                                                                </w:div>
                                                                                <w:div w:id="351498710">
                                                                                  <w:marLeft w:val="0"/>
                                                                                  <w:marRight w:val="0"/>
                                                                                  <w:marTop w:val="0"/>
                                                                                  <w:marBottom w:val="0"/>
                                                                                  <w:divBdr>
                                                                                    <w:top w:val="none" w:sz="0" w:space="0" w:color="auto"/>
                                                                                    <w:left w:val="none" w:sz="0" w:space="0" w:color="auto"/>
                                                                                    <w:bottom w:val="none" w:sz="0" w:space="0" w:color="auto"/>
                                                                                    <w:right w:val="none" w:sz="0" w:space="0" w:color="auto"/>
                                                                                  </w:divBdr>
                                                                                </w:div>
                                                                                <w:div w:id="360471344">
                                                                                  <w:marLeft w:val="0"/>
                                                                                  <w:marRight w:val="0"/>
                                                                                  <w:marTop w:val="0"/>
                                                                                  <w:marBottom w:val="0"/>
                                                                                  <w:divBdr>
                                                                                    <w:top w:val="none" w:sz="0" w:space="0" w:color="auto"/>
                                                                                    <w:left w:val="none" w:sz="0" w:space="0" w:color="auto"/>
                                                                                    <w:bottom w:val="none" w:sz="0" w:space="0" w:color="auto"/>
                                                                                    <w:right w:val="none" w:sz="0" w:space="0" w:color="auto"/>
                                                                                  </w:divBdr>
                                                                                </w:div>
                                                                                <w:div w:id="360976813">
                                                                                  <w:marLeft w:val="0"/>
                                                                                  <w:marRight w:val="0"/>
                                                                                  <w:marTop w:val="0"/>
                                                                                  <w:marBottom w:val="0"/>
                                                                                  <w:divBdr>
                                                                                    <w:top w:val="none" w:sz="0" w:space="0" w:color="auto"/>
                                                                                    <w:left w:val="none" w:sz="0" w:space="0" w:color="auto"/>
                                                                                    <w:bottom w:val="none" w:sz="0" w:space="0" w:color="auto"/>
                                                                                    <w:right w:val="none" w:sz="0" w:space="0" w:color="auto"/>
                                                                                  </w:divBdr>
                                                                                </w:div>
                                                                                <w:div w:id="366023896">
                                                                                  <w:marLeft w:val="0"/>
                                                                                  <w:marRight w:val="0"/>
                                                                                  <w:marTop w:val="0"/>
                                                                                  <w:marBottom w:val="0"/>
                                                                                  <w:divBdr>
                                                                                    <w:top w:val="none" w:sz="0" w:space="0" w:color="auto"/>
                                                                                    <w:left w:val="none" w:sz="0" w:space="0" w:color="auto"/>
                                                                                    <w:bottom w:val="none" w:sz="0" w:space="0" w:color="auto"/>
                                                                                    <w:right w:val="none" w:sz="0" w:space="0" w:color="auto"/>
                                                                                  </w:divBdr>
                                                                                </w:div>
                                                                                <w:div w:id="369914112">
                                                                                  <w:marLeft w:val="0"/>
                                                                                  <w:marRight w:val="0"/>
                                                                                  <w:marTop w:val="0"/>
                                                                                  <w:marBottom w:val="0"/>
                                                                                  <w:divBdr>
                                                                                    <w:top w:val="none" w:sz="0" w:space="0" w:color="auto"/>
                                                                                    <w:left w:val="none" w:sz="0" w:space="0" w:color="auto"/>
                                                                                    <w:bottom w:val="none" w:sz="0" w:space="0" w:color="auto"/>
                                                                                    <w:right w:val="none" w:sz="0" w:space="0" w:color="auto"/>
                                                                                  </w:divBdr>
                                                                                </w:div>
                                                                                <w:div w:id="377094649">
                                                                                  <w:marLeft w:val="0"/>
                                                                                  <w:marRight w:val="0"/>
                                                                                  <w:marTop w:val="0"/>
                                                                                  <w:marBottom w:val="0"/>
                                                                                  <w:divBdr>
                                                                                    <w:top w:val="none" w:sz="0" w:space="0" w:color="auto"/>
                                                                                    <w:left w:val="none" w:sz="0" w:space="0" w:color="auto"/>
                                                                                    <w:bottom w:val="none" w:sz="0" w:space="0" w:color="auto"/>
                                                                                    <w:right w:val="none" w:sz="0" w:space="0" w:color="auto"/>
                                                                                  </w:divBdr>
                                                                                </w:div>
                                                                                <w:div w:id="382875389">
                                                                                  <w:marLeft w:val="0"/>
                                                                                  <w:marRight w:val="0"/>
                                                                                  <w:marTop w:val="0"/>
                                                                                  <w:marBottom w:val="0"/>
                                                                                  <w:divBdr>
                                                                                    <w:top w:val="none" w:sz="0" w:space="0" w:color="auto"/>
                                                                                    <w:left w:val="none" w:sz="0" w:space="0" w:color="auto"/>
                                                                                    <w:bottom w:val="none" w:sz="0" w:space="0" w:color="auto"/>
                                                                                    <w:right w:val="none" w:sz="0" w:space="0" w:color="auto"/>
                                                                                  </w:divBdr>
                                                                                </w:div>
                                                                                <w:div w:id="454713407">
                                                                                  <w:marLeft w:val="0"/>
                                                                                  <w:marRight w:val="0"/>
                                                                                  <w:marTop w:val="0"/>
                                                                                  <w:marBottom w:val="0"/>
                                                                                  <w:divBdr>
                                                                                    <w:top w:val="none" w:sz="0" w:space="0" w:color="auto"/>
                                                                                    <w:left w:val="none" w:sz="0" w:space="0" w:color="auto"/>
                                                                                    <w:bottom w:val="none" w:sz="0" w:space="0" w:color="auto"/>
                                                                                    <w:right w:val="none" w:sz="0" w:space="0" w:color="auto"/>
                                                                                  </w:divBdr>
                                                                                </w:div>
                                                                                <w:div w:id="456215922">
                                                                                  <w:marLeft w:val="0"/>
                                                                                  <w:marRight w:val="0"/>
                                                                                  <w:marTop w:val="0"/>
                                                                                  <w:marBottom w:val="0"/>
                                                                                  <w:divBdr>
                                                                                    <w:top w:val="none" w:sz="0" w:space="0" w:color="auto"/>
                                                                                    <w:left w:val="none" w:sz="0" w:space="0" w:color="auto"/>
                                                                                    <w:bottom w:val="none" w:sz="0" w:space="0" w:color="auto"/>
                                                                                    <w:right w:val="none" w:sz="0" w:space="0" w:color="auto"/>
                                                                                  </w:divBdr>
                                                                                </w:div>
                                                                                <w:div w:id="471871861">
                                                                                  <w:marLeft w:val="0"/>
                                                                                  <w:marRight w:val="0"/>
                                                                                  <w:marTop w:val="0"/>
                                                                                  <w:marBottom w:val="0"/>
                                                                                  <w:divBdr>
                                                                                    <w:top w:val="none" w:sz="0" w:space="0" w:color="auto"/>
                                                                                    <w:left w:val="none" w:sz="0" w:space="0" w:color="auto"/>
                                                                                    <w:bottom w:val="none" w:sz="0" w:space="0" w:color="auto"/>
                                                                                    <w:right w:val="none" w:sz="0" w:space="0" w:color="auto"/>
                                                                                  </w:divBdr>
                                                                                </w:div>
                                                                                <w:div w:id="490174451">
                                                                                  <w:marLeft w:val="0"/>
                                                                                  <w:marRight w:val="0"/>
                                                                                  <w:marTop w:val="0"/>
                                                                                  <w:marBottom w:val="0"/>
                                                                                  <w:divBdr>
                                                                                    <w:top w:val="none" w:sz="0" w:space="0" w:color="auto"/>
                                                                                    <w:left w:val="none" w:sz="0" w:space="0" w:color="auto"/>
                                                                                    <w:bottom w:val="none" w:sz="0" w:space="0" w:color="auto"/>
                                                                                    <w:right w:val="none" w:sz="0" w:space="0" w:color="auto"/>
                                                                                  </w:divBdr>
                                                                                </w:div>
                                                                                <w:div w:id="499272286">
                                                                                  <w:marLeft w:val="0"/>
                                                                                  <w:marRight w:val="0"/>
                                                                                  <w:marTop w:val="0"/>
                                                                                  <w:marBottom w:val="0"/>
                                                                                  <w:divBdr>
                                                                                    <w:top w:val="none" w:sz="0" w:space="0" w:color="auto"/>
                                                                                    <w:left w:val="none" w:sz="0" w:space="0" w:color="auto"/>
                                                                                    <w:bottom w:val="none" w:sz="0" w:space="0" w:color="auto"/>
                                                                                    <w:right w:val="none" w:sz="0" w:space="0" w:color="auto"/>
                                                                                  </w:divBdr>
                                                                                </w:div>
                                                                                <w:div w:id="505285611">
                                                                                  <w:marLeft w:val="0"/>
                                                                                  <w:marRight w:val="0"/>
                                                                                  <w:marTop w:val="0"/>
                                                                                  <w:marBottom w:val="0"/>
                                                                                  <w:divBdr>
                                                                                    <w:top w:val="none" w:sz="0" w:space="0" w:color="auto"/>
                                                                                    <w:left w:val="none" w:sz="0" w:space="0" w:color="auto"/>
                                                                                    <w:bottom w:val="none" w:sz="0" w:space="0" w:color="auto"/>
                                                                                    <w:right w:val="none" w:sz="0" w:space="0" w:color="auto"/>
                                                                                  </w:divBdr>
                                                                                </w:div>
                                                                                <w:div w:id="565801855">
                                                                                  <w:marLeft w:val="0"/>
                                                                                  <w:marRight w:val="0"/>
                                                                                  <w:marTop w:val="0"/>
                                                                                  <w:marBottom w:val="0"/>
                                                                                  <w:divBdr>
                                                                                    <w:top w:val="none" w:sz="0" w:space="0" w:color="auto"/>
                                                                                    <w:left w:val="none" w:sz="0" w:space="0" w:color="auto"/>
                                                                                    <w:bottom w:val="none" w:sz="0" w:space="0" w:color="auto"/>
                                                                                    <w:right w:val="none" w:sz="0" w:space="0" w:color="auto"/>
                                                                                  </w:divBdr>
                                                                                </w:div>
                                                                                <w:div w:id="589386006">
                                                                                  <w:marLeft w:val="0"/>
                                                                                  <w:marRight w:val="0"/>
                                                                                  <w:marTop w:val="0"/>
                                                                                  <w:marBottom w:val="0"/>
                                                                                  <w:divBdr>
                                                                                    <w:top w:val="none" w:sz="0" w:space="0" w:color="auto"/>
                                                                                    <w:left w:val="none" w:sz="0" w:space="0" w:color="auto"/>
                                                                                    <w:bottom w:val="none" w:sz="0" w:space="0" w:color="auto"/>
                                                                                    <w:right w:val="none" w:sz="0" w:space="0" w:color="auto"/>
                                                                                  </w:divBdr>
                                                                                </w:div>
                                                                                <w:div w:id="601492343">
                                                                                  <w:marLeft w:val="0"/>
                                                                                  <w:marRight w:val="0"/>
                                                                                  <w:marTop w:val="0"/>
                                                                                  <w:marBottom w:val="0"/>
                                                                                  <w:divBdr>
                                                                                    <w:top w:val="none" w:sz="0" w:space="0" w:color="auto"/>
                                                                                    <w:left w:val="none" w:sz="0" w:space="0" w:color="auto"/>
                                                                                    <w:bottom w:val="none" w:sz="0" w:space="0" w:color="auto"/>
                                                                                    <w:right w:val="none" w:sz="0" w:space="0" w:color="auto"/>
                                                                                  </w:divBdr>
                                                                                </w:div>
                                                                                <w:div w:id="613633286">
                                                                                  <w:marLeft w:val="0"/>
                                                                                  <w:marRight w:val="0"/>
                                                                                  <w:marTop w:val="0"/>
                                                                                  <w:marBottom w:val="0"/>
                                                                                  <w:divBdr>
                                                                                    <w:top w:val="none" w:sz="0" w:space="0" w:color="auto"/>
                                                                                    <w:left w:val="none" w:sz="0" w:space="0" w:color="auto"/>
                                                                                    <w:bottom w:val="none" w:sz="0" w:space="0" w:color="auto"/>
                                                                                    <w:right w:val="none" w:sz="0" w:space="0" w:color="auto"/>
                                                                                  </w:divBdr>
                                                                                </w:div>
                                                                                <w:div w:id="629168509">
                                                                                  <w:marLeft w:val="0"/>
                                                                                  <w:marRight w:val="0"/>
                                                                                  <w:marTop w:val="0"/>
                                                                                  <w:marBottom w:val="0"/>
                                                                                  <w:divBdr>
                                                                                    <w:top w:val="none" w:sz="0" w:space="0" w:color="auto"/>
                                                                                    <w:left w:val="none" w:sz="0" w:space="0" w:color="auto"/>
                                                                                    <w:bottom w:val="none" w:sz="0" w:space="0" w:color="auto"/>
                                                                                    <w:right w:val="none" w:sz="0" w:space="0" w:color="auto"/>
                                                                                  </w:divBdr>
                                                                                </w:div>
                                                                                <w:div w:id="642392009">
                                                                                  <w:marLeft w:val="0"/>
                                                                                  <w:marRight w:val="0"/>
                                                                                  <w:marTop w:val="0"/>
                                                                                  <w:marBottom w:val="0"/>
                                                                                  <w:divBdr>
                                                                                    <w:top w:val="none" w:sz="0" w:space="0" w:color="auto"/>
                                                                                    <w:left w:val="none" w:sz="0" w:space="0" w:color="auto"/>
                                                                                    <w:bottom w:val="none" w:sz="0" w:space="0" w:color="auto"/>
                                                                                    <w:right w:val="none" w:sz="0" w:space="0" w:color="auto"/>
                                                                                  </w:divBdr>
                                                                                </w:div>
                                                                                <w:div w:id="653219224">
                                                                                  <w:marLeft w:val="0"/>
                                                                                  <w:marRight w:val="0"/>
                                                                                  <w:marTop w:val="0"/>
                                                                                  <w:marBottom w:val="0"/>
                                                                                  <w:divBdr>
                                                                                    <w:top w:val="none" w:sz="0" w:space="0" w:color="auto"/>
                                                                                    <w:left w:val="none" w:sz="0" w:space="0" w:color="auto"/>
                                                                                    <w:bottom w:val="none" w:sz="0" w:space="0" w:color="auto"/>
                                                                                    <w:right w:val="none" w:sz="0" w:space="0" w:color="auto"/>
                                                                                  </w:divBdr>
                                                                                </w:div>
                                                                                <w:div w:id="658968670">
                                                                                  <w:marLeft w:val="0"/>
                                                                                  <w:marRight w:val="0"/>
                                                                                  <w:marTop w:val="0"/>
                                                                                  <w:marBottom w:val="0"/>
                                                                                  <w:divBdr>
                                                                                    <w:top w:val="none" w:sz="0" w:space="0" w:color="auto"/>
                                                                                    <w:left w:val="none" w:sz="0" w:space="0" w:color="auto"/>
                                                                                    <w:bottom w:val="none" w:sz="0" w:space="0" w:color="auto"/>
                                                                                    <w:right w:val="none" w:sz="0" w:space="0" w:color="auto"/>
                                                                                  </w:divBdr>
                                                                                </w:div>
                                                                                <w:div w:id="666708194">
                                                                                  <w:marLeft w:val="0"/>
                                                                                  <w:marRight w:val="0"/>
                                                                                  <w:marTop w:val="0"/>
                                                                                  <w:marBottom w:val="0"/>
                                                                                  <w:divBdr>
                                                                                    <w:top w:val="none" w:sz="0" w:space="0" w:color="auto"/>
                                                                                    <w:left w:val="none" w:sz="0" w:space="0" w:color="auto"/>
                                                                                    <w:bottom w:val="none" w:sz="0" w:space="0" w:color="auto"/>
                                                                                    <w:right w:val="none" w:sz="0" w:space="0" w:color="auto"/>
                                                                                  </w:divBdr>
                                                                                </w:div>
                                                                                <w:div w:id="702368653">
                                                                                  <w:marLeft w:val="0"/>
                                                                                  <w:marRight w:val="0"/>
                                                                                  <w:marTop w:val="0"/>
                                                                                  <w:marBottom w:val="0"/>
                                                                                  <w:divBdr>
                                                                                    <w:top w:val="none" w:sz="0" w:space="0" w:color="auto"/>
                                                                                    <w:left w:val="none" w:sz="0" w:space="0" w:color="auto"/>
                                                                                    <w:bottom w:val="none" w:sz="0" w:space="0" w:color="auto"/>
                                                                                    <w:right w:val="none" w:sz="0" w:space="0" w:color="auto"/>
                                                                                  </w:divBdr>
                                                                                </w:div>
                                                                                <w:div w:id="703866292">
                                                                                  <w:marLeft w:val="0"/>
                                                                                  <w:marRight w:val="0"/>
                                                                                  <w:marTop w:val="0"/>
                                                                                  <w:marBottom w:val="0"/>
                                                                                  <w:divBdr>
                                                                                    <w:top w:val="none" w:sz="0" w:space="0" w:color="auto"/>
                                                                                    <w:left w:val="none" w:sz="0" w:space="0" w:color="auto"/>
                                                                                    <w:bottom w:val="none" w:sz="0" w:space="0" w:color="auto"/>
                                                                                    <w:right w:val="none" w:sz="0" w:space="0" w:color="auto"/>
                                                                                  </w:divBdr>
                                                                                </w:div>
                                                                                <w:div w:id="706569042">
                                                                                  <w:marLeft w:val="0"/>
                                                                                  <w:marRight w:val="0"/>
                                                                                  <w:marTop w:val="0"/>
                                                                                  <w:marBottom w:val="0"/>
                                                                                  <w:divBdr>
                                                                                    <w:top w:val="none" w:sz="0" w:space="0" w:color="auto"/>
                                                                                    <w:left w:val="none" w:sz="0" w:space="0" w:color="auto"/>
                                                                                    <w:bottom w:val="none" w:sz="0" w:space="0" w:color="auto"/>
                                                                                    <w:right w:val="none" w:sz="0" w:space="0" w:color="auto"/>
                                                                                  </w:divBdr>
                                                                                </w:div>
                                                                                <w:div w:id="722828202">
                                                                                  <w:marLeft w:val="0"/>
                                                                                  <w:marRight w:val="0"/>
                                                                                  <w:marTop w:val="0"/>
                                                                                  <w:marBottom w:val="0"/>
                                                                                  <w:divBdr>
                                                                                    <w:top w:val="none" w:sz="0" w:space="0" w:color="auto"/>
                                                                                    <w:left w:val="none" w:sz="0" w:space="0" w:color="auto"/>
                                                                                    <w:bottom w:val="none" w:sz="0" w:space="0" w:color="auto"/>
                                                                                    <w:right w:val="none" w:sz="0" w:space="0" w:color="auto"/>
                                                                                  </w:divBdr>
                                                                                </w:div>
                                                                                <w:div w:id="724597083">
                                                                                  <w:marLeft w:val="0"/>
                                                                                  <w:marRight w:val="0"/>
                                                                                  <w:marTop w:val="0"/>
                                                                                  <w:marBottom w:val="0"/>
                                                                                  <w:divBdr>
                                                                                    <w:top w:val="none" w:sz="0" w:space="0" w:color="auto"/>
                                                                                    <w:left w:val="none" w:sz="0" w:space="0" w:color="auto"/>
                                                                                    <w:bottom w:val="none" w:sz="0" w:space="0" w:color="auto"/>
                                                                                    <w:right w:val="none" w:sz="0" w:space="0" w:color="auto"/>
                                                                                  </w:divBdr>
                                                                                </w:div>
                                                                                <w:div w:id="725758424">
                                                                                  <w:marLeft w:val="0"/>
                                                                                  <w:marRight w:val="0"/>
                                                                                  <w:marTop w:val="0"/>
                                                                                  <w:marBottom w:val="0"/>
                                                                                  <w:divBdr>
                                                                                    <w:top w:val="none" w:sz="0" w:space="0" w:color="auto"/>
                                                                                    <w:left w:val="none" w:sz="0" w:space="0" w:color="auto"/>
                                                                                    <w:bottom w:val="none" w:sz="0" w:space="0" w:color="auto"/>
                                                                                    <w:right w:val="none" w:sz="0" w:space="0" w:color="auto"/>
                                                                                  </w:divBdr>
                                                                                  <w:divsChild>
                                                                                    <w:div w:id="1027675505">
                                                                                      <w:marLeft w:val="-75"/>
                                                                                      <w:marRight w:val="0"/>
                                                                                      <w:marTop w:val="30"/>
                                                                                      <w:marBottom w:val="30"/>
                                                                                      <w:divBdr>
                                                                                        <w:top w:val="none" w:sz="0" w:space="0" w:color="auto"/>
                                                                                        <w:left w:val="none" w:sz="0" w:space="0" w:color="auto"/>
                                                                                        <w:bottom w:val="none" w:sz="0" w:space="0" w:color="auto"/>
                                                                                        <w:right w:val="none" w:sz="0" w:space="0" w:color="auto"/>
                                                                                      </w:divBdr>
                                                                                      <w:divsChild>
                                                                                        <w:div w:id="99028495">
                                                                                          <w:marLeft w:val="0"/>
                                                                                          <w:marRight w:val="0"/>
                                                                                          <w:marTop w:val="0"/>
                                                                                          <w:marBottom w:val="0"/>
                                                                                          <w:divBdr>
                                                                                            <w:top w:val="none" w:sz="0" w:space="0" w:color="auto"/>
                                                                                            <w:left w:val="none" w:sz="0" w:space="0" w:color="auto"/>
                                                                                            <w:bottom w:val="none" w:sz="0" w:space="0" w:color="auto"/>
                                                                                            <w:right w:val="none" w:sz="0" w:space="0" w:color="auto"/>
                                                                                          </w:divBdr>
                                                                                          <w:divsChild>
                                                                                            <w:div w:id="1936010013">
                                                                                              <w:marLeft w:val="0"/>
                                                                                              <w:marRight w:val="0"/>
                                                                                              <w:marTop w:val="0"/>
                                                                                              <w:marBottom w:val="0"/>
                                                                                              <w:divBdr>
                                                                                                <w:top w:val="none" w:sz="0" w:space="0" w:color="auto"/>
                                                                                                <w:left w:val="none" w:sz="0" w:space="0" w:color="auto"/>
                                                                                                <w:bottom w:val="none" w:sz="0" w:space="0" w:color="auto"/>
                                                                                                <w:right w:val="none" w:sz="0" w:space="0" w:color="auto"/>
                                                                                              </w:divBdr>
                                                                                            </w:div>
                                                                                          </w:divsChild>
                                                                                        </w:div>
                                                                                        <w:div w:id="105463745">
                                                                                          <w:marLeft w:val="0"/>
                                                                                          <w:marRight w:val="0"/>
                                                                                          <w:marTop w:val="0"/>
                                                                                          <w:marBottom w:val="0"/>
                                                                                          <w:divBdr>
                                                                                            <w:top w:val="none" w:sz="0" w:space="0" w:color="auto"/>
                                                                                            <w:left w:val="none" w:sz="0" w:space="0" w:color="auto"/>
                                                                                            <w:bottom w:val="none" w:sz="0" w:space="0" w:color="auto"/>
                                                                                            <w:right w:val="none" w:sz="0" w:space="0" w:color="auto"/>
                                                                                          </w:divBdr>
                                                                                          <w:divsChild>
                                                                                            <w:div w:id="936520694">
                                                                                              <w:marLeft w:val="0"/>
                                                                                              <w:marRight w:val="0"/>
                                                                                              <w:marTop w:val="0"/>
                                                                                              <w:marBottom w:val="0"/>
                                                                                              <w:divBdr>
                                                                                                <w:top w:val="none" w:sz="0" w:space="0" w:color="auto"/>
                                                                                                <w:left w:val="none" w:sz="0" w:space="0" w:color="auto"/>
                                                                                                <w:bottom w:val="none" w:sz="0" w:space="0" w:color="auto"/>
                                                                                                <w:right w:val="none" w:sz="0" w:space="0" w:color="auto"/>
                                                                                              </w:divBdr>
                                                                                            </w:div>
                                                                                          </w:divsChild>
                                                                                        </w:div>
                                                                                        <w:div w:id="121504704">
                                                                                          <w:marLeft w:val="0"/>
                                                                                          <w:marRight w:val="0"/>
                                                                                          <w:marTop w:val="0"/>
                                                                                          <w:marBottom w:val="0"/>
                                                                                          <w:divBdr>
                                                                                            <w:top w:val="none" w:sz="0" w:space="0" w:color="auto"/>
                                                                                            <w:left w:val="none" w:sz="0" w:space="0" w:color="auto"/>
                                                                                            <w:bottom w:val="none" w:sz="0" w:space="0" w:color="auto"/>
                                                                                            <w:right w:val="none" w:sz="0" w:space="0" w:color="auto"/>
                                                                                          </w:divBdr>
                                                                                          <w:divsChild>
                                                                                            <w:div w:id="2056807174">
                                                                                              <w:marLeft w:val="0"/>
                                                                                              <w:marRight w:val="0"/>
                                                                                              <w:marTop w:val="0"/>
                                                                                              <w:marBottom w:val="0"/>
                                                                                              <w:divBdr>
                                                                                                <w:top w:val="none" w:sz="0" w:space="0" w:color="auto"/>
                                                                                                <w:left w:val="none" w:sz="0" w:space="0" w:color="auto"/>
                                                                                                <w:bottom w:val="none" w:sz="0" w:space="0" w:color="auto"/>
                                                                                                <w:right w:val="none" w:sz="0" w:space="0" w:color="auto"/>
                                                                                              </w:divBdr>
                                                                                            </w:div>
                                                                                          </w:divsChild>
                                                                                        </w:div>
                                                                                        <w:div w:id="141389806">
                                                                                          <w:marLeft w:val="0"/>
                                                                                          <w:marRight w:val="0"/>
                                                                                          <w:marTop w:val="0"/>
                                                                                          <w:marBottom w:val="0"/>
                                                                                          <w:divBdr>
                                                                                            <w:top w:val="none" w:sz="0" w:space="0" w:color="auto"/>
                                                                                            <w:left w:val="none" w:sz="0" w:space="0" w:color="auto"/>
                                                                                            <w:bottom w:val="none" w:sz="0" w:space="0" w:color="auto"/>
                                                                                            <w:right w:val="none" w:sz="0" w:space="0" w:color="auto"/>
                                                                                          </w:divBdr>
                                                                                          <w:divsChild>
                                                                                            <w:div w:id="803961384">
                                                                                              <w:marLeft w:val="0"/>
                                                                                              <w:marRight w:val="0"/>
                                                                                              <w:marTop w:val="0"/>
                                                                                              <w:marBottom w:val="0"/>
                                                                                              <w:divBdr>
                                                                                                <w:top w:val="none" w:sz="0" w:space="0" w:color="auto"/>
                                                                                                <w:left w:val="none" w:sz="0" w:space="0" w:color="auto"/>
                                                                                                <w:bottom w:val="none" w:sz="0" w:space="0" w:color="auto"/>
                                                                                                <w:right w:val="none" w:sz="0" w:space="0" w:color="auto"/>
                                                                                              </w:divBdr>
                                                                                            </w:div>
                                                                                          </w:divsChild>
                                                                                        </w:div>
                                                                                        <w:div w:id="146744899">
                                                                                          <w:marLeft w:val="0"/>
                                                                                          <w:marRight w:val="0"/>
                                                                                          <w:marTop w:val="0"/>
                                                                                          <w:marBottom w:val="0"/>
                                                                                          <w:divBdr>
                                                                                            <w:top w:val="none" w:sz="0" w:space="0" w:color="auto"/>
                                                                                            <w:left w:val="none" w:sz="0" w:space="0" w:color="auto"/>
                                                                                            <w:bottom w:val="none" w:sz="0" w:space="0" w:color="auto"/>
                                                                                            <w:right w:val="none" w:sz="0" w:space="0" w:color="auto"/>
                                                                                          </w:divBdr>
                                                                                          <w:divsChild>
                                                                                            <w:div w:id="2120561761">
                                                                                              <w:marLeft w:val="0"/>
                                                                                              <w:marRight w:val="0"/>
                                                                                              <w:marTop w:val="0"/>
                                                                                              <w:marBottom w:val="0"/>
                                                                                              <w:divBdr>
                                                                                                <w:top w:val="none" w:sz="0" w:space="0" w:color="auto"/>
                                                                                                <w:left w:val="none" w:sz="0" w:space="0" w:color="auto"/>
                                                                                                <w:bottom w:val="none" w:sz="0" w:space="0" w:color="auto"/>
                                                                                                <w:right w:val="none" w:sz="0" w:space="0" w:color="auto"/>
                                                                                              </w:divBdr>
                                                                                            </w:div>
                                                                                          </w:divsChild>
                                                                                        </w:div>
                                                                                        <w:div w:id="225997124">
                                                                                          <w:marLeft w:val="0"/>
                                                                                          <w:marRight w:val="0"/>
                                                                                          <w:marTop w:val="0"/>
                                                                                          <w:marBottom w:val="0"/>
                                                                                          <w:divBdr>
                                                                                            <w:top w:val="none" w:sz="0" w:space="0" w:color="auto"/>
                                                                                            <w:left w:val="none" w:sz="0" w:space="0" w:color="auto"/>
                                                                                            <w:bottom w:val="none" w:sz="0" w:space="0" w:color="auto"/>
                                                                                            <w:right w:val="none" w:sz="0" w:space="0" w:color="auto"/>
                                                                                          </w:divBdr>
                                                                                          <w:divsChild>
                                                                                            <w:div w:id="978074895">
                                                                                              <w:marLeft w:val="0"/>
                                                                                              <w:marRight w:val="0"/>
                                                                                              <w:marTop w:val="0"/>
                                                                                              <w:marBottom w:val="0"/>
                                                                                              <w:divBdr>
                                                                                                <w:top w:val="none" w:sz="0" w:space="0" w:color="auto"/>
                                                                                                <w:left w:val="none" w:sz="0" w:space="0" w:color="auto"/>
                                                                                                <w:bottom w:val="none" w:sz="0" w:space="0" w:color="auto"/>
                                                                                                <w:right w:val="none" w:sz="0" w:space="0" w:color="auto"/>
                                                                                              </w:divBdr>
                                                                                            </w:div>
                                                                                          </w:divsChild>
                                                                                        </w:div>
                                                                                        <w:div w:id="236090348">
                                                                                          <w:marLeft w:val="0"/>
                                                                                          <w:marRight w:val="0"/>
                                                                                          <w:marTop w:val="0"/>
                                                                                          <w:marBottom w:val="0"/>
                                                                                          <w:divBdr>
                                                                                            <w:top w:val="none" w:sz="0" w:space="0" w:color="auto"/>
                                                                                            <w:left w:val="none" w:sz="0" w:space="0" w:color="auto"/>
                                                                                            <w:bottom w:val="none" w:sz="0" w:space="0" w:color="auto"/>
                                                                                            <w:right w:val="none" w:sz="0" w:space="0" w:color="auto"/>
                                                                                          </w:divBdr>
                                                                                          <w:divsChild>
                                                                                            <w:div w:id="673797320">
                                                                                              <w:marLeft w:val="0"/>
                                                                                              <w:marRight w:val="0"/>
                                                                                              <w:marTop w:val="0"/>
                                                                                              <w:marBottom w:val="0"/>
                                                                                              <w:divBdr>
                                                                                                <w:top w:val="none" w:sz="0" w:space="0" w:color="auto"/>
                                                                                                <w:left w:val="none" w:sz="0" w:space="0" w:color="auto"/>
                                                                                                <w:bottom w:val="none" w:sz="0" w:space="0" w:color="auto"/>
                                                                                                <w:right w:val="none" w:sz="0" w:space="0" w:color="auto"/>
                                                                                              </w:divBdr>
                                                                                            </w:div>
                                                                                          </w:divsChild>
                                                                                        </w:div>
                                                                                        <w:div w:id="298538948">
                                                                                          <w:marLeft w:val="0"/>
                                                                                          <w:marRight w:val="0"/>
                                                                                          <w:marTop w:val="0"/>
                                                                                          <w:marBottom w:val="0"/>
                                                                                          <w:divBdr>
                                                                                            <w:top w:val="none" w:sz="0" w:space="0" w:color="auto"/>
                                                                                            <w:left w:val="none" w:sz="0" w:space="0" w:color="auto"/>
                                                                                            <w:bottom w:val="none" w:sz="0" w:space="0" w:color="auto"/>
                                                                                            <w:right w:val="none" w:sz="0" w:space="0" w:color="auto"/>
                                                                                          </w:divBdr>
                                                                                          <w:divsChild>
                                                                                            <w:div w:id="670959533">
                                                                                              <w:marLeft w:val="0"/>
                                                                                              <w:marRight w:val="0"/>
                                                                                              <w:marTop w:val="0"/>
                                                                                              <w:marBottom w:val="0"/>
                                                                                              <w:divBdr>
                                                                                                <w:top w:val="none" w:sz="0" w:space="0" w:color="auto"/>
                                                                                                <w:left w:val="none" w:sz="0" w:space="0" w:color="auto"/>
                                                                                                <w:bottom w:val="none" w:sz="0" w:space="0" w:color="auto"/>
                                                                                                <w:right w:val="none" w:sz="0" w:space="0" w:color="auto"/>
                                                                                              </w:divBdr>
                                                                                            </w:div>
                                                                                          </w:divsChild>
                                                                                        </w:div>
                                                                                        <w:div w:id="491914391">
                                                                                          <w:marLeft w:val="0"/>
                                                                                          <w:marRight w:val="0"/>
                                                                                          <w:marTop w:val="0"/>
                                                                                          <w:marBottom w:val="0"/>
                                                                                          <w:divBdr>
                                                                                            <w:top w:val="none" w:sz="0" w:space="0" w:color="auto"/>
                                                                                            <w:left w:val="none" w:sz="0" w:space="0" w:color="auto"/>
                                                                                            <w:bottom w:val="none" w:sz="0" w:space="0" w:color="auto"/>
                                                                                            <w:right w:val="none" w:sz="0" w:space="0" w:color="auto"/>
                                                                                          </w:divBdr>
                                                                                          <w:divsChild>
                                                                                            <w:div w:id="1937319873">
                                                                                              <w:marLeft w:val="0"/>
                                                                                              <w:marRight w:val="0"/>
                                                                                              <w:marTop w:val="0"/>
                                                                                              <w:marBottom w:val="0"/>
                                                                                              <w:divBdr>
                                                                                                <w:top w:val="none" w:sz="0" w:space="0" w:color="auto"/>
                                                                                                <w:left w:val="none" w:sz="0" w:space="0" w:color="auto"/>
                                                                                                <w:bottom w:val="none" w:sz="0" w:space="0" w:color="auto"/>
                                                                                                <w:right w:val="none" w:sz="0" w:space="0" w:color="auto"/>
                                                                                              </w:divBdr>
                                                                                            </w:div>
                                                                                          </w:divsChild>
                                                                                        </w:div>
                                                                                        <w:div w:id="551843710">
                                                                                          <w:marLeft w:val="0"/>
                                                                                          <w:marRight w:val="0"/>
                                                                                          <w:marTop w:val="0"/>
                                                                                          <w:marBottom w:val="0"/>
                                                                                          <w:divBdr>
                                                                                            <w:top w:val="none" w:sz="0" w:space="0" w:color="auto"/>
                                                                                            <w:left w:val="none" w:sz="0" w:space="0" w:color="auto"/>
                                                                                            <w:bottom w:val="none" w:sz="0" w:space="0" w:color="auto"/>
                                                                                            <w:right w:val="none" w:sz="0" w:space="0" w:color="auto"/>
                                                                                          </w:divBdr>
                                                                                          <w:divsChild>
                                                                                            <w:div w:id="1527328338">
                                                                                              <w:marLeft w:val="0"/>
                                                                                              <w:marRight w:val="0"/>
                                                                                              <w:marTop w:val="0"/>
                                                                                              <w:marBottom w:val="0"/>
                                                                                              <w:divBdr>
                                                                                                <w:top w:val="none" w:sz="0" w:space="0" w:color="auto"/>
                                                                                                <w:left w:val="none" w:sz="0" w:space="0" w:color="auto"/>
                                                                                                <w:bottom w:val="none" w:sz="0" w:space="0" w:color="auto"/>
                                                                                                <w:right w:val="none" w:sz="0" w:space="0" w:color="auto"/>
                                                                                              </w:divBdr>
                                                                                            </w:div>
                                                                                          </w:divsChild>
                                                                                        </w:div>
                                                                                        <w:div w:id="566768790">
                                                                                          <w:marLeft w:val="0"/>
                                                                                          <w:marRight w:val="0"/>
                                                                                          <w:marTop w:val="0"/>
                                                                                          <w:marBottom w:val="0"/>
                                                                                          <w:divBdr>
                                                                                            <w:top w:val="none" w:sz="0" w:space="0" w:color="auto"/>
                                                                                            <w:left w:val="none" w:sz="0" w:space="0" w:color="auto"/>
                                                                                            <w:bottom w:val="none" w:sz="0" w:space="0" w:color="auto"/>
                                                                                            <w:right w:val="none" w:sz="0" w:space="0" w:color="auto"/>
                                                                                          </w:divBdr>
                                                                                          <w:divsChild>
                                                                                            <w:div w:id="34475774">
                                                                                              <w:marLeft w:val="0"/>
                                                                                              <w:marRight w:val="0"/>
                                                                                              <w:marTop w:val="0"/>
                                                                                              <w:marBottom w:val="0"/>
                                                                                              <w:divBdr>
                                                                                                <w:top w:val="none" w:sz="0" w:space="0" w:color="auto"/>
                                                                                                <w:left w:val="none" w:sz="0" w:space="0" w:color="auto"/>
                                                                                                <w:bottom w:val="none" w:sz="0" w:space="0" w:color="auto"/>
                                                                                                <w:right w:val="none" w:sz="0" w:space="0" w:color="auto"/>
                                                                                              </w:divBdr>
                                                                                            </w:div>
                                                                                          </w:divsChild>
                                                                                        </w:div>
                                                                                        <w:div w:id="592515554">
                                                                                          <w:marLeft w:val="0"/>
                                                                                          <w:marRight w:val="0"/>
                                                                                          <w:marTop w:val="0"/>
                                                                                          <w:marBottom w:val="0"/>
                                                                                          <w:divBdr>
                                                                                            <w:top w:val="none" w:sz="0" w:space="0" w:color="auto"/>
                                                                                            <w:left w:val="none" w:sz="0" w:space="0" w:color="auto"/>
                                                                                            <w:bottom w:val="none" w:sz="0" w:space="0" w:color="auto"/>
                                                                                            <w:right w:val="none" w:sz="0" w:space="0" w:color="auto"/>
                                                                                          </w:divBdr>
                                                                                          <w:divsChild>
                                                                                            <w:div w:id="339967362">
                                                                                              <w:marLeft w:val="0"/>
                                                                                              <w:marRight w:val="0"/>
                                                                                              <w:marTop w:val="0"/>
                                                                                              <w:marBottom w:val="0"/>
                                                                                              <w:divBdr>
                                                                                                <w:top w:val="none" w:sz="0" w:space="0" w:color="auto"/>
                                                                                                <w:left w:val="none" w:sz="0" w:space="0" w:color="auto"/>
                                                                                                <w:bottom w:val="none" w:sz="0" w:space="0" w:color="auto"/>
                                                                                                <w:right w:val="none" w:sz="0" w:space="0" w:color="auto"/>
                                                                                              </w:divBdr>
                                                                                            </w:div>
                                                                                          </w:divsChild>
                                                                                        </w:div>
                                                                                        <w:div w:id="888735020">
                                                                                          <w:marLeft w:val="0"/>
                                                                                          <w:marRight w:val="0"/>
                                                                                          <w:marTop w:val="0"/>
                                                                                          <w:marBottom w:val="0"/>
                                                                                          <w:divBdr>
                                                                                            <w:top w:val="none" w:sz="0" w:space="0" w:color="auto"/>
                                                                                            <w:left w:val="none" w:sz="0" w:space="0" w:color="auto"/>
                                                                                            <w:bottom w:val="none" w:sz="0" w:space="0" w:color="auto"/>
                                                                                            <w:right w:val="none" w:sz="0" w:space="0" w:color="auto"/>
                                                                                          </w:divBdr>
                                                                                          <w:divsChild>
                                                                                            <w:div w:id="1935434967">
                                                                                              <w:marLeft w:val="0"/>
                                                                                              <w:marRight w:val="0"/>
                                                                                              <w:marTop w:val="0"/>
                                                                                              <w:marBottom w:val="0"/>
                                                                                              <w:divBdr>
                                                                                                <w:top w:val="none" w:sz="0" w:space="0" w:color="auto"/>
                                                                                                <w:left w:val="none" w:sz="0" w:space="0" w:color="auto"/>
                                                                                                <w:bottom w:val="none" w:sz="0" w:space="0" w:color="auto"/>
                                                                                                <w:right w:val="none" w:sz="0" w:space="0" w:color="auto"/>
                                                                                              </w:divBdr>
                                                                                            </w:div>
                                                                                          </w:divsChild>
                                                                                        </w:div>
                                                                                        <w:div w:id="906454434">
                                                                                          <w:marLeft w:val="0"/>
                                                                                          <w:marRight w:val="0"/>
                                                                                          <w:marTop w:val="0"/>
                                                                                          <w:marBottom w:val="0"/>
                                                                                          <w:divBdr>
                                                                                            <w:top w:val="none" w:sz="0" w:space="0" w:color="auto"/>
                                                                                            <w:left w:val="none" w:sz="0" w:space="0" w:color="auto"/>
                                                                                            <w:bottom w:val="none" w:sz="0" w:space="0" w:color="auto"/>
                                                                                            <w:right w:val="none" w:sz="0" w:space="0" w:color="auto"/>
                                                                                          </w:divBdr>
                                                                                          <w:divsChild>
                                                                                            <w:div w:id="2089813614">
                                                                                              <w:marLeft w:val="0"/>
                                                                                              <w:marRight w:val="0"/>
                                                                                              <w:marTop w:val="0"/>
                                                                                              <w:marBottom w:val="0"/>
                                                                                              <w:divBdr>
                                                                                                <w:top w:val="none" w:sz="0" w:space="0" w:color="auto"/>
                                                                                                <w:left w:val="none" w:sz="0" w:space="0" w:color="auto"/>
                                                                                                <w:bottom w:val="none" w:sz="0" w:space="0" w:color="auto"/>
                                                                                                <w:right w:val="none" w:sz="0" w:space="0" w:color="auto"/>
                                                                                              </w:divBdr>
                                                                                            </w:div>
                                                                                          </w:divsChild>
                                                                                        </w:div>
                                                                                        <w:div w:id="951010201">
                                                                                          <w:marLeft w:val="0"/>
                                                                                          <w:marRight w:val="0"/>
                                                                                          <w:marTop w:val="0"/>
                                                                                          <w:marBottom w:val="0"/>
                                                                                          <w:divBdr>
                                                                                            <w:top w:val="none" w:sz="0" w:space="0" w:color="auto"/>
                                                                                            <w:left w:val="none" w:sz="0" w:space="0" w:color="auto"/>
                                                                                            <w:bottom w:val="none" w:sz="0" w:space="0" w:color="auto"/>
                                                                                            <w:right w:val="none" w:sz="0" w:space="0" w:color="auto"/>
                                                                                          </w:divBdr>
                                                                                          <w:divsChild>
                                                                                            <w:div w:id="596672502">
                                                                                              <w:marLeft w:val="0"/>
                                                                                              <w:marRight w:val="0"/>
                                                                                              <w:marTop w:val="0"/>
                                                                                              <w:marBottom w:val="0"/>
                                                                                              <w:divBdr>
                                                                                                <w:top w:val="none" w:sz="0" w:space="0" w:color="auto"/>
                                                                                                <w:left w:val="none" w:sz="0" w:space="0" w:color="auto"/>
                                                                                                <w:bottom w:val="none" w:sz="0" w:space="0" w:color="auto"/>
                                                                                                <w:right w:val="none" w:sz="0" w:space="0" w:color="auto"/>
                                                                                              </w:divBdr>
                                                                                            </w:div>
                                                                                          </w:divsChild>
                                                                                        </w:div>
                                                                                        <w:div w:id="965702300">
                                                                                          <w:marLeft w:val="0"/>
                                                                                          <w:marRight w:val="0"/>
                                                                                          <w:marTop w:val="0"/>
                                                                                          <w:marBottom w:val="0"/>
                                                                                          <w:divBdr>
                                                                                            <w:top w:val="none" w:sz="0" w:space="0" w:color="auto"/>
                                                                                            <w:left w:val="none" w:sz="0" w:space="0" w:color="auto"/>
                                                                                            <w:bottom w:val="none" w:sz="0" w:space="0" w:color="auto"/>
                                                                                            <w:right w:val="none" w:sz="0" w:space="0" w:color="auto"/>
                                                                                          </w:divBdr>
                                                                                          <w:divsChild>
                                                                                            <w:div w:id="1478107540">
                                                                                              <w:marLeft w:val="0"/>
                                                                                              <w:marRight w:val="0"/>
                                                                                              <w:marTop w:val="0"/>
                                                                                              <w:marBottom w:val="0"/>
                                                                                              <w:divBdr>
                                                                                                <w:top w:val="none" w:sz="0" w:space="0" w:color="auto"/>
                                                                                                <w:left w:val="none" w:sz="0" w:space="0" w:color="auto"/>
                                                                                                <w:bottom w:val="none" w:sz="0" w:space="0" w:color="auto"/>
                                                                                                <w:right w:val="none" w:sz="0" w:space="0" w:color="auto"/>
                                                                                              </w:divBdr>
                                                                                            </w:div>
                                                                                          </w:divsChild>
                                                                                        </w:div>
                                                                                        <w:div w:id="1042829759">
                                                                                          <w:marLeft w:val="0"/>
                                                                                          <w:marRight w:val="0"/>
                                                                                          <w:marTop w:val="0"/>
                                                                                          <w:marBottom w:val="0"/>
                                                                                          <w:divBdr>
                                                                                            <w:top w:val="none" w:sz="0" w:space="0" w:color="auto"/>
                                                                                            <w:left w:val="none" w:sz="0" w:space="0" w:color="auto"/>
                                                                                            <w:bottom w:val="none" w:sz="0" w:space="0" w:color="auto"/>
                                                                                            <w:right w:val="none" w:sz="0" w:space="0" w:color="auto"/>
                                                                                          </w:divBdr>
                                                                                          <w:divsChild>
                                                                                            <w:div w:id="1395542736">
                                                                                              <w:marLeft w:val="0"/>
                                                                                              <w:marRight w:val="0"/>
                                                                                              <w:marTop w:val="0"/>
                                                                                              <w:marBottom w:val="0"/>
                                                                                              <w:divBdr>
                                                                                                <w:top w:val="none" w:sz="0" w:space="0" w:color="auto"/>
                                                                                                <w:left w:val="none" w:sz="0" w:space="0" w:color="auto"/>
                                                                                                <w:bottom w:val="none" w:sz="0" w:space="0" w:color="auto"/>
                                                                                                <w:right w:val="none" w:sz="0" w:space="0" w:color="auto"/>
                                                                                              </w:divBdr>
                                                                                            </w:div>
                                                                                          </w:divsChild>
                                                                                        </w:div>
                                                                                        <w:div w:id="1125931517">
                                                                                          <w:marLeft w:val="0"/>
                                                                                          <w:marRight w:val="0"/>
                                                                                          <w:marTop w:val="0"/>
                                                                                          <w:marBottom w:val="0"/>
                                                                                          <w:divBdr>
                                                                                            <w:top w:val="none" w:sz="0" w:space="0" w:color="auto"/>
                                                                                            <w:left w:val="none" w:sz="0" w:space="0" w:color="auto"/>
                                                                                            <w:bottom w:val="none" w:sz="0" w:space="0" w:color="auto"/>
                                                                                            <w:right w:val="none" w:sz="0" w:space="0" w:color="auto"/>
                                                                                          </w:divBdr>
                                                                                          <w:divsChild>
                                                                                            <w:div w:id="696395200">
                                                                                              <w:marLeft w:val="0"/>
                                                                                              <w:marRight w:val="0"/>
                                                                                              <w:marTop w:val="0"/>
                                                                                              <w:marBottom w:val="0"/>
                                                                                              <w:divBdr>
                                                                                                <w:top w:val="none" w:sz="0" w:space="0" w:color="auto"/>
                                                                                                <w:left w:val="none" w:sz="0" w:space="0" w:color="auto"/>
                                                                                                <w:bottom w:val="none" w:sz="0" w:space="0" w:color="auto"/>
                                                                                                <w:right w:val="none" w:sz="0" w:space="0" w:color="auto"/>
                                                                                              </w:divBdr>
                                                                                            </w:div>
                                                                                          </w:divsChild>
                                                                                        </w:div>
                                                                                        <w:div w:id="1160343435">
                                                                                          <w:marLeft w:val="0"/>
                                                                                          <w:marRight w:val="0"/>
                                                                                          <w:marTop w:val="0"/>
                                                                                          <w:marBottom w:val="0"/>
                                                                                          <w:divBdr>
                                                                                            <w:top w:val="none" w:sz="0" w:space="0" w:color="auto"/>
                                                                                            <w:left w:val="none" w:sz="0" w:space="0" w:color="auto"/>
                                                                                            <w:bottom w:val="none" w:sz="0" w:space="0" w:color="auto"/>
                                                                                            <w:right w:val="none" w:sz="0" w:space="0" w:color="auto"/>
                                                                                          </w:divBdr>
                                                                                          <w:divsChild>
                                                                                            <w:div w:id="1748381437">
                                                                                              <w:marLeft w:val="0"/>
                                                                                              <w:marRight w:val="0"/>
                                                                                              <w:marTop w:val="0"/>
                                                                                              <w:marBottom w:val="0"/>
                                                                                              <w:divBdr>
                                                                                                <w:top w:val="none" w:sz="0" w:space="0" w:color="auto"/>
                                                                                                <w:left w:val="none" w:sz="0" w:space="0" w:color="auto"/>
                                                                                                <w:bottom w:val="none" w:sz="0" w:space="0" w:color="auto"/>
                                                                                                <w:right w:val="none" w:sz="0" w:space="0" w:color="auto"/>
                                                                                              </w:divBdr>
                                                                                            </w:div>
                                                                                          </w:divsChild>
                                                                                        </w:div>
                                                                                        <w:div w:id="1193611249">
                                                                                          <w:marLeft w:val="0"/>
                                                                                          <w:marRight w:val="0"/>
                                                                                          <w:marTop w:val="0"/>
                                                                                          <w:marBottom w:val="0"/>
                                                                                          <w:divBdr>
                                                                                            <w:top w:val="none" w:sz="0" w:space="0" w:color="auto"/>
                                                                                            <w:left w:val="none" w:sz="0" w:space="0" w:color="auto"/>
                                                                                            <w:bottom w:val="none" w:sz="0" w:space="0" w:color="auto"/>
                                                                                            <w:right w:val="none" w:sz="0" w:space="0" w:color="auto"/>
                                                                                          </w:divBdr>
                                                                                          <w:divsChild>
                                                                                            <w:div w:id="434055953">
                                                                                              <w:marLeft w:val="0"/>
                                                                                              <w:marRight w:val="0"/>
                                                                                              <w:marTop w:val="0"/>
                                                                                              <w:marBottom w:val="0"/>
                                                                                              <w:divBdr>
                                                                                                <w:top w:val="none" w:sz="0" w:space="0" w:color="auto"/>
                                                                                                <w:left w:val="none" w:sz="0" w:space="0" w:color="auto"/>
                                                                                                <w:bottom w:val="none" w:sz="0" w:space="0" w:color="auto"/>
                                                                                                <w:right w:val="none" w:sz="0" w:space="0" w:color="auto"/>
                                                                                              </w:divBdr>
                                                                                            </w:div>
                                                                                          </w:divsChild>
                                                                                        </w:div>
                                                                                        <w:div w:id="1261066022">
                                                                                          <w:marLeft w:val="0"/>
                                                                                          <w:marRight w:val="0"/>
                                                                                          <w:marTop w:val="0"/>
                                                                                          <w:marBottom w:val="0"/>
                                                                                          <w:divBdr>
                                                                                            <w:top w:val="none" w:sz="0" w:space="0" w:color="auto"/>
                                                                                            <w:left w:val="none" w:sz="0" w:space="0" w:color="auto"/>
                                                                                            <w:bottom w:val="none" w:sz="0" w:space="0" w:color="auto"/>
                                                                                            <w:right w:val="none" w:sz="0" w:space="0" w:color="auto"/>
                                                                                          </w:divBdr>
                                                                                          <w:divsChild>
                                                                                            <w:div w:id="1413429360">
                                                                                              <w:marLeft w:val="0"/>
                                                                                              <w:marRight w:val="0"/>
                                                                                              <w:marTop w:val="0"/>
                                                                                              <w:marBottom w:val="0"/>
                                                                                              <w:divBdr>
                                                                                                <w:top w:val="none" w:sz="0" w:space="0" w:color="auto"/>
                                                                                                <w:left w:val="none" w:sz="0" w:space="0" w:color="auto"/>
                                                                                                <w:bottom w:val="none" w:sz="0" w:space="0" w:color="auto"/>
                                                                                                <w:right w:val="none" w:sz="0" w:space="0" w:color="auto"/>
                                                                                              </w:divBdr>
                                                                                            </w:div>
                                                                                          </w:divsChild>
                                                                                        </w:div>
                                                                                        <w:div w:id="1293293289">
                                                                                          <w:marLeft w:val="0"/>
                                                                                          <w:marRight w:val="0"/>
                                                                                          <w:marTop w:val="0"/>
                                                                                          <w:marBottom w:val="0"/>
                                                                                          <w:divBdr>
                                                                                            <w:top w:val="none" w:sz="0" w:space="0" w:color="auto"/>
                                                                                            <w:left w:val="none" w:sz="0" w:space="0" w:color="auto"/>
                                                                                            <w:bottom w:val="none" w:sz="0" w:space="0" w:color="auto"/>
                                                                                            <w:right w:val="none" w:sz="0" w:space="0" w:color="auto"/>
                                                                                          </w:divBdr>
                                                                                          <w:divsChild>
                                                                                            <w:div w:id="727416773">
                                                                                              <w:marLeft w:val="0"/>
                                                                                              <w:marRight w:val="0"/>
                                                                                              <w:marTop w:val="0"/>
                                                                                              <w:marBottom w:val="0"/>
                                                                                              <w:divBdr>
                                                                                                <w:top w:val="none" w:sz="0" w:space="0" w:color="auto"/>
                                                                                                <w:left w:val="none" w:sz="0" w:space="0" w:color="auto"/>
                                                                                                <w:bottom w:val="none" w:sz="0" w:space="0" w:color="auto"/>
                                                                                                <w:right w:val="none" w:sz="0" w:space="0" w:color="auto"/>
                                                                                              </w:divBdr>
                                                                                            </w:div>
                                                                                          </w:divsChild>
                                                                                        </w:div>
                                                                                        <w:div w:id="1300183564">
                                                                                          <w:marLeft w:val="0"/>
                                                                                          <w:marRight w:val="0"/>
                                                                                          <w:marTop w:val="0"/>
                                                                                          <w:marBottom w:val="0"/>
                                                                                          <w:divBdr>
                                                                                            <w:top w:val="none" w:sz="0" w:space="0" w:color="auto"/>
                                                                                            <w:left w:val="none" w:sz="0" w:space="0" w:color="auto"/>
                                                                                            <w:bottom w:val="none" w:sz="0" w:space="0" w:color="auto"/>
                                                                                            <w:right w:val="none" w:sz="0" w:space="0" w:color="auto"/>
                                                                                          </w:divBdr>
                                                                                          <w:divsChild>
                                                                                            <w:div w:id="1893736926">
                                                                                              <w:marLeft w:val="0"/>
                                                                                              <w:marRight w:val="0"/>
                                                                                              <w:marTop w:val="0"/>
                                                                                              <w:marBottom w:val="0"/>
                                                                                              <w:divBdr>
                                                                                                <w:top w:val="none" w:sz="0" w:space="0" w:color="auto"/>
                                                                                                <w:left w:val="none" w:sz="0" w:space="0" w:color="auto"/>
                                                                                                <w:bottom w:val="none" w:sz="0" w:space="0" w:color="auto"/>
                                                                                                <w:right w:val="none" w:sz="0" w:space="0" w:color="auto"/>
                                                                                              </w:divBdr>
                                                                                            </w:div>
                                                                                          </w:divsChild>
                                                                                        </w:div>
                                                                                        <w:div w:id="1330064184">
                                                                                          <w:marLeft w:val="0"/>
                                                                                          <w:marRight w:val="0"/>
                                                                                          <w:marTop w:val="0"/>
                                                                                          <w:marBottom w:val="0"/>
                                                                                          <w:divBdr>
                                                                                            <w:top w:val="none" w:sz="0" w:space="0" w:color="auto"/>
                                                                                            <w:left w:val="none" w:sz="0" w:space="0" w:color="auto"/>
                                                                                            <w:bottom w:val="none" w:sz="0" w:space="0" w:color="auto"/>
                                                                                            <w:right w:val="none" w:sz="0" w:space="0" w:color="auto"/>
                                                                                          </w:divBdr>
                                                                                          <w:divsChild>
                                                                                            <w:div w:id="2042513128">
                                                                                              <w:marLeft w:val="0"/>
                                                                                              <w:marRight w:val="0"/>
                                                                                              <w:marTop w:val="0"/>
                                                                                              <w:marBottom w:val="0"/>
                                                                                              <w:divBdr>
                                                                                                <w:top w:val="none" w:sz="0" w:space="0" w:color="auto"/>
                                                                                                <w:left w:val="none" w:sz="0" w:space="0" w:color="auto"/>
                                                                                                <w:bottom w:val="none" w:sz="0" w:space="0" w:color="auto"/>
                                                                                                <w:right w:val="none" w:sz="0" w:space="0" w:color="auto"/>
                                                                                              </w:divBdr>
                                                                                            </w:div>
                                                                                          </w:divsChild>
                                                                                        </w:div>
                                                                                        <w:div w:id="1347514333">
                                                                                          <w:marLeft w:val="0"/>
                                                                                          <w:marRight w:val="0"/>
                                                                                          <w:marTop w:val="0"/>
                                                                                          <w:marBottom w:val="0"/>
                                                                                          <w:divBdr>
                                                                                            <w:top w:val="none" w:sz="0" w:space="0" w:color="auto"/>
                                                                                            <w:left w:val="none" w:sz="0" w:space="0" w:color="auto"/>
                                                                                            <w:bottom w:val="none" w:sz="0" w:space="0" w:color="auto"/>
                                                                                            <w:right w:val="none" w:sz="0" w:space="0" w:color="auto"/>
                                                                                          </w:divBdr>
                                                                                          <w:divsChild>
                                                                                            <w:div w:id="1474056163">
                                                                                              <w:marLeft w:val="0"/>
                                                                                              <w:marRight w:val="0"/>
                                                                                              <w:marTop w:val="0"/>
                                                                                              <w:marBottom w:val="0"/>
                                                                                              <w:divBdr>
                                                                                                <w:top w:val="none" w:sz="0" w:space="0" w:color="auto"/>
                                                                                                <w:left w:val="none" w:sz="0" w:space="0" w:color="auto"/>
                                                                                                <w:bottom w:val="none" w:sz="0" w:space="0" w:color="auto"/>
                                                                                                <w:right w:val="none" w:sz="0" w:space="0" w:color="auto"/>
                                                                                              </w:divBdr>
                                                                                            </w:div>
                                                                                          </w:divsChild>
                                                                                        </w:div>
                                                                                        <w:div w:id="1402019089">
                                                                                          <w:marLeft w:val="0"/>
                                                                                          <w:marRight w:val="0"/>
                                                                                          <w:marTop w:val="0"/>
                                                                                          <w:marBottom w:val="0"/>
                                                                                          <w:divBdr>
                                                                                            <w:top w:val="none" w:sz="0" w:space="0" w:color="auto"/>
                                                                                            <w:left w:val="none" w:sz="0" w:space="0" w:color="auto"/>
                                                                                            <w:bottom w:val="none" w:sz="0" w:space="0" w:color="auto"/>
                                                                                            <w:right w:val="none" w:sz="0" w:space="0" w:color="auto"/>
                                                                                          </w:divBdr>
                                                                                          <w:divsChild>
                                                                                            <w:div w:id="1099762344">
                                                                                              <w:marLeft w:val="0"/>
                                                                                              <w:marRight w:val="0"/>
                                                                                              <w:marTop w:val="0"/>
                                                                                              <w:marBottom w:val="0"/>
                                                                                              <w:divBdr>
                                                                                                <w:top w:val="none" w:sz="0" w:space="0" w:color="auto"/>
                                                                                                <w:left w:val="none" w:sz="0" w:space="0" w:color="auto"/>
                                                                                                <w:bottom w:val="none" w:sz="0" w:space="0" w:color="auto"/>
                                                                                                <w:right w:val="none" w:sz="0" w:space="0" w:color="auto"/>
                                                                                              </w:divBdr>
                                                                                            </w:div>
                                                                                          </w:divsChild>
                                                                                        </w:div>
                                                                                        <w:div w:id="1424767596">
                                                                                          <w:marLeft w:val="0"/>
                                                                                          <w:marRight w:val="0"/>
                                                                                          <w:marTop w:val="0"/>
                                                                                          <w:marBottom w:val="0"/>
                                                                                          <w:divBdr>
                                                                                            <w:top w:val="none" w:sz="0" w:space="0" w:color="auto"/>
                                                                                            <w:left w:val="none" w:sz="0" w:space="0" w:color="auto"/>
                                                                                            <w:bottom w:val="none" w:sz="0" w:space="0" w:color="auto"/>
                                                                                            <w:right w:val="none" w:sz="0" w:space="0" w:color="auto"/>
                                                                                          </w:divBdr>
                                                                                          <w:divsChild>
                                                                                            <w:div w:id="1381830779">
                                                                                              <w:marLeft w:val="0"/>
                                                                                              <w:marRight w:val="0"/>
                                                                                              <w:marTop w:val="0"/>
                                                                                              <w:marBottom w:val="0"/>
                                                                                              <w:divBdr>
                                                                                                <w:top w:val="none" w:sz="0" w:space="0" w:color="auto"/>
                                                                                                <w:left w:val="none" w:sz="0" w:space="0" w:color="auto"/>
                                                                                                <w:bottom w:val="none" w:sz="0" w:space="0" w:color="auto"/>
                                                                                                <w:right w:val="none" w:sz="0" w:space="0" w:color="auto"/>
                                                                                              </w:divBdr>
                                                                                            </w:div>
                                                                                          </w:divsChild>
                                                                                        </w:div>
                                                                                        <w:div w:id="1828401185">
                                                                                          <w:marLeft w:val="0"/>
                                                                                          <w:marRight w:val="0"/>
                                                                                          <w:marTop w:val="0"/>
                                                                                          <w:marBottom w:val="0"/>
                                                                                          <w:divBdr>
                                                                                            <w:top w:val="none" w:sz="0" w:space="0" w:color="auto"/>
                                                                                            <w:left w:val="none" w:sz="0" w:space="0" w:color="auto"/>
                                                                                            <w:bottom w:val="none" w:sz="0" w:space="0" w:color="auto"/>
                                                                                            <w:right w:val="none" w:sz="0" w:space="0" w:color="auto"/>
                                                                                          </w:divBdr>
                                                                                          <w:divsChild>
                                                                                            <w:div w:id="1133014510">
                                                                                              <w:marLeft w:val="0"/>
                                                                                              <w:marRight w:val="0"/>
                                                                                              <w:marTop w:val="0"/>
                                                                                              <w:marBottom w:val="0"/>
                                                                                              <w:divBdr>
                                                                                                <w:top w:val="none" w:sz="0" w:space="0" w:color="auto"/>
                                                                                                <w:left w:val="none" w:sz="0" w:space="0" w:color="auto"/>
                                                                                                <w:bottom w:val="none" w:sz="0" w:space="0" w:color="auto"/>
                                                                                                <w:right w:val="none" w:sz="0" w:space="0" w:color="auto"/>
                                                                                              </w:divBdr>
                                                                                            </w:div>
                                                                                          </w:divsChild>
                                                                                        </w:div>
                                                                                        <w:div w:id="1866290116">
                                                                                          <w:marLeft w:val="0"/>
                                                                                          <w:marRight w:val="0"/>
                                                                                          <w:marTop w:val="0"/>
                                                                                          <w:marBottom w:val="0"/>
                                                                                          <w:divBdr>
                                                                                            <w:top w:val="none" w:sz="0" w:space="0" w:color="auto"/>
                                                                                            <w:left w:val="none" w:sz="0" w:space="0" w:color="auto"/>
                                                                                            <w:bottom w:val="none" w:sz="0" w:space="0" w:color="auto"/>
                                                                                            <w:right w:val="none" w:sz="0" w:space="0" w:color="auto"/>
                                                                                          </w:divBdr>
                                                                                          <w:divsChild>
                                                                                            <w:div w:id="133448465">
                                                                                              <w:marLeft w:val="0"/>
                                                                                              <w:marRight w:val="0"/>
                                                                                              <w:marTop w:val="0"/>
                                                                                              <w:marBottom w:val="0"/>
                                                                                              <w:divBdr>
                                                                                                <w:top w:val="none" w:sz="0" w:space="0" w:color="auto"/>
                                                                                                <w:left w:val="none" w:sz="0" w:space="0" w:color="auto"/>
                                                                                                <w:bottom w:val="none" w:sz="0" w:space="0" w:color="auto"/>
                                                                                                <w:right w:val="none" w:sz="0" w:space="0" w:color="auto"/>
                                                                                              </w:divBdr>
                                                                                            </w:div>
                                                                                          </w:divsChild>
                                                                                        </w:div>
                                                                                        <w:div w:id="1880555695">
                                                                                          <w:marLeft w:val="0"/>
                                                                                          <w:marRight w:val="0"/>
                                                                                          <w:marTop w:val="0"/>
                                                                                          <w:marBottom w:val="0"/>
                                                                                          <w:divBdr>
                                                                                            <w:top w:val="none" w:sz="0" w:space="0" w:color="auto"/>
                                                                                            <w:left w:val="none" w:sz="0" w:space="0" w:color="auto"/>
                                                                                            <w:bottom w:val="none" w:sz="0" w:space="0" w:color="auto"/>
                                                                                            <w:right w:val="none" w:sz="0" w:space="0" w:color="auto"/>
                                                                                          </w:divBdr>
                                                                                          <w:divsChild>
                                                                                            <w:div w:id="1613707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8655099">
                                                                                  <w:marLeft w:val="0"/>
                                                                                  <w:marRight w:val="0"/>
                                                                                  <w:marTop w:val="0"/>
                                                                                  <w:marBottom w:val="0"/>
                                                                                  <w:divBdr>
                                                                                    <w:top w:val="none" w:sz="0" w:space="0" w:color="auto"/>
                                                                                    <w:left w:val="none" w:sz="0" w:space="0" w:color="auto"/>
                                                                                    <w:bottom w:val="none" w:sz="0" w:space="0" w:color="auto"/>
                                                                                    <w:right w:val="none" w:sz="0" w:space="0" w:color="auto"/>
                                                                                  </w:divBdr>
                                                                                </w:div>
                                                                                <w:div w:id="735709825">
                                                                                  <w:marLeft w:val="0"/>
                                                                                  <w:marRight w:val="0"/>
                                                                                  <w:marTop w:val="0"/>
                                                                                  <w:marBottom w:val="0"/>
                                                                                  <w:divBdr>
                                                                                    <w:top w:val="none" w:sz="0" w:space="0" w:color="auto"/>
                                                                                    <w:left w:val="none" w:sz="0" w:space="0" w:color="auto"/>
                                                                                    <w:bottom w:val="none" w:sz="0" w:space="0" w:color="auto"/>
                                                                                    <w:right w:val="none" w:sz="0" w:space="0" w:color="auto"/>
                                                                                  </w:divBdr>
                                                                                </w:div>
                                                                                <w:div w:id="740366345">
                                                                                  <w:marLeft w:val="0"/>
                                                                                  <w:marRight w:val="0"/>
                                                                                  <w:marTop w:val="0"/>
                                                                                  <w:marBottom w:val="0"/>
                                                                                  <w:divBdr>
                                                                                    <w:top w:val="none" w:sz="0" w:space="0" w:color="auto"/>
                                                                                    <w:left w:val="none" w:sz="0" w:space="0" w:color="auto"/>
                                                                                    <w:bottom w:val="none" w:sz="0" w:space="0" w:color="auto"/>
                                                                                    <w:right w:val="none" w:sz="0" w:space="0" w:color="auto"/>
                                                                                  </w:divBdr>
                                                                                </w:div>
                                                                                <w:div w:id="756444473">
                                                                                  <w:marLeft w:val="0"/>
                                                                                  <w:marRight w:val="0"/>
                                                                                  <w:marTop w:val="0"/>
                                                                                  <w:marBottom w:val="0"/>
                                                                                  <w:divBdr>
                                                                                    <w:top w:val="none" w:sz="0" w:space="0" w:color="auto"/>
                                                                                    <w:left w:val="none" w:sz="0" w:space="0" w:color="auto"/>
                                                                                    <w:bottom w:val="none" w:sz="0" w:space="0" w:color="auto"/>
                                                                                    <w:right w:val="none" w:sz="0" w:space="0" w:color="auto"/>
                                                                                  </w:divBdr>
                                                                                </w:div>
                                                                                <w:div w:id="768743485">
                                                                                  <w:marLeft w:val="0"/>
                                                                                  <w:marRight w:val="0"/>
                                                                                  <w:marTop w:val="0"/>
                                                                                  <w:marBottom w:val="0"/>
                                                                                  <w:divBdr>
                                                                                    <w:top w:val="none" w:sz="0" w:space="0" w:color="auto"/>
                                                                                    <w:left w:val="none" w:sz="0" w:space="0" w:color="auto"/>
                                                                                    <w:bottom w:val="none" w:sz="0" w:space="0" w:color="auto"/>
                                                                                    <w:right w:val="none" w:sz="0" w:space="0" w:color="auto"/>
                                                                                  </w:divBdr>
                                                                                </w:div>
                                                                                <w:div w:id="773326508">
                                                                                  <w:marLeft w:val="0"/>
                                                                                  <w:marRight w:val="0"/>
                                                                                  <w:marTop w:val="0"/>
                                                                                  <w:marBottom w:val="0"/>
                                                                                  <w:divBdr>
                                                                                    <w:top w:val="none" w:sz="0" w:space="0" w:color="auto"/>
                                                                                    <w:left w:val="none" w:sz="0" w:space="0" w:color="auto"/>
                                                                                    <w:bottom w:val="none" w:sz="0" w:space="0" w:color="auto"/>
                                                                                    <w:right w:val="none" w:sz="0" w:space="0" w:color="auto"/>
                                                                                  </w:divBdr>
                                                                                </w:div>
                                                                                <w:div w:id="774985040">
                                                                                  <w:marLeft w:val="0"/>
                                                                                  <w:marRight w:val="0"/>
                                                                                  <w:marTop w:val="0"/>
                                                                                  <w:marBottom w:val="0"/>
                                                                                  <w:divBdr>
                                                                                    <w:top w:val="none" w:sz="0" w:space="0" w:color="auto"/>
                                                                                    <w:left w:val="none" w:sz="0" w:space="0" w:color="auto"/>
                                                                                    <w:bottom w:val="none" w:sz="0" w:space="0" w:color="auto"/>
                                                                                    <w:right w:val="none" w:sz="0" w:space="0" w:color="auto"/>
                                                                                  </w:divBdr>
                                                                                </w:div>
                                                                                <w:div w:id="781651801">
                                                                                  <w:marLeft w:val="0"/>
                                                                                  <w:marRight w:val="0"/>
                                                                                  <w:marTop w:val="0"/>
                                                                                  <w:marBottom w:val="0"/>
                                                                                  <w:divBdr>
                                                                                    <w:top w:val="none" w:sz="0" w:space="0" w:color="auto"/>
                                                                                    <w:left w:val="none" w:sz="0" w:space="0" w:color="auto"/>
                                                                                    <w:bottom w:val="none" w:sz="0" w:space="0" w:color="auto"/>
                                                                                    <w:right w:val="none" w:sz="0" w:space="0" w:color="auto"/>
                                                                                  </w:divBdr>
                                                                                </w:div>
                                                                                <w:div w:id="785006929">
                                                                                  <w:marLeft w:val="0"/>
                                                                                  <w:marRight w:val="0"/>
                                                                                  <w:marTop w:val="0"/>
                                                                                  <w:marBottom w:val="0"/>
                                                                                  <w:divBdr>
                                                                                    <w:top w:val="none" w:sz="0" w:space="0" w:color="auto"/>
                                                                                    <w:left w:val="none" w:sz="0" w:space="0" w:color="auto"/>
                                                                                    <w:bottom w:val="none" w:sz="0" w:space="0" w:color="auto"/>
                                                                                    <w:right w:val="none" w:sz="0" w:space="0" w:color="auto"/>
                                                                                  </w:divBdr>
                                                                                </w:div>
                                                                                <w:div w:id="788281514">
                                                                                  <w:marLeft w:val="0"/>
                                                                                  <w:marRight w:val="0"/>
                                                                                  <w:marTop w:val="0"/>
                                                                                  <w:marBottom w:val="0"/>
                                                                                  <w:divBdr>
                                                                                    <w:top w:val="none" w:sz="0" w:space="0" w:color="auto"/>
                                                                                    <w:left w:val="none" w:sz="0" w:space="0" w:color="auto"/>
                                                                                    <w:bottom w:val="none" w:sz="0" w:space="0" w:color="auto"/>
                                                                                    <w:right w:val="none" w:sz="0" w:space="0" w:color="auto"/>
                                                                                  </w:divBdr>
                                                                                </w:div>
                                                                                <w:div w:id="790586236">
                                                                                  <w:marLeft w:val="0"/>
                                                                                  <w:marRight w:val="0"/>
                                                                                  <w:marTop w:val="0"/>
                                                                                  <w:marBottom w:val="0"/>
                                                                                  <w:divBdr>
                                                                                    <w:top w:val="none" w:sz="0" w:space="0" w:color="auto"/>
                                                                                    <w:left w:val="none" w:sz="0" w:space="0" w:color="auto"/>
                                                                                    <w:bottom w:val="none" w:sz="0" w:space="0" w:color="auto"/>
                                                                                    <w:right w:val="none" w:sz="0" w:space="0" w:color="auto"/>
                                                                                  </w:divBdr>
                                                                                </w:div>
                                                                                <w:div w:id="797645988">
                                                                                  <w:marLeft w:val="0"/>
                                                                                  <w:marRight w:val="0"/>
                                                                                  <w:marTop w:val="0"/>
                                                                                  <w:marBottom w:val="0"/>
                                                                                  <w:divBdr>
                                                                                    <w:top w:val="none" w:sz="0" w:space="0" w:color="auto"/>
                                                                                    <w:left w:val="none" w:sz="0" w:space="0" w:color="auto"/>
                                                                                    <w:bottom w:val="none" w:sz="0" w:space="0" w:color="auto"/>
                                                                                    <w:right w:val="none" w:sz="0" w:space="0" w:color="auto"/>
                                                                                  </w:divBdr>
                                                                                </w:div>
                                                                                <w:div w:id="817264467">
                                                                                  <w:marLeft w:val="0"/>
                                                                                  <w:marRight w:val="0"/>
                                                                                  <w:marTop w:val="0"/>
                                                                                  <w:marBottom w:val="0"/>
                                                                                  <w:divBdr>
                                                                                    <w:top w:val="none" w:sz="0" w:space="0" w:color="auto"/>
                                                                                    <w:left w:val="none" w:sz="0" w:space="0" w:color="auto"/>
                                                                                    <w:bottom w:val="none" w:sz="0" w:space="0" w:color="auto"/>
                                                                                    <w:right w:val="none" w:sz="0" w:space="0" w:color="auto"/>
                                                                                  </w:divBdr>
                                                                                </w:div>
                                                                                <w:div w:id="818886036">
                                                                                  <w:marLeft w:val="0"/>
                                                                                  <w:marRight w:val="0"/>
                                                                                  <w:marTop w:val="0"/>
                                                                                  <w:marBottom w:val="0"/>
                                                                                  <w:divBdr>
                                                                                    <w:top w:val="none" w:sz="0" w:space="0" w:color="auto"/>
                                                                                    <w:left w:val="none" w:sz="0" w:space="0" w:color="auto"/>
                                                                                    <w:bottom w:val="none" w:sz="0" w:space="0" w:color="auto"/>
                                                                                    <w:right w:val="none" w:sz="0" w:space="0" w:color="auto"/>
                                                                                  </w:divBdr>
                                                                                </w:div>
                                                                                <w:div w:id="827668287">
                                                                                  <w:marLeft w:val="0"/>
                                                                                  <w:marRight w:val="0"/>
                                                                                  <w:marTop w:val="0"/>
                                                                                  <w:marBottom w:val="0"/>
                                                                                  <w:divBdr>
                                                                                    <w:top w:val="none" w:sz="0" w:space="0" w:color="auto"/>
                                                                                    <w:left w:val="none" w:sz="0" w:space="0" w:color="auto"/>
                                                                                    <w:bottom w:val="none" w:sz="0" w:space="0" w:color="auto"/>
                                                                                    <w:right w:val="none" w:sz="0" w:space="0" w:color="auto"/>
                                                                                  </w:divBdr>
                                                                                </w:div>
                                                                                <w:div w:id="845091359">
                                                                                  <w:marLeft w:val="0"/>
                                                                                  <w:marRight w:val="0"/>
                                                                                  <w:marTop w:val="0"/>
                                                                                  <w:marBottom w:val="0"/>
                                                                                  <w:divBdr>
                                                                                    <w:top w:val="none" w:sz="0" w:space="0" w:color="auto"/>
                                                                                    <w:left w:val="none" w:sz="0" w:space="0" w:color="auto"/>
                                                                                    <w:bottom w:val="none" w:sz="0" w:space="0" w:color="auto"/>
                                                                                    <w:right w:val="none" w:sz="0" w:space="0" w:color="auto"/>
                                                                                  </w:divBdr>
                                                                                </w:div>
                                                                                <w:div w:id="858664127">
                                                                                  <w:marLeft w:val="0"/>
                                                                                  <w:marRight w:val="0"/>
                                                                                  <w:marTop w:val="0"/>
                                                                                  <w:marBottom w:val="0"/>
                                                                                  <w:divBdr>
                                                                                    <w:top w:val="none" w:sz="0" w:space="0" w:color="auto"/>
                                                                                    <w:left w:val="none" w:sz="0" w:space="0" w:color="auto"/>
                                                                                    <w:bottom w:val="none" w:sz="0" w:space="0" w:color="auto"/>
                                                                                    <w:right w:val="none" w:sz="0" w:space="0" w:color="auto"/>
                                                                                  </w:divBdr>
                                                                                </w:div>
                                                                                <w:div w:id="859317328">
                                                                                  <w:marLeft w:val="0"/>
                                                                                  <w:marRight w:val="0"/>
                                                                                  <w:marTop w:val="0"/>
                                                                                  <w:marBottom w:val="0"/>
                                                                                  <w:divBdr>
                                                                                    <w:top w:val="none" w:sz="0" w:space="0" w:color="auto"/>
                                                                                    <w:left w:val="none" w:sz="0" w:space="0" w:color="auto"/>
                                                                                    <w:bottom w:val="none" w:sz="0" w:space="0" w:color="auto"/>
                                                                                    <w:right w:val="none" w:sz="0" w:space="0" w:color="auto"/>
                                                                                  </w:divBdr>
                                                                                </w:div>
                                                                                <w:div w:id="867833752">
                                                                                  <w:marLeft w:val="0"/>
                                                                                  <w:marRight w:val="0"/>
                                                                                  <w:marTop w:val="0"/>
                                                                                  <w:marBottom w:val="0"/>
                                                                                  <w:divBdr>
                                                                                    <w:top w:val="none" w:sz="0" w:space="0" w:color="auto"/>
                                                                                    <w:left w:val="none" w:sz="0" w:space="0" w:color="auto"/>
                                                                                    <w:bottom w:val="none" w:sz="0" w:space="0" w:color="auto"/>
                                                                                    <w:right w:val="none" w:sz="0" w:space="0" w:color="auto"/>
                                                                                  </w:divBdr>
                                                                                </w:div>
                                                                                <w:div w:id="869680997">
                                                                                  <w:marLeft w:val="0"/>
                                                                                  <w:marRight w:val="0"/>
                                                                                  <w:marTop w:val="0"/>
                                                                                  <w:marBottom w:val="0"/>
                                                                                  <w:divBdr>
                                                                                    <w:top w:val="none" w:sz="0" w:space="0" w:color="auto"/>
                                                                                    <w:left w:val="none" w:sz="0" w:space="0" w:color="auto"/>
                                                                                    <w:bottom w:val="none" w:sz="0" w:space="0" w:color="auto"/>
                                                                                    <w:right w:val="none" w:sz="0" w:space="0" w:color="auto"/>
                                                                                  </w:divBdr>
                                                                                </w:div>
                                                                                <w:div w:id="878278285">
                                                                                  <w:marLeft w:val="0"/>
                                                                                  <w:marRight w:val="0"/>
                                                                                  <w:marTop w:val="0"/>
                                                                                  <w:marBottom w:val="0"/>
                                                                                  <w:divBdr>
                                                                                    <w:top w:val="none" w:sz="0" w:space="0" w:color="auto"/>
                                                                                    <w:left w:val="none" w:sz="0" w:space="0" w:color="auto"/>
                                                                                    <w:bottom w:val="none" w:sz="0" w:space="0" w:color="auto"/>
                                                                                    <w:right w:val="none" w:sz="0" w:space="0" w:color="auto"/>
                                                                                  </w:divBdr>
                                                                                </w:div>
                                                                                <w:div w:id="881089230">
                                                                                  <w:marLeft w:val="0"/>
                                                                                  <w:marRight w:val="0"/>
                                                                                  <w:marTop w:val="0"/>
                                                                                  <w:marBottom w:val="0"/>
                                                                                  <w:divBdr>
                                                                                    <w:top w:val="none" w:sz="0" w:space="0" w:color="auto"/>
                                                                                    <w:left w:val="none" w:sz="0" w:space="0" w:color="auto"/>
                                                                                    <w:bottom w:val="none" w:sz="0" w:space="0" w:color="auto"/>
                                                                                    <w:right w:val="none" w:sz="0" w:space="0" w:color="auto"/>
                                                                                  </w:divBdr>
                                                                                </w:div>
                                                                                <w:div w:id="886138947">
                                                                                  <w:marLeft w:val="0"/>
                                                                                  <w:marRight w:val="0"/>
                                                                                  <w:marTop w:val="0"/>
                                                                                  <w:marBottom w:val="0"/>
                                                                                  <w:divBdr>
                                                                                    <w:top w:val="none" w:sz="0" w:space="0" w:color="auto"/>
                                                                                    <w:left w:val="none" w:sz="0" w:space="0" w:color="auto"/>
                                                                                    <w:bottom w:val="none" w:sz="0" w:space="0" w:color="auto"/>
                                                                                    <w:right w:val="none" w:sz="0" w:space="0" w:color="auto"/>
                                                                                  </w:divBdr>
                                                                                </w:div>
                                                                                <w:div w:id="889849616">
                                                                                  <w:marLeft w:val="0"/>
                                                                                  <w:marRight w:val="0"/>
                                                                                  <w:marTop w:val="0"/>
                                                                                  <w:marBottom w:val="0"/>
                                                                                  <w:divBdr>
                                                                                    <w:top w:val="none" w:sz="0" w:space="0" w:color="auto"/>
                                                                                    <w:left w:val="none" w:sz="0" w:space="0" w:color="auto"/>
                                                                                    <w:bottom w:val="none" w:sz="0" w:space="0" w:color="auto"/>
                                                                                    <w:right w:val="none" w:sz="0" w:space="0" w:color="auto"/>
                                                                                  </w:divBdr>
                                                                                </w:div>
                                                                                <w:div w:id="911230662">
                                                                                  <w:marLeft w:val="0"/>
                                                                                  <w:marRight w:val="0"/>
                                                                                  <w:marTop w:val="0"/>
                                                                                  <w:marBottom w:val="0"/>
                                                                                  <w:divBdr>
                                                                                    <w:top w:val="none" w:sz="0" w:space="0" w:color="auto"/>
                                                                                    <w:left w:val="none" w:sz="0" w:space="0" w:color="auto"/>
                                                                                    <w:bottom w:val="none" w:sz="0" w:space="0" w:color="auto"/>
                                                                                    <w:right w:val="none" w:sz="0" w:space="0" w:color="auto"/>
                                                                                  </w:divBdr>
                                                                                </w:div>
                                                                                <w:div w:id="918514196">
                                                                                  <w:marLeft w:val="0"/>
                                                                                  <w:marRight w:val="0"/>
                                                                                  <w:marTop w:val="0"/>
                                                                                  <w:marBottom w:val="0"/>
                                                                                  <w:divBdr>
                                                                                    <w:top w:val="none" w:sz="0" w:space="0" w:color="auto"/>
                                                                                    <w:left w:val="none" w:sz="0" w:space="0" w:color="auto"/>
                                                                                    <w:bottom w:val="none" w:sz="0" w:space="0" w:color="auto"/>
                                                                                    <w:right w:val="none" w:sz="0" w:space="0" w:color="auto"/>
                                                                                  </w:divBdr>
                                                                                </w:div>
                                                                                <w:div w:id="932322092">
                                                                                  <w:marLeft w:val="0"/>
                                                                                  <w:marRight w:val="0"/>
                                                                                  <w:marTop w:val="0"/>
                                                                                  <w:marBottom w:val="0"/>
                                                                                  <w:divBdr>
                                                                                    <w:top w:val="none" w:sz="0" w:space="0" w:color="auto"/>
                                                                                    <w:left w:val="none" w:sz="0" w:space="0" w:color="auto"/>
                                                                                    <w:bottom w:val="none" w:sz="0" w:space="0" w:color="auto"/>
                                                                                    <w:right w:val="none" w:sz="0" w:space="0" w:color="auto"/>
                                                                                  </w:divBdr>
                                                                                </w:div>
                                                                                <w:div w:id="939675866">
                                                                                  <w:marLeft w:val="0"/>
                                                                                  <w:marRight w:val="0"/>
                                                                                  <w:marTop w:val="0"/>
                                                                                  <w:marBottom w:val="0"/>
                                                                                  <w:divBdr>
                                                                                    <w:top w:val="none" w:sz="0" w:space="0" w:color="auto"/>
                                                                                    <w:left w:val="none" w:sz="0" w:space="0" w:color="auto"/>
                                                                                    <w:bottom w:val="none" w:sz="0" w:space="0" w:color="auto"/>
                                                                                    <w:right w:val="none" w:sz="0" w:space="0" w:color="auto"/>
                                                                                  </w:divBdr>
                                                                                </w:div>
                                                                                <w:div w:id="974413986">
                                                                                  <w:marLeft w:val="0"/>
                                                                                  <w:marRight w:val="0"/>
                                                                                  <w:marTop w:val="0"/>
                                                                                  <w:marBottom w:val="0"/>
                                                                                  <w:divBdr>
                                                                                    <w:top w:val="none" w:sz="0" w:space="0" w:color="auto"/>
                                                                                    <w:left w:val="none" w:sz="0" w:space="0" w:color="auto"/>
                                                                                    <w:bottom w:val="none" w:sz="0" w:space="0" w:color="auto"/>
                                                                                    <w:right w:val="none" w:sz="0" w:space="0" w:color="auto"/>
                                                                                  </w:divBdr>
                                                                                </w:div>
                                                                                <w:div w:id="977296795">
                                                                                  <w:marLeft w:val="0"/>
                                                                                  <w:marRight w:val="0"/>
                                                                                  <w:marTop w:val="0"/>
                                                                                  <w:marBottom w:val="0"/>
                                                                                  <w:divBdr>
                                                                                    <w:top w:val="none" w:sz="0" w:space="0" w:color="auto"/>
                                                                                    <w:left w:val="none" w:sz="0" w:space="0" w:color="auto"/>
                                                                                    <w:bottom w:val="none" w:sz="0" w:space="0" w:color="auto"/>
                                                                                    <w:right w:val="none" w:sz="0" w:space="0" w:color="auto"/>
                                                                                  </w:divBdr>
                                                                                </w:div>
                                                                                <w:div w:id="981542975">
                                                                                  <w:marLeft w:val="0"/>
                                                                                  <w:marRight w:val="0"/>
                                                                                  <w:marTop w:val="0"/>
                                                                                  <w:marBottom w:val="0"/>
                                                                                  <w:divBdr>
                                                                                    <w:top w:val="none" w:sz="0" w:space="0" w:color="auto"/>
                                                                                    <w:left w:val="none" w:sz="0" w:space="0" w:color="auto"/>
                                                                                    <w:bottom w:val="none" w:sz="0" w:space="0" w:color="auto"/>
                                                                                    <w:right w:val="none" w:sz="0" w:space="0" w:color="auto"/>
                                                                                  </w:divBdr>
                                                                                </w:div>
                                                                                <w:div w:id="1012948679">
                                                                                  <w:marLeft w:val="0"/>
                                                                                  <w:marRight w:val="0"/>
                                                                                  <w:marTop w:val="0"/>
                                                                                  <w:marBottom w:val="0"/>
                                                                                  <w:divBdr>
                                                                                    <w:top w:val="none" w:sz="0" w:space="0" w:color="auto"/>
                                                                                    <w:left w:val="none" w:sz="0" w:space="0" w:color="auto"/>
                                                                                    <w:bottom w:val="none" w:sz="0" w:space="0" w:color="auto"/>
                                                                                    <w:right w:val="none" w:sz="0" w:space="0" w:color="auto"/>
                                                                                  </w:divBdr>
                                                                                  <w:divsChild>
                                                                                    <w:div w:id="2058240003">
                                                                                      <w:marLeft w:val="-75"/>
                                                                                      <w:marRight w:val="0"/>
                                                                                      <w:marTop w:val="30"/>
                                                                                      <w:marBottom w:val="30"/>
                                                                                      <w:divBdr>
                                                                                        <w:top w:val="none" w:sz="0" w:space="0" w:color="auto"/>
                                                                                        <w:left w:val="none" w:sz="0" w:space="0" w:color="auto"/>
                                                                                        <w:bottom w:val="none" w:sz="0" w:space="0" w:color="auto"/>
                                                                                        <w:right w:val="none" w:sz="0" w:space="0" w:color="auto"/>
                                                                                      </w:divBdr>
                                                                                      <w:divsChild>
                                                                                        <w:div w:id="66922127">
                                                                                          <w:marLeft w:val="0"/>
                                                                                          <w:marRight w:val="0"/>
                                                                                          <w:marTop w:val="0"/>
                                                                                          <w:marBottom w:val="0"/>
                                                                                          <w:divBdr>
                                                                                            <w:top w:val="none" w:sz="0" w:space="0" w:color="auto"/>
                                                                                            <w:left w:val="none" w:sz="0" w:space="0" w:color="auto"/>
                                                                                            <w:bottom w:val="none" w:sz="0" w:space="0" w:color="auto"/>
                                                                                            <w:right w:val="none" w:sz="0" w:space="0" w:color="auto"/>
                                                                                          </w:divBdr>
                                                                                          <w:divsChild>
                                                                                            <w:div w:id="1319773647">
                                                                                              <w:marLeft w:val="0"/>
                                                                                              <w:marRight w:val="0"/>
                                                                                              <w:marTop w:val="0"/>
                                                                                              <w:marBottom w:val="0"/>
                                                                                              <w:divBdr>
                                                                                                <w:top w:val="none" w:sz="0" w:space="0" w:color="auto"/>
                                                                                                <w:left w:val="none" w:sz="0" w:space="0" w:color="auto"/>
                                                                                                <w:bottom w:val="none" w:sz="0" w:space="0" w:color="auto"/>
                                                                                                <w:right w:val="none" w:sz="0" w:space="0" w:color="auto"/>
                                                                                              </w:divBdr>
                                                                                            </w:div>
                                                                                          </w:divsChild>
                                                                                        </w:div>
                                                                                        <w:div w:id="188643458">
                                                                                          <w:marLeft w:val="0"/>
                                                                                          <w:marRight w:val="0"/>
                                                                                          <w:marTop w:val="0"/>
                                                                                          <w:marBottom w:val="0"/>
                                                                                          <w:divBdr>
                                                                                            <w:top w:val="none" w:sz="0" w:space="0" w:color="auto"/>
                                                                                            <w:left w:val="none" w:sz="0" w:space="0" w:color="auto"/>
                                                                                            <w:bottom w:val="none" w:sz="0" w:space="0" w:color="auto"/>
                                                                                            <w:right w:val="none" w:sz="0" w:space="0" w:color="auto"/>
                                                                                          </w:divBdr>
                                                                                          <w:divsChild>
                                                                                            <w:div w:id="1454128890">
                                                                                              <w:marLeft w:val="0"/>
                                                                                              <w:marRight w:val="0"/>
                                                                                              <w:marTop w:val="0"/>
                                                                                              <w:marBottom w:val="0"/>
                                                                                              <w:divBdr>
                                                                                                <w:top w:val="none" w:sz="0" w:space="0" w:color="auto"/>
                                                                                                <w:left w:val="none" w:sz="0" w:space="0" w:color="auto"/>
                                                                                                <w:bottom w:val="none" w:sz="0" w:space="0" w:color="auto"/>
                                                                                                <w:right w:val="none" w:sz="0" w:space="0" w:color="auto"/>
                                                                                              </w:divBdr>
                                                                                            </w:div>
                                                                                          </w:divsChild>
                                                                                        </w:div>
                                                                                        <w:div w:id="214901432">
                                                                                          <w:marLeft w:val="0"/>
                                                                                          <w:marRight w:val="0"/>
                                                                                          <w:marTop w:val="0"/>
                                                                                          <w:marBottom w:val="0"/>
                                                                                          <w:divBdr>
                                                                                            <w:top w:val="none" w:sz="0" w:space="0" w:color="auto"/>
                                                                                            <w:left w:val="none" w:sz="0" w:space="0" w:color="auto"/>
                                                                                            <w:bottom w:val="none" w:sz="0" w:space="0" w:color="auto"/>
                                                                                            <w:right w:val="none" w:sz="0" w:space="0" w:color="auto"/>
                                                                                          </w:divBdr>
                                                                                          <w:divsChild>
                                                                                            <w:div w:id="1813056349">
                                                                                              <w:marLeft w:val="0"/>
                                                                                              <w:marRight w:val="0"/>
                                                                                              <w:marTop w:val="0"/>
                                                                                              <w:marBottom w:val="0"/>
                                                                                              <w:divBdr>
                                                                                                <w:top w:val="none" w:sz="0" w:space="0" w:color="auto"/>
                                                                                                <w:left w:val="none" w:sz="0" w:space="0" w:color="auto"/>
                                                                                                <w:bottom w:val="none" w:sz="0" w:space="0" w:color="auto"/>
                                                                                                <w:right w:val="none" w:sz="0" w:space="0" w:color="auto"/>
                                                                                              </w:divBdr>
                                                                                            </w:div>
                                                                                          </w:divsChild>
                                                                                        </w:div>
                                                                                        <w:div w:id="474104642">
                                                                                          <w:marLeft w:val="0"/>
                                                                                          <w:marRight w:val="0"/>
                                                                                          <w:marTop w:val="0"/>
                                                                                          <w:marBottom w:val="0"/>
                                                                                          <w:divBdr>
                                                                                            <w:top w:val="none" w:sz="0" w:space="0" w:color="auto"/>
                                                                                            <w:left w:val="none" w:sz="0" w:space="0" w:color="auto"/>
                                                                                            <w:bottom w:val="none" w:sz="0" w:space="0" w:color="auto"/>
                                                                                            <w:right w:val="none" w:sz="0" w:space="0" w:color="auto"/>
                                                                                          </w:divBdr>
                                                                                          <w:divsChild>
                                                                                            <w:div w:id="1262838551">
                                                                                              <w:marLeft w:val="0"/>
                                                                                              <w:marRight w:val="0"/>
                                                                                              <w:marTop w:val="0"/>
                                                                                              <w:marBottom w:val="0"/>
                                                                                              <w:divBdr>
                                                                                                <w:top w:val="none" w:sz="0" w:space="0" w:color="auto"/>
                                                                                                <w:left w:val="none" w:sz="0" w:space="0" w:color="auto"/>
                                                                                                <w:bottom w:val="none" w:sz="0" w:space="0" w:color="auto"/>
                                                                                                <w:right w:val="none" w:sz="0" w:space="0" w:color="auto"/>
                                                                                              </w:divBdr>
                                                                                            </w:div>
                                                                                          </w:divsChild>
                                                                                        </w:div>
                                                                                        <w:div w:id="483133163">
                                                                                          <w:marLeft w:val="0"/>
                                                                                          <w:marRight w:val="0"/>
                                                                                          <w:marTop w:val="0"/>
                                                                                          <w:marBottom w:val="0"/>
                                                                                          <w:divBdr>
                                                                                            <w:top w:val="none" w:sz="0" w:space="0" w:color="auto"/>
                                                                                            <w:left w:val="none" w:sz="0" w:space="0" w:color="auto"/>
                                                                                            <w:bottom w:val="none" w:sz="0" w:space="0" w:color="auto"/>
                                                                                            <w:right w:val="none" w:sz="0" w:space="0" w:color="auto"/>
                                                                                          </w:divBdr>
                                                                                          <w:divsChild>
                                                                                            <w:div w:id="1565291779">
                                                                                              <w:marLeft w:val="0"/>
                                                                                              <w:marRight w:val="0"/>
                                                                                              <w:marTop w:val="0"/>
                                                                                              <w:marBottom w:val="0"/>
                                                                                              <w:divBdr>
                                                                                                <w:top w:val="none" w:sz="0" w:space="0" w:color="auto"/>
                                                                                                <w:left w:val="none" w:sz="0" w:space="0" w:color="auto"/>
                                                                                                <w:bottom w:val="none" w:sz="0" w:space="0" w:color="auto"/>
                                                                                                <w:right w:val="none" w:sz="0" w:space="0" w:color="auto"/>
                                                                                              </w:divBdr>
                                                                                            </w:div>
                                                                                          </w:divsChild>
                                                                                        </w:div>
                                                                                        <w:div w:id="598295906">
                                                                                          <w:marLeft w:val="0"/>
                                                                                          <w:marRight w:val="0"/>
                                                                                          <w:marTop w:val="0"/>
                                                                                          <w:marBottom w:val="0"/>
                                                                                          <w:divBdr>
                                                                                            <w:top w:val="none" w:sz="0" w:space="0" w:color="auto"/>
                                                                                            <w:left w:val="none" w:sz="0" w:space="0" w:color="auto"/>
                                                                                            <w:bottom w:val="none" w:sz="0" w:space="0" w:color="auto"/>
                                                                                            <w:right w:val="none" w:sz="0" w:space="0" w:color="auto"/>
                                                                                          </w:divBdr>
                                                                                          <w:divsChild>
                                                                                            <w:div w:id="2091269619">
                                                                                              <w:marLeft w:val="0"/>
                                                                                              <w:marRight w:val="0"/>
                                                                                              <w:marTop w:val="0"/>
                                                                                              <w:marBottom w:val="0"/>
                                                                                              <w:divBdr>
                                                                                                <w:top w:val="none" w:sz="0" w:space="0" w:color="auto"/>
                                                                                                <w:left w:val="none" w:sz="0" w:space="0" w:color="auto"/>
                                                                                                <w:bottom w:val="none" w:sz="0" w:space="0" w:color="auto"/>
                                                                                                <w:right w:val="none" w:sz="0" w:space="0" w:color="auto"/>
                                                                                              </w:divBdr>
                                                                                            </w:div>
                                                                                          </w:divsChild>
                                                                                        </w:div>
                                                                                        <w:div w:id="751505936">
                                                                                          <w:marLeft w:val="0"/>
                                                                                          <w:marRight w:val="0"/>
                                                                                          <w:marTop w:val="0"/>
                                                                                          <w:marBottom w:val="0"/>
                                                                                          <w:divBdr>
                                                                                            <w:top w:val="none" w:sz="0" w:space="0" w:color="auto"/>
                                                                                            <w:left w:val="none" w:sz="0" w:space="0" w:color="auto"/>
                                                                                            <w:bottom w:val="none" w:sz="0" w:space="0" w:color="auto"/>
                                                                                            <w:right w:val="none" w:sz="0" w:space="0" w:color="auto"/>
                                                                                          </w:divBdr>
                                                                                          <w:divsChild>
                                                                                            <w:div w:id="1575433731">
                                                                                              <w:marLeft w:val="0"/>
                                                                                              <w:marRight w:val="0"/>
                                                                                              <w:marTop w:val="0"/>
                                                                                              <w:marBottom w:val="0"/>
                                                                                              <w:divBdr>
                                                                                                <w:top w:val="none" w:sz="0" w:space="0" w:color="auto"/>
                                                                                                <w:left w:val="none" w:sz="0" w:space="0" w:color="auto"/>
                                                                                                <w:bottom w:val="none" w:sz="0" w:space="0" w:color="auto"/>
                                                                                                <w:right w:val="none" w:sz="0" w:space="0" w:color="auto"/>
                                                                                              </w:divBdr>
                                                                                            </w:div>
                                                                                          </w:divsChild>
                                                                                        </w:div>
                                                                                        <w:div w:id="973170656">
                                                                                          <w:marLeft w:val="0"/>
                                                                                          <w:marRight w:val="0"/>
                                                                                          <w:marTop w:val="0"/>
                                                                                          <w:marBottom w:val="0"/>
                                                                                          <w:divBdr>
                                                                                            <w:top w:val="none" w:sz="0" w:space="0" w:color="auto"/>
                                                                                            <w:left w:val="none" w:sz="0" w:space="0" w:color="auto"/>
                                                                                            <w:bottom w:val="none" w:sz="0" w:space="0" w:color="auto"/>
                                                                                            <w:right w:val="none" w:sz="0" w:space="0" w:color="auto"/>
                                                                                          </w:divBdr>
                                                                                          <w:divsChild>
                                                                                            <w:div w:id="1469321802">
                                                                                              <w:marLeft w:val="0"/>
                                                                                              <w:marRight w:val="0"/>
                                                                                              <w:marTop w:val="0"/>
                                                                                              <w:marBottom w:val="0"/>
                                                                                              <w:divBdr>
                                                                                                <w:top w:val="none" w:sz="0" w:space="0" w:color="auto"/>
                                                                                                <w:left w:val="none" w:sz="0" w:space="0" w:color="auto"/>
                                                                                                <w:bottom w:val="none" w:sz="0" w:space="0" w:color="auto"/>
                                                                                                <w:right w:val="none" w:sz="0" w:space="0" w:color="auto"/>
                                                                                              </w:divBdr>
                                                                                            </w:div>
                                                                                          </w:divsChild>
                                                                                        </w:div>
                                                                                        <w:div w:id="995182035">
                                                                                          <w:marLeft w:val="0"/>
                                                                                          <w:marRight w:val="0"/>
                                                                                          <w:marTop w:val="0"/>
                                                                                          <w:marBottom w:val="0"/>
                                                                                          <w:divBdr>
                                                                                            <w:top w:val="none" w:sz="0" w:space="0" w:color="auto"/>
                                                                                            <w:left w:val="none" w:sz="0" w:space="0" w:color="auto"/>
                                                                                            <w:bottom w:val="none" w:sz="0" w:space="0" w:color="auto"/>
                                                                                            <w:right w:val="none" w:sz="0" w:space="0" w:color="auto"/>
                                                                                          </w:divBdr>
                                                                                          <w:divsChild>
                                                                                            <w:div w:id="366608629">
                                                                                              <w:marLeft w:val="0"/>
                                                                                              <w:marRight w:val="0"/>
                                                                                              <w:marTop w:val="0"/>
                                                                                              <w:marBottom w:val="0"/>
                                                                                              <w:divBdr>
                                                                                                <w:top w:val="none" w:sz="0" w:space="0" w:color="auto"/>
                                                                                                <w:left w:val="none" w:sz="0" w:space="0" w:color="auto"/>
                                                                                                <w:bottom w:val="none" w:sz="0" w:space="0" w:color="auto"/>
                                                                                                <w:right w:val="none" w:sz="0" w:space="0" w:color="auto"/>
                                                                                              </w:divBdr>
                                                                                            </w:div>
                                                                                          </w:divsChild>
                                                                                        </w:div>
                                                                                        <w:div w:id="1080560710">
                                                                                          <w:marLeft w:val="0"/>
                                                                                          <w:marRight w:val="0"/>
                                                                                          <w:marTop w:val="0"/>
                                                                                          <w:marBottom w:val="0"/>
                                                                                          <w:divBdr>
                                                                                            <w:top w:val="none" w:sz="0" w:space="0" w:color="auto"/>
                                                                                            <w:left w:val="none" w:sz="0" w:space="0" w:color="auto"/>
                                                                                            <w:bottom w:val="none" w:sz="0" w:space="0" w:color="auto"/>
                                                                                            <w:right w:val="none" w:sz="0" w:space="0" w:color="auto"/>
                                                                                          </w:divBdr>
                                                                                          <w:divsChild>
                                                                                            <w:div w:id="1424179913">
                                                                                              <w:marLeft w:val="0"/>
                                                                                              <w:marRight w:val="0"/>
                                                                                              <w:marTop w:val="0"/>
                                                                                              <w:marBottom w:val="0"/>
                                                                                              <w:divBdr>
                                                                                                <w:top w:val="none" w:sz="0" w:space="0" w:color="auto"/>
                                                                                                <w:left w:val="none" w:sz="0" w:space="0" w:color="auto"/>
                                                                                                <w:bottom w:val="none" w:sz="0" w:space="0" w:color="auto"/>
                                                                                                <w:right w:val="none" w:sz="0" w:space="0" w:color="auto"/>
                                                                                              </w:divBdr>
                                                                                            </w:div>
                                                                                          </w:divsChild>
                                                                                        </w:div>
                                                                                        <w:div w:id="1105079976">
                                                                                          <w:marLeft w:val="0"/>
                                                                                          <w:marRight w:val="0"/>
                                                                                          <w:marTop w:val="0"/>
                                                                                          <w:marBottom w:val="0"/>
                                                                                          <w:divBdr>
                                                                                            <w:top w:val="none" w:sz="0" w:space="0" w:color="auto"/>
                                                                                            <w:left w:val="none" w:sz="0" w:space="0" w:color="auto"/>
                                                                                            <w:bottom w:val="none" w:sz="0" w:space="0" w:color="auto"/>
                                                                                            <w:right w:val="none" w:sz="0" w:space="0" w:color="auto"/>
                                                                                          </w:divBdr>
                                                                                          <w:divsChild>
                                                                                            <w:div w:id="1671058980">
                                                                                              <w:marLeft w:val="0"/>
                                                                                              <w:marRight w:val="0"/>
                                                                                              <w:marTop w:val="0"/>
                                                                                              <w:marBottom w:val="0"/>
                                                                                              <w:divBdr>
                                                                                                <w:top w:val="none" w:sz="0" w:space="0" w:color="auto"/>
                                                                                                <w:left w:val="none" w:sz="0" w:space="0" w:color="auto"/>
                                                                                                <w:bottom w:val="none" w:sz="0" w:space="0" w:color="auto"/>
                                                                                                <w:right w:val="none" w:sz="0" w:space="0" w:color="auto"/>
                                                                                              </w:divBdr>
                                                                                            </w:div>
                                                                                          </w:divsChild>
                                                                                        </w:div>
                                                                                        <w:div w:id="1129786229">
                                                                                          <w:marLeft w:val="0"/>
                                                                                          <w:marRight w:val="0"/>
                                                                                          <w:marTop w:val="0"/>
                                                                                          <w:marBottom w:val="0"/>
                                                                                          <w:divBdr>
                                                                                            <w:top w:val="none" w:sz="0" w:space="0" w:color="auto"/>
                                                                                            <w:left w:val="none" w:sz="0" w:space="0" w:color="auto"/>
                                                                                            <w:bottom w:val="none" w:sz="0" w:space="0" w:color="auto"/>
                                                                                            <w:right w:val="none" w:sz="0" w:space="0" w:color="auto"/>
                                                                                          </w:divBdr>
                                                                                          <w:divsChild>
                                                                                            <w:div w:id="199711395">
                                                                                              <w:marLeft w:val="0"/>
                                                                                              <w:marRight w:val="0"/>
                                                                                              <w:marTop w:val="0"/>
                                                                                              <w:marBottom w:val="0"/>
                                                                                              <w:divBdr>
                                                                                                <w:top w:val="none" w:sz="0" w:space="0" w:color="auto"/>
                                                                                                <w:left w:val="none" w:sz="0" w:space="0" w:color="auto"/>
                                                                                                <w:bottom w:val="none" w:sz="0" w:space="0" w:color="auto"/>
                                                                                                <w:right w:val="none" w:sz="0" w:space="0" w:color="auto"/>
                                                                                              </w:divBdr>
                                                                                            </w:div>
                                                                                          </w:divsChild>
                                                                                        </w:div>
                                                                                        <w:div w:id="1135953760">
                                                                                          <w:marLeft w:val="0"/>
                                                                                          <w:marRight w:val="0"/>
                                                                                          <w:marTop w:val="0"/>
                                                                                          <w:marBottom w:val="0"/>
                                                                                          <w:divBdr>
                                                                                            <w:top w:val="none" w:sz="0" w:space="0" w:color="auto"/>
                                                                                            <w:left w:val="none" w:sz="0" w:space="0" w:color="auto"/>
                                                                                            <w:bottom w:val="none" w:sz="0" w:space="0" w:color="auto"/>
                                                                                            <w:right w:val="none" w:sz="0" w:space="0" w:color="auto"/>
                                                                                          </w:divBdr>
                                                                                          <w:divsChild>
                                                                                            <w:div w:id="1245920152">
                                                                                              <w:marLeft w:val="0"/>
                                                                                              <w:marRight w:val="0"/>
                                                                                              <w:marTop w:val="0"/>
                                                                                              <w:marBottom w:val="0"/>
                                                                                              <w:divBdr>
                                                                                                <w:top w:val="none" w:sz="0" w:space="0" w:color="auto"/>
                                                                                                <w:left w:val="none" w:sz="0" w:space="0" w:color="auto"/>
                                                                                                <w:bottom w:val="none" w:sz="0" w:space="0" w:color="auto"/>
                                                                                                <w:right w:val="none" w:sz="0" w:space="0" w:color="auto"/>
                                                                                              </w:divBdr>
                                                                                            </w:div>
                                                                                          </w:divsChild>
                                                                                        </w:div>
                                                                                        <w:div w:id="1179081822">
                                                                                          <w:marLeft w:val="0"/>
                                                                                          <w:marRight w:val="0"/>
                                                                                          <w:marTop w:val="0"/>
                                                                                          <w:marBottom w:val="0"/>
                                                                                          <w:divBdr>
                                                                                            <w:top w:val="none" w:sz="0" w:space="0" w:color="auto"/>
                                                                                            <w:left w:val="none" w:sz="0" w:space="0" w:color="auto"/>
                                                                                            <w:bottom w:val="none" w:sz="0" w:space="0" w:color="auto"/>
                                                                                            <w:right w:val="none" w:sz="0" w:space="0" w:color="auto"/>
                                                                                          </w:divBdr>
                                                                                          <w:divsChild>
                                                                                            <w:div w:id="1893542266">
                                                                                              <w:marLeft w:val="0"/>
                                                                                              <w:marRight w:val="0"/>
                                                                                              <w:marTop w:val="0"/>
                                                                                              <w:marBottom w:val="0"/>
                                                                                              <w:divBdr>
                                                                                                <w:top w:val="none" w:sz="0" w:space="0" w:color="auto"/>
                                                                                                <w:left w:val="none" w:sz="0" w:space="0" w:color="auto"/>
                                                                                                <w:bottom w:val="none" w:sz="0" w:space="0" w:color="auto"/>
                                                                                                <w:right w:val="none" w:sz="0" w:space="0" w:color="auto"/>
                                                                                              </w:divBdr>
                                                                                            </w:div>
                                                                                          </w:divsChild>
                                                                                        </w:div>
                                                                                        <w:div w:id="1198471834">
                                                                                          <w:marLeft w:val="0"/>
                                                                                          <w:marRight w:val="0"/>
                                                                                          <w:marTop w:val="0"/>
                                                                                          <w:marBottom w:val="0"/>
                                                                                          <w:divBdr>
                                                                                            <w:top w:val="none" w:sz="0" w:space="0" w:color="auto"/>
                                                                                            <w:left w:val="none" w:sz="0" w:space="0" w:color="auto"/>
                                                                                            <w:bottom w:val="none" w:sz="0" w:space="0" w:color="auto"/>
                                                                                            <w:right w:val="none" w:sz="0" w:space="0" w:color="auto"/>
                                                                                          </w:divBdr>
                                                                                          <w:divsChild>
                                                                                            <w:div w:id="54202678">
                                                                                              <w:marLeft w:val="0"/>
                                                                                              <w:marRight w:val="0"/>
                                                                                              <w:marTop w:val="0"/>
                                                                                              <w:marBottom w:val="0"/>
                                                                                              <w:divBdr>
                                                                                                <w:top w:val="none" w:sz="0" w:space="0" w:color="auto"/>
                                                                                                <w:left w:val="none" w:sz="0" w:space="0" w:color="auto"/>
                                                                                                <w:bottom w:val="none" w:sz="0" w:space="0" w:color="auto"/>
                                                                                                <w:right w:val="none" w:sz="0" w:space="0" w:color="auto"/>
                                                                                              </w:divBdr>
                                                                                            </w:div>
                                                                                          </w:divsChild>
                                                                                        </w:div>
                                                                                        <w:div w:id="1338146534">
                                                                                          <w:marLeft w:val="0"/>
                                                                                          <w:marRight w:val="0"/>
                                                                                          <w:marTop w:val="0"/>
                                                                                          <w:marBottom w:val="0"/>
                                                                                          <w:divBdr>
                                                                                            <w:top w:val="none" w:sz="0" w:space="0" w:color="auto"/>
                                                                                            <w:left w:val="none" w:sz="0" w:space="0" w:color="auto"/>
                                                                                            <w:bottom w:val="none" w:sz="0" w:space="0" w:color="auto"/>
                                                                                            <w:right w:val="none" w:sz="0" w:space="0" w:color="auto"/>
                                                                                          </w:divBdr>
                                                                                          <w:divsChild>
                                                                                            <w:div w:id="1292590299">
                                                                                              <w:marLeft w:val="0"/>
                                                                                              <w:marRight w:val="0"/>
                                                                                              <w:marTop w:val="0"/>
                                                                                              <w:marBottom w:val="0"/>
                                                                                              <w:divBdr>
                                                                                                <w:top w:val="none" w:sz="0" w:space="0" w:color="auto"/>
                                                                                                <w:left w:val="none" w:sz="0" w:space="0" w:color="auto"/>
                                                                                                <w:bottom w:val="none" w:sz="0" w:space="0" w:color="auto"/>
                                                                                                <w:right w:val="none" w:sz="0" w:space="0" w:color="auto"/>
                                                                                              </w:divBdr>
                                                                                            </w:div>
                                                                                          </w:divsChild>
                                                                                        </w:div>
                                                                                        <w:div w:id="1384449658">
                                                                                          <w:marLeft w:val="0"/>
                                                                                          <w:marRight w:val="0"/>
                                                                                          <w:marTop w:val="0"/>
                                                                                          <w:marBottom w:val="0"/>
                                                                                          <w:divBdr>
                                                                                            <w:top w:val="none" w:sz="0" w:space="0" w:color="auto"/>
                                                                                            <w:left w:val="none" w:sz="0" w:space="0" w:color="auto"/>
                                                                                            <w:bottom w:val="none" w:sz="0" w:space="0" w:color="auto"/>
                                                                                            <w:right w:val="none" w:sz="0" w:space="0" w:color="auto"/>
                                                                                          </w:divBdr>
                                                                                          <w:divsChild>
                                                                                            <w:div w:id="1117021413">
                                                                                              <w:marLeft w:val="0"/>
                                                                                              <w:marRight w:val="0"/>
                                                                                              <w:marTop w:val="0"/>
                                                                                              <w:marBottom w:val="0"/>
                                                                                              <w:divBdr>
                                                                                                <w:top w:val="none" w:sz="0" w:space="0" w:color="auto"/>
                                                                                                <w:left w:val="none" w:sz="0" w:space="0" w:color="auto"/>
                                                                                                <w:bottom w:val="none" w:sz="0" w:space="0" w:color="auto"/>
                                                                                                <w:right w:val="none" w:sz="0" w:space="0" w:color="auto"/>
                                                                                              </w:divBdr>
                                                                                            </w:div>
                                                                                          </w:divsChild>
                                                                                        </w:div>
                                                                                        <w:div w:id="1401290840">
                                                                                          <w:marLeft w:val="0"/>
                                                                                          <w:marRight w:val="0"/>
                                                                                          <w:marTop w:val="0"/>
                                                                                          <w:marBottom w:val="0"/>
                                                                                          <w:divBdr>
                                                                                            <w:top w:val="none" w:sz="0" w:space="0" w:color="auto"/>
                                                                                            <w:left w:val="none" w:sz="0" w:space="0" w:color="auto"/>
                                                                                            <w:bottom w:val="none" w:sz="0" w:space="0" w:color="auto"/>
                                                                                            <w:right w:val="none" w:sz="0" w:space="0" w:color="auto"/>
                                                                                          </w:divBdr>
                                                                                          <w:divsChild>
                                                                                            <w:div w:id="1670132008">
                                                                                              <w:marLeft w:val="0"/>
                                                                                              <w:marRight w:val="0"/>
                                                                                              <w:marTop w:val="0"/>
                                                                                              <w:marBottom w:val="0"/>
                                                                                              <w:divBdr>
                                                                                                <w:top w:val="none" w:sz="0" w:space="0" w:color="auto"/>
                                                                                                <w:left w:val="none" w:sz="0" w:space="0" w:color="auto"/>
                                                                                                <w:bottom w:val="none" w:sz="0" w:space="0" w:color="auto"/>
                                                                                                <w:right w:val="none" w:sz="0" w:space="0" w:color="auto"/>
                                                                                              </w:divBdr>
                                                                                            </w:div>
                                                                                          </w:divsChild>
                                                                                        </w:div>
                                                                                        <w:div w:id="1415587799">
                                                                                          <w:marLeft w:val="0"/>
                                                                                          <w:marRight w:val="0"/>
                                                                                          <w:marTop w:val="0"/>
                                                                                          <w:marBottom w:val="0"/>
                                                                                          <w:divBdr>
                                                                                            <w:top w:val="none" w:sz="0" w:space="0" w:color="auto"/>
                                                                                            <w:left w:val="none" w:sz="0" w:space="0" w:color="auto"/>
                                                                                            <w:bottom w:val="none" w:sz="0" w:space="0" w:color="auto"/>
                                                                                            <w:right w:val="none" w:sz="0" w:space="0" w:color="auto"/>
                                                                                          </w:divBdr>
                                                                                          <w:divsChild>
                                                                                            <w:div w:id="1020159779">
                                                                                              <w:marLeft w:val="0"/>
                                                                                              <w:marRight w:val="0"/>
                                                                                              <w:marTop w:val="0"/>
                                                                                              <w:marBottom w:val="0"/>
                                                                                              <w:divBdr>
                                                                                                <w:top w:val="none" w:sz="0" w:space="0" w:color="auto"/>
                                                                                                <w:left w:val="none" w:sz="0" w:space="0" w:color="auto"/>
                                                                                                <w:bottom w:val="none" w:sz="0" w:space="0" w:color="auto"/>
                                                                                                <w:right w:val="none" w:sz="0" w:space="0" w:color="auto"/>
                                                                                              </w:divBdr>
                                                                                            </w:div>
                                                                                          </w:divsChild>
                                                                                        </w:div>
                                                                                        <w:div w:id="1638947074">
                                                                                          <w:marLeft w:val="0"/>
                                                                                          <w:marRight w:val="0"/>
                                                                                          <w:marTop w:val="0"/>
                                                                                          <w:marBottom w:val="0"/>
                                                                                          <w:divBdr>
                                                                                            <w:top w:val="none" w:sz="0" w:space="0" w:color="auto"/>
                                                                                            <w:left w:val="none" w:sz="0" w:space="0" w:color="auto"/>
                                                                                            <w:bottom w:val="none" w:sz="0" w:space="0" w:color="auto"/>
                                                                                            <w:right w:val="none" w:sz="0" w:space="0" w:color="auto"/>
                                                                                          </w:divBdr>
                                                                                          <w:divsChild>
                                                                                            <w:div w:id="693461592">
                                                                                              <w:marLeft w:val="0"/>
                                                                                              <w:marRight w:val="0"/>
                                                                                              <w:marTop w:val="0"/>
                                                                                              <w:marBottom w:val="0"/>
                                                                                              <w:divBdr>
                                                                                                <w:top w:val="none" w:sz="0" w:space="0" w:color="auto"/>
                                                                                                <w:left w:val="none" w:sz="0" w:space="0" w:color="auto"/>
                                                                                                <w:bottom w:val="none" w:sz="0" w:space="0" w:color="auto"/>
                                                                                                <w:right w:val="none" w:sz="0" w:space="0" w:color="auto"/>
                                                                                              </w:divBdr>
                                                                                            </w:div>
                                                                                          </w:divsChild>
                                                                                        </w:div>
                                                                                        <w:div w:id="1668249610">
                                                                                          <w:marLeft w:val="0"/>
                                                                                          <w:marRight w:val="0"/>
                                                                                          <w:marTop w:val="0"/>
                                                                                          <w:marBottom w:val="0"/>
                                                                                          <w:divBdr>
                                                                                            <w:top w:val="none" w:sz="0" w:space="0" w:color="auto"/>
                                                                                            <w:left w:val="none" w:sz="0" w:space="0" w:color="auto"/>
                                                                                            <w:bottom w:val="none" w:sz="0" w:space="0" w:color="auto"/>
                                                                                            <w:right w:val="none" w:sz="0" w:space="0" w:color="auto"/>
                                                                                          </w:divBdr>
                                                                                          <w:divsChild>
                                                                                            <w:div w:id="2046440511">
                                                                                              <w:marLeft w:val="0"/>
                                                                                              <w:marRight w:val="0"/>
                                                                                              <w:marTop w:val="0"/>
                                                                                              <w:marBottom w:val="0"/>
                                                                                              <w:divBdr>
                                                                                                <w:top w:val="none" w:sz="0" w:space="0" w:color="auto"/>
                                                                                                <w:left w:val="none" w:sz="0" w:space="0" w:color="auto"/>
                                                                                                <w:bottom w:val="none" w:sz="0" w:space="0" w:color="auto"/>
                                                                                                <w:right w:val="none" w:sz="0" w:space="0" w:color="auto"/>
                                                                                              </w:divBdr>
                                                                                            </w:div>
                                                                                          </w:divsChild>
                                                                                        </w:div>
                                                                                        <w:div w:id="1737317756">
                                                                                          <w:marLeft w:val="0"/>
                                                                                          <w:marRight w:val="0"/>
                                                                                          <w:marTop w:val="0"/>
                                                                                          <w:marBottom w:val="0"/>
                                                                                          <w:divBdr>
                                                                                            <w:top w:val="none" w:sz="0" w:space="0" w:color="auto"/>
                                                                                            <w:left w:val="none" w:sz="0" w:space="0" w:color="auto"/>
                                                                                            <w:bottom w:val="none" w:sz="0" w:space="0" w:color="auto"/>
                                                                                            <w:right w:val="none" w:sz="0" w:space="0" w:color="auto"/>
                                                                                          </w:divBdr>
                                                                                          <w:divsChild>
                                                                                            <w:div w:id="1873767948">
                                                                                              <w:marLeft w:val="0"/>
                                                                                              <w:marRight w:val="0"/>
                                                                                              <w:marTop w:val="0"/>
                                                                                              <w:marBottom w:val="0"/>
                                                                                              <w:divBdr>
                                                                                                <w:top w:val="none" w:sz="0" w:space="0" w:color="auto"/>
                                                                                                <w:left w:val="none" w:sz="0" w:space="0" w:color="auto"/>
                                                                                                <w:bottom w:val="none" w:sz="0" w:space="0" w:color="auto"/>
                                                                                                <w:right w:val="none" w:sz="0" w:space="0" w:color="auto"/>
                                                                                              </w:divBdr>
                                                                                            </w:div>
                                                                                          </w:divsChild>
                                                                                        </w:div>
                                                                                        <w:div w:id="1897428873">
                                                                                          <w:marLeft w:val="0"/>
                                                                                          <w:marRight w:val="0"/>
                                                                                          <w:marTop w:val="0"/>
                                                                                          <w:marBottom w:val="0"/>
                                                                                          <w:divBdr>
                                                                                            <w:top w:val="none" w:sz="0" w:space="0" w:color="auto"/>
                                                                                            <w:left w:val="none" w:sz="0" w:space="0" w:color="auto"/>
                                                                                            <w:bottom w:val="none" w:sz="0" w:space="0" w:color="auto"/>
                                                                                            <w:right w:val="none" w:sz="0" w:space="0" w:color="auto"/>
                                                                                          </w:divBdr>
                                                                                          <w:divsChild>
                                                                                            <w:div w:id="1329092817">
                                                                                              <w:marLeft w:val="0"/>
                                                                                              <w:marRight w:val="0"/>
                                                                                              <w:marTop w:val="0"/>
                                                                                              <w:marBottom w:val="0"/>
                                                                                              <w:divBdr>
                                                                                                <w:top w:val="none" w:sz="0" w:space="0" w:color="auto"/>
                                                                                                <w:left w:val="none" w:sz="0" w:space="0" w:color="auto"/>
                                                                                                <w:bottom w:val="none" w:sz="0" w:space="0" w:color="auto"/>
                                                                                                <w:right w:val="none" w:sz="0" w:space="0" w:color="auto"/>
                                                                                              </w:divBdr>
                                                                                            </w:div>
                                                                                          </w:divsChild>
                                                                                        </w:div>
                                                                                        <w:div w:id="1920552034">
                                                                                          <w:marLeft w:val="0"/>
                                                                                          <w:marRight w:val="0"/>
                                                                                          <w:marTop w:val="0"/>
                                                                                          <w:marBottom w:val="0"/>
                                                                                          <w:divBdr>
                                                                                            <w:top w:val="none" w:sz="0" w:space="0" w:color="auto"/>
                                                                                            <w:left w:val="none" w:sz="0" w:space="0" w:color="auto"/>
                                                                                            <w:bottom w:val="none" w:sz="0" w:space="0" w:color="auto"/>
                                                                                            <w:right w:val="none" w:sz="0" w:space="0" w:color="auto"/>
                                                                                          </w:divBdr>
                                                                                          <w:divsChild>
                                                                                            <w:div w:id="1035235776">
                                                                                              <w:marLeft w:val="0"/>
                                                                                              <w:marRight w:val="0"/>
                                                                                              <w:marTop w:val="0"/>
                                                                                              <w:marBottom w:val="0"/>
                                                                                              <w:divBdr>
                                                                                                <w:top w:val="none" w:sz="0" w:space="0" w:color="auto"/>
                                                                                                <w:left w:val="none" w:sz="0" w:space="0" w:color="auto"/>
                                                                                                <w:bottom w:val="none" w:sz="0" w:space="0" w:color="auto"/>
                                                                                                <w:right w:val="none" w:sz="0" w:space="0" w:color="auto"/>
                                                                                              </w:divBdr>
                                                                                            </w:div>
                                                                                          </w:divsChild>
                                                                                        </w:div>
                                                                                        <w:div w:id="1975135007">
                                                                                          <w:marLeft w:val="0"/>
                                                                                          <w:marRight w:val="0"/>
                                                                                          <w:marTop w:val="0"/>
                                                                                          <w:marBottom w:val="0"/>
                                                                                          <w:divBdr>
                                                                                            <w:top w:val="none" w:sz="0" w:space="0" w:color="auto"/>
                                                                                            <w:left w:val="none" w:sz="0" w:space="0" w:color="auto"/>
                                                                                            <w:bottom w:val="none" w:sz="0" w:space="0" w:color="auto"/>
                                                                                            <w:right w:val="none" w:sz="0" w:space="0" w:color="auto"/>
                                                                                          </w:divBdr>
                                                                                          <w:divsChild>
                                                                                            <w:div w:id="559487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541392">
                                                                                  <w:marLeft w:val="0"/>
                                                                                  <w:marRight w:val="0"/>
                                                                                  <w:marTop w:val="0"/>
                                                                                  <w:marBottom w:val="0"/>
                                                                                  <w:divBdr>
                                                                                    <w:top w:val="none" w:sz="0" w:space="0" w:color="auto"/>
                                                                                    <w:left w:val="none" w:sz="0" w:space="0" w:color="auto"/>
                                                                                    <w:bottom w:val="none" w:sz="0" w:space="0" w:color="auto"/>
                                                                                    <w:right w:val="none" w:sz="0" w:space="0" w:color="auto"/>
                                                                                  </w:divBdr>
                                                                                </w:div>
                                                                                <w:div w:id="1016611802">
                                                                                  <w:marLeft w:val="0"/>
                                                                                  <w:marRight w:val="0"/>
                                                                                  <w:marTop w:val="0"/>
                                                                                  <w:marBottom w:val="0"/>
                                                                                  <w:divBdr>
                                                                                    <w:top w:val="none" w:sz="0" w:space="0" w:color="auto"/>
                                                                                    <w:left w:val="none" w:sz="0" w:space="0" w:color="auto"/>
                                                                                    <w:bottom w:val="none" w:sz="0" w:space="0" w:color="auto"/>
                                                                                    <w:right w:val="none" w:sz="0" w:space="0" w:color="auto"/>
                                                                                  </w:divBdr>
                                                                                </w:div>
                                                                                <w:div w:id="1024405149">
                                                                                  <w:marLeft w:val="0"/>
                                                                                  <w:marRight w:val="0"/>
                                                                                  <w:marTop w:val="0"/>
                                                                                  <w:marBottom w:val="0"/>
                                                                                  <w:divBdr>
                                                                                    <w:top w:val="none" w:sz="0" w:space="0" w:color="auto"/>
                                                                                    <w:left w:val="none" w:sz="0" w:space="0" w:color="auto"/>
                                                                                    <w:bottom w:val="none" w:sz="0" w:space="0" w:color="auto"/>
                                                                                    <w:right w:val="none" w:sz="0" w:space="0" w:color="auto"/>
                                                                                  </w:divBdr>
                                                                                </w:div>
                                                                                <w:div w:id="1029799878">
                                                                                  <w:marLeft w:val="0"/>
                                                                                  <w:marRight w:val="0"/>
                                                                                  <w:marTop w:val="0"/>
                                                                                  <w:marBottom w:val="0"/>
                                                                                  <w:divBdr>
                                                                                    <w:top w:val="none" w:sz="0" w:space="0" w:color="auto"/>
                                                                                    <w:left w:val="none" w:sz="0" w:space="0" w:color="auto"/>
                                                                                    <w:bottom w:val="none" w:sz="0" w:space="0" w:color="auto"/>
                                                                                    <w:right w:val="none" w:sz="0" w:space="0" w:color="auto"/>
                                                                                  </w:divBdr>
                                                                                  <w:divsChild>
                                                                                    <w:div w:id="1892769296">
                                                                                      <w:marLeft w:val="-75"/>
                                                                                      <w:marRight w:val="0"/>
                                                                                      <w:marTop w:val="30"/>
                                                                                      <w:marBottom w:val="30"/>
                                                                                      <w:divBdr>
                                                                                        <w:top w:val="none" w:sz="0" w:space="0" w:color="auto"/>
                                                                                        <w:left w:val="none" w:sz="0" w:space="0" w:color="auto"/>
                                                                                        <w:bottom w:val="none" w:sz="0" w:space="0" w:color="auto"/>
                                                                                        <w:right w:val="none" w:sz="0" w:space="0" w:color="auto"/>
                                                                                      </w:divBdr>
                                                                                      <w:divsChild>
                                                                                        <w:div w:id="13728197">
                                                                                          <w:marLeft w:val="0"/>
                                                                                          <w:marRight w:val="0"/>
                                                                                          <w:marTop w:val="0"/>
                                                                                          <w:marBottom w:val="0"/>
                                                                                          <w:divBdr>
                                                                                            <w:top w:val="none" w:sz="0" w:space="0" w:color="auto"/>
                                                                                            <w:left w:val="none" w:sz="0" w:space="0" w:color="auto"/>
                                                                                            <w:bottom w:val="none" w:sz="0" w:space="0" w:color="auto"/>
                                                                                            <w:right w:val="none" w:sz="0" w:space="0" w:color="auto"/>
                                                                                          </w:divBdr>
                                                                                          <w:divsChild>
                                                                                            <w:div w:id="560286585">
                                                                                              <w:marLeft w:val="0"/>
                                                                                              <w:marRight w:val="0"/>
                                                                                              <w:marTop w:val="0"/>
                                                                                              <w:marBottom w:val="0"/>
                                                                                              <w:divBdr>
                                                                                                <w:top w:val="none" w:sz="0" w:space="0" w:color="auto"/>
                                                                                                <w:left w:val="none" w:sz="0" w:space="0" w:color="auto"/>
                                                                                                <w:bottom w:val="none" w:sz="0" w:space="0" w:color="auto"/>
                                                                                                <w:right w:val="none" w:sz="0" w:space="0" w:color="auto"/>
                                                                                              </w:divBdr>
                                                                                            </w:div>
                                                                                          </w:divsChild>
                                                                                        </w:div>
                                                                                        <w:div w:id="51538910">
                                                                                          <w:marLeft w:val="0"/>
                                                                                          <w:marRight w:val="0"/>
                                                                                          <w:marTop w:val="0"/>
                                                                                          <w:marBottom w:val="0"/>
                                                                                          <w:divBdr>
                                                                                            <w:top w:val="none" w:sz="0" w:space="0" w:color="auto"/>
                                                                                            <w:left w:val="none" w:sz="0" w:space="0" w:color="auto"/>
                                                                                            <w:bottom w:val="none" w:sz="0" w:space="0" w:color="auto"/>
                                                                                            <w:right w:val="none" w:sz="0" w:space="0" w:color="auto"/>
                                                                                          </w:divBdr>
                                                                                          <w:divsChild>
                                                                                            <w:div w:id="1991975792">
                                                                                              <w:marLeft w:val="0"/>
                                                                                              <w:marRight w:val="0"/>
                                                                                              <w:marTop w:val="0"/>
                                                                                              <w:marBottom w:val="0"/>
                                                                                              <w:divBdr>
                                                                                                <w:top w:val="none" w:sz="0" w:space="0" w:color="auto"/>
                                                                                                <w:left w:val="none" w:sz="0" w:space="0" w:color="auto"/>
                                                                                                <w:bottom w:val="none" w:sz="0" w:space="0" w:color="auto"/>
                                                                                                <w:right w:val="none" w:sz="0" w:space="0" w:color="auto"/>
                                                                                              </w:divBdr>
                                                                                            </w:div>
                                                                                          </w:divsChild>
                                                                                        </w:div>
                                                                                        <w:div w:id="84352433">
                                                                                          <w:marLeft w:val="0"/>
                                                                                          <w:marRight w:val="0"/>
                                                                                          <w:marTop w:val="0"/>
                                                                                          <w:marBottom w:val="0"/>
                                                                                          <w:divBdr>
                                                                                            <w:top w:val="none" w:sz="0" w:space="0" w:color="auto"/>
                                                                                            <w:left w:val="none" w:sz="0" w:space="0" w:color="auto"/>
                                                                                            <w:bottom w:val="none" w:sz="0" w:space="0" w:color="auto"/>
                                                                                            <w:right w:val="none" w:sz="0" w:space="0" w:color="auto"/>
                                                                                          </w:divBdr>
                                                                                          <w:divsChild>
                                                                                            <w:div w:id="901328519">
                                                                                              <w:marLeft w:val="0"/>
                                                                                              <w:marRight w:val="0"/>
                                                                                              <w:marTop w:val="0"/>
                                                                                              <w:marBottom w:val="0"/>
                                                                                              <w:divBdr>
                                                                                                <w:top w:val="none" w:sz="0" w:space="0" w:color="auto"/>
                                                                                                <w:left w:val="none" w:sz="0" w:space="0" w:color="auto"/>
                                                                                                <w:bottom w:val="none" w:sz="0" w:space="0" w:color="auto"/>
                                                                                                <w:right w:val="none" w:sz="0" w:space="0" w:color="auto"/>
                                                                                              </w:divBdr>
                                                                                            </w:div>
                                                                                          </w:divsChild>
                                                                                        </w:div>
                                                                                        <w:div w:id="153879201">
                                                                                          <w:marLeft w:val="0"/>
                                                                                          <w:marRight w:val="0"/>
                                                                                          <w:marTop w:val="0"/>
                                                                                          <w:marBottom w:val="0"/>
                                                                                          <w:divBdr>
                                                                                            <w:top w:val="none" w:sz="0" w:space="0" w:color="auto"/>
                                                                                            <w:left w:val="none" w:sz="0" w:space="0" w:color="auto"/>
                                                                                            <w:bottom w:val="none" w:sz="0" w:space="0" w:color="auto"/>
                                                                                            <w:right w:val="none" w:sz="0" w:space="0" w:color="auto"/>
                                                                                          </w:divBdr>
                                                                                          <w:divsChild>
                                                                                            <w:div w:id="921139796">
                                                                                              <w:marLeft w:val="0"/>
                                                                                              <w:marRight w:val="0"/>
                                                                                              <w:marTop w:val="0"/>
                                                                                              <w:marBottom w:val="0"/>
                                                                                              <w:divBdr>
                                                                                                <w:top w:val="none" w:sz="0" w:space="0" w:color="auto"/>
                                                                                                <w:left w:val="none" w:sz="0" w:space="0" w:color="auto"/>
                                                                                                <w:bottom w:val="none" w:sz="0" w:space="0" w:color="auto"/>
                                                                                                <w:right w:val="none" w:sz="0" w:space="0" w:color="auto"/>
                                                                                              </w:divBdr>
                                                                                            </w:div>
                                                                                          </w:divsChild>
                                                                                        </w:div>
                                                                                        <w:div w:id="172110371">
                                                                                          <w:marLeft w:val="0"/>
                                                                                          <w:marRight w:val="0"/>
                                                                                          <w:marTop w:val="0"/>
                                                                                          <w:marBottom w:val="0"/>
                                                                                          <w:divBdr>
                                                                                            <w:top w:val="none" w:sz="0" w:space="0" w:color="auto"/>
                                                                                            <w:left w:val="none" w:sz="0" w:space="0" w:color="auto"/>
                                                                                            <w:bottom w:val="none" w:sz="0" w:space="0" w:color="auto"/>
                                                                                            <w:right w:val="none" w:sz="0" w:space="0" w:color="auto"/>
                                                                                          </w:divBdr>
                                                                                          <w:divsChild>
                                                                                            <w:div w:id="12076117">
                                                                                              <w:marLeft w:val="0"/>
                                                                                              <w:marRight w:val="0"/>
                                                                                              <w:marTop w:val="0"/>
                                                                                              <w:marBottom w:val="0"/>
                                                                                              <w:divBdr>
                                                                                                <w:top w:val="none" w:sz="0" w:space="0" w:color="auto"/>
                                                                                                <w:left w:val="none" w:sz="0" w:space="0" w:color="auto"/>
                                                                                                <w:bottom w:val="none" w:sz="0" w:space="0" w:color="auto"/>
                                                                                                <w:right w:val="none" w:sz="0" w:space="0" w:color="auto"/>
                                                                                              </w:divBdr>
                                                                                            </w:div>
                                                                                          </w:divsChild>
                                                                                        </w:div>
                                                                                        <w:div w:id="205527870">
                                                                                          <w:marLeft w:val="0"/>
                                                                                          <w:marRight w:val="0"/>
                                                                                          <w:marTop w:val="0"/>
                                                                                          <w:marBottom w:val="0"/>
                                                                                          <w:divBdr>
                                                                                            <w:top w:val="none" w:sz="0" w:space="0" w:color="auto"/>
                                                                                            <w:left w:val="none" w:sz="0" w:space="0" w:color="auto"/>
                                                                                            <w:bottom w:val="none" w:sz="0" w:space="0" w:color="auto"/>
                                                                                            <w:right w:val="none" w:sz="0" w:space="0" w:color="auto"/>
                                                                                          </w:divBdr>
                                                                                          <w:divsChild>
                                                                                            <w:div w:id="216363260">
                                                                                              <w:marLeft w:val="0"/>
                                                                                              <w:marRight w:val="0"/>
                                                                                              <w:marTop w:val="0"/>
                                                                                              <w:marBottom w:val="0"/>
                                                                                              <w:divBdr>
                                                                                                <w:top w:val="none" w:sz="0" w:space="0" w:color="auto"/>
                                                                                                <w:left w:val="none" w:sz="0" w:space="0" w:color="auto"/>
                                                                                                <w:bottom w:val="none" w:sz="0" w:space="0" w:color="auto"/>
                                                                                                <w:right w:val="none" w:sz="0" w:space="0" w:color="auto"/>
                                                                                              </w:divBdr>
                                                                                            </w:div>
                                                                                          </w:divsChild>
                                                                                        </w:div>
                                                                                        <w:div w:id="219903243">
                                                                                          <w:marLeft w:val="0"/>
                                                                                          <w:marRight w:val="0"/>
                                                                                          <w:marTop w:val="0"/>
                                                                                          <w:marBottom w:val="0"/>
                                                                                          <w:divBdr>
                                                                                            <w:top w:val="none" w:sz="0" w:space="0" w:color="auto"/>
                                                                                            <w:left w:val="none" w:sz="0" w:space="0" w:color="auto"/>
                                                                                            <w:bottom w:val="none" w:sz="0" w:space="0" w:color="auto"/>
                                                                                            <w:right w:val="none" w:sz="0" w:space="0" w:color="auto"/>
                                                                                          </w:divBdr>
                                                                                          <w:divsChild>
                                                                                            <w:div w:id="1110508034">
                                                                                              <w:marLeft w:val="0"/>
                                                                                              <w:marRight w:val="0"/>
                                                                                              <w:marTop w:val="0"/>
                                                                                              <w:marBottom w:val="0"/>
                                                                                              <w:divBdr>
                                                                                                <w:top w:val="none" w:sz="0" w:space="0" w:color="auto"/>
                                                                                                <w:left w:val="none" w:sz="0" w:space="0" w:color="auto"/>
                                                                                                <w:bottom w:val="none" w:sz="0" w:space="0" w:color="auto"/>
                                                                                                <w:right w:val="none" w:sz="0" w:space="0" w:color="auto"/>
                                                                                              </w:divBdr>
                                                                                            </w:div>
                                                                                          </w:divsChild>
                                                                                        </w:div>
                                                                                        <w:div w:id="224223523">
                                                                                          <w:marLeft w:val="0"/>
                                                                                          <w:marRight w:val="0"/>
                                                                                          <w:marTop w:val="0"/>
                                                                                          <w:marBottom w:val="0"/>
                                                                                          <w:divBdr>
                                                                                            <w:top w:val="none" w:sz="0" w:space="0" w:color="auto"/>
                                                                                            <w:left w:val="none" w:sz="0" w:space="0" w:color="auto"/>
                                                                                            <w:bottom w:val="none" w:sz="0" w:space="0" w:color="auto"/>
                                                                                            <w:right w:val="none" w:sz="0" w:space="0" w:color="auto"/>
                                                                                          </w:divBdr>
                                                                                          <w:divsChild>
                                                                                            <w:div w:id="250286562">
                                                                                              <w:marLeft w:val="0"/>
                                                                                              <w:marRight w:val="0"/>
                                                                                              <w:marTop w:val="0"/>
                                                                                              <w:marBottom w:val="0"/>
                                                                                              <w:divBdr>
                                                                                                <w:top w:val="none" w:sz="0" w:space="0" w:color="auto"/>
                                                                                                <w:left w:val="none" w:sz="0" w:space="0" w:color="auto"/>
                                                                                                <w:bottom w:val="none" w:sz="0" w:space="0" w:color="auto"/>
                                                                                                <w:right w:val="none" w:sz="0" w:space="0" w:color="auto"/>
                                                                                              </w:divBdr>
                                                                                            </w:div>
                                                                                          </w:divsChild>
                                                                                        </w:div>
                                                                                        <w:div w:id="234584516">
                                                                                          <w:marLeft w:val="0"/>
                                                                                          <w:marRight w:val="0"/>
                                                                                          <w:marTop w:val="0"/>
                                                                                          <w:marBottom w:val="0"/>
                                                                                          <w:divBdr>
                                                                                            <w:top w:val="none" w:sz="0" w:space="0" w:color="auto"/>
                                                                                            <w:left w:val="none" w:sz="0" w:space="0" w:color="auto"/>
                                                                                            <w:bottom w:val="none" w:sz="0" w:space="0" w:color="auto"/>
                                                                                            <w:right w:val="none" w:sz="0" w:space="0" w:color="auto"/>
                                                                                          </w:divBdr>
                                                                                          <w:divsChild>
                                                                                            <w:div w:id="588462451">
                                                                                              <w:marLeft w:val="0"/>
                                                                                              <w:marRight w:val="0"/>
                                                                                              <w:marTop w:val="0"/>
                                                                                              <w:marBottom w:val="0"/>
                                                                                              <w:divBdr>
                                                                                                <w:top w:val="none" w:sz="0" w:space="0" w:color="auto"/>
                                                                                                <w:left w:val="none" w:sz="0" w:space="0" w:color="auto"/>
                                                                                                <w:bottom w:val="none" w:sz="0" w:space="0" w:color="auto"/>
                                                                                                <w:right w:val="none" w:sz="0" w:space="0" w:color="auto"/>
                                                                                              </w:divBdr>
                                                                                            </w:div>
                                                                                          </w:divsChild>
                                                                                        </w:div>
                                                                                        <w:div w:id="301617382">
                                                                                          <w:marLeft w:val="0"/>
                                                                                          <w:marRight w:val="0"/>
                                                                                          <w:marTop w:val="0"/>
                                                                                          <w:marBottom w:val="0"/>
                                                                                          <w:divBdr>
                                                                                            <w:top w:val="none" w:sz="0" w:space="0" w:color="auto"/>
                                                                                            <w:left w:val="none" w:sz="0" w:space="0" w:color="auto"/>
                                                                                            <w:bottom w:val="none" w:sz="0" w:space="0" w:color="auto"/>
                                                                                            <w:right w:val="none" w:sz="0" w:space="0" w:color="auto"/>
                                                                                          </w:divBdr>
                                                                                          <w:divsChild>
                                                                                            <w:div w:id="1967855575">
                                                                                              <w:marLeft w:val="0"/>
                                                                                              <w:marRight w:val="0"/>
                                                                                              <w:marTop w:val="0"/>
                                                                                              <w:marBottom w:val="0"/>
                                                                                              <w:divBdr>
                                                                                                <w:top w:val="none" w:sz="0" w:space="0" w:color="auto"/>
                                                                                                <w:left w:val="none" w:sz="0" w:space="0" w:color="auto"/>
                                                                                                <w:bottom w:val="none" w:sz="0" w:space="0" w:color="auto"/>
                                                                                                <w:right w:val="none" w:sz="0" w:space="0" w:color="auto"/>
                                                                                              </w:divBdr>
                                                                                            </w:div>
                                                                                          </w:divsChild>
                                                                                        </w:div>
                                                                                        <w:div w:id="411047973">
                                                                                          <w:marLeft w:val="0"/>
                                                                                          <w:marRight w:val="0"/>
                                                                                          <w:marTop w:val="0"/>
                                                                                          <w:marBottom w:val="0"/>
                                                                                          <w:divBdr>
                                                                                            <w:top w:val="none" w:sz="0" w:space="0" w:color="auto"/>
                                                                                            <w:left w:val="none" w:sz="0" w:space="0" w:color="auto"/>
                                                                                            <w:bottom w:val="none" w:sz="0" w:space="0" w:color="auto"/>
                                                                                            <w:right w:val="none" w:sz="0" w:space="0" w:color="auto"/>
                                                                                          </w:divBdr>
                                                                                          <w:divsChild>
                                                                                            <w:div w:id="1415325606">
                                                                                              <w:marLeft w:val="0"/>
                                                                                              <w:marRight w:val="0"/>
                                                                                              <w:marTop w:val="0"/>
                                                                                              <w:marBottom w:val="0"/>
                                                                                              <w:divBdr>
                                                                                                <w:top w:val="none" w:sz="0" w:space="0" w:color="auto"/>
                                                                                                <w:left w:val="none" w:sz="0" w:space="0" w:color="auto"/>
                                                                                                <w:bottom w:val="none" w:sz="0" w:space="0" w:color="auto"/>
                                                                                                <w:right w:val="none" w:sz="0" w:space="0" w:color="auto"/>
                                                                                              </w:divBdr>
                                                                                            </w:div>
                                                                                          </w:divsChild>
                                                                                        </w:div>
                                                                                        <w:div w:id="415639351">
                                                                                          <w:marLeft w:val="0"/>
                                                                                          <w:marRight w:val="0"/>
                                                                                          <w:marTop w:val="0"/>
                                                                                          <w:marBottom w:val="0"/>
                                                                                          <w:divBdr>
                                                                                            <w:top w:val="none" w:sz="0" w:space="0" w:color="auto"/>
                                                                                            <w:left w:val="none" w:sz="0" w:space="0" w:color="auto"/>
                                                                                            <w:bottom w:val="none" w:sz="0" w:space="0" w:color="auto"/>
                                                                                            <w:right w:val="none" w:sz="0" w:space="0" w:color="auto"/>
                                                                                          </w:divBdr>
                                                                                          <w:divsChild>
                                                                                            <w:div w:id="110586871">
                                                                                              <w:marLeft w:val="0"/>
                                                                                              <w:marRight w:val="0"/>
                                                                                              <w:marTop w:val="0"/>
                                                                                              <w:marBottom w:val="0"/>
                                                                                              <w:divBdr>
                                                                                                <w:top w:val="none" w:sz="0" w:space="0" w:color="auto"/>
                                                                                                <w:left w:val="none" w:sz="0" w:space="0" w:color="auto"/>
                                                                                                <w:bottom w:val="none" w:sz="0" w:space="0" w:color="auto"/>
                                                                                                <w:right w:val="none" w:sz="0" w:space="0" w:color="auto"/>
                                                                                              </w:divBdr>
                                                                                            </w:div>
                                                                                          </w:divsChild>
                                                                                        </w:div>
                                                                                        <w:div w:id="424545625">
                                                                                          <w:marLeft w:val="0"/>
                                                                                          <w:marRight w:val="0"/>
                                                                                          <w:marTop w:val="0"/>
                                                                                          <w:marBottom w:val="0"/>
                                                                                          <w:divBdr>
                                                                                            <w:top w:val="none" w:sz="0" w:space="0" w:color="auto"/>
                                                                                            <w:left w:val="none" w:sz="0" w:space="0" w:color="auto"/>
                                                                                            <w:bottom w:val="none" w:sz="0" w:space="0" w:color="auto"/>
                                                                                            <w:right w:val="none" w:sz="0" w:space="0" w:color="auto"/>
                                                                                          </w:divBdr>
                                                                                          <w:divsChild>
                                                                                            <w:div w:id="426392094">
                                                                                              <w:marLeft w:val="0"/>
                                                                                              <w:marRight w:val="0"/>
                                                                                              <w:marTop w:val="0"/>
                                                                                              <w:marBottom w:val="0"/>
                                                                                              <w:divBdr>
                                                                                                <w:top w:val="none" w:sz="0" w:space="0" w:color="auto"/>
                                                                                                <w:left w:val="none" w:sz="0" w:space="0" w:color="auto"/>
                                                                                                <w:bottom w:val="none" w:sz="0" w:space="0" w:color="auto"/>
                                                                                                <w:right w:val="none" w:sz="0" w:space="0" w:color="auto"/>
                                                                                              </w:divBdr>
                                                                                            </w:div>
                                                                                          </w:divsChild>
                                                                                        </w:div>
                                                                                        <w:div w:id="453719047">
                                                                                          <w:marLeft w:val="0"/>
                                                                                          <w:marRight w:val="0"/>
                                                                                          <w:marTop w:val="0"/>
                                                                                          <w:marBottom w:val="0"/>
                                                                                          <w:divBdr>
                                                                                            <w:top w:val="none" w:sz="0" w:space="0" w:color="auto"/>
                                                                                            <w:left w:val="none" w:sz="0" w:space="0" w:color="auto"/>
                                                                                            <w:bottom w:val="none" w:sz="0" w:space="0" w:color="auto"/>
                                                                                            <w:right w:val="none" w:sz="0" w:space="0" w:color="auto"/>
                                                                                          </w:divBdr>
                                                                                          <w:divsChild>
                                                                                            <w:div w:id="1998800638">
                                                                                              <w:marLeft w:val="0"/>
                                                                                              <w:marRight w:val="0"/>
                                                                                              <w:marTop w:val="0"/>
                                                                                              <w:marBottom w:val="0"/>
                                                                                              <w:divBdr>
                                                                                                <w:top w:val="none" w:sz="0" w:space="0" w:color="auto"/>
                                                                                                <w:left w:val="none" w:sz="0" w:space="0" w:color="auto"/>
                                                                                                <w:bottom w:val="none" w:sz="0" w:space="0" w:color="auto"/>
                                                                                                <w:right w:val="none" w:sz="0" w:space="0" w:color="auto"/>
                                                                                              </w:divBdr>
                                                                                            </w:div>
                                                                                          </w:divsChild>
                                                                                        </w:div>
                                                                                        <w:div w:id="457383082">
                                                                                          <w:marLeft w:val="0"/>
                                                                                          <w:marRight w:val="0"/>
                                                                                          <w:marTop w:val="0"/>
                                                                                          <w:marBottom w:val="0"/>
                                                                                          <w:divBdr>
                                                                                            <w:top w:val="none" w:sz="0" w:space="0" w:color="auto"/>
                                                                                            <w:left w:val="none" w:sz="0" w:space="0" w:color="auto"/>
                                                                                            <w:bottom w:val="none" w:sz="0" w:space="0" w:color="auto"/>
                                                                                            <w:right w:val="none" w:sz="0" w:space="0" w:color="auto"/>
                                                                                          </w:divBdr>
                                                                                          <w:divsChild>
                                                                                            <w:div w:id="344986262">
                                                                                              <w:marLeft w:val="0"/>
                                                                                              <w:marRight w:val="0"/>
                                                                                              <w:marTop w:val="0"/>
                                                                                              <w:marBottom w:val="0"/>
                                                                                              <w:divBdr>
                                                                                                <w:top w:val="none" w:sz="0" w:space="0" w:color="auto"/>
                                                                                                <w:left w:val="none" w:sz="0" w:space="0" w:color="auto"/>
                                                                                                <w:bottom w:val="none" w:sz="0" w:space="0" w:color="auto"/>
                                                                                                <w:right w:val="none" w:sz="0" w:space="0" w:color="auto"/>
                                                                                              </w:divBdr>
                                                                                            </w:div>
                                                                                          </w:divsChild>
                                                                                        </w:div>
                                                                                        <w:div w:id="459031327">
                                                                                          <w:marLeft w:val="0"/>
                                                                                          <w:marRight w:val="0"/>
                                                                                          <w:marTop w:val="0"/>
                                                                                          <w:marBottom w:val="0"/>
                                                                                          <w:divBdr>
                                                                                            <w:top w:val="none" w:sz="0" w:space="0" w:color="auto"/>
                                                                                            <w:left w:val="none" w:sz="0" w:space="0" w:color="auto"/>
                                                                                            <w:bottom w:val="none" w:sz="0" w:space="0" w:color="auto"/>
                                                                                            <w:right w:val="none" w:sz="0" w:space="0" w:color="auto"/>
                                                                                          </w:divBdr>
                                                                                          <w:divsChild>
                                                                                            <w:div w:id="67654986">
                                                                                              <w:marLeft w:val="0"/>
                                                                                              <w:marRight w:val="0"/>
                                                                                              <w:marTop w:val="0"/>
                                                                                              <w:marBottom w:val="0"/>
                                                                                              <w:divBdr>
                                                                                                <w:top w:val="none" w:sz="0" w:space="0" w:color="auto"/>
                                                                                                <w:left w:val="none" w:sz="0" w:space="0" w:color="auto"/>
                                                                                                <w:bottom w:val="none" w:sz="0" w:space="0" w:color="auto"/>
                                                                                                <w:right w:val="none" w:sz="0" w:space="0" w:color="auto"/>
                                                                                              </w:divBdr>
                                                                                            </w:div>
                                                                                          </w:divsChild>
                                                                                        </w:div>
                                                                                        <w:div w:id="472714870">
                                                                                          <w:marLeft w:val="0"/>
                                                                                          <w:marRight w:val="0"/>
                                                                                          <w:marTop w:val="0"/>
                                                                                          <w:marBottom w:val="0"/>
                                                                                          <w:divBdr>
                                                                                            <w:top w:val="none" w:sz="0" w:space="0" w:color="auto"/>
                                                                                            <w:left w:val="none" w:sz="0" w:space="0" w:color="auto"/>
                                                                                            <w:bottom w:val="none" w:sz="0" w:space="0" w:color="auto"/>
                                                                                            <w:right w:val="none" w:sz="0" w:space="0" w:color="auto"/>
                                                                                          </w:divBdr>
                                                                                          <w:divsChild>
                                                                                            <w:div w:id="99841036">
                                                                                              <w:marLeft w:val="0"/>
                                                                                              <w:marRight w:val="0"/>
                                                                                              <w:marTop w:val="0"/>
                                                                                              <w:marBottom w:val="0"/>
                                                                                              <w:divBdr>
                                                                                                <w:top w:val="none" w:sz="0" w:space="0" w:color="auto"/>
                                                                                                <w:left w:val="none" w:sz="0" w:space="0" w:color="auto"/>
                                                                                                <w:bottom w:val="none" w:sz="0" w:space="0" w:color="auto"/>
                                                                                                <w:right w:val="none" w:sz="0" w:space="0" w:color="auto"/>
                                                                                              </w:divBdr>
                                                                                            </w:div>
                                                                                          </w:divsChild>
                                                                                        </w:div>
                                                                                        <w:div w:id="493111465">
                                                                                          <w:marLeft w:val="0"/>
                                                                                          <w:marRight w:val="0"/>
                                                                                          <w:marTop w:val="0"/>
                                                                                          <w:marBottom w:val="0"/>
                                                                                          <w:divBdr>
                                                                                            <w:top w:val="none" w:sz="0" w:space="0" w:color="auto"/>
                                                                                            <w:left w:val="none" w:sz="0" w:space="0" w:color="auto"/>
                                                                                            <w:bottom w:val="none" w:sz="0" w:space="0" w:color="auto"/>
                                                                                            <w:right w:val="none" w:sz="0" w:space="0" w:color="auto"/>
                                                                                          </w:divBdr>
                                                                                          <w:divsChild>
                                                                                            <w:div w:id="33819970">
                                                                                              <w:marLeft w:val="0"/>
                                                                                              <w:marRight w:val="0"/>
                                                                                              <w:marTop w:val="0"/>
                                                                                              <w:marBottom w:val="0"/>
                                                                                              <w:divBdr>
                                                                                                <w:top w:val="none" w:sz="0" w:space="0" w:color="auto"/>
                                                                                                <w:left w:val="none" w:sz="0" w:space="0" w:color="auto"/>
                                                                                                <w:bottom w:val="none" w:sz="0" w:space="0" w:color="auto"/>
                                                                                                <w:right w:val="none" w:sz="0" w:space="0" w:color="auto"/>
                                                                                              </w:divBdr>
                                                                                            </w:div>
                                                                                          </w:divsChild>
                                                                                        </w:div>
                                                                                        <w:div w:id="496959828">
                                                                                          <w:marLeft w:val="0"/>
                                                                                          <w:marRight w:val="0"/>
                                                                                          <w:marTop w:val="0"/>
                                                                                          <w:marBottom w:val="0"/>
                                                                                          <w:divBdr>
                                                                                            <w:top w:val="none" w:sz="0" w:space="0" w:color="auto"/>
                                                                                            <w:left w:val="none" w:sz="0" w:space="0" w:color="auto"/>
                                                                                            <w:bottom w:val="none" w:sz="0" w:space="0" w:color="auto"/>
                                                                                            <w:right w:val="none" w:sz="0" w:space="0" w:color="auto"/>
                                                                                          </w:divBdr>
                                                                                          <w:divsChild>
                                                                                            <w:div w:id="1935360102">
                                                                                              <w:marLeft w:val="0"/>
                                                                                              <w:marRight w:val="0"/>
                                                                                              <w:marTop w:val="0"/>
                                                                                              <w:marBottom w:val="0"/>
                                                                                              <w:divBdr>
                                                                                                <w:top w:val="none" w:sz="0" w:space="0" w:color="auto"/>
                                                                                                <w:left w:val="none" w:sz="0" w:space="0" w:color="auto"/>
                                                                                                <w:bottom w:val="none" w:sz="0" w:space="0" w:color="auto"/>
                                                                                                <w:right w:val="none" w:sz="0" w:space="0" w:color="auto"/>
                                                                                              </w:divBdr>
                                                                                            </w:div>
                                                                                          </w:divsChild>
                                                                                        </w:div>
                                                                                        <w:div w:id="638658207">
                                                                                          <w:marLeft w:val="0"/>
                                                                                          <w:marRight w:val="0"/>
                                                                                          <w:marTop w:val="0"/>
                                                                                          <w:marBottom w:val="0"/>
                                                                                          <w:divBdr>
                                                                                            <w:top w:val="none" w:sz="0" w:space="0" w:color="auto"/>
                                                                                            <w:left w:val="none" w:sz="0" w:space="0" w:color="auto"/>
                                                                                            <w:bottom w:val="none" w:sz="0" w:space="0" w:color="auto"/>
                                                                                            <w:right w:val="none" w:sz="0" w:space="0" w:color="auto"/>
                                                                                          </w:divBdr>
                                                                                          <w:divsChild>
                                                                                            <w:div w:id="1509441852">
                                                                                              <w:marLeft w:val="0"/>
                                                                                              <w:marRight w:val="0"/>
                                                                                              <w:marTop w:val="0"/>
                                                                                              <w:marBottom w:val="0"/>
                                                                                              <w:divBdr>
                                                                                                <w:top w:val="none" w:sz="0" w:space="0" w:color="auto"/>
                                                                                                <w:left w:val="none" w:sz="0" w:space="0" w:color="auto"/>
                                                                                                <w:bottom w:val="none" w:sz="0" w:space="0" w:color="auto"/>
                                                                                                <w:right w:val="none" w:sz="0" w:space="0" w:color="auto"/>
                                                                                              </w:divBdr>
                                                                                            </w:div>
                                                                                          </w:divsChild>
                                                                                        </w:div>
                                                                                        <w:div w:id="693925562">
                                                                                          <w:marLeft w:val="0"/>
                                                                                          <w:marRight w:val="0"/>
                                                                                          <w:marTop w:val="0"/>
                                                                                          <w:marBottom w:val="0"/>
                                                                                          <w:divBdr>
                                                                                            <w:top w:val="none" w:sz="0" w:space="0" w:color="auto"/>
                                                                                            <w:left w:val="none" w:sz="0" w:space="0" w:color="auto"/>
                                                                                            <w:bottom w:val="none" w:sz="0" w:space="0" w:color="auto"/>
                                                                                            <w:right w:val="none" w:sz="0" w:space="0" w:color="auto"/>
                                                                                          </w:divBdr>
                                                                                          <w:divsChild>
                                                                                            <w:div w:id="1850754718">
                                                                                              <w:marLeft w:val="0"/>
                                                                                              <w:marRight w:val="0"/>
                                                                                              <w:marTop w:val="0"/>
                                                                                              <w:marBottom w:val="0"/>
                                                                                              <w:divBdr>
                                                                                                <w:top w:val="none" w:sz="0" w:space="0" w:color="auto"/>
                                                                                                <w:left w:val="none" w:sz="0" w:space="0" w:color="auto"/>
                                                                                                <w:bottom w:val="none" w:sz="0" w:space="0" w:color="auto"/>
                                                                                                <w:right w:val="none" w:sz="0" w:space="0" w:color="auto"/>
                                                                                              </w:divBdr>
                                                                                            </w:div>
                                                                                          </w:divsChild>
                                                                                        </w:div>
                                                                                        <w:div w:id="698165248">
                                                                                          <w:marLeft w:val="0"/>
                                                                                          <w:marRight w:val="0"/>
                                                                                          <w:marTop w:val="0"/>
                                                                                          <w:marBottom w:val="0"/>
                                                                                          <w:divBdr>
                                                                                            <w:top w:val="none" w:sz="0" w:space="0" w:color="auto"/>
                                                                                            <w:left w:val="none" w:sz="0" w:space="0" w:color="auto"/>
                                                                                            <w:bottom w:val="none" w:sz="0" w:space="0" w:color="auto"/>
                                                                                            <w:right w:val="none" w:sz="0" w:space="0" w:color="auto"/>
                                                                                          </w:divBdr>
                                                                                          <w:divsChild>
                                                                                            <w:div w:id="829754847">
                                                                                              <w:marLeft w:val="0"/>
                                                                                              <w:marRight w:val="0"/>
                                                                                              <w:marTop w:val="0"/>
                                                                                              <w:marBottom w:val="0"/>
                                                                                              <w:divBdr>
                                                                                                <w:top w:val="none" w:sz="0" w:space="0" w:color="auto"/>
                                                                                                <w:left w:val="none" w:sz="0" w:space="0" w:color="auto"/>
                                                                                                <w:bottom w:val="none" w:sz="0" w:space="0" w:color="auto"/>
                                                                                                <w:right w:val="none" w:sz="0" w:space="0" w:color="auto"/>
                                                                                              </w:divBdr>
                                                                                            </w:div>
                                                                                          </w:divsChild>
                                                                                        </w:div>
                                                                                        <w:div w:id="739257799">
                                                                                          <w:marLeft w:val="0"/>
                                                                                          <w:marRight w:val="0"/>
                                                                                          <w:marTop w:val="0"/>
                                                                                          <w:marBottom w:val="0"/>
                                                                                          <w:divBdr>
                                                                                            <w:top w:val="none" w:sz="0" w:space="0" w:color="auto"/>
                                                                                            <w:left w:val="none" w:sz="0" w:space="0" w:color="auto"/>
                                                                                            <w:bottom w:val="none" w:sz="0" w:space="0" w:color="auto"/>
                                                                                            <w:right w:val="none" w:sz="0" w:space="0" w:color="auto"/>
                                                                                          </w:divBdr>
                                                                                          <w:divsChild>
                                                                                            <w:div w:id="1977029050">
                                                                                              <w:marLeft w:val="0"/>
                                                                                              <w:marRight w:val="0"/>
                                                                                              <w:marTop w:val="0"/>
                                                                                              <w:marBottom w:val="0"/>
                                                                                              <w:divBdr>
                                                                                                <w:top w:val="none" w:sz="0" w:space="0" w:color="auto"/>
                                                                                                <w:left w:val="none" w:sz="0" w:space="0" w:color="auto"/>
                                                                                                <w:bottom w:val="none" w:sz="0" w:space="0" w:color="auto"/>
                                                                                                <w:right w:val="none" w:sz="0" w:space="0" w:color="auto"/>
                                                                                              </w:divBdr>
                                                                                            </w:div>
                                                                                          </w:divsChild>
                                                                                        </w:div>
                                                                                        <w:div w:id="747457581">
                                                                                          <w:marLeft w:val="0"/>
                                                                                          <w:marRight w:val="0"/>
                                                                                          <w:marTop w:val="0"/>
                                                                                          <w:marBottom w:val="0"/>
                                                                                          <w:divBdr>
                                                                                            <w:top w:val="none" w:sz="0" w:space="0" w:color="auto"/>
                                                                                            <w:left w:val="none" w:sz="0" w:space="0" w:color="auto"/>
                                                                                            <w:bottom w:val="none" w:sz="0" w:space="0" w:color="auto"/>
                                                                                            <w:right w:val="none" w:sz="0" w:space="0" w:color="auto"/>
                                                                                          </w:divBdr>
                                                                                          <w:divsChild>
                                                                                            <w:div w:id="789085621">
                                                                                              <w:marLeft w:val="0"/>
                                                                                              <w:marRight w:val="0"/>
                                                                                              <w:marTop w:val="0"/>
                                                                                              <w:marBottom w:val="0"/>
                                                                                              <w:divBdr>
                                                                                                <w:top w:val="none" w:sz="0" w:space="0" w:color="auto"/>
                                                                                                <w:left w:val="none" w:sz="0" w:space="0" w:color="auto"/>
                                                                                                <w:bottom w:val="none" w:sz="0" w:space="0" w:color="auto"/>
                                                                                                <w:right w:val="none" w:sz="0" w:space="0" w:color="auto"/>
                                                                                              </w:divBdr>
                                                                                            </w:div>
                                                                                          </w:divsChild>
                                                                                        </w:div>
                                                                                        <w:div w:id="781613943">
                                                                                          <w:marLeft w:val="0"/>
                                                                                          <w:marRight w:val="0"/>
                                                                                          <w:marTop w:val="0"/>
                                                                                          <w:marBottom w:val="0"/>
                                                                                          <w:divBdr>
                                                                                            <w:top w:val="none" w:sz="0" w:space="0" w:color="auto"/>
                                                                                            <w:left w:val="none" w:sz="0" w:space="0" w:color="auto"/>
                                                                                            <w:bottom w:val="none" w:sz="0" w:space="0" w:color="auto"/>
                                                                                            <w:right w:val="none" w:sz="0" w:space="0" w:color="auto"/>
                                                                                          </w:divBdr>
                                                                                          <w:divsChild>
                                                                                            <w:div w:id="1117524511">
                                                                                              <w:marLeft w:val="0"/>
                                                                                              <w:marRight w:val="0"/>
                                                                                              <w:marTop w:val="0"/>
                                                                                              <w:marBottom w:val="0"/>
                                                                                              <w:divBdr>
                                                                                                <w:top w:val="none" w:sz="0" w:space="0" w:color="auto"/>
                                                                                                <w:left w:val="none" w:sz="0" w:space="0" w:color="auto"/>
                                                                                                <w:bottom w:val="none" w:sz="0" w:space="0" w:color="auto"/>
                                                                                                <w:right w:val="none" w:sz="0" w:space="0" w:color="auto"/>
                                                                                              </w:divBdr>
                                                                                            </w:div>
                                                                                          </w:divsChild>
                                                                                        </w:div>
                                                                                        <w:div w:id="833303048">
                                                                                          <w:marLeft w:val="0"/>
                                                                                          <w:marRight w:val="0"/>
                                                                                          <w:marTop w:val="0"/>
                                                                                          <w:marBottom w:val="0"/>
                                                                                          <w:divBdr>
                                                                                            <w:top w:val="none" w:sz="0" w:space="0" w:color="auto"/>
                                                                                            <w:left w:val="none" w:sz="0" w:space="0" w:color="auto"/>
                                                                                            <w:bottom w:val="none" w:sz="0" w:space="0" w:color="auto"/>
                                                                                            <w:right w:val="none" w:sz="0" w:space="0" w:color="auto"/>
                                                                                          </w:divBdr>
                                                                                          <w:divsChild>
                                                                                            <w:div w:id="1353457751">
                                                                                              <w:marLeft w:val="0"/>
                                                                                              <w:marRight w:val="0"/>
                                                                                              <w:marTop w:val="0"/>
                                                                                              <w:marBottom w:val="0"/>
                                                                                              <w:divBdr>
                                                                                                <w:top w:val="none" w:sz="0" w:space="0" w:color="auto"/>
                                                                                                <w:left w:val="none" w:sz="0" w:space="0" w:color="auto"/>
                                                                                                <w:bottom w:val="none" w:sz="0" w:space="0" w:color="auto"/>
                                                                                                <w:right w:val="none" w:sz="0" w:space="0" w:color="auto"/>
                                                                                              </w:divBdr>
                                                                                            </w:div>
                                                                                          </w:divsChild>
                                                                                        </w:div>
                                                                                        <w:div w:id="850992891">
                                                                                          <w:marLeft w:val="0"/>
                                                                                          <w:marRight w:val="0"/>
                                                                                          <w:marTop w:val="0"/>
                                                                                          <w:marBottom w:val="0"/>
                                                                                          <w:divBdr>
                                                                                            <w:top w:val="none" w:sz="0" w:space="0" w:color="auto"/>
                                                                                            <w:left w:val="none" w:sz="0" w:space="0" w:color="auto"/>
                                                                                            <w:bottom w:val="none" w:sz="0" w:space="0" w:color="auto"/>
                                                                                            <w:right w:val="none" w:sz="0" w:space="0" w:color="auto"/>
                                                                                          </w:divBdr>
                                                                                          <w:divsChild>
                                                                                            <w:div w:id="1561748718">
                                                                                              <w:marLeft w:val="0"/>
                                                                                              <w:marRight w:val="0"/>
                                                                                              <w:marTop w:val="0"/>
                                                                                              <w:marBottom w:val="0"/>
                                                                                              <w:divBdr>
                                                                                                <w:top w:val="none" w:sz="0" w:space="0" w:color="auto"/>
                                                                                                <w:left w:val="none" w:sz="0" w:space="0" w:color="auto"/>
                                                                                                <w:bottom w:val="none" w:sz="0" w:space="0" w:color="auto"/>
                                                                                                <w:right w:val="none" w:sz="0" w:space="0" w:color="auto"/>
                                                                                              </w:divBdr>
                                                                                            </w:div>
                                                                                          </w:divsChild>
                                                                                        </w:div>
                                                                                        <w:div w:id="922757513">
                                                                                          <w:marLeft w:val="0"/>
                                                                                          <w:marRight w:val="0"/>
                                                                                          <w:marTop w:val="0"/>
                                                                                          <w:marBottom w:val="0"/>
                                                                                          <w:divBdr>
                                                                                            <w:top w:val="none" w:sz="0" w:space="0" w:color="auto"/>
                                                                                            <w:left w:val="none" w:sz="0" w:space="0" w:color="auto"/>
                                                                                            <w:bottom w:val="none" w:sz="0" w:space="0" w:color="auto"/>
                                                                                            <w:right w:val="none" w:sz="0" w:space="0" w:color="auto"/>
                                                                                          </w:divBdr>
                                                                                          <w:divsChild>
                                                                                            <w:div w:id="1959601933">
                                                                                              <w:marLeft w:val="0"/>
                                                                                              <w:marRight w:val="0"/>
                                                                                              <w:marTop w:val="0"/>
                                                                                              <w:marBottom w:val="0"/>
                                                                                              <w:divBdr>
                                                                                                <w:top w:val="none" w:sz="0" w:space="0" w:color="auto"/>
                                                                                                <w:left w:val="none" w:sz="0" w:space="0" w:color="auto"/>
                                                                                                <w:bottom w:val="none" w:sz="0" w:space="0" w:color="auto"/>
                                                                                                <w:right w:val="none" w:sz="0" w:space="0" w:color="auto"/>
                                                                                              </w:divBdr>
                                                                                            </w:div>
                                                                                          </w:divsChild>
                                                                                        </w:div>
                                                                                        <w:div w:id="943000670">
                                                                                          <w:marLeft w:val="0"/>
                                                                                          <w:marRight w:val="0"/>
                                                                                          <w:marTop w:val="0"/>
                                                                                          <w:marBottom w:val="0"/>
                                                                                          <w:divBdr>
                                                                                            <w:top w:val="none" w:sz="0" w:space="0" w:color="auto"/>
                                                                                            <w:left w:val="none" w:sz="0" w:space="0" w:color="auto"/>
                                                                                            <w:bottom w:val="none" w:sz="0" w:space="0" w:color="auto"/>
                                                                                            <w:right w:val="none" w:sz="0" w:space="0" w:color="auto"/>
                                                                                          </w:divBdr>
                                                                                          <w:divsChild>
                                                                                            <w:div w:id="1270236269">
                                                                                              <w:marLeft w:val="0"/>
                                                                                              <w:marRight w:val="0"/>
                                                                                              <w:marTop w:val="0"/>
                                                                                              <w:marBottom w:val="0"/>
                                                                                              <w:divBdr>
                                                                                                <w:top w:val="none" w:sz="0" w:space="0" w:color="auto"/>
                                                                                                <w:left w:val="none" w:sz="0" w:space="0" w:color="auto"/>
                                                                                                <w:bottom w:val="none" w:sz="0" w:space="0" w:color="auto"/>
                                                                                                <w:right w:val="none" w:sz="0" w:space="0" w:color="auto"/>
                                                                                              </w:divBdr>
                                                                                            </w:div>
                                                                                          </w:divsChild>
                                                                                        </w:div>
                                                                                        <w:div w:id="1000473250">
                                                                                          <w:marLeft w:val="0"/>
                                                                                          <w:marRight w:val="0"/>
                                                                                          <w:marTop w:val="0"/>
                                                                                          <w:marBottom w:val="0"/>
                                                                                          <w:divBdr>
                                                                                            <w:top w:val="none" w:sz="0" w:space="0" w:color="auto"/>
                                                                                            <w:left w:val="none" w:sz="0" w:space="0" w:color="auto"/>
                                                                                            <w:bottom w:val="none" w:sz="0" w:space="0" w:color="auto"/>
                                                                                            <w:right w:val="none" w:sz="0" w:space="0" w:color="auto"/>
                                                                                          </w:divBdr>
                                                                                          <w:divsChild>
                                                                                            <w:div w:id="1708750824">
                                                                                              <w:marLeft w:val="0"/>
                                                                                              <w:marRight w:val="0"/>
                                                                                              <w:marTop w:val="0"/>
                                                                                              <w:marBottom w:val="0"/>
                                                                                              <w:divBdr>
                                                                                                <w:top w:val="none" w:sz="0" w:space="0" w:color="auto"/>
                                                                                                <w:left w:val="none" w:sz="0" w:space="0" w:color="auto"/>
                                                                                                <w:bottom w:val="none" w:sz="0" w:space="0" w:color="auto"/>
                                                                                                <w:right w:val="none" w:sz="0" w:space="0" w:color="auto"/>
                                                                                              </w:divBdr>
                                                                                            </w:div>
                                                                                          </w:divsChild>
                                                                                        </w:div>
                                                                                        <w:div w:id="1004472132">
                                                                                          <w:marLeft w:val="0"/>
                                                                                          <w:marRight w:val="0"/>
                                                                                          <w:marTop w:val="0"/>
                                                                                          <w:marBottom w:val="0"/>
                                                                                          <w:divBdr>
                                                                                            <w:top w:val="none" w:sz="0" w:space="0" w:color="auto"/>
                                                                                            <w:left w:val="none" w:sz="0" w:space="0" w:color="auto"/>
                                                                                            <w:bottom w:val="none" w:sz="0" w:space="0" w:color="auto"/>
                                                                                            <w:right w:val="none" w:sz="0" w:space="0" w:color="auto"/>
                                                                                          </w:divBdr>
                                                                                          <w:divsChild>
                                                                                            <w:div w:id="511381376">
                                                                                              <w:marLeft w:val="0"/>
                                                                                              <w:marRight w:val="0"/>
                                                                                              <w:marTop w:val="0"/>
                                                                                              <w:marBottom w:val="0"/>
                                                                                              <w:divBdr>
                                                                                                <w:top w:val="none" w:sz="0" w:space="0" w:color="auto"/>
                                                                                                <w:left w:val="none" w:sz="0" w:space="0" w:color="auto"/>
                                                                                                <w:bottom w:val="none" w:sz="0" w:space="0" w:color="auto"/>
                                                                                                <w:right w:val="none" w:sz="0" w:space="0" w:color="auto"/>
                                                                                              </w:divBdr>
                                                                                            </w:div>
                                                                                          </w:divsChild>
                                                                                        </w:div>
                                                                                        <w:div w:id="1067532226">
                                                                                          <w:marLeft w:val="0"/>
                                                                                          <w:marRight w:val="0"/>
                                                                                          <w:marTop w:val="0"/>
                                                                                          <w:marBottom w:val="0"/>
                                                                                          <w:divBdr>
                                                                                            <w:top w:val="none" w:sz="0" w:space="0" w:color="auto"/>
                                                                                            <w:left w:val="none" w:sz="0" w:space="0" w:color="auto"/>
                                                                                            <w:bottom w:val="none" w:sz="0" w:space="0" w:color="auto"/>
                                                                                            <w:right w:val="none" w:sz="0" w:space="0" w:color="auto"/>
                                                                                          </w:divBdr>
                                                                                          <w:divsChild>
                                                                                            <w:div w:id="265307379">
                                                                                              <w:marLeft w:val="0"/>
                                                                                              <w:marRight w:val="0"/>
                                                                                              <w:marTop w:val="0"/>
                                                                                              <w:marBottom w:val="0"/>
                                                                                              <w:divBdr>
                                                                                                <w:top w:val="none" w:sz="0" w:space="0" w:color="auto"/>
                                                                                                <w:left w:val="none" w:sz="0" w:space="0" w:color="auto"/>
                                                                                                <w:bottom w:val="none" w:sz="0" w:space="0" w:color="auto"/>
                                                                                                <w:right w:val="none" w:sz="0" w:space="0" w:color="auto"/>
                                                                                              </w:divBdr>
                                                                                            </w:div>
                                                                                          </w:divsChild>
                                                                                        </w:div>
                                                                                        <w:div w:id="1076709138">
                                                                                          <w:marLeft w:val="0"/>
                                                                                          <w:marRight w:val="0"/>
                                                                                          <w:marTop w:val="0"/>
                                                                                          <w:marBottom w:val="0"/>
                                                                                          <w:divBdr>
                                                                                            <w:top w:val="none" w:sz="0" w:space="0" w:color="auto"/>
                                                                                            <w:left w:val="none" w:sz="0" w:space="0" w:color="auto"/>
                                                                                            <w:bottom w:val="none" w:sz="0" w:space="0" w:color="auto"/>
                                                                                            <w:right w:val="none" w:sz="0" w:space="0" w:color="auto"/>
                                                                                          </w:divBdr>
                                                                                          <w:divsChild>
                                                                                            <w:div w:id="675616307">
                                                                                              <w:marLeft w:val="0"/>
                                                                                              <w:marRight w:val="0"/>
                                                                                              <w:marTop w:val="0"/>
                                                                                              <w:marBottom w:val="0"/>
                                                                                              <w:divBdr>
                                                                                                <w:top w:val="none" w:sz="0" w:space="0" w:color="auto"/>
                                                                                                <w:left w:val="none" w:sz="0" w:space="0" w:color="auto"/>
                                                                                                <w:bottom w:val="none" w:sz="0" w:space="0" w:color="auto"/>
                                                                                                <w:right w:val="none" w:sz="0" w:space="0" w:color="auto"/>
                                                                                              </w:divBdr>
                                                                                            </w:div>
                                                                                          </w:divsChild>
                                                                                        </w:div>
                                                                                        <w:div w:id="1090009069">
                                                                                          <w:marLeft w:val="0"/>
                                                                                          <w:marRight w:val="0"/>
                                                                                          <w:marTop w:val="0"/>
                                                                                          <w:marBottom w:val="0"/>
                                                                                          <w:divBdr>
                                                                                            <w:top w:val="none" w:sz="0" w:space="0" w:color="auto"/>
                                                                                            <w:left w:val="none" w:sz="0" w:space="0" w:color="auto"/>
                                                                                            <w:bottom w:val="none" w:sz="0" w:space="0" w:color="auto"/>
                                                                                            <w:right w:val="none" w:sz="0" w:space="0" w:color="auto"/>
                                                                                          </w:divBdr>
                                                                                          <w:divsChild>
                                                                                            <w:div w:id="1369990873">
                                                                                              <w:marLeft w:val="0"/>
                                                                                              <w:marRight w:val="0"/>
                                                                                              <w:marTop w:val="0"/>
                                                                                              <w:marBottom w:val="0"/>
                                                                                              <w:divBdr>
                                                                                                <w:top w:val="none" w:sz="0" w:space="0" w:color="auto"/>
                                                                                                <w:left w:val="none" w:sz="0" w:space="0" w:color="auto"/>
                                                                                                <w:bottom w:val="none" w:sz="0" w:space="0" w:color="auto"/>
                                                                                                <w:right w:val="none" w:sz="0" w:space="0" w:color="auto"/>
                                                                                              </w:divBdr>
                                                                                            </w:div>
                                                                                          </w:divsChild>
                                                                                        </w:div>
                                                                                        <w:div w:id="1105735777">
                                                                                          <w:marLeft w:val="0"/>
                                                                                          <w:marRight w:val="0"/>
                                                                                          <w:marTop w:val="0"/>
                                                                                          <w:marBottom w:val="0"/>
                                                                                          <w:divBdr>
                                                                                            <w:top w:val="none" w:sz="0" w:space="0" w:color="auto"/>
                                                                                            <w:left w:val="none" w:sz="0" w:space="0" w:color="auto"/>
                                                                                            <w:bottom w:val="none" w:sz="0" w:space="0" w:color="auto"/>
                                                                                            <w:right w:val="none" w:sz="0" w:space="0" w:color="auto"/>
                                                                                          </w:divBdr>
                                                                                          <w:divsChild>
                                                                                            <w:div w:id="416827422">
                                                                                              <w:marLeft w:val="0"/>
                                                                                              <w:marRight w:val="0"/>
                                                                                              <w:marTop w:val="0"/>
                                                                                              <w:marBottom w:val="0"/>
                                                                                              <w:divBdr>
                                                                                                <w:top w:val="none" w:sz="0" w:space="0" w:color="auto"/>
                                                                                                <w:left w:val="none" w:sz="0" w:space="0" w:color="auto"/>
                                                                                                <w:bottom w:val="none" w:sz="0" w:space="0" w:color="auto"/>
                                                                                                <w:right w:val="none" w:sz="0" w:space="0" w:color="auto"/>
                                                                                              </w:divBdr>
                                                                                            </w:div>
                                                                                          </w:divsChild>
                                                                                        </w:div>
                                                                                        <w:div w:id="1119880251">
                                                                                          <w:marLeft w:val="0"/>
                                                                                          <w:marRight w:val="0"/>
                                                                                          <w:marTop w:val="0"/>
                                                                                          <w:marBottom w:val="0"/>
                                                                                          <w:divBdr>
                                                                                            <w:top w:val="none" w:sz="0" w:space="0" w:color="auto"/>
                                                                                            <w:left w:val="none" w:sz="0" w:space="0" w:color="auto"/>
                                                                                            <w:bottom w:val="none" w:sz="0" w:space="0" w:color="auto"/>
                                                                                            <w:right w:val="none" w:sz="0" w:space="0" w:color="auto"/>
                                                                                          </w:divBdr>
                                                                                          <w:divsChild>
                                                                                            <w:div w:id="2142963327">
                                                                                              <w:marLeft w:val="0"/>
                                                                                              <w:marRight w:val="0"/>
                                                                                              <w:marTop w:val="0"/>
                                                                                              <w:marBottom w:val="0"/>
                                                                                              <w:divBdr>
                                                                                                <w:top w:val="none" w:sz="0" w:space="0" w:color="auto"/>
                                                                                                <w:left w:val="none" w:sz="0" w:space="0" w:color="auto"/>
                                                                                                <w:bottom w:val="none" w:sz="0" w:space="0" w:color="auto"/>
                                                                                                <w:right w:val="none" w:sz="0" w:space="0" w:color="auto"/>
                                                                                              </w:divBdr>
                                                                                            </w:div>
                                                                                          </w:divsChild>
                                                                                        </w:div>
                                                                                        <w:div w:id="1135879472">
                                                                                          <w:marLeft w:val="0"/>
                                                                                          <w:marRight w:val="0"/>
                                                                                          <w:marTop w:val="0"/>
                                                                                          <w:marBottom w:val="0"/>
                                                                                          <w:divBdr>
                                                                                            <w:top w:val="none" w:sz="0" w:space="0" w:color="auto"/>
                                                                                            <w:left w:val="none" w:sz="0" w:space="0" w:color="auto"/>
                                                                                            <w:bottom w:val="none" w:sz="0" w:space="0" w:color="auto"/>
                                                                                            <w:right w:val="none" w:sz="0" w:space="0" w:color="auto"/>
                                                                                          </w:divBdr>
                                                                                          <w:divsChild>
                                                                                            <w:div w:id="391538033">
                                                                                              <w:marLeft w:val="0"/>
                                                                                              <w:marRight w:val="0"/>
                                                                                              <w:marTop w:val="0"/>
                                                                                              <w:marBottom w:val="0"/>
                                                                                              <w:divBdr>
                                                                                                <w:top w:val="none" w:sz="0" w:space="0" w:color="auto"/>
                                                                                                <w:left w:val="none" w:sz="0" w:space="0" w:color="auto"/>
                                                                                                <w:bottom w:val="none" w:sz="0" w:space="0" w:color="auto"/>
                                                                                                <w:right w:val="none" w:sz="0" w:space="0" w:color="auto"/>
                                                                                              </w:divBdr>
                                                                                            </w:div>
                                                                                          </w:divsChild>
                                                                                        </w:div>
                                                                                        <w:div w:id="1147013258">
                                                                                          <w:marLeft w:val="0"/>
                                                                                          <w:marRight w:val="0"/>
                                                                                          <w:marTop w:val="0"/>
                                                                                          <w:marBottom w:val="0"/>
                                                                                          <w:divBdr>
                                                                                            <w:top w:val="none" w:sz="0" w:space="0" w:color="auto"/>
                                                                                            <w:left w:val="none" w:sz="0" w:space="0" w:color="auto"/>
                                                                                            <w:bottom w:val="none" w:sz="0" w:space="0" w:color="auto"/>
                                                                                            <w:right w:val="none" w:sz="0" w:space="0" w:color="auto"/>
                                                                                          </w:divBdr>
                                                                                          <w:divsChild>
                                                                                            <w:div w:id="276300211">
                                                                                              <w:marLeft w:val="0"/>
                                                                                              <w:marRight w:val="0"/>
                                                                                              <w:marTop w:val="0"/>
                                                                                              <w:marBottom w:val="0"/>
                                                                                              <w:divBdr>
                                                                                                <w:top w:val="none" w:sz="0" w:space="0" w:color="auto"/>
                                                                                                <w:left w:val="none" w:sz="0" w:space="0" w:color="auto"/>
                                                                                                <w:bottom w:val="none" w:sz="0" w:space="0" w:color="auto"/>
                                                                                                <w:right w:val="none" w:sz="0" w:space="0" w:color="auto"/>
                                                                                              </w:divBdr>
                                                                                            </w:div>
                                                                                          </w:divsChild>
                                                                                        </w:div>
                                                                                        <w:div w:id="1163156603">
                                                                                          <w:marLeft w:val="0"/>
                                                                                          <w:marRight w:val="0"/>
                                                                                          <w:marTop w:val="0"/>
                                                                                          <w:marBottom w:val="0"/>
                                                                                          <w:divBdr>
                                                                                            <w:top w:val="none" w:sz="0" w:space="0" w:color="auto"/>
                                                                                            <w:left w:val="none" w:sz="0" w:space="0" w:color="auto"/>
                                                                                            <w:bottom w:val="none" w:sz="0" w:space="0" w:color="auto"/>
                                                                                            <w:right w:val="none" w:sz="0" w:space="0" w:color="auto"/>
                                                                                          </w:divBdr>
                                                                                          <w:divsChild>
                                                                                            <w:div w:id="1260601350">
                                                                                              <w:marLeft w:val="0"/>
                                                                                              <w:marRight w:val="0"/>
                                                                                              <w:marTop w:val="0"/>
                                                                                              <w:marBottom w:val="0"/>
                                                                                              <w:divBdr>
                                                                                                <w:top w:val="none" w:sz="0" w:space="0" w:color="auto"/>
                                                                                                <w:left w:val="none" w:sz="0" w:space="0" w:color="auto"/>
                                                                                                <w:bottom w:val="none" w:sz="0" w:space="0" w:color="auto"/>
                                                                                                <w:right w:val="none" w:sz="0" w:space="0" w:color="auto"/>
                                                                                              </w:divBdr>
                                                                                            </w:div>
                                                                                          </w:divsChild>
                                                                                        </w:div>
                                                                                        <w:div w:id="1193304158">
                                                                                          <w:marLeft w:val="0"/>
                                                                                          <w:marRight w:val="0"/>
                                                                                          <w:marTop w:val="0"/>
                                                                                          <w:marBottom w:val="0"/>
                                                                                          <w:divBdr>
                                                                                            <w:top w:val="none" w:sz="0" w:space="0" w:color="auto"/>
                                                                                            <w:left w:val="none" w:sz="0" w:space="0" w:color="auto"/>
                                                                                            <w:bottom w:val="none" w:sz="0" w:space="0" w:color="auto"/>
                                                                                            <w:right w:val="none" w:sz="0" w:space="0" w:color="auto"/>
                                                                                          </w:divBdr>
                                                                                          <w:divsChild>
                                                                                            <w:div w:id="18625108">
                                                                                              <w:marLeft w:val="0"/>
                                                                                              <w:marRight w:val="0"/>
                                                                                              <w:marTop w:val="0"/>
                                                                                              <w:marBottom w:val="0"/>
                                                                                              <w:divBdr>
                                                                                                <w:top w:val="none" w:sz="0" w:space="0" w:color="auto"/>
                                                                                                <w:left w:val="none" w:sz="0" w:space="0" w:color="auto"/>
                                                                                                <w:bottom w:val="none" w:sz="0" w:space="0" w:color="auto"/>
                                                                                                <w:right w:val="none" w:sz="0" w:space="0" w:color="auto"/>
                                                                                              </w:divBdr>
                                                                                            </w:div>
                                                                                          </w:divsChild>
                                                                                        </w:div>
                                                                                        <w:div w:id="1267425421">
                                                                                          <w:marLeft w:val="0"/>
                                                                                          <w:marRight w:val="0"/>
                                                                                          <w:marTop w:val="0"/>
                                                                                          <w:marBottom w:val="0"/>
                                                                                          <w:divBdr>
                                                                                            <w:top w:val="none" w:sz="0" w:space="0" w:color="auto"/>
                                                                                            <w:left w:val="none" w:sz="0" w:space="0" w:color="auto"/>
                                                                                            <w:bottom w:val="none" w:sz="0" w:space="0" w:color="auto"/>
                                                                                            <w:right w:val="none" w:sz="0" w:space="0" w:color="auto"/>
                                                                                          </w:divBdr>
                                                                                          <w:divsChild>
                                                                                            <w:div w:id="1393314720">
                                                                                              <w:marLeft w:val="0"/>
                                                                                              <w:marRight w:val="0"/>
                                                                                              <w:marTop w:val="0"/>
                                                                                              <w:marBottom w:val="0"/>
                                                                                              <w:divBdr>
                                                                                                <w:top w:val="none" w:sz="0" w:space="0" w:color="auto"/>
                                                                                                <w:left w:val="none" w:sz="0" w:space="0" w:color="auto"/>
                                                                                                <w:bottom w:val="none" w:sz="0" w:space="0" w:color="auto"/>
                                                                                                <w:right w:val="none" w:sz="0" w:space="0" w:color="auto"/>
                                                                                              </w:divBdr>
                                                                                            </w:div>
                                                                                          </w:divsChild>
                                                                                        </w:div>
                                                                                        <w:div w:id="1282152433">
                                                                                          <w:marLeft w:val="0"/>
                                                                                          <w:marRight w:val="0"/>
                                                                                          <w:marTop w:val="0"/>
                                                                                          <w:marBottom w:val="0"/>
                                                                                          <w:divBdr>
                                                                                            <w:top w:val="none" w:sz="0" w:space="0" w:color="auto"/>
                                                                                            <w:left w:val="none" w:sz="0" w:space="0" w:color="auto"/>
                                                                                            <w:bottom w:val="none" w:sz="0" w:space="0" w:color="auto"/>
                                                                                            <w:right w:val="none" w:sz="0" w:space="0" w:color="auto"/>
                                                                                          </w:divBdr>
                                                                                          <w:divsChild>
                                                                                            <w:div w:id="1357080648">
                                                                                              <w:marLeft w:val="0"/>
                                                                                              <w:marRight w:val="0"/>
                                                                                              <w:marTop w:val="0"/>
                                                                                              <w:marBottom w:val="0"/>
                                                                                              <w:divBdr>
                                                                                                <w:top w:val="none" w:sz="0" w:space="0" w:color="auto"/>
                                                                                                <w:left w:val="none" w:sz="0" w:space="0" w:color="auto"/>
                                                                                                <w:bottom w:val="none" w:sz="0" w:space="0" w:color="auto"/>
                                                                                                <w:right w:val="none" w:sz="0" w:space="0" w:color="auto"/>
                                                                                              </w:divBdr>
                                                                                            </w:div>
                                                                                          </w:divsChild>
                                                                                        </w:div>
                                                                                        <w:div w:id="1437213193">
                                                                                          <w:marLeft w:val="0"/>
                                                                                          <w:marRight w:val="0"/>
                                                                                          <w:marTop w:val="0"/>
                                                                                          <w:marBottom w:val="0"/>
                                                                                          <w:divBdr>
                                                                                            <w:top w:val="none" w:sz="0" w:space="0" w:color="auto"/>
                                                                                            <w:left w:val="none" w:sz="0" w:space="0" w:color="auto"/>
                                                                                            <w:bottom w:val="none" w:sz="0" w:space="0" w:color="auto"/>
                                                                                            <w:right w:val="none" w:sz="0" w:space="0" w:color="auto"/>
                                                                                          </w:divBdr>
                                                                                          <w:divsChild>
                                                                                            <w:div w:id="414396021">
                                                                                              <w:marLeft w:val="0"/>
                                                                                              <w:marRight w:val="0"/>
                                                                                              <w:marTop w:val="0"/>
                                                                                              <w:marBottom w:val="0"/>
                                                                                              <w:divBdr>
                                                                                                <w:top w:val="none" w:sz="0" w:space="0" w:color="auto"/>
                                                                                                <w:left w:val="none" w:sz="0" w:space="0" w:color="auto"/>
                                                                                                <w:bottom w:val="none" w:sz="0" w:space="0" w:color="auto"/>
                                                                                                <w:right w:val="none" w:sz="0" w:space="0" w:color="auto"/>
                                                                                              </w:divBdr>
                                                                                            </w:div>
                                                                                          </w:divsChild>
                                                                                        </w:div>
                                                                                        <w:div w:id="1458329893">
                                                                                          <w:marLeft w:val="0"/>
                                                                                          <w:marRight w:val="0"/>
                                                                                          <w:marTop w:val="0"/>
                                                                                          <w:marBottom w:val="0"/>
                                                                                          <w:divBdr>
                                                                                            <w:top w:val="none" w:sz="0" w:space="0" w:color="auto"/>
                                                                                            <w:left w:val="none" w:sz="0" w:space="0" w:color="auto"/>
                                                                                            <w:bottom w:val="none" w:sz="0" w:space="0" w:color="auto"/>
                                                                                            <w:right w:val="none" w:sz="0" w:space="0" w:color="auto"/>
                                                                                          </w:divBdr>
                                                                                          <w:divsChild>
                                                                                            <w:div w:id="1381981403">
                                                                                              <w:marLeft w:val="0"/>
                                                                                              <w:marRight w:val="0"/>
                                                                                              <w:marTop w:val="0"/>
                                                                                              <w:marBottom w:val="0"/>
                                                                                              <w:divBdr>
                                                                                                <w:top w:val="none" w:sz="0" w:space="0" w:color="auto"/>
                                                                                                <w:left w:val="none" w:sz="0" w:space="0" w:color="auto"/>
                                                                                                <w:bottom w:val="none" w:sz="0" w:space="0" w:color="auto"/>
                                                                                                <w:right w:val="none" w:sz="0" w:space="0" w:color="auto"/>
                                                                                              </w:divBdr>
                                                                                            </w:div>
                                                                                          </w:divsChild>
                                                                                        </w:div>
                                                                                        <w:div w:id="1468087563">
                                                                                          <w:marLeft w:val="0"/>
                                                                                          <w:marRight w:val="0"/>
                                                                                          <w:marTop w:val="0"/>
                                                                                          <w:marBottom w:val="0"/>
                                                                                          <w:divBdr>
                                                                                            <w:top w:val="none" w:sz="0" w:space="0" w:color="auto"/>
                                                                                            <w:left w:val="none" w:sz="0" w:space="0" w:color="auto"/>
                                                                                            <w:bottom w:val="none" w:sz="0" w:space="0" w:color="auto"/>
                                                                                            <w:right w:val="none" w:sz="0" w:space="0" w:color="auto"/>
                                                                                          </w:divBdr>
                                                                                          <w:divsChild>
                                                                                            <w:div w:id="320744530">
                                                                                              <w:marLeft w:val="0"/>
                                                                                              <w:marRight w:val="0"/>
                                                                                              <w:marTop w:val="0"/>
                                                                                              <w:marBottom w:val="0"/>
                                                                                              <w:divBdr>
                                                                                                <w:top w:val="none" w:sz="0" w:space="0" w:color="auto"/>
                                                                                                <w:left w:val="none" w:sz="0" w:space="0" w:color="auto"/>
                                                                                                <w:bottom w:val="none" w:sz="0" w:space="0" w:color="auto"/>
                                                                                                <w:right w:val="none" w:sz="0" w:space="0" w:color="auto"/>
                                                                                              </w:divBdr>
                                                                                            </w:div>
                                                                                          </w:divsChild>
                                                                                        </w:div>
                                                                                        <w:div w:id="1474173045">
                                                                                          <w:marLeft w:val="0"/>
                                                                                          <w:marRight w:val="0"/>
                                                                                          <w:marTop w:val="0"/>
                                                                                          <w:marBottom w:val="0"/>
                                                                                          <w:divBdr>
                                                                                            <w:top w:val="none" w:sz="0" w:space="0" w:color="auto"/>
                                                                                            <w:left w:val="none" w:sz="0" w:space="0" w:color="auto"/>
                                                                                            <w:bottom w:val="none" w:sz="0" w:space="0" w:color="auto"/>
                                                                                            <w:right w:val="none" w:sz="0" w:space="0" w:color="auto"/>
                                                                                          </w:divBdr>
                                                                                          <w:divsChild>
                                                                                            <w:div w:id="1573928516">
                                                                                              <w:marLeft w:val="0"/>
                                                                                              <w:marRight w:val="0"/>
                                                                                              <w:marTop w:val="0"/>
                                                                                              <w:marBottom w:val="0"/>
                                                                                              <w:divBdr>
                                                                                                <w:top w:val="none" w:sz="0" w:space="0" w:color="auto"/>
                                                                                                <w:left w:val="none" w:sz="0" w:space="0" w:color="auto"/>
                                                                                                <w:bottom w:val="none" w:sz="0" w:space="0" w:color="auto"/>
                                                                                                <w:right w:val="none" w:sz="0" w:space="0" w:color="auto"/>
                                                                                              </w:divBdr>
                                                                                            </w:div>
                                                                                          </w:divsChild>
                                                                                        </w:div>
                                                                                        <w:div w:id="1500653076">
                                                                                          <w:marLeft w:val="0"/>
                                                                                          <w:marRight w:val="0"/>
                                                                                          <w:marTop w:val="0"/>
                                                                                          <w:marBottom w:val="0"/>
                                                                                          <w:divBdr>
                                                                                            <w:top w:val="none" w:sz="0" w:space="0" w:color="auto"/>
                                                                                            <w:left w:val="none" w:sz="0" w:space="0" w:color="auto"/>
                                                                                            <w:bottom w:val="none" w:sz="0" w:space="0" w:color="auto"/>
                                                                                            <w:right w:val="none" w:sz="0" w:space="0" w:color="auto"/>
                                                                                          </w:divBdr>
                                                                                          <w:divsChild>
                                                                                            <w:div w:id="1735926965">
                                                                                              <w:marLeft w:val="0"/>
                                                                                              <w:marRight w:val="0"/>
                                                                                              <w:marTop w:val="0"/>
                                                                                              <w:marBottom w:val="0"/>
                                                                                              <w:divBdr>
                                                                                                <w:top w:val="none" w:sz="0" w:space="0" w:color="auto"/>
                                                                                                <w:left w:val="none" w:sz="0" w:space="0" w:color="auto"/>
                                                                                                <w:bottom w:val="none" w:sz="0" w:space="0" w:color="auto"/>
                                                                                                <w:right w:val="none" w:sz="0" w:space="0" w:color="auto"/>
                                                                                              </w:divBdr>
                                                                                            </w:div>
                                                                                          </w:divsChild>
                                                                                        </w:div>
                                                                                        <w:div w:id="1500920313">
                                                                                          <w:marLeft w:val="0"/>
                                                                                          <w:marRight w:val="0"/>
                                                                                          <w:marTop w:val="0"/>
                                                                                          <w:marBottom w:val="0"/>
                                                                                          <w:divBdr>
                                                                                            <w:top w:val="none" w:sz="0" w:space="0" w:color="auto"/>
                                                                                            <w:left w:val="none" w:sz="0" w:space="0" w:color="auto"/>
                                                                                            <w:bottom w:val="none" w:sz="0" w:space="0" w:color="auto"/>
                                                                                            <w:right w:val="none" w:sz="0" w:space="0" w:color="auto"/>
                                                                                          </w:divBdr>
                                                                                          <w:divsChild>
                                                                                            <w:div w:id="1965118796">
                                                                                              <w:marLeft w:val="0"/>
                                                                                              <w:marRight w:val="0"/>
                                                                                              <w:marTop w:val="0"/>
                                                                                              <w:marBottom w:val="0"/>
                                                                                              <w:divBdr>
                                                                                                <w:top w:val="none" w:sz="0" w:space="0" w:color="auto"/>
                                                                                                <w:left w:val="none" w:sz="0" w:space="0" w:color="auto"/>
                                                                                                <w:bottom w:val="none" w:sz="0" w:space="0" w:color="auto"/>
                                                                                                <w:right w:val="none" w:sz="0" w:space="0" w:color="auto"/>
                                                                                              </w:divBdr>
                                                                                            </w:div>
                                                                                          </w:divsChild>
                                                                                        </w:div>
                                                                                        <w:div w:id="1514806240">
                                                                                          <w:marLeft w:val="0"/>
                                                                                          <w:marRight w:val="0"/>
                                                                                          <w:marTop w:val="0"/>
                                                                                          <w:marBottom w:val="0"/>
                                                                                          <w:divBdr>
                                                                                            <w:top w:val="none" w:sz="0" w:space="0" w:color="auto"/>
                                                                                            <w:left w:val="none" w:sz="0" w:space="0" w:color="auto"/>
                                                                                            <w:bottom w:val="none" w:sz="0" w:space="0" w:color="auto"/>
                                                                                            <w:right w:val="none" w:sz="0" w:space="0" w:color="auto"/>
                                                                                          </w:divBdr>
                                                                                          <w:divsChild>
                                                                                            <w:div w:id="1962177273">
                                                                                              <w:marLeft w:val="0"/>
                                                                                              <w:marRight w:val="0"/>
                                                                                              <w:marTop w:val="0"/>
                                                                                              <w:marBottom w:val="0"/>
                                                                                              <w:divBdr>
                                                                                                <w:top w:val="none" w:sz="0" w:space="0" w:color="auto"/>
                                                                                                <w:left w:val="none" w:sz="0" w:space="0" w:color="auto"/>
                                                                                                <w:bottom w:val="none" w:sz="0" w:space="0" w:color="auto"/>
                                                                                                <w:right w:val="none" w:sz="0" w:space="0" w:color="auto"/>
                                                                                              </w:divBdr>
                                                                                            </w:div>
                                                                                          </w:divsChild>
                                                                                        </w:div>
                                                                                        <w:div w:id="1525679227">
                                                                                          <w:marLeft w:val="0"/>
                                                                                          <w:marRight w:val="0"/>
                                                                                          <w:marTop w:val="0"/>
                                                                                          <w:marBottom w:val="0"/>
                                                                                          <w:divBdr>
                                                                                            <w:top w:val="none" w:sz="0" w:space="0" w:color="auto"/>
                                                                                            <w:left w:val="none" w:sz="0" w:space="0" w:color="auto"/>
                                                                                            <w:bottom w:val="none" w:sz="0" w:space="0" w:color="auto"/>
                                                                                            <w:right w:val="none" w:sz="0" w:space="0" w:color="auto"/>
                                                                                          </w:divBdr>
                                                                                          <w:divsChild>
                                                                                            <w:div w:id="1369913373">
                                                                                              <w:marLeft w:val="0"/>
                                                                                              <w:marRight w:val="0"/>
                                                                                              <w:marTop w:val="0"/>
                                                                                              <w:marBottom w:val="0"/>
                                                                                              <w:divBdr>
                                                                                                <w:top w:val="none" w:sz="0" w:space="0" w:color="auto"/>
                                                                                                <w:left w:val="none" w:sz="0" w:space="0" w:color="auto"/>
                                                                                                <w:bottom w:val="none" w:sz="0" w:space="0" w:color="auto"/>
                                                                                                <w:right w:val="none" w:sz="0" w:space="0" w:color="auto"/>
                                                                                              </w:divBdr>
                                                                                            </w:div>
                                                                                          </w:divsChild>
                                                                                        </w:div>
                                                                                        <w:div w:id="1546061352">
                                                                                          <w:marLeft w:val="0"/>
                                                                                          <w:marRight w:val="0"/>
                                                                                          <w:marTop w:val="0"/>
                                                                                          <w:marBottom w:val="0"/>
                                                                                          <w:divBdr>
                                                                                            <w:top w:val="none" w:sz="0" w:space="0" w:color="auto"/>
                                                                                            <w:left w:val="none" w:sz="0" w:space="0" w:color="auto"/>
                                                                                            <w:bottom w:val="none" w:sz="0" w:space="0" w:color="auto"/>
                                                                                            <w:right w:val="none" w:sz="0" w:space="0" w:color="auto"/>
                                                                                          </w:divBdr>
                                                                                          <w:divsChild>
                                                                                            <w:div w:id="283200533">
                                                                                              <w:marLeft w:val="0"/>
                                                                                              <w:marRight w:val="0"/>
                                                                                              <w:marTop w:val="0"/>
                                                                                              <w:marBottom w:val="0"/>
                                                                                              <w:divBdr>
                                                                                                <w:top w:val="none" w:sz="0" w:space="0" w:color="auto"/>
                                                                                                <w:left w:val="none" w:sz="0" w:space="0" w:color="auto"/>
                                                                                                <w:bottom w:val="none" w:sz="0" w:space="0" w:color="auto"/>
                                                                                                <w:right w:val="none" w:sz="0" w:space="0" w:color="auto"/>
                                                                                              </w:divBdr>
                                                                                            </w:div>
                                                                                          </w:divsChild>
                                                                                        </w:div>
                                                                                        <w:div w:id="1589999913">
                                                                                          <w:marLeft w:val="0"/>
                                                                                          <w:marRight w:val="0"/>
                                                                                          <w:marTop w:val="0"/>
                                                                                          <w:marBottom w:val="0"/>
                                                                                          <w:divBdr>
                                                                                            <w:top w:val="none" w:sz="0" w:space="0" w:color="auto"/>
                                                                                            <w:left w:val="none" w:sz="0" w:space="0" w:color="auto"/>
                                                                                            <w:bottom w:val="none" w:sz="0" w:space="0" w:color="auto"/>
                                                                                            <w:right w:val="none" w:sz="0" w:space="0" w:color="auto"/>
                                                                                          </w:divBdr>
                                                                                          <w:divsChild>
                                                                                            <w:div w:id="707527369">
                                                                                              <w:marLeft w:val="0"/>
                                                                                              <w:marRight w:val="0"/>
                                                                                              <w:marTop w:val="0"/>
                                                                                              <w:marBottom w:val="0"/>
                                                                                              <w:divBdr>
                                                                                                <w:top w:val="none" w:sz="0" w:space="0" w:color="auto"/>
                                                                                                <w:left w:val="none" w:sz="0" w:space="0" w:color="auto"/>
                                                                                                <w:bottom w:val="none" w:sz="0" w:space="0" w:color="auto"/>
                                                                                                <w:right w:val="none" w:sz="0" w:space="0" w:color="auto"/>
                                                                                              </w:divBdr>
                                                                                            </w:div>
                                                                                          </w:divsChild>
                                                                                        </w:div>
                                                                                        <w:div w:id="1598824883">
                                                                                          <w:marLeft w:val="0"/>
                                                                                          <w:marRight w:val="0"/>
                                                                                          <w:marTop w:val="0"/>
                                                                                          <w:marBottom w:val="0"/>
                                                                                          <w:divBdr>
                                                                                            <w:top w:val="none" w:sz="0" w:space="0" w:color="auto"/>
                                                                                            <w:left w:val="none" w:sz="0" w:space="0" w:color="auto"/>
                                                                                            <w:bottom w:val="none" w:sz="0" w:space="0" w:color="auto"/>
                                                                                            <w:right w:val="none" w:sz="0" w:space="0" w:color="auto"/>
                                                                                          </w:divBdr>
                                                                                          <w:divsChild>
                                                                                            <w:div w:id="27030935">
                                                                                              <w:marLeft w:val="0"/>
                                                                                              <w:marRight w:val="0"/>
                                                                                              <w:marTop w:val="0"/>
                                                                                              <w:marBottom w:val="0"/>
                                                                                              <w:divBdr>
                                                                                                <w:top w:val="none" w:sz="0" w:space="0" w:color="auto"/>
                                                                                                <w:left w:val="none" w:sz="0" w:space="0" w:color="auto"/>
                                                                                                <w:bottom w:val="none" w:sz="0" w:space="0" w:color="auto"/>
                                                                                                <w:right w:val="none" w:sz="0" w:space="0" w:color="auto"/>
                                                                                              </w:divBdr>
                                                                                            </w:div>
                                                                                          </w:divsChild>
                                                                                        </w:div>
                                                                                        <w:div w:id="1668438734">
                                                                                          <w:marLeft w:val="0"/>
                                                                                          <w:marRight w:val="0"/>
                                                                                          <w:marTop w:val="0"/>
                                                                                          <w:marBottom w:val="0"/>
                                                                                          <w:divBdr>
                                                                                            <w:top w:val="none" w:sz="0" w:space="0" w:color="auto"/>
                                                                                            <w:left w:val="none" w:sz="0" w:space="0" w:color="auto"/>
                                                                                            <w:bottom w:val="none" w:sz="0" w:space="0" w:color="auto"/>
                                                                                            <w:right w:val="none" w:sz="0" w:space="0" w:color="auto"/>
                                                                                          </w:divBdr>
                                                                                          <w:divsChild>
                                                                                            <w:div w:id="1987776959">
                                                                                              <w:marLeft w:val="0"/>
                                                                                              <w:marRight w:val="0"/>
                                                                                              <w:marTop w:val="0"/>
                                                                                              <w:marBottom w:val="0"/>
                                                                                              <w:divBdr>
                                                                                                <w:top w:val="none" w:sz="0" w:space="0" w:color="auto"/>
                                                                                                <w:left w:val="none" w:sz="0" w:space="0" w:color="auto"/>
                                                                                                <w:bottom w:val="none" w:sz="0" w:space="0" w:color="auto"/>
                                                                                                <w:right w:val="none" w:sz="0" w:space="0" w:color="auto"/>
                                                                                              </w:divBdr>
                                                                                            </w:div>
                                                                                          </w:divsChild>
                                                                                        </w:div>
                                                                                        <w:div w:id="1678800633">
                                                                                          <w:marLeft w:val="0"/>
                                                                                          <w:marRight w:val="0"/>
                                                                                          <w:marTop w:val="0"/>
                                                                                          <w:marBottom w:val="0"/>
                                                                                          <w:divBdr>
                                                                                            <w:top w:val="none" w:sz="0" w:space="0" w:color="auto"/>
                                                                                            <w:left w:val="none" w:sz="0" w:space="0" w:color="auto"/>
                                                                                            <w:bottom w:val="none" w:sz="0" w:space="0" w:color="auto"/>
                                                                                            <w:right w:val="none" w:sz="0" w:space="0" w:color="auto"/>
                                                                                          </w:divBdr>
                                                                                          <w:divsChild>
                                                                                            <w:div w:id="969288129">
                                                                                              <w:marLeft w:val="0"/>
                                                                                              <w:marRight w:val="0"/>
                                                                                              <w:marTop w:val="0"/>
                                                                                              <w:marBottom w:val="0"/>
                                                                                              <w:divBdr>
                                                                                                <w:top w:val="none" w:sz="0" w:space="0" w:color="auto"/>
                                                                                                <w:left w:val="none" w:sz="0" w:space="0" w:color="auto"/>
                                                                                                <w:bottom w:val="none" w:sz="0" w:space="0" w:color="auto"/>
                                                                                                <w:right w:val="none" w:sz="0" w:space="0" w:color="auto"/>
                                                                                              </w:divBdr>
                                                                                            </w:div>
                                                                                          </w:divsChild>
                                                                                        </w:div>
                                                                                        <w:div w:id="1772621931">
                                                                                          <w:marLeft w:val="0"/>
                                                                                          <w:marRight w:val="0"/>
                                                                                          <w:marTop w:val="0"/>
                                                                                          <w:marBottom w:val="0"/>
                                                                                          <w:divBdr>
                                                                                            <w:top w:val="none" w:sz="0" w:space="0" w:color="auto"/>
                                                                                            <w:left w:val="none" w:sz="0" w:space="0" w:color="auto"/>
                                                                                            <w:bottom w:val="none" w:sz="0" w:space="0" w:color="auto"/>
                                                                                            <w:right w:val="none" w:sz="0" w:space="0" w:color="auto"/>
                                                                                          </w:divBdr>
                                                                                          <w:divsChild>
                                                                                            <w:div w:id="1946569412">
                                                                                              <w:marLeft w:val="0"/>
                                                                                              <w:marRight w:val="0"/>
                                                                                              <w:marTop w:val="0"/>
                                                                                              <w:marBottom w:val="0"/>
                                                                                              <w:divBdr>
                                                                                                <w:top w:val="none" w:sz="0" w:space="0" w:color="auto"/>
                                                                                                <w:left w:val="none" w:sz="0" w:space="0" w:color="auto"/>
                                                                                                <w:bottom w:val="none" w:sz="0" w:space="0" w:color="auto"/>
                                                                                                <w:right w:val="none" w:sz="0" w:space="0" w:color="auto"/>
                                                                                              </w:divBdr>
                                                                                            </w:div>
                                                                                          </w:divsChild>
                                                                                        </w:div>
                                                                                        <w:div w:id="1811363570">
                                                                                          <w:marLeft w:val="0"/>
                                                                                          <w:marRight w:val="0"/>
                                                                                          <w:marTop w:val="0"/>
                                                                                          <w:marBottom w:val="0"/>
                                                                                          <w:divBdr>
                                                                                            <w:top w:val="none" w:sz="0" w:space="0" w:color="auto"/>
                                                                                            <w:left w:val="none" w:sz="0" w:space="0" w:color="auto"/>
                                                                                            <w:bottom w:val="none" w:sz="0" w:space="0" w:color="auto"/>
                                                                                            <w:right w:val="none" w:sz="0" w:space="0" w:color="auto"/>
                                                                                          </w:divBdr>
                                                                                          <w:divsChild>
                                                                                            <w:div w:id="665549555">
                                                                                              <w:marLeft w:val="0"/>
                                                                                              <w:marRight w:val="0"/>
                                                                                              <w:marTop w:val="0"/>
                                                                                              <w:marBottom w:val="0"/>
                                                                                              <w:divBdr>
                                                                                                <w:top w:val="none" w:sz="0" w:space="0" w:color="auto"/>
                                                                                                <w:left w:val="none" w:sz="0" w:space="0" w:color="auto"/>
                                                                                                <w:bottom w:val="none" w:sz="0" w:space="0" w:color="auto"/>
                                                                                                <w:right w:val="none" w:sz="0" w:space="0" w:color="auto"/>
                                                                                              </w:divBdr>
                                                                                            </w:div>
                                                                                          </w:divsChild>
                                                                                        </w:div>
                                                                                        <w:div w:id="1822387561">
                                                                                          <w:marLeft w:val="0"/>
                                                                                          <w:marRight w:val="0"/>
                                                                                          <w:marTop w:val="0"/>
                                                                                          <w:marBottom w:val="0"/>
                                                                                          <w:divBdr>
                                                                                            <w:top w:val="none" w:sz="0" w:space="0" w:color="auto"/>
                                                                                            <w:left w:val="none" w:sz="0" w:space="0" w:color="auto"/>
                                                                                            <w:bottom w:val="none" w:sz="0" w:space="0" w:color="auto"/>
                                                                                            <w:right w:val="none" w:sz="0" w:space="0" w:color="auto"/>
                                                                                          </w:divBdr>
                                                                                          <w:divsChild>
                                                                                            <w:div w:id="2037658714">
                                                                                              <w:marLeft w:val="0"/>
                                                                                              <w:marRight w:val="0"/>
                                                                                              <w:marTop w:val="0"/>
                                                                                              <w:marBottom w:val="0"/>
                                                                                              <w:divBdr>
                                                                                                <w:top w:val="none" w:sz="0" w:space="0" w:color="auto"/>
                                                                                                <w:left w:val="none" w:sz="0" w:space="0" w:color="auto"/>
                                                                                                <w:bottom w:val="none" w:sz="0" w:space="0" w:color="auto"/>
                                                                                                <w:right w:val="none" w:sz="0" w:space="0" w:color="auto"/>
                                                                                              </w:divBdr>
                                                                                            </w:div>
                                                                                          </w:divsChild>
                                                                                        </w:div>
                                                                                        <w:div w:id="2002418683">
                                                                                          <w:marLeft w:val="0"/>
                                                                                          <w:marRight w:val="0"/>
                                                                                          <w:marTop w:val="0"/>
                                                                                          <w:marBottom w:val="0"/>
                                                                                          <w:divBdr>
                                                                                            <w:top w:val="none" w:sz="0" w:space="0" w:color="auto"/>
                                                                                            <w:left w:val="none" w:sz="0" w:space="0" w:color="auto"/>
                                                                                            <w:bottom w:val="none" w:sz="0" w:space="0" w:color="auto"/>
                                                                                            <w:right w:val="none" w:sz="0" w:space="0" w:color="auto"/>
                                                                                          </w:divBdr>
                                                                                          <w:divsChild>
                                                                                            <w:div w:id="312834907">
                                                                                              <w:marLeft w:val="0"/>
                                                                                              <w:marRight w:val="0"/>
                                                                                              <w:marTop w:val="0"/>
                                                                                              <w:marBottom w:val="0"/>
                                                                                              <w:divBdr>
                                                                                                <w:top w:val="none" w:sz="0" w:space="0" w:color="auto"/>
                                                                                                <w:left w:val="none" w:sz="0" w:space="0" w:color="auto"/>
                                                                                                <w:bottom w:val="none" w:sz="0" w:space="0" w:color="auto"/>
                                                                                                <w:right w:val="none" w:sz="0" w:space="0" w:color="auto"/>
                                                                                              </w:divBdr>
                                                                                            </w:div>
                                                                                          </w:divsChild>
                                                                                        </w:div>
                                                                                        <w:div w:id="2111929052">
                                                                                          <w:marLeft w:val="0"/>
                                                                                          <w:marRight w:val="0"/>
                                                                                          <w:marTop w:val="0"/>
                                                                                          <w:marBottom w:val="0"/>
                                                                                          <w:divBdr>
                                                                                            <w:top w:val="none" w:sz="0" w:space="0" w:color="auto"/>
                                                                                            <w:left w:val="none" w:sz="0" w:space="0" w:color="auto"/>
                                                                                            <w:bottom w:val="none" w:sz="0" w:space="0" w:color="auto"/>
                                                                                            <w:right w:val="none" w:sz="0" w:space="0" w:color="auto"/>
                                                                                          </w:divBdr>
                                                                                          <w:divsChild>
                                                                                            <w:div w:id="930968914">
                                                                                              <w:marLeft w:val="0"/>
                                                                                              <w:marRight w:val="0"/>
                                                                                              <w:marTop w:val="0"/>
                                                                                              <w:marBottom w:val="0"/>
                                                                                              <w:divBdr>
                                                                                                <w:top w:val="none" w:sz="0" w:space="0" w:color="auto"/>
                                                                                                <w:left w:val="none" w:sz="0" w:space="0" w:color="auto"/>
                                                                                                <w:bottom w:val="none" w:sz="0" w:space="0" w:color="auto"/>
                                                                                                <w:right w:val="none" w:sz="0" w:space="0" w:color="auto"/>
                                                                                              </w:divBdr>
                                                                                            </w:div>
                                                                                          </w:divsChild>
                                                                                        </w:div>
                                                                                        <w:div w:id="2136017246">
                                                                                          <w:marLeft w:val="0"/>
                                                                                          <w:marRight w:val="0"/>
                                                                                          <w:marTop w:val="0"/>
                                                                                          <w:marBottom w:val="0"/>
                                                                                          <w:divBdr>
                                                                                            <w:top w:val="none" w:sz="0" w:space="0" w:color="auto"/>
                                                                                            <w:left w:val="none" w:sz="0" w:space="0" w:color="auto"/>
                                                                                            <w:bottom w:val="none" w:sz="0" w:space="0" w:color="auto"/>
                                                                                            <w:right w:val="none" w:sz="0" w:space="0" w:color="auto"/>
                                                                                          </w:divBdr>
                                                                                          <w:divsChild>
                                                                                            <w:div w:id="570819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655548">
                                                                                  <w:marLeft w:val="0"/>
                                                                                  <w:marRight w:val="0"/>
                                                                                  <w:marTop w:val="0"/>
                                                                                  <w:marBottom w:val="0"/>
                                                                                  <w:divBdr>
                                                                                    <w:top w:val="none" w:sz="0" w:space="0" w:color="auto"/>
                                                                                    <w:left w:val="none" w:sz="0" w:space="0" w:color="auto"/>
                                                                                    <w:bottom w:val="none" w:sz="0" w:space="0" w:color="auto"/>
                                                                                    <w:right w:val="none" w:sz="0" w:space="0" w:color="auto"/>
                                                                                  </w:divBdr>
                                                                                </w:div>
                                                                                <w:div w:id="1045713677">
                                                                                  <w:marLeft w:val="0"/>
                                                                                  <w:marRight w:val="0"/>
                                                                                  <w:marTop w:val="0"/>
                                                                                  <w:marBottom w:val="0"/>
                                                                                  <w:divBdr>
                                                                                    <w:top w:val="none" w:sz="0" w:space="0" w:color="auto"/>
                                                                                    <w:left w:val="none" w:sz="0" w:space="0" w:color="auto"/>
                                                                                    <w:bottom w:val="none" w:sz="0" w:space="0" w:color="auto"/>
                                                                                    <w:right w:val="none" w:sz="0" w:space="0" w:color="auto"/>
                                                                                  </w:divBdr>
                                                                                </w:div>
                                                                                <w:div w:id="1056202639">
                                                                                  <w:marLeft w:val="0"/>
                                                                                  <w:marRight w:val="0"/>
                                                                                  <w:marTop w:val="0"/>
                                                                                  <w:marBottom w:val="0"/>
                                                                                  <w:divBdr>
                                                                                    <w:top w:val="none" w:sz="0" w:space="0" w:color="auto"/>
                                                                                    <w:left w:val="none" w:sz="0" w:space="0" w:color="auto"/>
                                                                                    <w:bottom w:val="none" w:sz="0" w:space="0" w:color="auto"/>
                                                                                    <w:right w:val="none" w:sz="0" w:space="0" w:color="auto"/>
                                                                                  </w:divBdr>
                                                                                </w:div>
                                                                                <w:div w:id="1067728920">
                                                                                  <w:marLeft w:val="0"/>
                                                                                  <w:marRight w:val="0"/>
                                                                                  <w:marTop w:val="0"/>
                                                                                  <w:marBottom w:val="0"/>
                                                                                  <w:divBdr>
                                                                                    <w:top w:val="none" w:sz="0" w:space="0" w:color="auto"/>
                                                                                    <w:left w:val="none" w:sz="0" w:space="0" w:color="auto"/>
                                                                                    <w:bottom w:val="none" w:sz="0" w:space="0" w:color="auto"/>
                                                                                    <w:right w:val="none" w:sz="0" w:space="0" w:color="auto"/>
                                                                                  </w:divBdr>
                                                                                </w:div>
                                                                                <w:div w:id="1087965952">
                                                                                  <w:marLeft w:val="0"/>
                                                                                  <w:marRight w:val="0"/>
                                                                                  <w:marTop w:val="0"/>
                                                                                  <w:marBottom w:val="0"/>
                                                                                  <w:divBdr>
                                                                                    <w:top w:val="none" w:sz="0" w:space="0" w:color="auto"/>
                                                                                    <w:left w:val="none" w:sz="0" w:space="0" w:color="auto"/>
                                                                                    <w:bottom w:val="none" w:sz="0" w:space="0" w:color="auto"/>
                                                                                    <w:right w:val="none" w:sz="0" w:space="0" w:color="auto"/>
                                                                                  </w:divBdr>
                                                                                </w:div>
                                                                                <w:div w:id="1091581810">
                                                                                  <w:marLeft w:val="0"/>
                                                                                  <w:marRight w:val="0"/>
                                                                                  <w:marTop w:val="0"/>
                                                                                  <w:marBottom w:val="0"/>
                                                                                  <w:divBdr>
                                                                                    <w:top w:val="none" w:sz="0" w:space="0" w:color="auto"/>
                                                                                    <w:left w:val="none" w:sz="0" w:space="0" w:color="auto"/>
                                                                                    <w:bottom w:val="none" w:sz="0" w:space="0" w:color="auto"/>
                                                                                    <w:right w:val="none" w:sz="0" w:space="0" w:color="auto"/>
                                                                                  </w:divBdr>
                                                                                </w:div>
                                                                                <w:div w:id="1109814078">
                                                                                  <w:marLeft w:val="0"/>
                                                                                  <w:marRight w:val="0"/>
                                                                                  <w:marTop w:val="0"/>
                                                                                  <w:marBottom w:val="0"/>
                                                                                  <w:divBdr>
                                                                                    <w:top w:val="none" w:sz="0" w:space="0" w:color="auto"/>
                                                                                    <w:left w:val="none" w:sz="0" w:space="0" w:color="auto"/>
                                                                                    <w:bottom w:val="none" w:sz="0" w:space="0" w:color="auto"/>
                                                                                    <w:right w:val="none" w:sz="0" w:space="0" w:color="auto"/>
                                                                                  </w:divBdr>
                                                                                </w:div>
                                                                                <w:div w:id="1120688052">
                                                                                  <w:marLeft w:val="0"/>
                                                                                  <w:marRight w:val="0"/>
                                                                                  <w:marTop w:val="0"/>
                                                                                  <w:marBottom w:val="0"/>
                                                                                  <w:divBdr>
                                                                                    <w:top w:val="none" w:sz="0" w:space="0" w:color="auto"/>
                                                                                    <w:left w:val="none" w:sz="0" w:space="0" w:color="auto"/>
                                                                                    <w:bottom w:val="none" w:sz="0" w:space="0" w:color="auto"/>
                                                                                    <w:right w:val="none" w:sz="0" w:space="0" w:color="auto"/>
                                                                                  </w:divBdr>
                                                                                </w:div>
                                                                                <w:div w:id="1149131517">
                                                                                  <w:marLeft w:val="0"/>
                                                                                  <w:marRight w:val="0"/>
                                                                                  <w:marTop w:val="0"/>
                                                                                  <w:marBottom w:val="0"/>
                                                                                  <w:divBdr>
                                                                                    <w:top w:val="none" w:sz="0" w:space="0" w:color="auto"/>
                                                                                    <w:left w:val="none" w:sz="0" w:space="0" w:color="auto"/>
                                                                                    <w:bottom w:val="none" w:sz="0" w:space="0" w:color="auto"/>
                                                                                    <w:right w:val="none" w:sz="0" w:space="0" w:color="auto"/>
                                                                                  </w:divBdr>
                                                                                </w:div>
                                                                                <w:div w:id="1149321502">
                                                                                  <w:marLeft w:val="0"/>
                                                                                  <w:marRight w:val="0"/>
                                                                                  <w:marTop w:val="0"/>
                                                                                  <w:marBottom w:val="0"/>
                                                                                  <w:divBdr>
                                                                                    <w:top w:val="none" w:sz="0" w:space="0" w:color="auto"/>
                                                                                    <w:left w:val="none" w:sz="0" w:space="0" w:color="auto"/>
                                                                                    <w:bottom w:val="none" w:sz="0" w:space="0" w:color="auto"/>
                                                                                    <w:right w:val="none" w:sz="0" w:space="0" w:color="auto"/>
                                                                                  </w:divBdr>
                                                                                </w:div>
                                                                                <w:div w:id="1164198007">
                                                                                  <w:marLeft w:val="0"/>
                                                                                  <w:marRight w:val="0"/>
                                                                                  <w:marTop w:val="0"/>
                                                                                  <w:marBottom w:val="0"/>
                                                                                  <w:divBdr>
                                                                                    <w:top w:val="none" w:sz="0" w:space="0" w:color="auto"/>
                                                                                    <w:left w:val="none" w:sz="0" w:space="0" w:color="auto"/>
                                                                                    <w:bottom w:val="none" w:sz="0" w:space="0" w:color="auto"/>
                                                                                    <w:right w:val="none" w:sz="0" w:space="0" w:color="auto"/>
                                                                                  </w:divBdr>
                                                                                </w:div>
                                                                                <w:div w:id="1168012900">
                                                                                  <w:marLeft w:val="0"/>
                                                                                  <w:marRight w:val="0"/>
                                                                                  <w:marTop w:val="0"/>
                                                                                  <w:marBottom w:val="0"/>
                                                                                  <w:divBdr>
                                                                                    <w:top w:val="none" w:sz="0" w:space="0" w:color="auto"/>
                                                                                    <w:left w:val="none" w:sz="0" w:space="0" w:color="auto"/>
                                                                                    <w:bottom w:val="none" w:sz="0" w:space="0" w:color="auto"/>
                                                                                    <w:right w:val="none" w:sz="0" w:space="0" w:color="auto"/>
                                                                                  </w:divBdr>
                                                                                </w:div>
                                                                                <w:div w:id="1172451434">
                                                                                  <w:marLeft w:val="0"/>
                                                                                  <w:marRight w:val="0"/>
                                                                                  <w:marTop w:val="0"/>
                                                                                  <w:marBottom w:val="0"/>
                                                                                  <w:divBdr>
                                                                                    <w:top w:val="none" w:sz="0" w:space="0" w:color="auto"/>
                                                                                    <w:left w:val="none" w:sz="0" w:space="0" w:color="auto"/>
                                                                                    <w:bottom w:val="none" w:sz="0" w:space="0" w:color="auto"/>
                                                                                    <w:right w:val="none" w:sz="0" w:space="0" w:color="auto"/>
                                                                                  </w:divBdr>
                                                                                </w:div>
                                                                                <w:div w:id="1176916402">
                                                                                  <w:marLeft w:val="0"/>
                                                                                  <w:marRight w:val="0"/>
                                                                                  <w:marTop w:val="0"/>
                                                                                  <w:marBottom w:val="0"/>
                                                                                  <w:divBdr>
                                                                                    <w:top w:val="none" w:sz="0" w:space="0" w:color="auto"/>
                                                                                    <w:left w:val="none" w:sz="0" w:space="0" w:color="auto"/>
                                                                                    <w:bottom w:val="none" w:sz="0" w:space="0" w:color="auto"/>
                                                                                    <w:right w:val="none" w:sz="0" w:space="0" w:color="auto"/>
                                                                                  </w:divBdr>
                                                                                </w:div>
                                                                                <w:div w:id="1190217774">
                                                                                  <w:marLeft w:val="0"/>
                                                                                  <w:marRight w:val="0"/>
                                                                                  <w:marTop w:val="0"/>
                                                                                  <w:marBottom w:val="0"/>
                                                                                  <w:divBdr>
                                                                                    <w:top w:val="none" w:sz="0" w:space="0" w:color="auto"/>
                                                                                    <w:left w:val="none" w:sz="0" w:space="0" w:color="auto"/>
                                                                                    <w:bottom w:val="none" w:sz="0" w:space="0" w:color="auto"/>
                                                                                    <w:right w:val="none" w:sz="0" w:space="0" w:color="auto"/>
                                                                                  </w:divBdr>
                                                                                </w:div>
                                                                                <w:div w:id="1190535134">
                                                                                  <w:marLeft w:val="0"/>
                                                                                  <w:marRight w:val="0"/>
                                                                                  <w:marTop w:val="0"/>
                                                                                  <w:marBottom w:val="0"/>
                                                                                  <w:divBdr>
                                                                                    <w:top w:val="none" w:sz="0" w:space="0" w:color="auto"/>
                                                                                    <w:left w:val="none" w:sz="0" w:space="0" w:color="auto"/>
                                                                                    <w:bottom w:val="none" w:sz="0" w:space="0" w:color="auto"/>
                                                                                    <w:right w:val="none" w:sz="0" w:space="0" w:color="auto"/>
                                                                                  </w:divBdr>
                                                                                </w:div>
                                                                                <w:div w:id="1207572237">
                                                                                  <w:marLeft w:val="0"/>
                                                                                  <w:marRight w:val="0"/>
                                                                                  <w:marTop w:val="0"/>
                                                                                  <w:marBottom w:val="0"/>
                                                                                  <w:divBdr>
                                                                                    <w:top w:val="none" w:sz="0" w:space="0" w:color="auto"/>
                                                                                    <w:left w:val="none" w:sz="0" w:space="0" w:color="auto"/>
                                                                                    <w:bottom w:val="none" w:sz="0" w:space="0" w:color="auto"/>
                                                                                    <w:right w:val="none" w:sz="0" w:space="0" w:color="auto"/>
                                                                                  </w:divBdr>
                                                                                </w:div>
                                                                                <w:div w:id="1238319016">
                                                                                  <w:marLeft w:val="0"/>
                                                                                  <w:marRight w:val="0"/>
                                                                                  <w:marTop w:val="0"/>
                                                                                  <w:marBottom w:val="0"/>
                                                                                  <w:divBdr>
                                                                                    <w:top w:val="none" w:sz="0" w:space="0" w:color="auto"/>
                                                                                    <w:left w:val="none" w:sz="0" w:space="0" w:color="auto"/>
                                                                                    <w:bottom w:val="none" w:sz="0" w:space="0" w:color="auto"/>
                                                                                    <w:right w:val="none" w:sz="0" w:space="0" w:color="auto"/>
                                                                                  </w:divBdr>
                                                                                </w:div>
                                                                                <w:div w:id="1238587621">
                                                                                  <w:marLeft w:val="0"/>
                                                                                  <w:marRight w:val="0"/>
                                                                                  <w:marTop w:val="0"/>
                                                                                  <w:marBottom w:val="0"/>
                                                                                  <w:divBdr>
                                                                                    <w:top w:val="none" w:sz="0" w:space="0" w:color="auto"/>
                                                                                    <w:left w:val="none" w:sz="0" w:space="0" w:color="auto"/>
                                                                                    <w:bottom w:val="none" w:sz="0" w:space="0" w:color="auto"/>
                                                                                    <w:right w:val="none" w:sz="0" w:space="0" w:color="auto"/>
                                                                                  </w:divBdr>
                                                                                </w:div>
                                                                                <w:div w:id="1248076983">
                                                                                  <w:marLeft w:val="0"/>
                                                                                  <w:marRight w:val="0"/>
                                                                                  <w:marTop w:val="0"/>
                                                                                  <w:marBottom w:val="0"/>
                                                                                  <w:divBdr>
                                                                                    <w:top w:val="none" w:sz="0" w:space="0" w:color="auto"/>
                                                                                    <w:left w:val="none" w:sz="0" w:space="0" w:color="auto"/>
                                                                                    <w:bottom w:val="none" w:sz="0" w:space="0" w:color="auto"/>
                                                                                    <w:right w:val="none" w:sz="0" w:space="0" w:color="auto"/>
                                                                                  </w:divBdr>
                                                                                </w:div>
                                                                                <w:div w:id="1255286468">
                                                                                  <w:marLeft w:val="0"/>
                                                                                  <w:marRight w:val="0"/>
                                                                                  <w:marTop w:val="0"/>
                                                                                  <w:marBottom w:val="0"/>
                                                                                  <w:divBdr>
                                                                                    <w:top w:val="none" w:sz="0" w:space="0" w:color="auto"/>
                                                                                    <w:left w:val="none" w:sz="0" w:space="0" w:color="auto"/>
                                                                                    <w:bottom w:val="none" w:sz="0" w:space="0" w:color="auto"/>
                                                                                    <w:right w:val="none" w:sz="0" w:space="0" w:color="auto"/>
                                                                                  </w:divBdr>
                                                                                </w:div>
                                                                                <w:div w:id="1256670211">
                                                                                  <w:marLeft w:val="0"/>
                                                                                  <w:marRight w:val="0"/>
                                                                                  <w:marTop w:val="0"/>
                                                                                  <w:marBottom w:val="0"/>
                                                                                  <w:divBdr>
                                                                                    <w:top w:val="none" w:sz="0" w:space="0" w:color="auto"/>
                                                                                    <w:left w:val="none" w:sz="0" w:space="0" w:color="auto"/>
                                                                                    <w:bottom w:val="none" w:sz="0" w:space="0" w:color="auto"/>
                                                                                    <w:right w:val="none" w:sz="0" w:space="0" w:color="auto"/>
                                                                                  </w:divBdr>
                                                                                </w:div>
                                                                                <w:div w:id="1264920563">
                                                                                  <w:marLeft w:val="0"/>
                                                                                  <w:marRight w:val="0"/>
                                                                                  <w:marTop w:val="0"/>
                                                                                  <w:marBottom w:val="0"/>
                                                                                  <w:divBdr>
                                                                                    <w:top w:val="none" w:sz="0" w:space="0" w:color="auto"/>
                                                                                    <w:left w:val="none" w:sz="0" w:space="0" w:color="auto"/>
                                                                                    <w:bottom w:val="none" w:sz="0" w:space="0" w:color="auto"/>
                                                                                    <w:right w:val="none" w:sz="0" w:space="0" w:color="auto"/>
                                                                                  </w:divBdr>
                                                                                  <w:divsChild>
                                                                                    <w:div w:id="1063062741">
                                                                                      <w:marLeft w:val="-75"/>
                                                                                      <w:marRight w:val="0"/>
                                                                                      <w:marTop w:val="30"/>
                                                                                      <w:marBottom w:val="30"/>
                                                                                      <w:divBdr>
                                                                                        <w:top w:val="none" w:sz="0" w:space="0" w:color="auto"/>
                                                                                        <w:left w:val="none" w:sz="0" w:space="0" w:color="auto"/>
                                                                                        <w:bottom w:val="none" w:sz="0" w:space="0" w:color="auto"/>
                                                                                        <w:right w:val="none" w:sz="0" w:space="0" w:color="auto"/>
                                                                                      </w:divBdr>
                                                                                      <w:divsChild>
                                                                                        <w:div w:id="851645003">
                                                                                          <w:marLeft w:val="0"/>
                                                                                          <w:marRight w:val="0"/>
                                                                                          <w:marTop w:val="0"/>
                                                                                          <w:marBottom w:val="0"/>
                                                                                          <w:divBdr>
                                                                                            <w:top w:val="none" w:sz="0" w:space="0" w:color="auto"/>
                                                                                            <w:left w:val="none" w:sz="0" w:space="0" w:color="auto"/>
                                                                                            <w:bottom w:val="none" w:sz="0" w:space="0" w:color="auto"/>
                                                                                            <w:right w:val="none" w:sz="0" w:space="0" w:color="auto"/>
                                                                                          </w:divBdr>
                                                                                          <w:divsChild>
                                                                                            <w:div w:id="1598440250">
                                                                                              <w:marLeft w:val="0"/>
                                                                                              <w:marRight w:val="0"/>
                                                                                              <w:marTop w:val="0"/>
                                                                                              <w:marBottom w:val="0"/>
                                                                                              <w:divBdr>
                                                                                                <w:top w:val="none" w:sz="0" w:space="0" w:color="auto"/>
                                                                                                <w:left w:val="none" w:sz="0" w:space="0" w:color="auto"/>
                                                                                                <w:bottom w:val="none" w:sz="0" w:space="0" w:color="auto"/>
                                                                                                <w:right w:val="none" w:sz="0" w:space="0" w:color="auto"/>
                                                                                              </w:divBdr>
                                                                                            </w:div>
                                                                                          </w:divsChild>
                                                                                        </w:div>
                                                                                        <w:div w:id="1983071453">
                                                                                          <w:marLeft w:val="0"/>
                                                                                          <w:marRight w:val="0"/>
                                                                                          <w:marTop w:val="0"/>
                                                                                          <w:marBottom w:val="0"/>
                                                                                          <w:divBdr>
                                                                                            <w:top w:val="none" w:sz="0" w:space="0" w:color="auto"/>
                                                                                            <w:left w:val="none" w:sz="0" w:space="0" w:color="auto"/>
                                                                                            <w:bottom w:val="none" w:sz="0" w:space="0" w:color="auto"/>
                                                                                            <w:right w:val="none" w:sz="0" w:space="0" w:color="auto"/>
                                                                                          </w:divBdr>
                                                                                          <w:divsChild>
                                                                                            <w:div w:id="212376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528208">
                                                                                  <w:marLeft w:val="0"/>
                                                                                  <w:marRight w:val="0"/>
                                                                                  <w:marTop w:val="0"/>
                                                                                  <w:marBottom w:val="0"/>
                                                                                  <w:divBdr>
                                                                                    <w:top w:val="none" w:sz="0" w:space="0" w:color="auto"/>
                                                                                    <w:left w:val="none" w:sz="0" w:space="0" w:color="auto"/>
                                                                                    <w:bottom w:val="none" w:sz="0" w:space="0" w:color="auto"/>
                                                                                    <w:right w:val="none" w:sz="0" w:space="0" w:color="auto"/>
                                                                                  </w:divBdr>
                                                                                </w:div>
                                                                                <w:div w:id="1333142370">
                                                                                  <w:marLeft w:val="0"/>
                                                                                  <w:marRight w:val="0"/>
                                                                                  <w:marTop w:val="0"/>
                                                                                  <w:marBottom w:val="0"/>
                                                                                  <w:divBdr>
                                                                                    <w:top w:val="none" w:sz="0" w:space="0" w:color="auto"/>
                                                                                    <w:left w:val="none" w:sz="0" w:space="0" w:color="auto"/>
                                                                                    <w:bottom w:val="none" w:sz="0" w:space="0" w:color="auto"/>
                                                                                    <w:right w:val="none" w:sz="0" w:space="0" w:color="auto"/>
                                                                                  </w:divBdr>
                                                                                </w:div>
                                                                                <w:div w:id="1337924519">
                                                                                  <w:marLeft w:val="0"/>
                                                                                  <w:marRight w:val="0"/>
                                                                                  <w:marTop w:val="0"/>
                                                                                  <w:marBottom w:val="0"/>
                                                                                  <w:divBdr>
                                                                                    <w:top w:val="none" w:sz="0" w:space="0" w:color="auto"/>
                                                                                    <w:left w:val="none" w:sz="0" w:space="0" w:color="auto"/>
                                                                                    <w:bottom w:val="none" w:sz="0" w:space="0" w:color="auto"/>
                                                                                    <w:right w:val="none" w:sz="0" w:space="0" w:color="auto"/>
                                                                                  </w:divBdr>
                                                                                </w:div>
                                                                                <w:div w:id="1346978566">
                                                                                  <w:marLeft w:val="0"/>
                                                                                  <w:marRight w:val="0"/>
                                                                                  <w:marTop w:val="0"/>
                                                                                  <w:marBottom w:val="0"/>
                                                                                  <w:divBdr>
                                                                                    <w:top w:val="none" w:sz="0" w:space="0" w:color="auto"/>
                                                                                    <w:left w:val="none" w:sz="0" w:space="0" w:color="auto"/>
                                                                                    <w:bottom w:val="none" w:sz="0" w:space="0" w:color="auto"/>
                                                                                    <w:right w:val="none" w:sz="0" w:space="0" w:color="auto"/>
                                                                                  </w:divBdr>
                                                                                </w:div>
                                                                                <w:div w:id="1364675178">
                                                                                  <w:marLeft w:val="0"/>
                                                                                  <w:marRight w:val="0"/>
                                                                                  <w:marTop w:val="0"/>
                                                                                  <w:marBottom w:val="0"/>
                                                                                  <w:divBdr>
                                                                                    <w:top w:val="none" w:sz="0" w:space="0" w:color="auto"/>
                                                                                    <w:left w:val="none" w:sz="0" w:space="0" w:color="auto"/>
                                                                                    <w:bottom w:val="none" w:sz="0" w:space="0" w:color="auto"/>
                                                                                    <w:right w:val="none" w:sz="0" w:space="0" w:color="auto"/>
                                                                                  </w:divBdr>
                                                                                </w:div>
                                                                                <w:div w:id="1379357421">
                                                                                  <w:marLeft w:val="0"/>
                                                                                  <w:marRight w:val="0"/>
                                                                                  <w:marTop w:val="0"/>
                                                                                  <w:marBottom w:val="0"/>
                                                                                  <w:divBdr>
                                                                                    <w:top w:val="none" w:sz="0" w:space="0" w:color="auto"/>
                                                                                    <w:left w:val="none" w:sz="0" w:space="0" w:color="auto"/>
                                                                                    <w:bottom w:val="none" w:sz="0" w:space="0" w:color="auto"/>
                                                                                    <w:right w:val="none" w:sz="0" w:space="0" w:color="auto"/>
                                                                                  </w:divBdr>
                                                                                </w:div>
                                                                                <w:div w:id="1411191685">
                                                                                  <w:marLeft w:val="0"/>
                                                                                  <w:marRight w:val="0"/>
                                                                                  <w:marTop w:val="0"/>
                                                                                  <w:marBottom w:val="0"/>
                                                                                  <w:divBdr>
                                                                                    <w:top w:val="none" w:sz="0" w:space="0" w:color="auto"/>
                                                                                    <w:left w:val="none" w:sz="0" w:space="0" w:color="auto"/>
                                                                                    <w:bottom w:val="none" w:sz="0" w:space="0" w:color="auto"/>
                                                                                    <w:right w:val="none" w:sz="0" w:space="0" w:color="auto"/>
                                                                                  </w:divBdr>
                                                                                </w:div>
                                                                                <w:div w:id="1433550994">
                                                                                  <w:marLeft w:val="0"/>
                                                                                  <w:marRight w:val="0"/>
                                                                                  <w:marTop w:val="0"/>
                                                                                  <w:marBottom w:val="0"/>
                                                                                  <w:divBdr>
                                                                                    <w:top w:val="none" w:sz="0" w:space="0" w:color="auto"/>
                                                                                    <w:left w:val="none" w:sz="0" w:space="0" w:color="auto"/>
                                                                                    <w:bottom w:val="none" w:sz="0" w:space="0" w:color="auto"/>
                                                                                    <w:right w:val="none" w:sz="0" w:space="0" w:color="auto"/>
                                                                                  </w:divBdr>
                                                                                </w:div>
                                                                                <w:div w:id="1441989996">
                                                                                  <w:marLeft w:val="0"/>
                                                                                  <w:marRight w:val="0"/>
                                                                                  <w:marTop w:val="0"/>
                                                                                  <w:marBottom w:val="0"/>
                                                                                  <w:divBdr>
                                                                                    <w:top w:val="none" w:sz="0" w:space="0" w:color="auto"/>
                                                                                    <w:left w:val="none" w:sz="0" w:space="0" w:color="auto"/>
                                                                                    <w:bottom w:val="none" w:sz="0" w:space="0" w:color="auto"/>
                                                                                    <w:right w:val="none" w:sz="0" w:space="0" w:color="auto"/>
                                                                                  </w:divBdr>
                                                                                </w:div>
                                                                                <w:div w:id="1452244290">
                                                                                  <w:marLeft w:val="0"/>
                                                                                  <w:marRight w:val="0"/>
                                                                                  <w:marTop w:val="0"/>
                                                                                  <w:marBottom w:val="0"/>
                                                                                  <w:divBdr>
                                                                                    <w:top w:val="none" w:sz="0" w:space="0" w:color="auto"/>
                                                                                    <w:left w:val="none" w:sz="0" w:space="0" w:color="auto"/>
                                                                                    <w:bottom w:val="none" w:sz="0" w:space="0" w:color="auto"/>
                                                                                    <w:right w:val="none" w:sz="0" w:space="0" w:color="auto"/>
                                                                                  </w:divBdr>
                                                                                </w:div>
                                                                                <w:div w:id="1466268254">
                                                                                  <w:marLeft w:val="0"/>
                                                                                  <w:marRight w:val="0"/>
                                                                                  <w:marTop w:val="0"/>
                                                                                  <w:marBottom w:val="0"/>
                                                                                  <w:divBdr>
                                                                                    <w:top w:val="none" w:sz="0" w:space="0" w:color="auto"/>
                                                                                    <w:left w:val="none" w:sz="0" w:space="0" w:color="auto"/>
                                                                                    <w:bottom w:val="none" w:sz="0" w:space="0" w:color="auto"/>
                                                                                    <w:right w:val="none" w:sz="0" w:space="0" w:color="auto"/>
                                                                                  </w:divBdr>
                                                                                </w:div>
                                                                                <w:div w:id="1470439932">
                                                                                  <w:marLeft w:val="0"/>
                                                                                  <w:marRight w:val="0"/>
                                                                                  <w:marTop w:val="0"/>
                                                                                  <w:marBottom w:val="0"/>
                                                                                  <w:divBdr>
                                                                                    <w:top w:val="none" w:sz="0" w:space="0" w:color="auto"/>
                                                                                    <w:left w:val="none" w:sz="0" w:space="0" w:color="auto"/>
                                                                                    <w:bottom w:val="none" w:sz="0" w:space="0" w:color="auto"/>
                                                                                    <w:right w:val="none" w:sz="0" w:space="0" w:color="auto"/>
                                                                                  </w:divBdr>
                                                                                </w:div>
                                                                                <w:div w:id="1488084325">
                                                                                  <w:marLeft w:val="0"/>
                                                                                  <w:marRight w:val="0"/>
                                                                                  <w:marTop w:val="0"/>
                                                                                  <w:marBottom w:val="0"/>
                                                                                  <w:divBdr>
                                                                                    <w:top w:val="none" w:sz="0" w:space="0" w:color="auto"/>
                                                                                    <w:left w:val="none" w:sz="0" w:space="0" w:color="auto"/>
                                                                                    <w:bottom w:val="none" w:sz="0" w:space="0" w:color="auto"/>
                                                                                    <w:right w:val="none" w:sz="0" w:space="0" w:color="auto"/>
                                                                                  </w:divBdr>
                                                                                </w:div>
                                                                                <w:div w:id="1491169087">
                                                                                  <w:marLeft w:val="0"/>
                                                                                  <w:marRight w:val="0"/>
                                                                                  <w:marTop w:val="0"/>
                                                                                  <w:marBottom w:val="0"/>
                                                                                  <w:divBdr>
                                                                                    <w:top w:val="none" w:sz="0" w:space="0" w:color="auto"/>
                                                                                    <w:left w:val="none" w:sz="0" w:space="0" w:color="auto"/>
                                                                                    <w:bottom w:val="none" w:sz="0" w:space="0" w:color="auto"/>
                                                                                    <w:right w:val="none" w:sz="0" w:space="0" w:color="auto"/>
                                                                                  </w:divBdr>
                                                                                </w:div>
                                                                                <w:div w:id="1505048260">
                                                                                  <w:marLeft w:val="0"/>
                                                                                  <w:marRight w:val="0"/>
                                                                                  <w:marTop w:val="0"/>
                                                                                  <w:marBottom w:val="0"/>
                                                                                  <w:divBdr>
                                                                                    <w:top w:val="none" w:sz="0" w:space="0" w:color="auto"/>
                                                                                    <w:left w:val="none" w:sz="0" w:space="0" w:color="auto"/>
                                                                                    <w:bottom w:val="none" w:sz="0" w:space="0" w:color="auto"/>
                                                                                    <w:right w:val="none" w:sz="0" w:space="0" w:color="auto"/>
                                                                                  </w:divBdr>
                                                                                </w:div>
                                                                                <w:div w:id="1549802331">
                                                                                  <w:marLeft w:val="0"/>
                                                                                  <w:marRight w:val="0"/>
                                                                                  <w:marTop w:val="0"/>
                                                                                  <w:marBottom w:val="0"/>
                                                                                  <w:divBdr>
                                                                                    <w:top w:val="none" w:sz="0" w:space="0" w:color="auto"/>
                                                                                    <w:left w:val="none" w:sz="0" w:space="0" w:color="auto"/>
                                                                                    <w:bottom w:val="none" w:sz="0" w:space="0" w:color="auto"/>
                                                                                    <w:right w:val="none" w:sz="0" w:space="0" w:color="auto"/>
                                                                                  </w:divBdr>
                                                                                </w:div>
                                                                                <w:div w:id="1564485008">
                                                                                  <w:marLeft w:val="0"/>
                                                                                  <w:marRight w:val="0"/>
                                                                                  <w:marTop w:val="0"/>
                                                                                  <w:marBottom w:val="0"/>
                                                                                  <w:divBdr>
                                                                                    <w:top w:val="none" w:sz="0" w:space="0" w:color="auto"/>
                                                                                    <w:left w:val="none" w:sz="0" w:space="0" w:color="auto"/>
                                                                                    <w:bottom w:val="none" w:sz="0" w:space="0" w:color="auto"/>
                                                                                    <w:right w:val="none" w:sz="0" w:space="0" w:color="auto"/>
                                                                                  </w:divBdr>
                                                                                </w:div>
                                                                                <w:div w:id="1575235912">
                                                                                  <w:marLeft w:val="0"/>
                                                                                  <w:marRight w:val="0"/>
                                                                                  <w:marTop w:val="0"/>
                                                                                  <w:marBottom w:val="0"/>
                                                                                  <w:divBdr>
                                                                                    <w:top w:val="none" w:sz="0" w:space="0" w:color="auto"/>
                                                                                    <w:left w:val="none" w:sz="0" w:space="0" w:color="auto"/>
                                                                                    <w:bottom w:val="none" w:sz="0" w:space="0" w:color="auto"/>
                                                                                    <w:right w:val="none" w:sz="0" w:space="0" w:color="auto"/>
                                                                                  </w:divBdr>
                                                                                </w:div>
                                                                                <w:div w:id="1581600231">
                                                                                  <w:marLeft w:val="0"/>
                                                                                  <w:marRight w:val="0"/>
                                                                                  <w:marTop w:val="0"/>
                                                                                  <w:marBottom w:val="0"/>
                                                                                  <w:divBdr>
                                                                                    <w:top w:val="none" w:sz="0" w:space="0" w:color="auto"/>
                                                                                    <w:left w:val="none" w:sz="0" w:space="0" w:color="auto"/>
                                                                                    <w:bottom w:val="none" w:sz="0" w:space="0" w:color="auto"/>
                                                                                    <w:right w:val="none" w:sz="0" w:space="0" w:color="auto"/>
                                                                                  </w:divBdr>
                                                                                </w:div>
                                                                                <w:div w:id="1581908827">
                                                                                  <w:marLeft w:val="0"/>
                                                                                  <w:marRight w:val="0"/>
                                                                                  <w:marTop w:val="0"/>
                                                                                  <w:marBottom w:val="0"/>
                                                                                  <w:divBdr>
                                                                                    <w:top w:val="none" w:sz="0" w:space="0" w:color="auto"/>
                                                                                    <w:left w:val="none" w:sz="0" w:space="0" w:color="auto"/>
                                                                                    <w:bottom w:val="none" w:sz="0" w:space="0" w:color="auto"/>
                                                                                    <w:right w:val="none" w:sz="0" w:space="0" w:color="auto"/>
                                                                                  </w:divBdr>
                                                                                </w:div>
                                                                                <w:div w:id="1582979605">
                                                                                  <w:marLeft w:val="0"/>
                                                                                  <w:marRight w:val="0"/>
                                                                                  <w:marTop w:val="0"/>
                                                                                  <w:marBottom w:val="0"/>
                                                                                  <w:divBdr>
                                                                                    <w:top w:val="none" w:sz="0" w:space="0" w:color="auto"/>
                                                                                    <w:left w:val="none" w:sz="0" w:space="0" w:color="auto"/>
                                                                                    <w:bottom w:val="none" w:sz="0" w:space="0" w:color="auto"/>
                                                                                    <w:right w:val="none" w:sz="0" w:space="0" w:color="auto"/>
                                                                                  </w:divBdr>
                                                                                </w:div>
                                                                                <w:div w:id="1596405236">
                                                                                  <w:marLeft w:val="0"/>
                                                                                  <w:marRight w:val="0"/>
                                                                                  <w:marTop w:val="0"/>
                                                                                  <w:marBottom w:val="0"/>
                                                                                  <w:divBdr>
                                                                                    <w:top w:val="none" w:sz="0" w:space="0" w:color="auto"/>
                                                                                    <w:left w:val="none" w:sz="0" w:space="0" w:color="auto"/>
                                                                                    <w:bottom w:val="none" w:sz="0" w:space="0" w:color="auto"/>
                                                                                    <w:right w:val="none" w:sz="0" w:space="0" w:color="auto"/>
                                                                                  </w:divBdr>
                                                                                </w:div>
                                                                                <w:div w:id="1598903776">
                                                                                  <w:marLeft w:val="0"/>
                                                                                  <w:marRight w:val="0"/>
                                                                                  <w:marTop w:val="0"/>
                                                                                  <w:marBottom w:val="0"/>
                                                                                  <w:divBdr>
                                                                                    <w:top w:val="none" w:sz="0" w:space="0" w:color="auto"/>
                                                                                    <w:left w:val="none" w:sz="0" w:space="0" w:color="auto"/>
                                                                                    <w:bottom w:val="none" w:sz="0" w:space="0" w:color="auto"/>
                                                                                    <w:right w:val="none" w:sz="0" w:space="0" w:color="auto"/>
                                                                                  </w:divBdr>
                                                                                </w:div>
                                                                                <w:div w:id="1608809075">
                                                                                  <w:marLeft w:val="0"/>
                                                                                  <w:marRight w:val="0"/>
                                                                                  <w:marTop w:val="0"/>
                                                                                  <w:marBottom w:val="0"/>
                                                                                  <w:divBdr>
                                                                                    <w:top w:val="none" w:sz="0" w:space="0" w:color="auto"/>
                                                                                    <w:left w:val="none" w:sz="0" w:space="0" w:color="auto"/>
                                                                                    <w:bottom w:val="none" w:sz="0" w:space="0" w:color="auto"/>
                                                                                    <w:right w:val="none" w:sz="0" w:space="0" w:color="auto"/>
                                                                                  </w:divBdr>
                                                                                  <w:divsChild>
                                                                                    <w:div w:id="391853422">
                                                                                      <w:marLeft w:val="0"/>
                                                                                      <w:marRight w:val="0"/>
                                                                                      <w:marTop w:val="0"/>
                                                                                      <w:marBottom w:val="0"/>
                                                                                      <w:divBdr>
                                                                                        <w:top w:val="none" w:sz="0" w:space="0" w:color="auto"/>
                                                                                        <w:left w:val="none" w:sz="0" w:space="0" w:color="auto"/>
                                                                                        <w:bottom w:val="none" w:sz="0" w:space="0" w:color="auto"/>
                                                                                        <w:right w:val="none" w:sz="0" w:space="0" w:color="auto"/>
                                                                                      </w:divBdr>
                                                                                    </w:div>
                                                                                    <w:div w:id="654719992">
                                                                                      <w:marLeft w:val="0"/>
                                                                                      <w:marRight w:val="0"/>
                                                                                      <w:marTop w:val="0"/>
                                                                                      <w:marBottom w:val="0"/>
                                                                                      <w:divBdr>
                                                                                        <w:top w:val="none" w:sz="0" w:space="0" w:color="auto"/>
                                                                                        <w:left w:val="none" w:sz="0" w:space="0" w:color="auto"/>
                                                                                        <w:bottom w:val="none" w:sz="0" w:space="0" w:color="auto"/>
                                                                                        <w:right w:val="none" w:sz="0" w:space="0" w:color="auto"/>
                                                                                      </w:divBdr>
                                                                                    </w:div>
                                                                                    <w:div w:id="718017908">
                                                                                      <w:marLeft w:val="0"/>
                                                                                      <w:marRight w:val="0"/>
                                                                                      <w:marTop w:val="0"/>
                                                                                      <w:marBottom w:val="0"/>
                                                                                      <w:divBdr>
                                                                                        <w:top w:val="none" w:sz="0" w:space="0" w:color="auto"/>
                                                                                        <w:left w:val="none" w:sz="0" w:space="0" w:color="auto"/>
                                                                                        <w:bottom w:val="none" w:sz="0" w:space="0" w:color="auto"/>
                                                                                        <w:right w:val="none" w:sz="0" w:space="0" w:color="auto"/>
                                                                                      </w:divBdr>
                                                                                    </w:div>
                                                                                  </w:divsChild>
                                                                                </w:div>
                                                                                <w:div w:id="1626354025">
                                                                                  <w:marLeft w:val="0"/>
                                                                                  <w:marRight w:val="0"/>
                                                                                  <w:marTop w:val="0"/>
                                                                                  <w:marBottom w:val="0"/>
                                                                                  <w:divBdr>
                                                                                    <w:top w:val="none" w:sz="0" w:space="0" w:color="auto"/>
                                                                                    <w:left w:val="none" w:sz="0" w:space="0" w:color="auto"/>
                                                                                    <w:bottom w:val="none" w:sz="0" w:space="0" w:color="auto"/>
                                                                                    <w:right w:val="none" w:sz="0" w:space="0" w:color="auto"/>
                                                                                  </w:divBdr>
                                                                                </w:div>
                                                                                <w:div w:id="1651248553">
                                                                                  <w:marLeft w:val="0"/>
                                                                                  <w:marRight w:val="0"/>
                                                                                  <w:marTop w:val="0"/>
                                                                                  <w:marBottom w:val="0"/>
                                                                                  <w:divBdr>
                                                                                    <w:top w:val="none" w:sz="0" w:space="0" w:color="auto"/>
                                                                                    <w:left w:val="none" w:sz="0" w:space="0" w:color="auto"/>
                                                                                    <w:bottom w:val="none" w:sz="0" w:space="0" w:color="auto"/>
                                                                                    <w:right w:val="none" w:sz="0" w:space="0" w:color="auto"/>
                                                                                  </w:divBdr>
                                                                                  <w:divsChild>
                                                                                    <w:div w:id="256059150">
                                                                                      <w:marLeft w:val="0"/>
                                                                                      <w:marRight w:val="0"/>
                                                                                      <w:marTop w:val="0"/>
                                                                                      <w:marBottom w:val="0"/>
                                                                                      <w:divBdr>
                                                                                        <w:top w:val="none" w:sz="0" w:space="0" w:color="auto"/>
                                                                                        <w:left w:val="none" w:sz="0" w:space="0" w:color="auto"/>
                                                                                        <w:bottom w:val="none" w:sz="0" w:space="0" w:color="auto"/>
                                                                                        <w:right w:val="none" w:sz="0" w:space="0" w:color="auto"/>
                                                                                      </w:divBdr>
                                                                                    </w:div>
                                                                                    <w:div w:id="1603680433">
                                                                                      <w:marLeft w:val="0"/>
                                                                                      <w:marRight w:val="0"/>
                                                                                      <w:marTop w:val="0"/>
                                                                                      <w:marBottom w:val="0"/>
                                                                                      <w:divBdr>
                                                                                        <w:top w:val="none" w:sz="0" w:space="0" w:color="auto"/>
                                                                                        <w:left w:val="none" w:sz="0" w:space="0" w:color="auto"/>
                                                                                        <w:bottom w:val="none" w:sz="0" w:space="0" w:color="auto"/>
                                                                                        <w:right w:val="none" w:sz="0" w:space="0" w:color="auto"/>
                                                                                      </w:divBdr>
                                                                                    </w:div>
                                                                                    <w:div w:id="1870798236">
                                                                                      <w:marLeft w:val="0"/>
                                                                                      <w:marRight w:val="0"/>
                                                                                      <w:marTop w:val="0"/>
                                                                                      <w:marBottom w:val="0"/>
                                                                                      <w:divBdr>
                                                                                        <w:top w:val="none" w:sz="0" w:space="0" w:color="auto"/>
                                                                                        <w:left w:val="none" w:sz="0" w:space="0" w:color="auto"/>
                                                                                        <w:bottom w:val="none" w:sz="0" w:space="0" w:color="auto"/>
                                                                                        <w:right w:val="none" w:sz="0" w:space="0" w:color="auto"/>
                                                                                      </w:divBdr>
                                                                                    </w:div>
                                                                                    <w:div w:id="1996059301">
                                                                                      <w:marLeft w:val="0"/>
                                                                                      <w:marRight w:val="0"/>
                                                                                      <w:marTop w:val="0"/>
                                                                                      <w:marBottom w:val="0"/>
                                                                                      <w:divBdr>
                                                                                        <w:top w:val="none" w:sz="0" w:space="0" w:color="auto"/>
                                                                                        <w:left w:val="none" w:sz="0" w:space="0" w:color="auto"/>
                                                                                        <w:bottom w:val="none" w:sz="0" w:space="0" w:color="auto"/>
                                                                                        <w:right w:val="none" w:sz="0" w:space="0" w:color="auto"/>
                                                                                      </w:divBdr>
                                                                                    </w:div>
                                                                                  </w:divsChild>
                                                                                </w:div>
                                                                                <w:div w:id="1667442369">
                                                                                  <w:marLeft w:val="0"/>
                                                                                  <w:marRight w:val="0"/>
                                                                                  <w:marTop w:val="0"/>
                                                                                  <w:marBottom w:val="0"/>
                                                                                  <w:divBdr>
                                                                                    <w:top w:val="none" w:sz="0" w:space="0" w:color="auto"/>
                                                                                    <w:left w:val="none" w:sz="0" w:space="0" w:color="auto"/>
                                                                                    <w:bottom w:val="none" w:sz="0" w:space="0" w:color="auto"/>
                                                                                    <w:right w:val="none" w:sz="0" w:space="0" w:color="auto"/>
                                                                                  </w:divBdr>
                                                                                </w:div>
                                                                                <w:div w:id="1673873457">
                                                                                  <w:marLeft w:val="0"/>
                                                                                  <w:marRight w:val="0"/>
                                                                                  <w:marTop w:val="0"/>
                                                                                  <w:marBottom w:val="0"/>
                                                                                  <w:divBdr>
                                                                                    <w:top w:val="none" w:sz="0" w:space="0" w:color="auto"/>
                                                                                    <w:left w:val="none" w:sz="0" w:space="0" w:color="auto"/>
                                                                                    <w:bottom w:val="none" w:sz="0" w:space="0" w:color="auto"/>
                                                                                    <w:right w:val="none" w:sz="0" w:space="0" w:color="auto"/>
                                                                                  </w:divBdr>
                                                                                </w:div>
                                                                                <w:div w:id="1688823199">
                                                                                  <w:marLeft w:val="0"/>
                                                                                  <w:marRight w:val="0"/>
                                                                                  <w:marTop w:val="0"/>
                                                                                  <w:marBottom w:val="0"/>
                                                                                  <w:divBdr>
                                                                                    <w:top w:val="none" w:sz="0" w:space="0" w:color="auto"/>
                                                                                    <w:left w:val="none" w:sz="0" w:space="0" w:color="auto"/>
                                                                                    <w:bottom w:val="none" w:sz="0" w:space="0" w:color="auto"/>
                                                                                    <w:right w:val="none" w:sz="0" w:space="0" w:color="auto"/>
                                                                                  </w:divBdr>
                                                                                </w:div>
                                                                                <w:div w:id="1690836485">
                                                                                  <w:marLeft w:val="0"/>
                                                                                  <w:marRight w:val="0"/>
                                                                                  <w:marTop w:val="0"/>
                                                                                  <w:marBottom w:val="0"/>
                                                                                  <w:divBdr>
                                                                                    <w:top w:val="none" w:sz="0" w:space="0" w:color="auto"/>
                                                                                    <w:left w:val="none" w:sz="0" w:space="0" w:color="auto"/>
                                                                                    <w:bottom w:val="none" w:sz="0" w:space="0" w:color="auto"/>
                                                                                    <w:right w:val="none" w:sz="0" w:space="0" w:color="auto"/>
                                                                                  </w:divBdr>
                                                                                </w:div>
                                                                                <w:div w:id="1713117381">
                                                                                  <w:marLeft w:val="0"/>
                                                                                  <w:marRight w:val="0"/>
                                                                                  <w:marTop w:val="0"/>
                                                                                  <w:marBottom w:val="0"/>
                                                                                  <w:divBdr>
                                                                                    <w:top w:val="none" w:sz="0" w:space="0" w:color="auto"/>
                                                                                    <w:left w:val="none" w:sz="0" w:space="0" w:color="auto"/>
                                                                                    <w:bottom w:val="none" w:sz="0" w:space="0" w:color="auto"/>
                                                                                    <w:right w:val="none" w:sz="0" w:space="0" w:color="auto"/>
                                                                                  </w:divBdr>
                                                                                </w:div>
                                                                                <w:div w:id="1721007520">
                                                                                  <w:marLeft w:val="0"/>
                                                                                  <w:marRight w:val="0"/>
                                                                                  <w:marTop w:val="0"/>
                                                                                  <w:marBottom w:val="0"/>
                                                                                  <w:divBdr>
                                                                                    <w:top w:val="none" w:sz="0" w:space="0" w:color="auto"/>
                                                                                    <w:left w:val="none" w:sz="0" w:space="0" w:color="auto"/>
                                                                                    <w:bottom w:val="none" w:sz="0" w:space="0" w:color="auto"/>
                                                                                    <w:right w:val="none" w:sz="0" w:space="0" w:color="auto"/>
                                                                                  </w:divBdr>
                                                                                </w:div>
                                                                                <w:div w:id="1728216722">
                                                                                  <w:marLeft w:val="0"/>
                                                                                  <w:marRight w:val="0"/>
                                                                                  <w:marTop w:val="0"/>
                                                                                  <w:marBottom w:val="0"/>
                                                                                  <w:divBdr>
                                                                                    <w:top w:val="none" w:sz="0" w:space="0" w:color="auto"/>
                                                                                    <w:left w:val="none" w:sz="0" w:space="0" w:color="auto"/>
                                                                                    <w:bottom w:val="none" w:sz="0" w:space="0" w:color="auto"/>
                                                                                    <w:right w:val="none" w:sz="0" w:space="0" w:color="auto"/>
                                                                                  </w:divBdr>
                                                                                </w:div>
                                                                                <w:div w:id="1731339899">
                                                                                  <w:marLeft w:val="0"/>
                                                                                  <w:marRight w:val="0"/>
                                                                                  <w:marTop w:val="0"/>
                                                                                  <w:marBottom w:val="0"/>
                                                                                  <w:divBdr>
                                                                                    <w:top w:val="none" w:sz="0" w:space="0" w:color="auto"/>
                                                                                    <w:left w:val="none" w:sz="0" w:space="0" w:color="auto"/>
                                                                                    <w:bottom w:val="none" w:sz="0" w:space="0" w:color="auto"/>
                                                                                    <w:right w:val="none" w:sz="0" w:space="0" w:color="auto"/>
                                                                                  </w:divBdr>
                                                                                </w:div>
                                                                                <w:div w:id="1763259011">
                                                                                  <w:marLeft w:val="0"/>
                                                                                  <w:marRight w:val="0"/>
                                                                                  <w:marTop w:val="0"/>
                                                                                  <w:marBottom w:val="0"/>
                                                                                  <w:divBdr>
                                                                                    <w:top w:val="none" w:sz="0" w:space="0" w:color="auto"/>
                                                                                    <w:left w:val="none" w:sz="0" w:space="0" w:color="auto"/>
                                                                                    <w:bottom w:val="none" w:sz="0" w:space="0" w:color="auto"/>
                                                                                    <w:right w:val="none" w:sz="0" w:space="0" w:color="auto"/>
                                                                                  </w:divBdr>
                                                                                  <w:divsChild>
                                                                                    <w:div w:id="368143180">
                                                                                      <w:marLeft w:val="-75"/>
                                                                                      <w:marRight w:val="0"/>
                                                                                      <w:marTop w:val="30"/>
                                                                                      <w:marBottom w:val="30"/>
                                                                                      <w:divBdr>
                                                                                        <w:top w:val="none" w:sz="0" w:space="0" w:color="auto"/>
                                                                                        <w:left w:val="none" w:sz="0" w:space="0" w:color="auto"/>
                                                                                        <w:bottom w:val="none" w:sz="0" w:space="0" w:color="auto"/>
                                                                                        <w:right w:val="none" w:sz="0" w:space="0" w:color="auto"/>
                                                                                      </w:divBdr>
                                                                                      <w:divsChild>
                                                                                        <w:div w:id="36666675">
                                                                                          <w:marLeft w:val="0"/>
                                                                                          <w:marRight w:val="0"/>
                                                                                          <w:marTop w:val="0"/>
                                                                                          <w:marBottom w:val="0"/>
                                                                                          <w:divBdr>
                                                                                            <w:top w:val="none" w:sz="0" w:space="0" w:color="auto"/>
                                                                                            <w:left w:val="none" w:sz="0" w:space="0" w:color="auto"/>
                                                                                            <w:bottom w:val="none" w:sz="0" w:space="0" w:color="auto"/>
                                                                                            <w:right w:val="none" w:sz="0" w:space="0" w:color="auto"/>
                                                                                          </w:divBdr>
                                                                                          <w:divsChild>
                                                                                            <w:div w:id="673073000">
                                                                                              <w:marLeft w:val="0"/>
                                                                                              <w:marRight w:val="0"/>
                                                                                              <w:marTop w:val="0"/>
                                                                                              <w:marBottom w:val="0"/>
                                                                                              <w:divBdr>
                                                                                                <w:top w:val="none" w:sz="0" w:space="0" w:color="auto"/>
                                                                                                <w:left w:val="none" w:sz="0" w:space="0" w:color="auto"/>
                                                                                                <w:bottom w:val="none" w:sz="0" w:space="0" w:color="auto"/>
                                                                                                <w:right w:val="none" w:sz="0" w:space="0" w:color="auto"/>
                                                                                              </w:divBdr>
                                                                                            </w:div>
                                                                                            <w:div w:id="1868331541">
                                                                                              <w:marLeft w:val="0"/>
                                                                                              <w:marRight w:val="0"/>
                                                                                              <w:marTop w:val="0"/>
                                                                                              <w:marBottom w:val="0"/>
                                                                                              <w:divBdr>
                                                                                                <w:top w:val="none" w:sz="0" w:space="0" w:color="auto"/>
                                                                                                <w:left w:val="none" w:sz="0" w:space="0" w:color="auto"/>
                                                                                                <w:bottom w:val="none" w:sz="0" w:space="0" w:color="auto"/>
                                                                                                <w:right w:val="none" w:sz="0" w:space="0" w:color="auto"/>
                                                                                              </w:divBdr>
                                                                                            </w:div>
                                                                                          </w:divsChild>
                                                                                        </w:div>
                                                                                        <w:div w:id="132337345">
                                                                                          <w:marLeft w:val="0"/>
                                                                                          <w:marRight w:val="0"/>
                                                                                          <w:marTop w:val="0"/>
                                                                                          <w:marBottom w:val="0"/>
                                                                                          <w:divBdr>
                                                                                            <w:top w:val="none" w:sz="0" w:space="0" w:color="auto"/>
                                                                                            <w:left w:val="none" w:sz="0" w:space="0" w:color="auto"/>
                                                                                            <w:bottom w:val="none" w:sz="0" w:space="0" w:color="auto"/>
                                                                                            <w:right w:val="none" w:sz="0" w:space="0" w:color="auto"/>
                                                                                          </w:divBdr>
                                                                                          <w:divsChild>
                                                                                            <w:div w:id="2130541397">
                                                                                              <w:marLeft w:val="0"/>
                                                                                              <w:marRight w:val="0"/>
                                                                                              <w:marTop w:val="0"/>
                                                                                              <w:marBottom w:val="0"/>
                                                                                              <w:divBdr>
                                                                                                <w:top w:val="none" w:sz="0" w:space="0" w:color="auto"/>
                                                                                                <w:left w:val="none" w:sz="0" w:space="0" w:color="auto"/>
                                                                                                <w:bottom w:val="none" w:sz="0" w:space="0" w:color="auto"/>
                                                                                                <w:right w:val="none" w:sz="0" w:space="0" w:color="auto"/>
                                                                                              </w:divBdr>
                                                                                            </w:div>
                                                                                          </w:divsChild>
                                                                                        </w:div>
                                                                                        <w:div w:id="315384164">
                                                                                          <w:marLeft w:val="0"/>
                                                                                          <w:marRight w:val="0"/>
                                                                                          <w:marTop w:val="0"/>
                                                                                          <w:marBottom w:val="0"/>
                                                                                          <w:divBdr>
                                                                                            <w:top w:val="none" w:sz="0" w:space="0" w:color="auto"/>
                                                                                            <w:left w:val="none" w:sz="0" w:space="0" w:color="auto"/>
                                                                                            <w:bottom w:val="none" w:sz="0" w:space="0" w:color="auto"/>
                                                                                            <w:right w:val="none" w:sz="0" w:space="0" w:color="auto"/>
                                                                                          </w:divBdr>
                                                                                          <w:divsChild>
                                                                                            <w:div w:id="989094749">
                                                                                              <w:marLeft w:val="0"/>
                                                                                              <w:marRight w:val="0"/>
                                                                                              <w:marTop w:val="0"/>
                                                                                              <w:marBottom w:val="0"/>
                                                                                              <w:divBdr>
                                                                                                <w:top w:val="none" w:sz="0" w:space="0" w:color="auto"/>
                                                                                                <w:left w:val="none" w:sz="0" w:space="0" w:color="auto"/>
                                                                                                <w:bottom w:val="none" w:sz="0" w:space="0" w:color="auto"/>
                                                                                                <w:right w:val="none" w:sz="0" w:space="0" w:color="auto"/>
                                                                                              </w:divBdr>
                                                                                            </w:div>
                                                                                          </w:divsChild>
                                                                                        </w:div>
                                                                                        <w:div w:id="365496185">
                                                                                          <w:marLeft w:val="0"/>
                                                                                          <w:marRight w:val="0"/>
                                                                                          <w:marTop w:val="0"/>
                                                                                          <w:marBottom w:val="0"/>
                                                                                          <w:divBdr>
                                                                                            <w:top w:val="none" w:sz="0" w:space="0" w:color="auto"/>
                                                                                            <w:left w:val="none" w:sz="0" w:space="0" w:color="auto"/>
                                                                                            <w:bottom w:val="none" w:sz="0" w:space="0" w:color="auto"/>
                                                                                            <w:right w:val="none" w:sz="0" w:space="0" w:color="auto"/>
                                                                                          </w:divBdr>
                                                                                          <w:divsChild>
                                                                                            <w:div w:id="2079597601">
                                                                                              <w:marLeft w:val="0"/>
                                                                                              <w:marRight w:val="0"/>
                                                                                              <w:marTop w:val="0"/>
                                                                                              <w:marBottom w:val="0"/>
                                                                                              <w:divBdr>
                                                                                                <w:top w:val="none" w:sz="0" w:space="0" w:color="auto"/>
                                                                                                <w:left w:val="none" w:sz="0" w:space="0" w:color="auto"/>
                                                                                                <w:bottom w:val="none" w:sz="0" w:space="0" w:color="auto"/>
                                                                                                <w:right w:val="none" w:sz="0" w:space="0" w:color="auto"/>
                                                                                              </w:divBdr>
                                                                                            </w:div>
                                                                                          </w:divsChild>
                                                                                        </w:div>
                                                                                        <w:div w:id="465201449">
                                                                                          <w:marLeft w:val="0"/>
                                                                                          <w:marRight w:val="0"/>
                                                                                          <w:marTop w:val="0"/>
                                                                                          <w:marBottom w:val="0"/>
                                                                                          <w:divBdr>
                                                                                            <w:top w:val="none" w:sz="0" w:space="0" w:color="auto"/>
                                                                                            <w:left w:val="none" w:sz="0" w:space="0" w:color="auto"/>
                                                                                            <w:bottom w:val="none" w:sz="0" w:space="0" w:color="auto"/>
                                                                                            <w:right w:val="none" w:sz="0" w:space="0" w:color="auto"/>
                                                                                          </w:divBdr>
                                                                                          <w:divsChild>
                                                                                            <w:div w:id="1071386345">
                                                                                              <w:marLeft w:val="0"/>
                                                                                              <w:marRight w:val="0"/>
                                                                                              <w:marTop w:val="0"/>
                                                                                              <w:marBottom w:val="0"/>
                                                                                              <w:divBdr>
                                                                                                <w:top w:val="none" w:sz="0" w:space="0" w:color="auto"/>
                                                                                                <w:left w:val="none" w:sz="0" w:space="0" w:color="auto"/>
                                                                                                <w:bottom w:val="none" w:sz="0" w:space="0" w:color="auto"/>
                                                                                                <w:right w:val="none" w:sz="0" w:space="0" w:color="auto"/>
                                                                                              </w:divBdr>
                                                                                            </w:div>
                                                                                            <w:div w:id="1529414251">
                                                                                              <w:marLeft w:val="0"/>
                                                                                              <w:marRight w:val="0"/>
                                                                                              <w:marTop w:val="0"/>
                                                                                              <w:marBottom w:val="0"/>
                                                                                              <w:divBdr>
                                                                                                <w:top w:val="none" w:sz="0" w:space="0" w:color="auto"/>
                                                                                                <w:left w:val="none" w:sz="0" w:space="0" w:color="auto"/>
                                                                                                <w:bottom w:val="none" w:sz="0" w:space="0" w:color="auto"/>
                                                                                                <w:right w:val="none" w:sz="0" w:space="0" w:color="auto"/>
                                                                                              </w:divBdr>
                                                                                            </w:div>
                                                                                          </w:divsChild>
                                                                                        </w:div>
                                                                                        <w:div w:id="471294044">
                                                                                          <w:marLeft w:val="0"/>
                                                                                          <w:marRight w:val="0"/>
                                                                                          <w:marTop w:val="0"/>
                                                                                          <w:marBottom w:val="0"/>
                                                                                          <w:divBdr>
                                                                                            <w:top w:val="none" w:sz="0" w:space="0" w:color="auto"/>
                                                                                            <w:left w:val="none" w:sz="0" w:space="0" w:color="auto"/>
                                                                                            <w:bottom w:val="none" w:sz="0" w:space="0" w:color="auto"/>
                                                                                            <w:right w:val="none" w:sz="0" w:space="0" w:color="auto"/>
                                                                                          </w:divBdr>
                                                                                          <w:divsChild>
                                                                                            <w:div w:id="971523428">
                                                                                              <w:marLeft w:val="0"/>
                                                                                              <w:marRight w:val="0"/>
                                                                                              <w:marTop w:val="0"/>
                                                                                              <w:marBottom w:val="0"/>
                                                                                              <w:divBdr>
                                                                                                <w:top w:val="none" w:sz="0" w:space="0" w:color="auto"/>
                                                                                                <w:left w:val="none" w:sz="0" w:space="0" w:color="auto"/>
                                                                                                <w:bottom w:val="none" w:sz="0" w:space="0" w:color="auto"/>
                                                                                                <w:right w:val="none" w:sz="0" w:space="0" w:color="auto"/>
                                                                                              </w:divBdr>
                                                                                            </w:div>
                                                                                          </w:divsChild>
                                                                                        </w:div>
                                                                                        <w:div w:id="612632595">
                                                                                          <w:marLeft w:val="0"/>
                                                                                          <w:marRight w:val="0"/>
                                                                                          <w:marTop w:val="0"/>
                                                                                          <w:marBottom w:val="0"/>
                                                                                          <w:divBdr>
                                                                                            <w:top w:val="none" w:sz="0" w:space="0" w:color="auto"/>
                                                                                            <w:left w:val="none" w:sz="0" w:space="0" w:color="auto"/>
                                                                                            <w:bottom w:val="none" w:sz="0" w:space="0" w:color="auto"/>
                                                                                            <w:right w:val="none" w:sz="0" w:space="0" w:color="auto"/>
                                                                                          </w:divBdr>
                                                                                          <w:divsChild>
                                                                                            <w:div w:id="243533992">
                                                                                              <w:marLeft w:val="0"/>
                                                                                              <w:marRight w:val="0"/>
                                                                                              <w:marTop w:val="0"/>
                                                                                              <w:marBottom w:val="0"/>
                                                                                              <w:divBdr>
                                                                                                <w:top w:val="none" w:sz="0" w:space="0" w:color="auto"/>
                                                                                                <w:left w:val="none" w:sz="0" w:space="0" w:color="auto"/>
                                                                                                <w:bottom w:val="none" w:sz="0" w:space="0" w:color="auto"/>
                                                                                                <w:right w:val="none" w:sz="0" w:space="0" w:color="auto"/>
                                                                                              </w:divBdr>
                                                                                            </w:div>
                                                                                          </w:divsChild>
                                                                                        </w:div>
                                                                                        <w:div w:id="726681178">
                                                                                          <w:marLeft w:val="0"/>
                                                                                          <w:marRight w:val="0"/>
                                                                                          <w:marTop w:val="0"/>
                                                                                          <w:marBottom w:val="0"/>
                                                                                          <w:divBdr>
                                                                                            <w:top w:val="none" w:sz="0" w:space="0" w:color="auto"/>
                                                                                            <w:left w:val="none" w:sz="0" w:space="0" w:color="auto"/>
                                                                                            <w:bottom w:val="none" w:sz="0" w:space="0" w:color="auto"/>
                                                                                            <w:right w:val="none" w:sz="0" w:space="0" w:color="auto"/>
                                                                                          </w:divBdr>
                                                                                          <w:divsChild>
                                                                                            <w:div w:id="859051174">
                                                                                              <w:marLeft w:val="0"/>
                                                                                              <w:marRight w:val="0"/>
                                                                                              <w:marTop w:val="0"/>
                                                                                              <w:marBottom w:val="0"/>
                                                                                              <w:divBdr>
                                                                                                <w:top w:val="none" w:sz="0" w:space="0" w:color="auto"/>
                                                                                                <w:left w:val="none" w:sz="0" w:space="0" w:color="auto"/>
                                                                                                <w:bottom w:val="none" w:sz="0" w:space="0" w:color="auto"/>
                                                                                                <w:right w:val="none" w:sz="0" w:space="0" w:color="auto"/>
                                                                                              </w:divBdr>
                                                                                            </w:div>
                                                                                          </w:divsChild>
                                                                                        </w:div>
                                                                                        <w:div w:id="749153575">
                                                                                          <w:marLeft w:val="0"/>
                                                                                          <w:marRight w:val="0"/>
                                                                                          <w:marTop w:val="0"/>
                                                                                          <w:marBottom w:val="0"/>
                                                                                          <w:divBdr>
                                                                                            <w:top w:val="none" w:sz="0" w:space="0" w:color="auto"/>
                                                                                            <w:left w:val="none" w:sz="0" w:space="0" w:color="auto"/>
                                                                                            <w:bottom w:val="none" w:sz="0" w:space="0" w:color="auto"/>
                                                                                            <w:right w:val="none" w:sz="0" w:space="0" w:color="auto"/>
                                                                                          </w:divBdr>
                                                                                          <w:divsChild>
                                                                                            <w:div w:id="174618870">
                                                                                              <w:marLeft w:val="0"/>
                                                                                              <w:marRight w:val="0"/>
                                                                                              <w:marTop w:val="0"/>
                                                                                              <w:marBottom w:val="0"/>
                                                                                              <w:divBdr>
                                                                                                <w:top w:val="none" w:sz="0" w:space="0" w:color="auto"/>
                                                                                                <w:left w:val="none" w:sz="0" w:space="0" w:color="auto"/>
                                                                                                <w:bottom w:val="none" w:sz="0" w:space="0" w:color="auto"/>
                                                                                                <w:right w:val="none" w:sz="0" w:space="0" w:color="auto"/>
                                                                                              </w:divBdr>
                                                                                            </w:div>
                                                                                          </w:divsChild>
                                                                                        </w:div>
                                                                                        <w:div w:id="779107209">
                                                                                          <w:marLeft w:val="0"/>
                                                                                          <w:marRight w:val="0"/>
                                                                                          <w:marTop w:val="0"/>
                                                                                          <w:marBottom w:val="0"/>
                                                                                          <w:divBdr>
                                                                                            <w:top w:val="none" w:sz="0" w:space="0" w:color="auto"/>
                                                                                            <w:left w:val="none" w:sz="0" w:space="0" w:color="auto"/>
                                                                                            <w:bottom w:val="none" w:sz="0" w:space="0" w:color="auto"/>
                                                                                            <w:right w:val="none" w:sz="0" w:space="0" w:color="auto"/>
                                                                                          </w:divBdr>
                                                                                          <w:divsChild>
                                                                                            <w:div w:id="1958025255">
                                                                                              <w:marLeft w:val="0"/>
                                                                                              <w:marRight w:val="0"/>
                                                                                              <w:marTop w:val="0"/>
                                                                                              <w:marBottom w:val="0"/>
                                                                                              <w:divBdr>
                                                                                                <w:top w:val="none" w:sz="0" w:space="0" w:color="auto"/>
                                                                                                <w:left w:val="none" w:sz="0" w:space="0" w:color="auto"/>
                                                                                                <w:bottom w:val="none" w:sz="0" w:space="0" w:color="auto"/>
                                                                                                <w:right w:val="none" w:sz="0" w:space="0" w:color="auto"/>
                                                                                              </w:divBdr>
                                                                                            </w:div>
                                                                                          </w:divsChild>
                                                                                        </w:div>
                                                                                        <w:div w:id="875044665">
                                                                                          <w:marLeft w:val="0"/>
                                                                                          <w:marRight w:val="0"/>
                                                                                          <w:marTop w:val="0"/>
                                                                                          <w:marBottom w:val="0"/>
                                                                                          <w:divBdr>
                                                                                            <w:top w:val="none" w:sz="0" w:space="0" w:color="auto"/>
                                                                                            <w:left w:val="none" w:sz="0" w:space="0" w:color="auto"/>
                                                                                            <w:bottom w:val="none" w:sz="0" w:space="0" w:color="auto"/>
                                                                                            <w:right w:val="none" w:sz="0" w:space="0" w:color="auto"/>
                                                                                          </w:divBdr>
                                                                                          <w:divsChild>
                                                                                            <w:div w:id="977686581">
                                                                                              <w:marLeft w:val="0"/>
                                                                                              <w:marRight w:val="0"/>
                                                                                              <w:marTop w:val="0"/>
                                                                                              <w:marBottom w:val="0"/>
                                                                                              <w:divBdr>
                                                                                                <w:top w:val="none" w:sz="0" w:space="0" w:color="auto"/>
                                                                                                <w:left w:val="none" w:sz="0" w:space="0" w:color="auto"/>
                                                                                                <w:bottom w:val="none" w:sz="0" w:space="0" w:color="auto"/>
                                                                                                <w:right w:val="none" w:sz="0" w:space="0" w:color="auto"/>
                                                                                              </w:divBdr>
                                                                                            </w:div>
                                                                                          </w:divsChild>
                                                                                        </w:div>
                                                                                        <w:div w:id="891695083">
                                                                                          <w:marLeft w:val="0"/>
                                                                                          <w:marRight w:val="0"/>
                                                                                          <w:marTop w:val="0"/>
                                                                                          <w:marBottom w:val="0"/>
                                                                                          <w:divBdr>
                                                                                            <w:top w:val="none" w:sz="0" w:space="0" w:color="auto"/>
                                                                                            <w:left w:val="none" w:sz="0" w:space="0" w:color="auto"/>
                                                                                            <w:bottom w:val="none" w:sz="0" w:space="0" w:color="auto"/>
                                                                                            <w:right w:val="none" w:sz="0" w:space="0" w:color="auto"/>
                                                                                          </w:divBdr>
                                                                                          <w:divsChild>
                                                                                            <w:div w:id="1700549906">
                                                                                              <w:marLeft w:val="0"/>
                                                                                              <w:marRight w:val="0"/>
                                                                                              <w:marTop w:val="0"/>
                                                                                              <w:marBottom w:val="0"/>
                                                                                              <w:divBdr>
                                                                                                <w:top w:val="none" w:sz="0" w:space="0" w:color="auto"/>
                                                                                                <w:left w:val="none" w:sz="0" w:space="0" w:color="auto"/>
                                                                                                <w:bottom w:val="none" w:sz="0" w:space="0" w:color="auto"/>
                                                                                                <w:right w:val="none" w:sz="0" w:space="0" w:color="auto"/>
                                                                                              </w:divBdr>
                                                                                            </w:div>
                                                                                          </w:divsChild>
                                                                                        </w:div>
                                                                                        <w:div w:id="1208378302">
                                                                                          <w:marLeft w:val="0"/>
                                                                                          <w:marRight w:val="0"/>
                                                                                          <w:marTop w:val="0"/>
                                                                                          <w:marBottom w:val="0"/>
                                                                                          <w:divBdr>
                                                                                            <w:top w:val="none" w:sz="0" w:space="0" w:color="auto"/>
                                                                                            <w:left w:val="none" w:sz="0" w:space="0" w:color="auto"/>
                                                                                            <w:bottom w:val="none" w:sz="0" w:space="0" w:color="auto"/>
                                                                                            <w:right w:val="none" w:sz="0" w:space="0" w:color="auto"/>
                                                                                          </w:divBdr>
                                                                                          <w:divsChild>
                                                                                            <w:div w:id="377557749">
                                                                                              <w:marLeft w:val="0"/>
                                                                                              <w:marRight w:val="0"/>
                                                                                              <w:marTop w:val="0"/>
                                                                                              <w:marBottom w:val="0"/>
                                                                                              <w:divBdr>
                                                                                                <w:top w:val="none" w:sz="0" w:space="0" w:color="auto"/>
                                                                                                <w:left w:val="none" w:sz="0" w:space="0" w:color="auto"/>
                                                                                                <w:bottom w:val="none" w:sz="0" w:space="0" w:color="auto"/>
                                                                                                <w:right w:val="none" w:sz="0" w:space="0" w:color="auto"/>
                                                                                              </w:divBdr>
                                                                                            </w:div>
                                                                                          </w:divsChild>
                                                                                        </w:div>
                                                                                        <w:div w:id="1504783603">
                                                                                          <w:marLeft w:val="0"/>
                                                                                          <w:marRight w:val="0"/>
                                                                                          <w:marTop w:val="0"/>
                                                                                          <w:marBottom w:val="0"/>
                                                                                          <w:divBdr>
                                                                                            <w:top w:val="none" w:sz="0" w:space="0" w:color="auto"/>
                                                                                            <w:left w:val="none" w:sz="0" w:space="0" w:color="auto"/>
                                                                                            <w:bottom w:val="none" w:sz="0" w:space="0" w:color="auto"/>
                                                                                            <w:right w:val="none" w:sz="0" w:space="0" w:color="auto"/>
                                                                                          </w:divBdr>
                                                                                          <w:divsChild>
                                                                                            <w:div w:id="2088915963">
                                                                                              <w:marLeft w:val="0"/>
                                                                                              <w:marRight w:val="0"/>
                                                                                              <w:marTop w:val="0"/>
                                                                                              <w:marBottom w:val="0"/>
                                                                                              <w:divBdr>
                                                                                                <w:top w:val="none" w:sz="0" w:space="0" w:color="auto"/>
                                                                                                <w:left w:val="none" w:sz="0" w:space="0" w:color="auto"/>
                                                                                                <w:bottom w:val="none" w:sz="0" w:space="0" w:color="auto"/>
                                                                                                <w:right w:val="none" w:sz="0" w:space="0" w:color="auto"/>
                                                                                              </w:divBdr>
                                                                                            </w:div>
                                                                                          </w:divsChild>
                                                                                        </w:div>
                                                                                        <w:div w:id="1535070317">
                                                                                          <w:marLeft w:val="0"/>
                                                                                          <w:marRight w:val="0"/>
                                                                                          <w:marTop w:val="0"/>
                                                                                          <w:marBottom w:val="0"/>
                                                                                          <w:divBdr>
                                                                                            <w:top w:val="none" w:sz="0" w:space="0" w:color="auto"/>
                                                                                            <w:left w:val="none" w:sz="0" w:space="0" w:color="auto"/>
                                                                                            <w:bottom w:val="none" w:sz="0" w:space="0" w:color="auto"/>
                                                                                            <w:right w:val="none" w:sz="0" w:space="0" w:color="auto"/>
                                                                                          </w:divBdr>
                                                                                          <w:divsChild>
                                                                                            <w:div w:id="1856991142">
                                                                                              <w:marLeft w:val="0"/>
                                                                                              <w:marRight w:val="0"/>
                                                                                              <w:marTop w:val="0"/>
                                                                                              <w:marBottom w:val="0"/>
                                                                                              <w:divBdr>
                                                                                                <w:top w:val="none" w:sz="0" w:space="0" w:color="auto"/>
                                                                                                <w:left w:val="none" w:sz="0" w:space="0" w:color="auto"/>
                                                                                                <w:bottom w:val="none" w:sz="0" w:space="0" w:color="auto"/>
                                                                                                <w:right w:val="none" w:sz="0" w:space="0" w:color="auto"/>
                                                                                              </w:divBdr>
                                                                                            </w:div>
                                                                                          </w:divsChild>
                                                                                        </w:div>
                                                                                        <w:div w:id="1598246402">
                                                                                          <w:marLeft w:val="0"/>
                                                                                          <w:marRight w:val="0"/>
                                                                                          <w:marTop w:val="0"/>
                                                                                          <w:marBottom w:val="0"/>
                                                                                          <w:divBdr>
                                                                                            <w:top w:val="none" w:sz="0" w:space="0" w:color="auto"/>
                                                                                            <w:left w:val="none" w:sz="0" w:space="0" w:color="auto"/>
                                                                                            <w:bottom w:val="none" w:sz="0" w:space="0" w:color="auto"/>
                                                                                            <w:right w:val="none" w:sz="0" w:space="0" w:color="auto"/>
                                                                                          </w:divBdr>
                                                                                          <w:divsChild>
                                                                                            <w:div w:id="237132121">
                                                                                              <w:marLeft w:val="0"/>
                                                                                              <w:marRight w:val="0"/>
                                                                                              <w:marTop w:val="0"/>
                                                                                              <w:marBottom w:val="0"/>
                                                                                              <w:divBdr>
                                                                                                <w:top w:val="none" w:sz="0" w:space="0" w:color="auto"/>
                                                                                                <w:left w:val="none" w:sz="0" w:space="0" w:color="auto"/>
                                                                                                <w:bottom w:val="none" w:sz="0" w:space="0" w:color="auto"/>
                                                                                                <w:right w:val="none" w:sz="0" w:space="0" w:color="auto"/>
                                                                                              </w:divBdr>
                                                                                            </w:div>
                                                                                          </w:divsChild>
                                                                                        </w:div>
                                                                                        <w:div w:id="1753428565">
                                                                                          <w:marLeft w:val="0"/>
                                                                                          <w:marRight w:val="0"/>
                                                                                          <w:marTop w:val="0"/>
                                                                                          <w:marBottom w:val="0"/>
                                                                                          <w:divBdr>
                                                                                            <w:top w:val="none" w:sz="0" w:space="0" w:color="auto"/>
                                                                                            <w:left w:val="none" w:sz="0" w:space="0" w:color="auto"/>
                                                                                            <w:bottom w:val="none" w:sz="0" w:space="0" w:color="auto"/>
                                                                                            <w:right w:val="none" w:sz="0" w:space="0" w:color="auto"/>
                                                                                          </w:divBdr>
                                                                                          <w:divsChild>
                                                                                            <w:div w:id="1297368375">
                                                                                              <w:marLeft w:val="0"/>
                                                                                              <w:marRight w:val="0"/>
                                                                                              <w:marTop w:val="0"/>
                                                                                              <w:marBottom w:val="0"/>
                                                                                              <w:divBdr>
                                                                                                <w:top w:val="none" w:sz="0" w:space="0" w:color="auto"/>
                                                                                                <w:left w:val="none" w:sz="0" w:space="0" w:color="auto"/>
                                                                                                <w:bottom w:val="none" w:sz="0" w:space="0" w:color="auto"/>
                                                                                                <w:right w:val="none" w:sz="0" w:space="0" w:color="auto"/>
                                                                                              </w:divBdr>
                                                                                            </w:div>
                                                                                          </w:divsChild>
                                                                                        </w:div>
                                                                                        <w:div w:id="1792044053">
                                                                                          <w:marLeft w:val="0"/>
                                                                                          <w:marRight w:val="0"/>
                                                                                          <w:marTop w:val="0"/>
                                                                                          <w:marBottom w:val="0"/>
                                                                                          <w:divBdr>
                                                                                            <w:top w:val="none" w:sz="0" w:space="0" w:color="auto"/>
                                                                                            <w:left w:val="none" w:sz="0" w:space="0" w:color="auto"/>
                                                                                            <w:bottom w:val="none" w:sz="0" w:space="0" w:color="auto"/>
                                                                                            <w:right w:val="none" w:sz="0" w:space="0" w:color="auto"/>
                                                                                          </w:divBdr>
                                                                                          <w:divsChild>
                                                                                            <w:div w:id="1553614218">
                                                                                              <w:marLeft w:val="0"/>
                                                                                              <w:marRight w:val="0"/>
                                                                                              <w:marTop w:val="0"/>
                                                                                              <w:marBottom w:val="0"/>
                                                                                              <w:divBdr>
                                                                                                <w:top w:val="none" w:sz="0" w:space="0" w:color="auto"/>
                                                                                                <w:left w:val="none" w:sz="0" w:space="0" w:color="auto"/>
                                                                                                <w:bottom w:val="none" w:sz="0" w:space="0" w:color="auto"/>
                                                                                                <w:right w:val="none" w:sz="0" w:space="0" w:color="auto"/>
                                                                                              </w:divBdr>
                                                                                            </w:div>
                                                                                          </w:divsChild>
                                                                                        </w:div>
                                                                                        <w:div w:id="2049799322">
                                                                                          <w:marLeft w:val="0"/>
                                                                                          <w:marRight w:val="0"/>
                                                                                          <w:marTop w:val="0"/>
                                                                                          <w:marBottom w:val="0"/>
                                                                                          <w:divBdr>
                                                                                            <w:top w:val="none" w:sz="0" w:space="0" w:color="auto"/>
                                                                                            <w:left w:val="none" w:sz="0" w:space="0" w:color="auto"/>
                                                                                            <w:bottom w:val="none" w:sz="0" w:space="0" w:color="auto"/>
                                                                                            <w:right w:val="none" w:sz="0" w:space="0" w:color="auto"/>
                                                                                          </w:divBdr>
                                                                                          <w:divsChild>
                                                                                            <w:div w:id="593981404">
                                                                                              <w:marLeft w:val="0"/>
                                                                                              <w:marRight w:val="0"/>
                                                                                              <w:marTop w:val="0"/>
                                                                                              <w:marBottom w:val="0"/>
                                                                                              <w:divBdr>
                                                                                                <w:top w:val="none" w:sz="0" w:space="0" w:color="auto"/>
                                                                                                <w:left w:val="none" w:sz="0" w:space="0" w:color="auto"/>
                                                                                                <w:bottom w:val="none" w:sz="0" w:space="0" w:color="auto"/>
                                                                                                <w:right w:val="none" w:sz="0" w:space="0" w:color="auto"/>
                                                                                              </w:divBdr>
                                                                                            </w:div>
                                                                                          </w:divsChild>
                                                                                        </w:div>
                                                                                        <w:div w:id="2142114547">
                                                                                          <w:marLeft w:val="0"/>
                                                                                          <w:marRight w:val="0"/>
                                                                                          <w:marTop w:val="0"/>
                                                                                          <w:marBottom w:val="0"/>
                                                                                          <w:divBdr>
                                                                                            <w:top w:val="none" w:sz="0" w:space="0" w:color="auto"/>
                                                                                            <w:left w:val="none" w:sz="0" w:space="0" w:color="auto"/>
                                                                                            <w:bottom w:val="none" w:sz="0" w:space="0" w:color="auto"/>
                                                                                            <w:right w:val="none" w:sz="0" w:space="0" w:color="auto"/>
                                                                                          </w:divBdr>
                                                                                          <w:divsChild>
                                                                                            <w:div w:id="1626813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760316">
                                                                                  <w:marLeft w:val="0"/>
                                                                                  <w:marRight w:val="0"/>
                                                                                  <w:marTop w:val="0"/>
                                                                                  <w:marBottom w:val="0"/>
                                                                                  <w:divBdr>
                                                                                    <w:top w:val="none" w:sz="0" w:space="0" w:color="auto"/>
                                                                                    <w:left w:val="none" w:sz="0" w:space="0" w:color="auto"/>
                                                                                    <w:bottom w:val="none" w:sz="0" w:space="0" w:color="auto"/>
                                                                                    <w:right w:val="none" w:sz="0" w:space="0" w:color="auto"/>
                                                                                  </w:divBdr>
                                                                                </w:div>
                                                                                <w:div w:id="1773285371">
                                                                                  <w:marLeft w:val="0"/>
                                                                                  <w:marRight w:val="0"/>
                                                                                  <w:marTop w:val="0"/>
                                                                                  <w:marBottom w:val="0"/>
                                                                                  <w:divBdr>
                                                                                    <w:top w:val="none" w:sz="0" w:space="0" w:color="auto"/>
                                                                                    <w:left w:val="none" w:sz="0" w:space="0" w:color="auto"/>
                                                                                    <w:bottom w:val="none" w:sz="0" w:space="0" w:color="auto"/>
                                                                                    <w:right w:val="none" w:sz="0" w:space="0" w:color="auto"/>
                                                                                  </w:divBdr>
                                                                                </w:div>
                                                                                <w:div w:id="1783110243">
                                                                                  <w:marLeft w:val="0"/>
                                                                                  <w:marRight w:val="0"/>
                                                                                  <w:marTop w:val="0"/>
                                                                                  <w:marBottom w:val="0"/>
                                                                                  <w:divBdr>
                                                                                    <w:top w:val="none" w:sz="0" w:space="0" w:color="auto"/>
                                                                                    <w:left w:val="none" w:sz="0" w:space="0" w:color="auto"/>
                                                                                    <w:bottom w:val="none" w:sz="0" w:space="0" w:color="auto"/>
                                                                                    <w:right w:val="none" w:sz="0" w:space="0" w:color="auto"/>
                                                                                  </w:divBdr>
                                                                                </w:div>
                                                                                <w:div w:id="1795979207">
                                                                                  <w:marLeft w:val="0"/>
                                                                                  <w:marRight w:val="0"/>
                                                                                  <w:marTop w:val="0"/>
                                                                                  <w:marBottom w:val="0"/>
                                                                                  <w:divBdr>
                                                                                    <w:top w:val="none" w:sz="0" w:space="0" w:color="auto"/>
                                                                                    <w:left w:val="none" w:sz="0" w:space="0" w:color="auto"/>
                                                                                    <w:bottom w:val="none" w:sz="0" w:space="0" w:color="auto"/>
                                                                                    <w:right w:val="none" w:sz="0" w:space="0" w:color="auto"/>
                                                                                  </w:divBdr>
                                                                                </w:div>
                                                                                <w:div w:id="1817330636">
                                                                                  <w:marLeft w:val="0"/>
                                                                                  <w:marRight w:val="0"/>
                                                                                  <w:marTop w:val="0"/>
                                                                                  <w:marBottom w:val="0"/>
                                                                                  <w:divBdr>
                                                                                    <w:top w:val="none" w:sz="0" w:space="0" w:color="auto"/>
                                                                                    <w:left w:val="none" w:sz="0" w:space="0" w:color="auto"/>
                                                                                    <w:bottom w:val="none" w:sz="0" w:space="0" w:color="auto"/>
                                                                                    <w:right w:val="none" w:sz="0" w:space="0" w:color="auto"/>
                                                                                  </w:divBdr>
                                                                                </w:div>
                                                                                <w:div w:id="1834759089">
                                                                                  <w:marLeft w:val="0"/>
                                                                                  <w:marRight w:val="0"/>
                                                                                  <w:marTop w:val="0"/>
                                                                                  <w:marBottom w:val="0"/>
                                                                                  <w:divBdr>
                                                                                    <w:top w:val="none" w:sz="0" w:space="0" w:color="auto"/>
                                                                                    <w:left w:val="none" w:sz="0" w:space="0" w:color="auto"/>
                                                                                    <w:bottom w:val="none" w:sz="0" w:space="0" w:color="auto"/>
                                                                                    <w:right w:val="none" w:sz="0" w:space="0" w:color="auto"/>
                                                                                  </w:divBdr>
                                                                                </w:div>
                                                                                <w:div w:id="1842233366">
                                                                                  <w:marLeft w:val="0"/>
                                                                                  <w:marRight w:val="0"/>
                                                                                  <w:marTop w:val="0"/>
                                                                                  <w:marBottom w:val="0"/>
                                                                                  <w:divBdr>
                                                                                    <w:top w:val="none" w:sz="0" w:space="0" w:color="auto"/>
                                                                                    <w:left w:val="none" w:sz="0" w:space="0" w:color="auto"/>
                                                                                    <w:bottom w:val="none" w:sz="0" w:space="0" w:color="auto"/>
                                                                                    <w:right w:val="none" w:sz="0" w:space="0" w:color="auto"/>
                                                                                  </w:divBdr>
                                                                                </w:div>
                                                                                <w:div w:id="1849130897">
                                                                                  <w:marLeft w:val="0"/>
                                                                                  <w:marRight w:val="0"/>
                                                                                  <w:marTop w:val="0"/>
                                                                                  <w:marBottom w:val="0"/>
                                                                                  <w:divBdr>
                                                                                    <w:top w:val="none" w:sz="0" w:space="0" w:color="auto"/>
                                                                                    <w:left w:val="none" w:sz="0" w:space="0" w:color="auto"/>
                                                                                    <w:bottom w:val="none" w:sz="0" w:space="0" w:color="auto"/>
                                                                                    <w:right w:val="none" w:sz="0" w:space="0" w:color="auto"/>
                                                                                  </w:divBdr>
                                                                                </w:div>
                                                                                <w:div w:id="1854417193">
                                                                                  <w:marLeft w:val="0"/>
                                                                                  <w:marRight w:val="0"/>
                                                                                  <w:marTop w:val="0"/>
                                                                                  <w:marBottom w:val="0"/>
                                                                                  <w:divBdr>
                                                                                    <w:top w:val="none" w:sz="0" w:space="0" w:color="auto"/>
                                                                                    <w:left w:val="none" w:sz="0" w:space="0" w:color="auto"/>
                                                                                    <w:bottom w:val="none" w:sz="0" w:space="0" w:color="auto"/>
                                                                                    <w:right w:val="none" w:sz="0" w:space="0" w:color="auto"/>
                                                                                  </w:divBdr>
                                                                                </w:div>
                                                                                <w:div w:id="1858738378">
                                                                                  <w:marLeft w:val="0"/>
                                                                                  <w:marRight w:val="0"/>
                                                                                  <w:marTop w:val="0"/>
                                                                                  <w:marBottom w:val="0"/>
                                                                                  <w:divBdr>
                                                                                    <w:top w:val="none" w:sz="0" w:space="0" w:color="auto"/>
                                                                                    <w:left w:val="none" w:sz="0" w:space="0" w:color="auto"/>
                                                                                    <w:bottom w:val="none" w:sz="0" w:space="0" w:color="auto"/>
                                                                                    <w:right w:val="none" w:sz="0" w:space="0" w:color="auto"/>
                                                                                  </w:divBdr>
                                                                                </w:div>
                                                                                <w:div w:id="1862666103">
                                                                                  <w:marLeft w:val="0"/>
                                                                                  <w:marRight w:val="0"/>
                                                                                  <w:marTop w:val="0"/>
                                                                                  <w:marBottom w:val="0"/>
                                                                                  <w:divBdr>
                                                                                    <w:top w:val="none" w:sz="0" w:space="0" w:color="auto"/>
                                                                                    <w:left w:val="none" w:sz="0" w:space="0" w:color="auto"/>
                                                                                    <w:bottom w:val="none" w:sz="0" w:space="0" w:color="auto"/>
                                                                                    <w:right w:val="none" w:sz="0" w:space="0" w:color="auto"/>
                                                                                  </w:divBdr>
                                                                                </w:div>
                                                                                <w:div w:id="1863976263">
                                                                                  <w:marLeft w:val="0"/>
                                                                                  <w:marRight w:val="0"/>
                                                                                  <w:marTop w:val="0"/>
                                                                                  <w:marBottom w:val="0"/>
                                                                                  <w:divBdr>
                                                                                    <w:top w:val="none" w:sz="0" w:space="0" w:color="auto"/>
                                                                                    <w:left w:val="none" w:sz="0" w:space="0" w:color="auto"/>
                                                                                    <w:bottom w:val="none" w:sz="0" w:space="0" w:color="auto"/>
                                                                                    <w:right w:val="none" w:sz="0" w:space="0" w:color="auto"/>
                                                                                  </w:divBdr>
                                                                                </w:div>
                                                                                <w:div w:id="1871064773">
                                                                                  <w:marLeft w:val="0"/>
                                                                                  <w:marRight w:val="0"/>
                                                                                  <w:marTop w:val="0"/>
                                                                                  <w:marBottom w:val="0"/>
                                                                                  <w:divBdr>
                                                                                    <w:top w:val="none" w:sz="0" w:space="0" w:color="auto"/>
                                                                                    <w:left w:val="none" w:sz="0" w:space="0" w:color="auto"/>
                                                                                    <w:bottom w:val="none" w:sz="0" w:space="0" w:color="auto"/>
                                                                                    <w:right w:val="none" w:sz="0" w:space="0" w:color="auto"/>
                                                                                  </w:divBdr>
                                                                                </w:div>
                                                                                <w:div w:id="1873112213">
                                                                                  <w:marLeft w:val="0"/>
                                                                                  <w:marRight w:val="0"/>
                                                                                  <w:marTop w:val="0"/>
                                                                                  <w:marBottom w:val="0"/>
                                                                                  <w:divBdr>
                                                                                    <w:top w:val="none" w:sz="0" w:space="0" w:color="auto"/>
                                                                                    <w:left w:val="none" w:sz="0" w:space="0" w:color="auto"/>
                                                                                    <w:bottom w:val="none" w:sz="0" w:space="0" w:color="auto"/>
                                                                                    <w:right w:val="none" w:sz="0" w:space="0" w:color="auto"/>
                                                                                  </w:divBdr>
                                                                                </w:div>
                                                                                <w:div w:id="1873760049">
                                                                                  <w:marLeft w:val="0"/>
                                                                                  <w:marRight w:val="0"/>
                                                                                  <w:marTop w:val="0"/>
                                                                                  <w:marBottom w:val="0"/>
                                                                                  <w:divBdr>
                                                                                    <w:top w:val="none" w:sz="0" w:space="0" w:color="auto"/>
                                                                                    <w:left w:val="none" w:sz="0" w:space="0" w:color="auto"/>
                                                                                    <w:bottom w:val="none" w:sz="0" w:space="0" w:color="auto"/>
                                                                                    <w:right w:val="none" w:sz="0" w:space="0" w:color="auto"/>
                                                                                  </w:divBdr>
                                                                                </w:div>
                                                                                <w:div w:id="1877619737">
                                                                                  <w:marLeft w:val="0"/>
                                                                                  <w:marRight w:val="0"/>
                                                                                  <w:marTop w:val="0"/>
                                                                                  <w:marBottom w:val="0"/>
                                                                                  <w:divBdr>
                                                                                    <w:top w:val="none" w:sz="0" w:space="0" w:color="auto"/>
                                                                                    <w:left w:val="none" w:sz="0" w:space="0" w:color="auto"/>
                                                                                    <w:bottom w:val="none" w:sz="0" w:space="0" w:color="auto"/>
                                                                                    <w:right w:val="none" w:sz="0" w:space="0" w:color="auto"/>
                                                                                  </w:divBdr>
                                                                                </w:div>
                                                                                <w:div w:id="1882593659">
                                                                                  <w:marLeft w:val="0"/>
                                                                                  <w:marRight w:val="0"/>
                                                                                  <w:marTop w:val="0"/>
                                                                                  <w:marBottom w:val="0"/>
                                                                                  <w:divBdr>
                                                                                    <w:top w:val="none" w:sz="0" w:space="0" w:color="auto"/>
                                                                                    <w:left w:val="none" w:sz="0" w:space="0" w:color="auto"/>
                                                                                    <w:bottom w:val="none" w:sz="0" w:space="0" w:color="auto"/>
                                                                                    <w:right w:val="none" w:sz="0" w:space="0" w:color="auto"/>
                                                                                  </w:divBdr>
                                                                                </w:div>
                                                                                <w:div w:id="1890065880">
                                                                                  <w:marLeft w:val="0"/>
                                                                                  <w:marRight w:val="0"/>
                                                                                  <w:marTop w:val="0"/>
                                                                                  <w:marBottom w:val="0"/>
                                                                                  <w:divBdr>
                                                                                    <w:top w:val="none" w:sz="0" w:space="0" w:color="auto"/>
                                                                                    <w:left w:val="none" w:sz="0" w:space="0" w:color="auto"/>
                                                                                    <w:bottom w:val="none" w:sz="0" w:space="0" w:color="auto"/>
                                                                                    <w:right w:val="none" w:sz="0" w:space="0" w:color="auto"/>
                                                                                  </w:divBdr>
                                                                                </w:div>
                                                                                <w:div w:id="1928996866">
                                                                                  <w:marLeft w:val="0"/>
                                                                                  <w:marRight w:val="0"/>
                                                                                  <w:marTop w:val="0"/>
                                                                                  <w:marBottom w:val="0"/>
                                                                                  <w:divBdr>
                                                                                    <w:top w:val="none" w:sz="0" w:space="0" w:color="auto"/>
                                                                                    <w:left w:val="none" w:sz="0" w:space="0" w:color="auto"/>
                                                                                    <w:bottom w:val="none" w:sz="0" w:space="0" w:color="auto"/>
                                                                                    <w:right w:val="none" w:sz="0" w:space="0" w:color="auto"/>
                                                                                  </w:divBdr>
                                                                                  <w:divsChild>
                                                                                    <w:div w:id="1491824013">
                                                                                      <w:marLeft w:val="-75"/>
                                                                                      <w:marRight w:val="0"/>
                                                                                      <w:marTop w:val="30"/>
                                                                                      <w:marBottom w:val="30"/>
                                                                                      <w:divBdr>
                                                                                        <w:top w:val="none" w:sz="0" w:space="0" w:color="auto"/>
                                                                                        <w:left w:val="none" w:sz="0" w:space="0" w:color="auto"/>
                                                                                        <w:bottom w:val="none" w:sz="0" w:space="0" w:color="auto"/>
                                                                                        <w:right w:val="none" w:sz="0" w:space="0" w:color="auto"/>
                                                                                      </w:divBdr>
                                                                                      <w:divsChild>
                                                                                        <w:div w:id="52580378">
                                                                                          <w:marLeft w:val="0"/>
                                                                                          <w:marRight w:val="0"/>
                                                                                          <w:marTop w:val="0"/>
                                                                                          <w:marBottom w:val="0"/>
                                                                                          <w:divBdr>
                                                                                            <w:top w:val="none" w:sz="0" w:space="0" w:color="auto"/>
                                                                                            <w:left w:val="none" w:sz="0" w:space="0" w:color="auto"/>
                                                                                            <w:bottom w:val="none" w:sz="0" w:space="0" w:color="auto"/>
                                                                                            <w:right w:val="none" w:sz="0" w:space="0" w:color="auto"/>
                                                                                          </w:divBdr>
                                                                                          <w:divsChild>
                                                                                            <w:div w:id="1215964316">
                                                                                              <w:marLeft w:val="0"/>
                                                                                              <w:marRight w:val="0"/>
                                                                                              <w:marTop w:val="0"/>
                                                                                              <w:marBottom w:val="0"/>
                                                                                              <w:divBdr>
                                                                                                <w:top w:val="none" w:sz="0" w:space="0" w:color="auto"/>
                                                                                                <w:left w:val="none" w:sz="0" w:space="0" w:color="auto"/>
                                                                                                <w:bottom w:val="none" w:sz="0" w:space="0" w:color="auto"/>
                                                                                                <w:right w:val="none" w:sz="0" w:space="0" w:color="auto"/>
                                                                                              </w:divBdr>
                                                                                            </w:div>
                                                                                          </w:divsChild>
                                                                                        </w:div>
                                                                                        <w:div w:id="468131621">
                                                                                          <w:marLeft w:val="0"/>
                                                                                          <w:marRight w:val="0"/>
                                                                                          <w:marTop w:val="0"/>
                                                                                          <w:marBottom w:val="0"/>
                                                                                          <w:divBdr>
                                                                                            <w:top w:val="none" w:sz="0" w:space="0" w:color="auto"/>
                                                                                            <w:left w:val="none" w:sz="0" w:space="0" w:color="auto"/>
                                                                                            <w:bottom w:val="none" w:sz="0" w:space="0" w:color="auto"/>
                                                                                            <w:right w:val="none" w:sz="0" w:space="0" w:color="auto"/>
                                                                                          </w:divBdr>
                                                                                          <w:divsChild>
                                                                                            <w:div w:id="1939554489">
                                                                                              <w:marLeft w:val="0"/>
                                                                                              <w:marRight w:val="0"/>
                                                                                              <w:marTop w:val="0"/>
                                                                                              <w:marBottom w:val="0"/>
                                                                                              <w:divBdr>
                                                                                                <w:top w:val="none" w:sz="0" w:space="0" w:color="auto"/>
                                                                                                <w:left w:val="none" w:sz="0" w:space="0" w:color="auto"/>
                                                                                                <w:bottom w:val="none" w:sz="0" w:space="0" w:color="auto"/>
                                                                                                <w:right w:val="none" w:sz="0" w:space="0" w:color="auto"/>
                                                                                              </w:divBdr>
                                                                                            </w:div>
                                                                                          </w:divsChild>
                                                                                        </w:div>
                                                                                        <w:div w:id="522281053">
                                                                                          <w:marLeft w:val="0"/>
                                                                                          <w:marRight w:val="0"/>
                                                                                          <w:marTop w:val="0"/>
                                                                                          <w:marBottom w:val="0"/>
                                                                                          <w:divBdr>
                                                                                            <w:top w:val="none" w:sz="0" w:space="0" w:color="auto"/>
                                                                                            <w:left w:val="none" w:sz="0" w:space="0" w:color="auto"/>
                                                                                            <w:bottom w:val="none" w:sz="0" w:space="0" w:color="auto"/>
                                                                                            <w:right w:val="none" w:sz="0" w:space="0" w:color="auto"/>
                                                                                          </w:divBdr>
                                                                                          <w:divsChild>
                                                                                            <w:div w:id="1059785386">
                                                                                              <w:marLeft w:val="0"/>
                                                                                              <w:marRight w:val="0"/>
                                                                                              <w:marTop w:val="0"/>
                                                                                              <w:marBottom w:val="0"/>
                                                                                              <w:divBdr>
                                                                                                <w:top w:val="none" w:sz="0" w:space="0" w:color="auto"/>
                                                                                                <w:left w:val="none" w:sz="0" w:space="0" w:color="auto"/>
                                                                                                <w:bottom w:val="none" w:sz="0" w:space="0" w:color="auto"/>
                                                                                                <w:right w:val="none" w:sz="0" w:space="0" w:color="auto"/>
                                                                                              </w:divBdr>
                                                                                            </w:div>
                                                                                          </w:divsChild>
                                                                                        </w:div>
                                                                                        <w:div w:id="639000837">
                                                                                          <w:marLeft w:val="0"/>
                                                                                          <w:marRight w:val="0"/>
                                                                                          <w:marTop w:val="0"/>
                                                                                          <w:marBottom w:val="0"/>
                                                                                          <w:divBdr>
                                                                                            <w:top w:val="none" w:sz="0" w:space="0" w:color="auto"/>
                                                                                            <w:left w:val="none" w:sz="0" w:space="0" w:color="auto"/>
                                                                                            <w:bottom w:val="none" w:sz="0" w:space="0" w:color="auto"/>
                                                                                            <w:right w:val="none" w:sz="0" w:space="0" w:color="auto"/>
                                                                                          </w:divBdr>
                                                                                          <w:divsChild>
                                                                                            <w:div w:id="303316507">
                                                                                              <w:marLeft w:val="0"/>
                                                                                              <w:marRight w:val="0"/>
                                                                                              <w:marTop w:val="0"/>
                                                                                              <w:marBottom w:val="0"/>
                                                                                              <w:divBdr>
                                                                                                <w:top w:val="none" w:sz="0" w:space="0" w:color="auto"/>
                                                                                                <w:left w:val="none" w:sz="0" w:space="0" w:color="auto"/>
                                                                                                <w:bottom w:val="none" w:sz="0" w:space="0" w:color="auto"/>
                                                                                                <w:right w:val="none" w:sz="0" w:space="0" w:color="auto"/>
                                                                                              </w:divBdr>
                                                                                            </w:div>
                                                                                          </w:divsChild>
                                                                                        </w:div>
                                                                                        <w:div w:id="686367699">
                                                                                          <w:marLeft w:val="0"/>
                                                                                          <w:marRight w:val="0"/>
                                                                                          <w:marTop w:val="0"/>
                                                                                          <w:marBottom w:val="0"/>
                                                                                          <w:divBdr>
                                                                                            <w:top w:val="none" w:sz="0" w:space="0" w:color="auto"/>
                                                                                            <w:left w:val="none" w:sz="0" w:space="0" w:color="auto"/>
                                                                                            <w:bottom w:val="none" w:sz="0" w:space="0" w:color="auto"/>
                                                                                            <w:right w:val="none" w:sz="0" w:space="0" w:color="auto"/>
                                                                                          </w:divBdr>
                                                                                          <w:divsChild>
                                                                                            <w:div w:id="1632516081">
                                                                                              <w:marLeft w:val="0"/>
                                                                                              <w:marRight w:val="0"/>
                                                                                              <w:marTop w:val="0"/>
                                                                                              <w:marBottom w:val="0"/>
                                                                                              <w:divBdr>
                                                                                                <w:top w:val="none" w:sz="0" w:space="0" w:color="auto"/>
                                                                                                <w:left w:val="none" w:sz="0" w:space="0" w:color="auto"/>
                                                                                                <w:bottom w:val="none" w:sz="0" w:space="0" w:color="auto"/>
                                                                                                <w:right w:val="none" w:sz="0" w:space="0" w:color="auto"/>
                                                                                              </w:divBdr>
                                                                                            </w:div>
                                                                                          </w:divsChild>
                                                                                        </w:div>
                                                                                        <w:div w:id="751898312">
                                                                                          <w:marLeft w:val="0"/>
                                                                                          <w:marRight w:val="0"/>
                                                                                          <w:marTop w:val="0"/>
                                                                                          <w:marBottom w:val="0"/>
                                                                                          <w:divBdr>
                                                                                            <w:top w:val="none" w:sz="0" w:space="0" w:color="auto"/>
                                                                                            <w:left w:val="none" w:sz="0" w:space="0" w:color="auto"/>
                                                                                            <w:bottom w:val="none" w:sz="0" w:space="0" w:color="auto"/>
                                                                                            <w:right w:val="none" w:sz="0" w:space="0" w:color="auto"/>
                                                                                          </w:divBdr>
                                                                                          <w:divsChild>
                                                                                            <w:div w:id="2025354012">
                                                                                              <w:marLeft w:val="0"/>
                                                                                              <w:marRight w:val="0"/>
                                                                                              <w:marTop w:val="0"/>
                                                                                              <w:marBottom w:val="0"/>
                                                                                              <w:divBdr>
                                                                                                <w:top w:val="none" w:sz="0" w:space="0" w:color="auto"/>
                                                                                                <w:left w:val="none" w:sz="0" w:space="0" w:color="auto"/>
                                                                                                <w:bottom w:val="none" w:sz="0" w:space="0" w:color="auto"/>
                                                                                                <w:right w:val="none" w:sz="0" w:space="0" w:color="auto"/>
                                                                                              </w:divBdr>
                                                                                            </w:div>
                                                                                          </w:divsChild>
                                                                                        </w:div>
                                                                                        <w:div w:id="906113746">
                                                                                          <w:marLeft w:val="0"/>
                                                                                          <w:marRight w:val="0"/>
                                                                                          <w:marTop w:val="0"/>
                                                                                          <w:marBottom w:val="0"/>
                                                                                          <w:divBdr>
                                                                                            <w:top w:val="none" w:sz="0" w:space="0" w:color="auto"/>
                                                                                            <w:left w:val="none" w:sz="0" w:space="0" w:color="auto"/>
                                                                                            <w:bottom w:val="none" w:sz="0" w:space="0" w:color="auto"/>
                                                                                            <w:right w:val="none" w:sz="0" w:space="0" w:color="auto"/>
                                                                                          </w:divBdr>
                                                                                          <w:divsChild>
                                                                                            <w:div w:id="1317680890">
                                                                                              <w:marLeft w:val="0"/>
                                                                                              <w:marRight w:val="0"/>
                                                                                              <w:marTop w:val="0"/>
                                                                                              <w:marBottom w:val="0"/>
                                                                                              <w:divBdr>
                                                                                                <w:top w:val="none" w:sz="0" w:space="0" w:color="auto"/>
                                                                                                <w:left w:val="none" w:sz="0" w:space="0" w:color="auto"/>
                                                                                                <w:bottom w:val="none" w:sz="0" w:space="0" w:color="auto"/>
                                                                                                <w:right w:val="none" w:sz="0" w:space="0" w:color="auto"/>
                                                                                              </w:divBdr>
                                                                                            </w:div>
                                                                                          </w:divsChild>
                                                                                        </w:div>
                                                                                        <w:div w:id="910387360">
                                                                                          <w:marLeft w:val="0"/>
                                                                                          <w:marRight w:val="0"/>
                                                                                          <w:marTop w:val="0"/>
                                                                                          <w:marBottom w:val="0"/>
                                                                                          <w:divBdr>
                                                                                            <w:top w:val="none" w:sz="0" w:space="0" w:color="auto"/>
                                                                                            <w:left w:val="none" w:sz="0" w:space="0" w:color="auto"/>
                                                                                            <w:bottom w:val="none" w:sz="0" w:space="0" w:color="auto"/>
                                                                                            <w:right w:val="none" w:sz="0" w:space="0" w:color="auto"/>
                                                                                          </w:divBdr>
                                                                                          <w:divsChild>
                                                                                            <w:div w:id="1427920249">
                                                                                              <w:marLeft w:val="0"/>
                                                                                              <w:marRight w:val="0"/>
                                                                                              <w:marTop w:val="0"/>
                                                                                              <w:marBottom w:val="0"/>
                                                                                              <w:divBdr>
                                                                                                <w:top w:val="none" w:sz="0" w:space="0" w:color="auto"/>
                                                                                                <w:left w:val="none" w:sz="0" w:space="0" w:color="auto"/>
                                                                                                <w:bottom w:val="none" w:sz="0" w:space="0" w:color="auto"/>
                                                                                                <w:right w:val="none" w:sz="0" w:space="0" w:color="auto"/>
                                                                                              </w:divBdr>
                                                                                            </w:div>
                                                                                          </w:divsChild>
                                                                                        </w:div>
                                                                                        <w:div w:id="970286608">
                                                                                          <w:marLeft w:val="0"/>
                                                                                          <w:marRight w:val="0"/>
                                                                                          <w:marTop w:val="0"/>
                                                                                          <w:marBottom w:val="0"/>
                                                                                          <w:divBdr>
                                                                                            <w:top w:val="none" w:sz="0" w:space="0" w:color="auto"/>
                                                                                            <w:left w:val="none" w:sz="0" w:space="0" w:color="auto"/>
                                                                                            <w:bottom w:val="none" w:sz="0" w:space="0" w:color="auto"/>
                                                                                            <w:right w:val="none" w:sz="0" w:space="0" w:color="auto"/>
                                                                                          </w:divBdr>
                                                                                          <w:divsChild>
                                                                                            <w:div w:id="719592918">
                                                                                              <w:marLeft w:val="0"/>
                                                                                              <w:marRight w:val="0"/>
                                                                                              <w:marTop w:val="0"/>
                                                                                              <w:marBottom w:val="0"/>
                                                                                              <w:divBdr>
                                                                                                <w:top w:val="none" w:sz="0" w:space="0" w:color="auto"/>
                                                                                                <w:left w:val="none" w:sz="0" w:space="0" w:color="auto"/>
                                                                                                <w:bottom w:val="none" w:sz="0" w:space="0" w:color="auto"/>
                                                                                                <w:right w:val="none" w:sz="0" w:space="0" w:color="auto"/>
                                                                                              </w:divBdr>
                                                                                            </w:div>
                                                                                          </w:divsChild>
                                                                                        </w:div>
                                                                                        <w:div w:id="1141384053">
                                                                                          <w:marLeft w:val="0"/>
                                                                                          <w:marRight w:val="0"/>
                                                                                          <w:marTop w:val="0"/>
                                                                                          <w:marBottom w:val="0"/>
                                                                                          <w:divBdr>
                                                                                            <w:top w:val="none" w:sz="0" w:space="0" w:color="auto"/>
                                                                                            <w:left w:val="none" w:sz="0" w:space="0" w:color="auto"/>
                                                                                            <w:bottom w:val="none" w:sz="0" w:space="0" w:color="auto"/>
                                                                                            <w:right w:val="none" w:sz="0" w:space="0" w:color="auto"/>
                                                                                          </w:divBdr>
                                                                                          <w:divsChild>
                                                                                            <w:div w:id="216741023">
                                                                                              <w:marLeft w:val="0"/>
                                                                                              <w:marRight w:val="0"/>
                                                                                              <w:marTop w:val="0"/>
                                                                                              <w:marBottom w:val="0"/>
                                                                                              <w:divBdr>
                                                                                                <w:top w:val="none" w:sz="0" w:space="0" w:color="auto"/>
                                                                                                <w:left w:val="none" w:sz="0" w:space="0" w:color="auto"/>
                                                                                                <w:bottom w:val="none" w:sz="0" w:space="0" w:color="auto"/>
                                                                                                <w:right w:val="none" w:sz="0" w:space="0" w:color="auto"/>
                                                                                              </w:divBdr>
                                                                                            </w:div>
                                                                                          </w:divsChild>
                                                                                        </w:div>
                                                                                        <w:div w:id="1263801647">
                                                                                          <w:marLeft w:val="0"/>
                                                                                          <w:marRight w:val="0"/>
                                                                                          <w:marTop w:val="0"/>
                                                                                          <w:marBottom w:val="0"/>
                                                                                          <w:divBdr>
                                                                                            <w:top w:val="none" w:sz="0" w:space="0" w:color="auto"/>
                                                                                            <w:left w:val="none" w:sz="0" w:space="0" w:color="auto"/>
                                                                                            <w:bottom w:val="none" w:sz="0" w:space="0" w:color="auto"/>
                                                                                            <w:right w:val="none" w:sz="0" w:space="0" w:color="auto"/>
                                                                                          </w:divBdr>
                                                                                          <w:divsChild>
                                                                                            <w:div w:id="1851604575">
                                                                                              <w:marLeft w:val="0"/>
                                                                                              <w:marRight w:val="0"/>
                                                                                              <w:marTop w:val="0"/>
                                                                                              <w:marBottom w:val="0"/>
                                                                                              <w:divBdr>
                                                                                                <w:top w:val="none" w:sz="0" w:space="0" w:color="auto"/>
                                                                                                <w:left w:val="none" w:sz="0" w:space="0" w:color="auto"/>
                                                                                                <w:bottom w:val="none" w:sz="0" w:space="0" w:color="auto"/>
                                                                                                <w:right w:val="none" w:sz="0" w:space="0" w:color="auto"/>
                                                                                              </w:divBdr>
                                                                                            </w:div>
                                                                                          </w:divsChild>
                                                                                        </w:div>
                                                                                        <w:div w:id="1283071068">
                                                                                          <w:marLeft w:val="0"/>
                                                                                          <w:marRight w:val="0"/>
                                                                                          <w:marTop w:val="0"/>
                                                                                          <w:marBottom w:val="0"/>
                                                                                          <w:divBdr>
                                                                                            <w:top w:val="none" w:sz="0" w:space="0" w:color="auto"/>
                                                                                            <w:left w:val="none" w:sz="0" w:space="0" w:color="auto"/>
                                                                                            <w:bottom w:val="none" w:sz="0" w:space="0" w:color="auto"/>
                                                                                            <w:right w:val="none" w:sz="0" w:space="0" w:color="auto"/>
                                                                                          </w:divBdr>
                                                                                          <w:divsChild>
                                                                                            <w:div w:id="729155987">
                                                                                              <w:marLeft w:val="0"/>
                                                                                              <w:marRight w:val="0"/>
                                                                                              <w:marTop w:val="0"/>
                                                                                              <w:marBottom w:val="0"/>
                                                                                              <w:divBdr>
                                                                                                <w:top w:val="none" w:sz="0" w:space="0" w:color="auto"/>
                                                                                                <w:left w:val="none" w:sz="0" w:space="0" w:color="auto"/>
                                                                                                <w:bottom w:val="none" w:sz="0" w:space="0" w:color="auto"/>
                                                                                                <w:right w:val="none" w:sz="0" w:space="0" w:color="auto"/>
                                                                                              </w:divBdr>
                                                                                            </w:div>
                                                                                          </w:divsChild>
                                                                                        </w:div>
                                                                                        <w:div w:id="1289697768">
                                                                                          <w:marLeft w:val="0"/>
                                                                                          <w:marRight w:val="0"/>
                                                                                          <w:marTop w:val="0"/>
                                                                                          <w:marBottom w:val="0"/>
                                                                                          <w:divBdr>
                                                                                            <w:top w:val="none" w:sz="0" w:space="0" w:color="auto"/>
                                                                                            <w:left w:val="none" w:sz="0" w:space="0" w:color="auto"/>
                                                                                            <w:bottom w:val="none" w:sz="0" w:space="0" w:color="auto"/>
                                                                                            <w:right w:val="none" w:sz="0" w:space="0" w:color="auto"/>
                                                                                          </w:divBdr>
                                                                                          <w:divsChild>
                                                                                            <w:div w:id="269898990">
                                                                                              <w:marLeft w:val="0"/>
                                                                                              <w:marRight w:val="0"/>
                                                                                              <w:marTop w:val="0"/>
                                                                                              <w:marBottom w:val="0"/>
                                                                                              <w:divBdr>
                                                                                                <w:top w:val="none" w:sz="0" w:space="0" w:color="auto"/>
                                                                                                <w:left w:val="none" w:sz="0" w:space="0" w:color="auto"/>
                                                                                                <w:bottom w:val="none" w:sz="0" w:space="0" w:color="auto"/>
                                                                                                <w:right w:val="none" w:sz="0" w:space="0" w:color="auto"/>
                                                                                              </w:divBdr>
                                                                                            </w:div>
                                                                                          </w:divsChild>
                                                                                        </w:div>
                                                                                        <w:div w:id="1328099165">
                                                                                          <w:marLeft w:val="0"/>
                                                                                          <w:marRight w:val="0"/>
                                                                                          <w:marTop w:val="0"/>
                                                                                          <w:marBottom w:val="0"/>
                                                                                          <w:divBdr>
                                                                                            <w:top w:val="none" w:sz="0" w:space="0" w:color="auto"/>
                                                                                            <w:left w:val="none" w:sz="0" w:space="0" w:color="auto"/>
                                                                                            <w:bottom w:val="none" w:sz="0" w:space="0" w:color="auto"/>
                                                                                            <w:right w:val="none" w:sz="0" w:space="0" w:color="auto"/>
                                                                                          </w:divBdr>
                                                                                          <w:divsChild>
                                                                                            <w:div w:id="934247208">
                                                                                              <w:marLeft w:val="0"/>
                                                                                              <w:marRight w:val="0"/>
                                                                                              <w:marTop w:val="0"/>
                                                                                              <w:marBottom w:val="0"/>
                                                                                              <w:divBdr>
                                                                                                <w:top w:val="none" w:sz="0" w:space="0" w:color="auto"/>
                                                                                                <w:left w:val="none" w:sz="0" w:space="0" w:color="auto"/>
                                                                                                <w:bottom w:val="none" w:sz="0" w:space="0" w:color="auto"/>
                                                                                                <w:right w:val="none" w:sz="0" w:space="0" w:color="auto"/>
                                                                                              </w:divBdr>
                                                                                            </w:div>
                                                                                          </w:divsChild>
                                                                                        </w:div>
                                                                                        <w:div w:id="1525368178">
                                                                                          <w:marLeft w:val="0"/>
                                                                                          <w:marRight w:val="0"/>
                                                                                          <w:marTop w:val="0"/>
                                                                                          <w:marBottom w:val="0"/>
                                                                                          <w:divBdr>
                                                                                            <w:top w:val="none" w:sz="0" w:space="0" w:color="auto"/>
                                                                                            <w:left w:val="none" w:sz="0" w:space="0" w:color="auto"/>
                                                                                            <w:bottom w:val="none" w:sz="0" w:space="0" w:color="auto"/>
                                                                                            <w:right w:val="none" w:sz="0" w:space="0" w:color="auto"/>
                                                                                          </w:divBdr>
                                                                                          <w:divsChild>
                                                                                            <w:div w:id="57438352">
                                                                                              <w:marLeft w:val="0"/>
                                                                                              <w:marRight w:val="0"/>
                                                                                              <w:marTop w:val="0"/>
                                                                                              <w:marBottom w:val="0"/>
                                                                                              <w:divBdr>
                                                                                                <w:top w:val="none" w:sz="0" w:space="0" w:color="auto"/>
                                                                                                <w:left w:val="none" w:sz="0" w:space="0" w:color="auto"/>
                                                                                                <w:bottom w:val="none" w:sz="0" w:space="0" w:color="auto"/>
                                                                                                <w:right w:val="none" w:sz="0" w:space="0" w:color="auto"/>
                                                                                              </w:divBdr>
                                                                                            </w:div>
                                                                                          </w:divsChild>
                                                                                        </w:div>
                                                                                        <w:div w:id="1633706415">
                                                                                          <w:marLeft w:val="0"/>
                                                                                          <w:marRight w:val="0"/>
                                                                                          <w:marTop w:val="0"/>
                                                                                          <w:marBottom w:val="0"/>
                                                                                          <w:divBdr>
                                                                                            <w:top w:val="none" w:sz="0" w:space="0" w:color="auto"/>
                                                                                            <w:left w:val="none" w:sz="0" w:space="0" w:color="auto"/>
                                                                                            <w:bottom w:val="none" w:sz="0" w:space="0" w:color="auto"/>
                                                                                            <w:right w:val="none" w:sz="0" w:space="0" w:color="auto"/>
                                                                                          </w:divBdr>
                                                                                          <w:divsChild>
                                                                                            <w:div w:id="1291984290">
                                                                                              <w:marLeft w:val="0"/>
                                                                                              <w:marRight w:val="0"/>
                                                                                              <w:marTop w:val="0"/>
                                                                                              <w:marBottom w:val="0"/>
                                                                                              <w:divBdr>
                                                                                                <w:top w:val="none" w:sz="0" w:space="0" w:color="auto"/>
                                                                                                <w:left w:val="none" w:sz="0" w:space="0" w:color="auto"/>
                                                                                                <w:bottom w:val="none" w:sz="0" w:space="0" w:color="auto"/>
                                                                                                <w:right w:val="none" w:sz="0" w:space="0" w:color="auto"/>
                                                                                              </w:divBdr>
                                                                                            </w:div>
                                                                                          </w:divsChild>
                                                                                        </w:div>
                                                                                        <w:div w:id="1703626520">
                                                                                          <w:marLeft w:val="0"/>
                                                                                          <w:marRight w:val="0"/>
                                                                                          <w:marTop w:val="0"/>
                                                                                          <w:marBottom w:val="0"/>
                                                                                          <w:divBdr>
                                                                                            <w:top w:val="none" w:sz="0" w:space="0" w:color="auto"/>
                                                                                            <w:left w:val="none" w:sz="0" w:space="0" w:color="auto"/>
                                                                                            <w:bottom w:val="none" w:sz="0" w:space="0" w:color="auto"/>
                                                                                            <w:right w:val="none" w:sz="0" w:space="0" w:color="auto"/>
                                                                                          </w:divBdr>
                                                                                          <w:divsChild>
                                                                                            <w:div w:id="1917471989">
                                                                                              <w:marLeft w:val="0"/>
                                                                                              <w:marRight w:val="0"/>
                                                                                              <w:marTop w:val="0"/>
                                                                                              <w:marBottom w:val="0"/>
                                                                                              <w:divBdr>
                                                                                                <w:top w:val="none" w:sz="0" w:space="0" w:color="auto"/>
                                                                                                <w:left w:val="none" w:sz="0" w:space="0" w:color="auto"/>
                                                                                                <w:bottom w:val="none" w:sz="0" w:space="0" w:color="auto"/>
                                                                                                <w:right w:val="none" w:sz="0" w:space="0" w:color="auto"/>
                                                                                              </w:divBdr>
                                                                                            </w:div>
                                                                                          </w:divsChild>
                                                                                        </w:div>
                                                                                        <w:div w:id="1712992775">
                                                                                          <w:marLeft w:val="0"/>
                                                                                          <w:marRight w:val="0"/>
                                                                                          <w:marTop w:val="0"/>
                                                                                          <w:marBottom w:val="0"/>
                                                                                          <w:divBdr>
                                                                                            <w:top w:val="none" w:sz="0" w:space="0" w:color="auto"/>
                                                                                            <w:left w:val="none" w:sz="0" w:space="0" w:color="auto"/>
                                                                                            <w:bottom w:val="none" w:sz="0" w:space="0" w:color="auto"/>
                                                                                            <w:right w:val="none" w:sz="0" w:space="0" w:color="auto"/>
                                                                                          </w:divBdr>
                                                                                          <w:divsChild>
                                                                                            <w:div w:id="339822373">
                                                                                              <w:marLeft w:val="0"/>
                                                                                              <w:marRight w:val="0"/>
                                                                                              <w:marTop w:val="0"/>
                                                                                              <w:marBottom w:val="0"/>
                                                                                              <w:divBdr>
                                                                                                <w:top w:val="none" w:sz="0" w:space="0" w:color="auto"/>
                                                                                                <w:left w:val="none" w:sz="0" w:space="0" w:color="auto"/>
                                                                                                <w:bottom w:val="none" w:sz="0" w:space="0" w:color="auto"/>
                                                                                                <w:right w:val="none" w:sz="0" w:space="0" w:color="auto"/>
                                                                                              </w:divBdr>
                                                                                            </w:div>
                                                                                          </w:divsChild>
                                                                                        </w:div>
                                                                                        <w:div w:id="1719238101">
                                                                                          <w:marLeft w:val="0"/>
                                                                                          <w:marRight w:val="0"/>
                                                                                          <w:marTop w:val="0"/>
                                                                                          <w:marBottom w:val="0"/>
                                                                                          <w:divBdr>
                                                                                            <w:top w:val="none" w:sz="0" w:space="0" w:color="auto"/>
                                                                                            <w:left w:val="none" w:sz="0" w:space="0" w:color="auto"/>
                                                                                            <w:bottom w:val="none" w:sz="0" w:space="0" w:color="auto"/>
                                                                                            <w:right w:val="none" w:sz="0" w:space="0" w:color="auto"/>
                                                                                          </w:divBdr>
                                                                                          <w:divsChild>
                                                                                            <w:div w:id="849612190">
                                                                                              <w:marLeft w:val="0"/>
                                                                                              <w:marRight w:val="0"/>
                                                                                              <w:marTop w:val="0"/>
                                                                                              <w:marBottom w:val="0"/>
                                                                                              <w:divBdr>
                                                                                                <w:top w:val="none" w:sz="0" w:space="0" w:color="auto"/>
                                                                                                <w:left w:val="none" w:sz="0" w:space="0" w:color="auto"/>
                                                                                                <w:bottom w:val="none" w:sz="0" w:space="0" w:color="auto"/>
                                                                                                <w:right w:val="none" w:sz="0" w:space="0" w:color="auto"/>
                                                                                              </w:divBdr>
                                                                                            </w:div>
                                                                                          </w:divsChild>
                                                                                        </w:div>
                                                                                        <w:div w:id="1754351240">
                                                                                          <w:marLeft w:val="0"/>
                                                                                          <w:marRight w:val="0"/>
                                                                                          <w:marTop w:val="0"/>
                                                                                          <w:marBottom w:val="0"/>
                                                                                          <w:divBdr>
                                                                                            <w:top w:val="none" w:sz="0" w:space="0" w:color="auto"/>
                                                                                            <w:left w:val="none" w:sz="0" w:space="0" w:color="auto"/>
                                                                                            <w:bottom w:val="none" w:sz="0" w:space="0" w:color="auto"/>
                                                                                            <w:right w:val="none" w:sz="0" w:space="0" w:color="auto"/>
                                                                                          </w:divBdr>
                                                                                          <w:divsChild>
                                                                                            <w:div w:id="1138230135">
                                                                                              <w:marLeft w:val="0"/>
                                                                                              <w:marRight w:val="0"/>
                                                                                              <w:marTop w:val="0"/>
                                                                                              <w:marBottom w:val="0"/>
                                                                                              <w:divBdr>
                                                                                                <w:top w:val="none" w:sz="0" w:space="0" w:color="auto"/>
                                                                                                <w:left w:val="none" w:sz="0" w:space="0" w:color="auto"/>
                                                                                                <w:bottom w:val="none" w:sz="0" w:space="0" w:color="auto"/>
                                                                                                <w:right w:val="none" w:sz="0" w:space="0" w:color="auto"/>
                                                                                              </w:divBdr>
                                                                                            </w:div>
                                                                                          </w:divsChild>
                                                                                        </w:div>
                                                                                        <w:div w:id="1782458211">
                                                                                          <w:marLeft w:val="0"/>
                                                                                          <w:marRight w:val="0"/>
                                                                                          <w:marTop w:val="0"/>
                                                                                          <w:marBottom w:val="0"/>
                                                                                          <w:divBdr>
                                                                                            <w:top w:val="none" w:sz="0" w:space="0" w:color="auto"/>
                                                                                            <w:left w:val="none" w:sz="0" w:space="0" w:color="auto"/>
                                                                                            <w:bottom w:val="none" w:sz="0" w:space="0" w:color="auto"/>
                                                                                            <w:right w:val="none" w:sz="0" w:space="0" w:color="auto"/>
                                                                                          </w:divBdr>
                                                                                          <w:divsChild>
                                                                                            <w:div w:id="2045476325">
                                                                                              <w:marLeft w:val="0"/>
                                                                                              <w:marRight w:val="0"/>
                                                                                              <w:marTop w:val="0"/>
                                                                                              <w:marBottom w:val="0"/>
                                                                                              <w:divBdr>
                                                                                                <w:top w:val="none" w:sz="0" w:space="0" w:color="auto"/>
                                                                                                <w:left w:val="none" w:sz="0" w:space="0" w:color="auto"/>
                                                                                                <w:bottom w:val="none" w:sz="0" w:space="0" w:color="auto"/>
                                                                                                <w:right w:val="none" w:sz="0" w:space="0" w:color="auto"/>
                                                                                              </w:divBdr>
                                                                                            </w:div>
                                                                                          </w:divsChild>
                                                                                        </w:div>
                                                                                        <w:div w:id="1803113019">
                                                                                          <w:marLeft w:val="0"/>
                                                                                          <w:marRight w:val="0"/>
                                                                                          <w:marTop w:val="0"/>
                                                                                          <w:marBottom w:val="0"/>
                                                                                          <w:divBdr>
                                                                                            <w:top w:val="none" w:sz="0" w:space="0" w:color="auto"/>
                                                                                            <w:left w:val="none" w:sz="0" w:space="0" w:color="auto"/>
                                                                                            <w:bottom w:val="none" w:sz="0" w:space="0" w:color="auto"/>
                                                                                            <w:right w:val="none" w:sz="0" w:space="0" w:color="auto"/>
                                                                                          </w:divBdr>
                                                                                          <w:divsChild>
                                                                                            <w:div w:id="1136335593">
                                                                                              <w:marLeft w:val="0"/>
                                                                                              <w:marRight w:val="0"/>
                                                                                              <w:marTop w:val="0"/>
                                                                                              <w:marBottom w:val="0"/>
                                                                                              <w:divBdr>
                                                                                                <w:top w:val="none" w:sz="0" w:space="0" w:color="auto"/>
                                                                                                <w:left w:val="none" w:sz="0" w:space="0" w:color="auto"/>
                                                                                                <w:bottom w:val="none" w:sz="0" w:space="0" w:color="auto"/>
                                                                                                <w:right w:val="none" w:sz="0" w:space="0" w:color="auto"/>
                                                                                              </w:divBdr>
                                                                                            </w:div>
                                                                                          </w:divsChild>
                                                                                        </w:div>
                                                                                        <w:div w:id="1916696512">
                                                                                          <w:marLeft w:val="0"/>
                                                                                          <w:marRight w:val="0"/>
                                                                                          <w:marTop w:val="0"/>
                                                                                          <w:marBottom w:val="0"/>
                                                                                          <w:divBdr>
                                                                                            <w:top w:val="none" w:sz="0" w:space="0" w:color="auto"/>
                                                                                            <w:left w:val="none" w:sz="0" w:space="0" w:color="auto"/>
                                                                                            <w:bottom w:val="none" w:sz="0" w:space="0" w:color="auto"/>
                                                                                            <w:right w:val="none" w:sz="0" w:space="0" w:color="auto"/>
                                                                                          </w:divBdr>
                                                                                          <w:divsChild>
                                                                                            <w:div w:id="236748134">
                                                                                              <w:marLeft w:val="0"/>
                                                                                              <w:marRight w:val="0"/>
                                                                                              <w:marTop w:val="0"/>
                                                                                              <w:marBottom w:val="0"/>
                                                                                              <w:divBdr>
                                                                                                <w:top w:val="none" w:sz="0" w:space="0" w:color="auto"/>
                                                                                                <w:left w:val="none" w:sz="0" w:space="0" w:color="auto"/>
                                                                                                <w:bottom w:val="none" w:sz="0" w:space="0" w:color="auto"/>
                                                                                                <w:right w:val="none" w:sz="0" w:space="0" w:color="auto"/>
                                                                                              </w:divBdr>
                                                                                            </w:div>
                                                                                          </w:divsChild>
                                                                                        </w:div>
                                                                                        <w:div w:id="1944067734">
                                                                                          <w:marLeft w:val="0"/>
                                                                                          <w:marRight w:val="0"/>
                                                                                          <w:marTop w:val="0"/>
                                                                                          <w:marBottom w:val="0"/>
                                                                                          <w:divBdr>
                                                                                            <w:top w:val="none" w:sz="0" w:space="0" w:color="auto"/>
                                                                                            <w:left w:val="none" w:sz="0" w:space="0" w:color="auto"/>
                                                                                            <w:bottom w:val="none" w:sz="0" w:space="0" w:color="auto"/>
                                                                                            <w:right w:val="none" w:sz="0" w:space="0" w:color="auto"/>
                                                                                          </w:divBdr>
                                                                                          <w:divsChild>
                                                                                            <w:div w:id="648288054">
                                                                                              <w:marLeft w:val="0"/>
                                                                                              <w:marRight w:val="0"/>
                                                                                              <w:marTop w:val="0"/>
                                                                                              <w:marBottom w:val="0"/>
                                                                                              <w:divBdr>
                                                                                                <w:top w:val="none" w:sz="0" w:space="0" w:color="auto"/>
                                                                                                <w:left w:val="none" w:sz="0" w:space="0" w:color="auto"/>
                                                                                                <w:bottom w:val="none" w:sz="0" w:space="0" w:color="auto"/>
                                                                                                <w:right w:val="none" w:sz="0" w:space="0" w:color="auto"/>
                                                                                              </w:divBdr>
                                                                                            </w:div>
                                                                                          </w:divsChild>
                                                                                        </w:div>
                                                                                        <w:div w:id="2024630361">
                                                                                          <w:marLeft w:val="0"/>
                                                                                          <w:marRight w:val="0"/>
                                                                                          <w:marTop w:val="0"/>
                                                                                          <w:marBottom w:val="0"/>
                                                                                          <w:divBdr>
                                                                                            <w:top w:val="none" w:sz="0" w:space="0" w:color="auto"/>
                                                                                            <w:left w:val="none" w:sz="0" w:space="0" w:color="auto"/>
                                                                                            <w:bottom w:val="none" w:sz="0" w:space="0" w:color="auto"/>
                                                                                            <w:right w:val="none" w:sz="0" w:space="0" w:color="auto"/>
                                                                                          </w:divBdr>
                                                                                          <w:divsChild>
                                                                                            <w:div w:id="58314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517748">
                                                                                  <w:marLeft w:val="0"/>
                                                                                  <w:marRight w:val="0"/>
                                                                                  <w:marTop w:val="0"/>
                                                                                  <w:marBottom w:val="0"/>
                                                                                  <w:divBdr>
                                                                                    <w:top w:val="none" w:sz="0" w:space="0" w:color="auto"/>
                                                                                    <w:left w:val="none" w:sz="0" w:space="0" w:color="auto"/>
                                                                                    <w:bottom w:val="none" w:sz="0" w:space="0" w:color="auto"/>
                                                                                    <w:right w:val="none" w:sz="0" w:space="0" w:color="auto"/>
                                                                                  </w:divBdr>
                                                                                </w:div>
                                                                                <w:div w:id="1959793526">
                                                                                  <w:marLeft w:val="0"/>
                                                                                  <w:marRight w:val="0"/>
                                                                                  <w:marTop w:val="0"/>
                                                                                  <w:marBottom w:val="0"/>
                                                                                  <w:divBdr>
                                                                                    <w:top w:val="none" w:sz="0" w:space="0" w:color="auto"/>
                                                                                    <w:left w:val="none" w:sz="0" w:space="0" w:color="auto"/>
                                                                                    <w:bottom w:val="none" w:sz="0" w:space="0" w:color="auto"/>
                                                                                    <w:right w:val="none" w:sz="0" w:space="0" w:color="auto"/>
                                                                                  </w:divBdr>
                                                                                </w:div>
                                                                                <w:div w:id="1975519184">
                                                                                  <w:marLeft w:val="0"/>
                                                                                  <w:marRight w:val="0"/>
                                                                                  <w:marTop w:val="0"/>
                                                                                  <w:marBottom w:val="0"/>
                                                                                  <w:divBdr>
                                                                                    <w:top w:val="none" w:sz="0" w:space="0" w:color="auto"/>
                                                                                    <w:left w:val="none" w:sz="0" w:space="0" w:color="auto"/>
                                                                                    <w:bottom w:val="none" w:sz="0" w:space="0" w:color="auto"/>
                                                                                    <w:right w:val="none" w:sz="0" w:space="0" w:color="auto"/>
                                                                                  </w:divBdr>
                                                                                </w:div>
                                                                                <w:div w:id="1981307101">
                                                                                  <w:marLeft w:val="0"/>
                                                                                  <w:marRight w:val="0"/>
                                                                                  <w:marTop w:val="0"/>
                                                                                  <w:marBottom w:val="0"/>
                                                                                  <w:divBdr>
                                                                                    <w:top w:val="none" w:sz="0" w:space="0" w:color="auto"/>
                                                                                    <w:left w:val="none" w:sz="0" w:space="0" w:color="auto"/>
                                                                                    <w:bottom w:val="none" w:sz="0" w:space="0" w:color="auto"/>
                                                                                    <w:right w:val="none" w:sz="0" w:space="0" w:color="auto"/>
                                                                                  </w:divBdr>
                                                                                </w:div>
                                                                                <w:div w:id="2006544457">
                                                                                  <w:marLeft w:val="0"/>
                                                                                  <w:marRight w:val="0"/>
                                                                                  <w:marTop w:val="0"/>
                                                                                  <w:marBottom w:val="0"/>
                                                                                  <w:divBdr>
                                                                                    <w:top w:val="none" w:sz="0" w:space="0" w:color="auto"/>
                                                                                    <w:left w:val="none" w:sz="0" w:space="0" w:color="auto"/>
                                                                                    <w:bottom w:val="none" w:sz="0" w:space="0" w:color="auto"/>
                                                                                    <w:right w:val="none" w:sz="0" w:space="0" w:color="auto"/>
                                                                                  </w:divBdr>
                                                                                </w:div>
                                                                                <w:div w:id="2009559245">
                                                                                  <w:marLeft w:val="0"/>
                                                                                  <w:marRight w:val="0"/>
                                                                                  <w:marTop w:val="0"/>
                                                                                  <w:marBottom w:val="0"/>
                                                                                  <w:divBdr>
                                                                                    <w:top w:val="none" w:sz="0" w:space="0" w:color="auto"/>
                                                                                    <w:left w:val="none" w:sz="0" w:space="0" w:color="auto"/>
                                                                                    <w:bottom w:val="none" w:sz="0" w:space="0" w:color="auto"/>
                                                                                    <w:right w:val="none" w:sz="0" w:space="0" w:color="auto"/>
                                                                                  </w:divBdr>
                                                                                </w:div>
                                                                                <w:div w:id="2019112086">
                                                                                  <w:marLeft w:val="0"/>
                                                                                  <w:marRight w:val="0"/>
                                                                                  <w:marTop w:val="0"/>
                                                                                  <w:marBottom w:val="0"/>
                                                                                  <w:divBdr>
                                                                                    <w:top w:val="none" w:sz="0" w:space="0" w:color="auto"/>
                                                                                    <w:left w:val="none" w:sz="0" w:space="0" w:color="auto"/>
                                                                                    <w:bottom w:val="none" w:sz="0" w:space="0" w:color="auto"/>
                                                                                    <w:right w:val="none" w:sz="0" w:space="0" w:color="auto"/>
                                                                                  </w:divBdr>
                                                                                </w:div>
                                                                                <w:div w:id="2034648308">
                                                                                  <w:marLeft w:val="0"/>
                                                                                  <w:marRight w:val="0"/>
                                                                                  <w:marTop w:val="0"/>
                                                                                  <w:marBottom w:val="0"/>
                                                                                  <w:divBdr>
                                                                                    <w:top w:val="none" w:sz="0" w:space="0" w:color="auto"/>
                                                                                    <w:left w:val="none" w:sz="0" w:space="0" w:color="auto"/>
                                                                                    <w:bottom w:val="none" w:sz="0" w:space="0" w:color="auto"/>
                                                                                    <w:right w:val="none" w:sz="0" w:space="0" w:color="auto"/>
                                                                                  </w:divBdr>
                                                                                </w:div>
                                                                                <w:div w:id="2040810655">
                                                                                  <w:marLeft w:val="0"/>
                                                                                  <w:marRight w:val="0"/>
                                                                                  <w:marTop w:val="0"/>
                                                                                  <w:marBottom w:val="0"/>
                                                                                  <w:divBdr>
                                                                                    <w:top w:val="none" w:sz="0" w:space="0" w:color="auto"/>
                                                                                    <w:left w:val="none" w:sz="0" w:space="0" w:color="auto"/>
                                                                                    <w:bottom w:val="none" w:sz="0" w:space="0" w:color="auto"/>
                                                                                    <w:right w:val="none" w:sz="0" w:space="0" w:color="auto"/>
                                                                                  </w:divBdr>
                                                                                </w:div>
                                                                                <w:div w:id="2054620817">
                                                                                  <w:marLeft w:val="0"/>
                                                                                  <w:marRight w:val="0"/>
                                                                                  <w:marTop w:val="0"/>
                                                                                  <w:marBottom w:val="0"/>
                                                                                  <w:divBdr>
                                                                                    <w:top w:val="none" w:sz="0" w:space="0" w:color="auto"/>
                                                                                    <w:left w:val="none" w:sz="0" w:space="0" w:color="auto"/>
                                                                                    <w:bottom w:val="none" w:sz="0" w:space="0" w:color="auto"/>
                                                                                    <w:right w:val="none" w:sz="0" w:space="0" w:color="auto"/>
                                                                                  </w:divBdr>
                                                                                </w:div>
                                                                                <w:div w:id="2057968456">
                                                                                  <w:marLeft w:val="0"/>
                                                                                  <w:marRight w:val="0"/>
                                                                                  <w:marTop w:val="0"/>
                                                                                  <w:marBottom w:val="0"/>
                                                                                  <w:divBdr>
                                                                                    <w:top w:val="none" w:sz="0" w:space="0" w:color="auto"/>
                                                                                    <w:left w:val="none" w:sz="0" w:space="0" w:color="auto"/>
                                                                                    <w:bottom w:val="none" w:sz="0" w:space="0" w:color="auto"/>
                                                                                    <w:right w:val="none" w:sz="0" w:space="0" w:color="auto"/>
                                                                                  </w:divBdr>
                                                                                  <w:divsChild>
                                                                                    <w:div w:id="1618095711">
                                                                                      <w:marLeft w:val="-75"/>
                                                                                      <w:marRight w:val="0"/>
                                                                                      <w:marTop w:val="30"/>
                                                                                      <w:marBottom w:val="30"/>
                                                                                      <w:divBdr>
                                                                                        <w:top w:val="none" w:sz="0" w:space="0" w:color="auto"/>
                                                                                        <w:left w:val="none" w:sz="0" w:space="0" w:color="auto"/>
                                                                                        <w:bottom w:val="none" w:sz="0" w:space="0" w:color="auto"/>
                                                                                        <w:right w:val="none" w:sz="0" w:space="0" w:color="auto"/>
                                                                                      </w:divBdr>
                                                                                      <w:divsChild>
                                                                                        <w:div w:id="221604676">
                                                                                          <w:marLeft w:val="0"/>
                                                                                          <w:marRight w:val="0"/>
                                                                                          <w:marTop w:val="0"/>
                                                                                          <w:marBottom w:val="0"/>
                                                                                          <w:divBdr>
                                                                                            <w:top w:val="none" w:sz="0" w:space="0" w:color="auto"/>
                                                                                            <w:left w:val="none" w:sz="0" w:space="0" w:color="auto"/>
                                                                                            <w:bottom w:val="none" w:sz="0" w:space="0" w:color="auto"/>
                                                                                            <w:right w:val="none" w:sz="0" w:space="0" w:color="auto"/>
                                                                                          </w:divBdr>
                                                                                          <w:divsChild>
                                                                                            <w:div w:id="544485039">
                                                                                              <w:marLeft w:val="0"/>
                                                                                              <w:marRight w:val="0"/>
                                                                                              <w:marTop w:val="0"/>
                                                                                              <w:marBottom w:val="0"/>
                                                                                              <w:divBdr>
                                                                                                <w:top w:val="none" w:sz="0" w:space="0" w:color="auto"/>
                                                                                                <w:left w:val="none" w:sz="0" w:space="0" w:color="auto"/>
                                                                                                <w:bottom w:val="none" w:sz="0" w:space="0" w:color="auto"/>
                                                                                                <w:right w:val="none" w:sz="0" w:space="0" w:color="auto"/>
                                                                                              </w:divBdr>
                                                                                            </w:div>
                                                                                          </w:divsChild>
                                                                                        </w:div>
                                                                                        <w:div w:id="292290944">
                                                                                          <w:marLeft w:val="0"/>
                                                                                          <w:marRight w:val="0"/>
                                                                                          <w:marTop w:val="0"/>
                                                                                          <w:marBottom w:val="0"/>
                                                                                          <w:divBdr>
                                                                                            <w:top w:val="none" w:sz="0" w:space="0" w:color="auto"/>
                                                                                            <w:left w:val="none" w:sz="0" w:space="0" w:color="auto"/>
                                                                                            <w:bottom w:val="none" w:sz="0" w:space="0" w:color="auto"/>
                                                                                            <w:right w:val="none" w:sz="0" w:space="0" w:color="auto"/>
                                                                                          </w:divBdr>
                                                                                          <w:divsChild>
                                                                                            <w:div w:id="300888411">
                                                                                              <w:marLeft w:val="0"/>
                                                                                              <w:marRight w:val="0"/>
                                                                                              <w:marTop w:val="0"/>
                                                                                              <w:marBottom w:val="0"/>
                                                                                              <w:divBdr>
                                                                                                <w:top w:val="none" w:sz="0" w:space="0" w:color="auto"/>
                                                                                                <w:left w:val="none" w:sz="0" w:space="0" w:color="auto"/>
                                                                                                <w:bottom w:val="none" w:sz="0" w:space="0" w:color="auto"/>
                                                                                                <w:right w:val="none" w:sz="0" w:space="0" w:color="auto"/>
                                                                                              </w:divBdr>
                                                                                            </w:div>
                                                                                          </w:divsChild>
                                                                                        </w:div>
                                                                                        <w:div w:id="392044154">
                                                                                          <w:marLeft w:val="0"/>
                                                                                          <w:marRight w:val="0"/>
                                                                                          <w:marTop w:val="0"/>
                                                                                          <w:marBottom w:val="0"/>
                                                                                          <w:divBdr>
                                                                                            <w:top w:val="none" w:sz="0" w:space="0" w:color="auto"/>
                                                                                            <w:left w:val="none" w:sz="0" w:space="0" w:color="auto"/>
                                                                                            <w:bottom w:val="none" w:sz="0" w:space="0" w:color="auto"/>
                                                                                            <w:right w:val="none" w:sz="0" w:space="0" w:color="auto"/>
                                                                                          </w:divBdr>
                                                                                          <w:divsChild>
                                                                                            <w:div w:id="1559704847">
                                                                                              <w:marLeft w:val="0"/>
                                                                                              <w:marRight w:val="0"/>
                                                                                              <w:marTop w:val="0"/>
                                                                                              <w:marBottom w:val="0"/>
                                                                                              <w:divBdr>
                                                                                                <w:top w:val="none" w:sz="0" w:space="0" w:color="auto"/>
                                                                                                <w:left w:val="none" w:sz="0" w:space="0" w:color="auto"/>
                                                                                                <w:bottom w:val="none" w:sz="0" w:space="0" w:color="auto"/>
                                                                                                <w:right w:val="none" w:sz="0" w:space="0" w:color="auto"/>
                                                                                              </w:divBdr>
                                                                                            </w:div>
                                                                                          </w:divsChild>
                                                                                        </w:div>
                                                                                        <w:div w:id="428626339">
                                                                                          <w:marLeft w:val="0"/>
                                                                                          <w:marRight w:val="0"/>
                                                                                          <w:marTop w:val="0"/>
                                                                                          <w:marBottom w:val="0"/>
                                                                                          <w:divBdr>
                                                                                            <w:top w:val="none" w:sz="0" w:space="0" w:color="auto"/>
                                                                                            <w:left w:val="none" w:sz="0" w:space="0" w:color="auto"/>
                                                                                            <w:bottom w:val="none" w:sz="0" w:space="0" w:color="auto"/>
                                                                                            <w:right w:val="none" w:sz="0" w:space="0" w:color="auto"/>
                                                                                          </w:divBdr>
                                                                                          <w:divsChild>
                                                                                            <w:div w:id="192882391">
                                                                                              <w:marLeft w:val="0"/>
                                                                                              <w:marRight w:val="0"/>
                                                                                              <w:marTop w:val="0"/>
                                                                                              <w:marBottom w:val="0"/>
                                                                                              <w:divBdr>
                                                                                                <w:top w:val="none" w:sz="0" w:space="0" w:color="auto"/>
                                                                                                <w:left w:val="none" w:sz="0" w:space="0" w:color="auto"/>
                                                                                                <w:bottom w:val="none" w:sz="0" w:space="0" w:color="auto"/>
                                                                                                <w:right w:val="none" w:sz="0" w:space="0" w:color="auto"/>
                                                                                              </w:divBdr>
                                                                                            </w:div>
                                                                                          </w:divsChild>
                                                                                        </w:div>
                                                                                        <w:div w:id="488447481">
                                                                                          <w:marLeft w:val="0"/>
                                                                                          <w:marRight w:val="0"/>
                                                                                          <w:marTop w:val="0"/>
                                                                                          <w:marBottom w:val="0"/>
                                                                                          <w:divBdr>
                                                                                            <w:top w:val="none" w:sz="0" w:space="0" w:color="auto"/>
                                                                                            <w:left w:val="none" w:sz="0" w:space="0" w:color="auto"/>
                                                                                            <w:bottom w:val="none" w:sz="0" w:space="0" w:color="auto"/>
                                                                                            <w:right w:val="none" w:sz="0" w:space="0" w:color="auto"/>
                                                                                          </w:divBdr>
                                                                                          <w:divsChild>
                                                                                            <w:div w:id="209077490">
                                                                                              <w:marLeft w:val="0"/>
                                                                                              <w:marRight w:val="0"/>
                                                                                              <w:marTop w:val="0"/>
                                                                                              <w:marBottom w:val="0"/>
                                                                                              <w:divBdr>
                                                                                                <w:top w:val="none" w:sz="0" w:space="0" w:color="auto"/>
                                                                                                <w:left w:val="none" w:sz="0" w:space="0" w:color="auto"/>
                                                                                                <w:bottom w:val="none" w:sz="0" w:space="0" w:color="auto"/>
                                                                                                <w:right w:val="none" w:sz="0" w:space="0" w:color="auto"/>
                                                                                              </w:divBdr>
                                                                                            </w:div>
                                                                                          </w:divsChild>
                                                                                        </w:div>
                                                                                        <w:div w:id="569853462">
                                                                                          <w:marLeft w:val="0"/>
                                                                                          <w:marRight w:val="0"/>
                                                                                          <w:marTop w:val="0"/>
                                                                                          <w:marBottom w:val="0"/>
                                                                                          <w:divBdr>
                                                                                            <w:top w:val="none" w:sz="0" w:space="0" w:color="auto"/>
                                                                                            <w:left w:val="none" w:sz="0" w:space="0" w:color="auto"/>
                                                                                            <w:bottom w:val="none" w:sz="0" w:space="0" w:color="auto"/>
                                                                                            <w:right w:val="none" w:sz="0" w:space="0" w:color="auto"/>
                                                                                          </w:divBdr>
                                                                                          <w:divsChild>
                                                                                            <w:div w:id="84109123">
                                                                                              <w:marLeft w:val="0"/>
                                                                                              <w:marRight w:val="0"/>
                                                                                              <w:marTop w:val="0"/>
                                                                                              <w:marBottom w:val="0"/>
                                                                                              <w:divBdr>
                                                                                                <w:top w:val="none" w:sz="0" w:space="0" w:color="auto"/>
                                                                                                <w:left w:val="none" w:sz="0" w:space="0" w:color="auto"/>
                                                                                                <w:bottom w:val="none" w:sz="0" w:space="0" w:color="auto"/>
                                                                                                <w:right w:val="none" w:sz="0" w:space="0" w:color="auto"/>
                                                                                              </w:divBdr>
                                                                                            </w:div>
                                                                                          </w:divsChild>
                                                                                        </w:div>
                                                                                        <w:div w:id="594098173">
                                                                                          <w:marLeft w:val="0"/>
                                                                                          <w:marRight w:val="0"/>
                                                                                          <w:marTop w:val="0"/>
                                                                                          <w:marBottom w:val="0"/>
                                                                                          <w:divBdr>
                                                                                            <w:top w:val="none" w:sz="0" w:space="0" w:color="auto"/>
                                                                                            <w:left w:val="none" w:sz="0" w:space="0" w:color="auto"/>
                                                                                            <w:bottom w:val="none" w:sz="0" w:space="0" w:color="auto"/>
                                                                                            <w:right w:val="none" w:sz="0" w:space="0" w:color="auto"/>
                                                                                          </w:divBdr>
                                                                                          <w:divsChild>
                                                                                            <w:div w:id="1323316379">
                                                                                              <w:marLeft w:val="0"/>
                                                                                              <w:marRight w:val="0"/>
                                                                                              <w:marTop w:val="0"/>
                                                                                              <w:marBottom w:val="0"/>
                                                                                              <w:divBdr>
                                                                                                <w:top w:val="none" w:sz="0" w:space="0" w:color="auto"/>
                                                                                                <w:left w:val="none" w:sz="0" w:space="0" w:color="auto"/>
                                                                                                <w:bottom w:val="none" w:sz="0" w:space="0" w:color="auto"/>
                                                                                                <w:right w:val="none" w:sz="0" w:space="0" w:color="auto"/>
                                                                                              </w:divBdr>
                                                                                            </w:div>
                                                                                          </w:divsChild>
                                                                                        </w:div>
                                                                                        <w:div w:id="1077900973">
                                                                                          <w:marLeft w:val="0"/>
                                                                                          <w:marRight w:val="0"/>
                                                                                          <w:marTop w:val="0"/>
                                                                                          <w:marBottom w:val="0"/>
                                                                                          <w:divBdr>
                                                                                            <w:top w:val="none" w:sz="0" w:space="0" w:color="auto"/>
                                                                                            <w:left w:val="none" w:sz="0" w:space="0" w:color="auto"/>
                                                                                            <w:bottom w:val="none" w:sz="0" w:space="0" w:color="auto"/>
                                                                                            <w:right w:val="none" w:sz="0" w:space="0" w:color="auto"/>
                                                                                          </w:divBdr>
                                                                                          <w:divsChild>
                                                                                            <w:div w:id="2059015318">
                                                                                              <w:marLeft w:val="0"/>
                                                                                              <w:marRight w:val="0"/>
                                                                                              <w:marTop w:val="0"/>
                                                                                              <w:marBottom w:val="0"/>
                                                                                              <w:divBdr>
                                                                                                <w:top w:val="none" w:sz="0" w:space="0" w:color="auto"/>
                                                                                                <w:left w:val="none" w:sz="0" w:space="0" w:color="auto"/>
                                                                                                <w:bottom w:val="none" w:sz="0" w:space="0" w:color="auto"/>
                                                                                                <w:right w:val="none" w:sz="0" w:space="0" w:color="auto"/>
                                                                                              </w:divBdr>
                                                                                            </w:div>
                                                                                          </w:divsChild>
                                                                                        </w:div>
                                                                                        <w:div w:id="1096176400">
                                                                                          <w:marLeft w:val="0"/>
                                                                                          <w:marRight w:val="0"/>
                                                                                          <w:marTop w:val="0"/>
                                                                                          <w:marBottom w:val="0"/>
                                                                                          <w:divBdr>
                                                                                            <w:top w:val="none" w:sz="0" w:space="0" w:color="auto"/>
                                                                                            <w:left w:val="none" w:sz="0" w:space="0" w:color="auto"/>
                                                                                            <w:bottom w:val="none" w:sz="0" w:space="0" w:color="auto"/>
                                                                                            <w:right w:val="none" w:sz="0" w:space="0" w:color="auto"/>
                                                                                          </w:divBdr>
                                                                                          <w:divsChild>
                                                                                            <w:div w:id="668293962">
                                                                                              <w:marLeft w:val="0"/>
                                                                                              <w:marRight w:val="0"/>
                                                                                              <w:marTop w:val="0"/>
                                                                                              <w:marBottom w:val="0"/>
                                                                                              <w:divBdr>
                                                                                                <w:top w:val="none" w:sz="0" w:space="0" w:color="auto"/>
                                                                                                <w:left w:val="none" w:sz="0" w:space="0" w:color="auto"/>
                                                                                                <w:bottom w:val="none" w:sz="0" w:space="0" w:color="auto"/>
                                                                                                <w:right w:val="none" w:sz="0" w:space="0" w:color="auto"/>
                                                                                              </w:divBdr>
                                                                                            </w:div>
                                                                                          </w:divsChild>
                                                                                        </w:div>
                                                                                        <w:div w:id="1125395248">
                                                                                          <w:marLeft w:val="0"/>
                                                                                          <w:marRight w:val="0"/>
                                                                                          <w:marTop w:val="0"/>
                                                                                          <w:marBottom w:val="0"/>
                                                                                          <w:divBdr>
                                                                                            <w:top w:val="none" w:sz="0" w:space="0" w:color="auto"/>
                                                                                            <w:left w:val="none" w:sz="0" w:space="0" w:color="auto"/>
                                                                                            <w:bottom w:val="none" w:sz="0" w:space="0" w:color="auto"/>
                                                                                            <w:right w:val="none" w:sz="0" w:space="0" w:color="auto"/>
                                                                                          </w:divBdr>
                                                                                          <w:divsChild>
                                                                                            <w:div w:id="2050378389">
                                                                                              <w:marLeft w:val="0"/>
                                                                                              <w:marRight w:val="0"/>
                                                                                              <w:marTop w:val="0"/>
                                                                                              <w:marBottom w:val="0"/>
                                                                                              <w:divBdr>
                                                                                                <w:top w:val="none" w:sz="0" w:space="0" w:color="auto"/>
                                                                                                <w:left w:val="none" w:sz="0" w:space="0" w:color="auto"/>
                                                                                                <w:bottom w:val="none" w:sz="0" w:space="0" w:color="auto"/>
                                                                                                <w:right w:val="none" w:sz="0" w:space="0" w:color="auto"/>
                                                                                              </w:divBdr>
                                                                                            </w:div>
                                                                                          </w:divsChild>
                                                                                        </w:div>
                                                                                        <w:div w:id="1313145339">
                                                                                          <w:marLeft w:val="0"/>
                                                                                          <w:marRight w:val="0"/>
                                                                                          <w:marTop w:val="0"/>
                                                                                          <w:marBottom w:val="0"/>
                                                                                          <w:divBdr>
                                                                                            <w:top w:val="none" w:sz="0" w:space="0" w:color="auto"/>
                                                                                            <w:left w:val="none" w:sz="0" w:space="0" w:color="auto"/>
                                                                                            <w:bottom w:val="none" w:sz="0" w:space="0" w:color="auto"/>
                                                                                            <w:right w:val="none" w:sz="0" w:space="0" w:color="auto"/>
                                                                                          </w:divBdr>
                                                                                          <w:divsChild>
                                                                                            <w:div w:id="1180312290">
                                                                                              <w:marLeft w:val="0"/>
                                                                                              <w:marRight w:val="0"/>
                                                                                              <w:marTop w:val="0"/>
                                                                                              <w:marBottom w:val="0"/>
                                                                                              <w:divBdr>
                                                                                                <w:top w:val="none" w:sz="0" w:space="0" w:color="auto"/>
                                                                                                <w:left w:val="none" w:sz="0" w:space="0" w:color="auto"/>
                                                                                                <w:bottom w:val="none" w:sz="0" w:space="0" w:color="auto"/>
                                                                                                <w:right w:val="none" w:sz="0" w:space="0" w:color="auto"/>
                                                                                              </w:divBdr>
                                                                                            </w:div>
                                                                                          </w:divsChild>
                                                                                        </w:div>
                                                                                        <w:div w:id="1607493740">
                                                                                          <w:marLeft w:val="0"/>
                                                                                          <w:marRight w:val="0"/>
                                                                                          <w:marTop w:val="0"/>
                                                                                          <w:marBottom w:val="0"/>
                                                                                          <w:divBdr>
                                                                                            <w:top w:val="none" w:sz="0" w:space="0" w:color="auto"/>
                                                                                            <w:left w:val="none" w:sz="0" w:space="0" w:color="auto"/>
                                                                                            <w:bottom w:val="none" w:sz="0" w:space="0" w:color="auto"/>
                                                                                            <w:right w:val="none" w:sz="0" w:space="0" w:color="auto"/>
                                                                                          </w:divBdr>
                                                                                          <w:divsChild>
                                                                                            <w:div w:id="1382440542">
                                                                                              <w:marLeft w:val="0"/>
                                                                                              <w:marRight w:val="0"/>
                                                                                              <w:marTop w:val="0"/>
                                                                                              <w:marBottom w:val="0"/>
                                                                                              <w:divBdr>
                                                                                                <w:top w:val="none" w:sz="0" w:space="0" w:color="auto"/>
                                                                                                <w:left w:val="none" w:sz="0" w:space="0" w:color="auto"/>
                                                                                                <w:bottom w:val="none" w:sz="0" w:space="0" w:color="auto"/>
                                                                                                <w:right w:val="none" w:sz="0" w:space="0" w:color="auto"/>
                                                                                              </w:divBdr>
                                                                                            </w:div>
                                                                                          </w:divsChild>
                                                                                        </w:div>
                                                                                        <w:div w:id="1651710898">
                                                                                          <w:marLeft w:val="0"/>
                                                                                          <w:marRight w:val="0"/>
                                                                                          <w:marTop w:val="0"/>
                                                                                          <w:marBottom w:val="0"/>
                                                                                          <w:divBdr>
                                                                                            <w:top w:val="none" w:sz="0" w:space="0" w:color="auto"/>
                                                                                            <w:left w:val="none" w:sz="0" w:space="0" w:color="auto"/>
                                                                                            <w:bottom w:val="none" w:sz="0" w:space="0" w:color="auto"/>
                                                                                            <w:right w:val="none" w:sz="0" w:space="0" w:color="auto"/>
                                                                                          </w:divBdr>
                                                                                          <w:divsChild>
                                                                                            <w:div w:id="1408259090">
                                                                                              <w:marLeft w:val="0"/>
                                                                                              <w:marRight w:val="0"/>
                                                                                              <w:marTop w:val="0"/>
                                                                                              <w:marBottom w:val="0"/>
                                                                                              <w:divBdr>
                                                                                                <w:top w:val="none" w:sz="0" w:space="0" w:color="auto"/>
                                                                                                <w:left w:val="none" w:sz="0" w:space="0" w:color="auto"/>
                                                                                                <w:bottom w:val="none" w:sz="0" w:space="0" w:color="auto"/>
                                                                                                <w:right w:val="none" w:sz="0" w:space="0" w:color="auto"/>
                                                                                              </w:divBdr>
                                                                                            </w:div>
                                                                                          </w:divsChild>
                                                                                        </w:div>
                                                                                        <w:div w:id="1658150299">
                                                                                          <w:marLeft w:val="0"/>
                                                                                          <w:marRight w:val="0"/>
                                                                                          <w:marTop w:val="0"/>
                                                                                          <w:marBottom w:val="0"/>
                                                                                          <w:divBdr>
                                                                                            <w:top w:val="none" w:sz="0" w:space="0" w:color="auto"/>
                                                                                            <w:left w:val="none" w:sz="0" w:space="0" w:color="auto"/>
                                                                                            <w:bottom w:val="none" w:sz="0" w:space="0" w:color="auto"/>
                                                                                            <w:right w:val="none" w:sz="0" w:space="0" w:color="auto"/>
                                                                                          </w:divBdr>
                                                                                          <w:divsChild>
                                                                                            <w:div w:id="36861626">
                                                                                              <w:marLeft w:val="0"/>
                                                                                              <w:marRight w:val="0"/>
                                                                                              <w:marTop w:val="0"/>
                                                                                              <w:marBottom w:val="0"/>
                                                                                              <w:divBdr>
                                                                                                <w:top w:val="none" w:sz="0" w:space="0" w:color="auto"/>
                                                                                                <w:left w:val="none" w:sz="0" w:space="0" w:color="auto"/>
                                                                                                <w:bottom w:val="none" w:sz="0" w:space="0" w:color="auto"/>
                                                                                                <w:right w:val="none" w:sz="0" w:space="0" w:color="auto"/>
                                                                                              </w:divBdr>
                                                                                            </w:div>
                                                                                          </w:divsChild>
                                                                                        </w:div>
                                                                                        <w:div w:id="1678770800">
                                                                                          <w:marLeft w:val="0"/>
                                                                                          <w:marRight w:val="0"/>
                                                                                          <w:marTop w:val="0"/>
                                                                                          <w:marBottom w:val="0"/>
                                                                                          <w:divBdr>
                                                                                            <w:top w:val="none" w:sz="0" w:space="0" w:color="auto"/>
                                                                                            <w:left w:val="none" w:sz="0" w:space="0" w:color="auto"/>
                                                                                            <w:bottom w:val="none" w:sz="0" w:space="0" w:color="auto"/>
                                                                                            <w:right w:val="none" w:sz="0" w:space="0" w:color="auto"/>
                                                                                          </w:divBdr>
                                                                                          <w:divsChild>
                                                                                            <w:div w:id="717822867">
                                                                                              <w:marLeft w:val="0"/>
                                                                                              <w:marRight w:val="0"/>
                                                                                              <w:marTop w:val="0"/>
                                                                                              <w:marBottom w:val="0"/>
                                                                                              <w:divBdr>
                                                                                                <w:top w:val="none" w:sz="0" w:space="0" w:color="auto"/>
                                                                                                <w:left w:val="none" w:sz="0" w:space="0" w:color="auto"/>
                                                                                                <w:bottom w:val="none" w:sz="0" w:space="0" w:color="auto"/>
                                                                                                <w:right w:val="none" w:sz="0" w:space="0" w:color="auto"/>
                                                                                              </w:divBdr>
                                                                                            </w:div>
                                                                                          </w:divsChild>
                                                                                        </w:div>
                                                                                        <w:div w:id="1757823786">
                                                                                          <w:marLeft w:val="0"/>
                                                                                          <w:marRight w:val="0"/>
                                                                                          <w:marTop w:val="0"/>
                                                                                          <w:marBottom w:val="0"/>
                                                                                          <w:divBdr>
                                                                                            <w:top w:val="none" w:sz="0" w:space="0" w:color="auto"/>
                                                                                            <w:left w:val="none" w:sz="0" w:space="0" w:color="auto"/>
                                                                                            <w:bottom w:val="none" w:sz="0" w:space="0" w:color="auto"/>
                                                                                            <w:right w:val="none" w:sz="0" w:space="0" w:color="auto"/>
                                                                                          </w:divBdr>
                                                                                          <w:divsChild>
                                                                                            <w:div w:id="1708287436">
                                                                                              <w:marLeft w:val="0"/>
                                                                                              <w:marRight w:val="0"/>
                                                                                              <w:marTop w:val="0"/>
                                                                                              <w:marBottom w:val="0"/>
                                                                                              <w:divBdr>
                                                                                                <w:top w:val="none" w:sz="0" w:space="0" w:color="auto"/>
                                                                                                <w:left w:val="none" w:sz="0" w:space="0" w:color="auto"/>
                                                                                                <w:bottom w:val="none" w:sz="0" w:space="0" w:color="auto"/>
                                                                                                <w:right w:val="none" w:sz="0" w:space="0" w:color="auto"/>
                                                                                              </w:divBdr>
                                                                                            </w:div>
                                                                                          </w:divsChild>
                                                                                        </w:div>
                                                                                        <w:div w:id="1790856480">
                                                                                          <w:marLeft w:val="0"/>
                                                                                          <w:marRight w:val="0"/>
                                                                                          <w:marTop w:val="0"/>
                                                                                          <w:marBottom w:val="0"/>
                                                                                          <w:divBdr>
                                                                                            <w:top w:val="none" w:sz="0" w:space="0" w:color="auto"/>
                                                                                            <w:left w:val="none" w:sz="0" w:space="0" w:color="auto"/>
                                                                                            <w:bottom w:val="none" w:sz="0" w:space="0" w:color="auto"/>
                                                                                            <w:right w:val="none" w:sz="0" w:space="0" w:color="auto"/>
                                                                                          </w:divBdr>
                                                                                          <w:divsChild>
                                                                                            <w:div w:id="810054243">
                                                                                              <w:marLeft w:val="0"/>
                                                                                              <w:marRight w:val="0"/>
                                                                                              <w:marTop w:val="0"/>
                                                                                              <w:marBottom w:val="0"/>
                                                                                              <w:divBdr>
                                                                                                <w:top w:val="none" w:sz="0" w:space="0" w:color="auto"/>
                                                                                                <w:left w:val="none" w:sz="0" w:space="0" w:color="auto"/>
                                                                                                <w:bottom w:val="none" w:sz="0" w:space="0" w:color="auto"/>
                                                                                                <w:right w:val="none" w:sz="0" w:space="0" w:color="auto"/>
                                                                                              </w:divBdr>
                                                                                            </w:div>
                                                                                          </w:divsChild>
                                                                                        </w:div>
                                                                                        <w:div w:id="1823736293">
                                                                                          <w:marLeft w:val="0"/>
                                                                                          <w:marRight w:val="0"/>
                                                                                          <w:marTop w:val="0"/>
                                                                                          <w:marBottom w:val="0"/>
                                                                                          <w:divBdr>
                                                                                            <w:top w:val="none" w:sz="0" w:space="0" w:color="auto"/>
                                                                                            <w:left w:val="none" w:sz="0" w:space="0" w:color="auto"/>
                                                                                            <w:bottom w:val="none" w:sz="0" w:space="0" w:color="auto"/>
                                                                                            <w:right w:val="none" w:sz="0" w:space="0" w:color="auto"/>
                                                                                          </w:divBdr>
                                                                                          <w:divsChild>
                                                                                            <w:div w:id="35545474">
                                                                                              <w:marLeft w:val="0"/>
                                                                                              <w:marRight w:val="0"/>
                                                                                              <w:marTop w:val="0"/>
                                                                                              <w:marBottom w:val="0"/>
                                                                                              <w:divBdr>
                                                                                                <w:top w:val="none" w:sz="0" w:space="0" w:color="auto"/>
                                                                                                <w:left w:val="none" w:sz="0" w:space="0" w:color="auto"/>
                                                                                                <w:bottom w:val="none" w:sz="0" w:space="0" w:color="auto"/>
                                                                                                <w:right w:val="none" w:sz="0" w:space="0" w:color="auto"/>
                                                                                              </w:divBdr>
                                                                                            </w:div>
                                                                                          </w:divsChild>
                                                                                        </w:div>
                                                                                        <w:div w:id="1923220344">
                                                                                          <w:marLeft w:val="0"/>
                                                                                          <w:marRight w:val="0"/>
                                                                                          <w:marTop w:val="0"/>
                                                                                          <w:marBottom w:val="0"/>
                                                                                          <w:divBdr>
                                                                                            <w:top w:val="none" w:sz="0" w:space="0" w:color="auto"/>
                                                                                            <w:left w:val="none" w:sz="0" w:space="0" w:color="auto"/>
                                                                                            <w:bottom w:val="none" w:sz="0" w:space="0" w:color="auto"/>
                                                                                            <w:right w:val="none" w:sz="0" w:space="0" w:color="auto"/>
                                                                                          </w:divBdr>
                                                                                          <w:divsChild>
                                                                                            <w:div w:id="488257426">
                                                                                              <w:marLeft w:val="0"/>
                                                                                              <w:marRight w:val="0"/>
                                                                                              <w:marTop w:val="0"/>
                                                                                              <w:marBottom w:val="0"/>
                                                                                              <w:divBdr>
                                                                                                <w:top w:val="none" w:sz="0" w:space="0" w:color="auto"/>
                                                                                                <w:left w:val="none" w:sz="0" w:space="0" w:color="auto"/>
                                                                                                <w:bottom w:val="none" w:sz="0" w:space="0" w:color="auto"/>
                                                                                                <w:right w:val="none" w:sz="0" w:space="0" w:color="auto"/>
                                                                                              </w:divBdr>
                                                                                            </w:div>
                                                                                          </w:divsChild>
                                                                                        </w:div>
                                                                                        <w:div w:id="2125810719">
                                                                                          <w:marLeft w:val="0"/>
                                                                                          <w:marRight w:val="0"/>
                                                                                          <w:marTop w:val="0"/>
                                                                                          <w:marBottom w:val="0"/>
                                                                                          <w:divBdr>
                                                                                            <w:top w:val="none" w:sz="0" w:space="0" w:color="auto"/>
                                                                                            <w:left w:val="none" w:sz="0" w:space="0" w:color="auto"/>
                                                                                            <w:bottom w:val="none" w:sz="0" w:space="0" w:color="auto"/>
                                                                                            <w:right w:val="none" w:sz="0" w:space="0" w:color="auto"/>
                                                                                          </w:divBdr>
                                                                                          <w:divsChild>
                                                                                            <w:div w:id="2047827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061908">
                                                                                  <w:marLeft w:val="0"/>
                                                                                  <w:marRight w:val="0"/>
                                                                                  <w:marTop w:val="0"/>
                                                                                  <w:marBottom w:val="0"/>
                                                                                  <w:divBdr>
                                                                                    <w:top w:val="none" w:sz="0" w:space="0" w:color="auto"/>
                                                                                    <w:left w:val="none" w:sz="0" w:space="0" w:color="auto"/>
                                                                                    <w:bottom w:val="none" w:sz="0" w:space="0" w:color="auto"/>
                                                                                    <w:right w:val="none" w:sz="0" w:space="0" w:color="auto"/>
                                                                                  </w:divBdr>
                                                                                </w:div>
                                                                                <w:div w:id="2070494576">
                                                                                  <w:marLeft w:val="0"/>
                                                                                  <w:marRight w:val="0"/>
                                                                                  <w:marTop w:val="0"/>
                                                                                  <w:marBottom w:val="0"/>
                                                                                  <w:divBdr>
                                                                                    <w:top w:val="none" w:sz="0" w:space="0" w:color="auto"/>
                                                                                    <w:left w:val="none" w:sz="0" w:space="0" w:color="auto"/>
                                                                                    <w:bottom w:val="none" w:sz="0" w:space="0" w:color="auto"/>
                                                                                    <w:right w:val="none" w:sz="0" w:space="0" w:color="auto"/>
                                                                                  </w:divBdr>
                                                                                </w:div>
                                                                                <w:div w:id="2084255250">
                                                                                  <w:marLeft w:val="0"/>
                                                                                  <w:marRight w:val="0"/>
                                                                                  <w:marTop w:val="0"/>
                                                                                  <w:marBottom w:val="0"/>
                                                                                  <w:divBdr>
                                                                                    <w:top w:val="none" w:sz="0" w:space="0" w:color="auto"/>
                                                                                    <w:left w:val="none" w:sz="0" w:space="0" w:color="auto"/>
                                                                                    <w:bottom w:val="none" w:sz="0" w:space="0" w:color="auto"/>
                                                                                    <w:right w:val="none" w:sz="0" w:space="0" w:color="auto"/>
                                                                                  </w:divBdr>
                                                                                </w:div>
                                                                                <w:div w:id="2100634995">
                                                                                  <w:marLeft w:val="0"/>
                                                                                  <w:marRight w:val="0"/>
                                                                                  <w:marTop w:val="0"/>
                                                                                  <w:marBottom w:val="0"/>
                                                                                  <w:divBdr>
                                                                                    <w:top w:val="none" w:sz="0" w:space="0" w:color="auto"/>
                                                                                    <w:left w:val="none" w:sz="0" w:space="0" w:color="auto"/>
                                                                                    <w:bottom w:val="none" w:sz="0" w:space="0" w:color="auto"/>
                                                                                    <w:right w:val="none" w:sz="0" w:space="0" w:color="auto"/>
                                                                                  </w:divBdr>
                                                                                </w:div>
                                                                                <w:div w:id="2100906298">
                                                                                  <w:marLeft w:val="0"/>
                                                                                  <w:marRight w:val="0"/>
                                                                                  <w:marTop w:val="0"/>
                                                                                  <w:marBottom w:val="0"/>
                                                                                  <w:divBdr>
                                                                                    <w:top w:val="none" w:sz="0" w:space="0" w:color="auto"/>
                                                                                    <w:left w:val="none" w:sz="0" w:space="0" w:color="auto"/>
                                                                                    <w:bottom w:val="none" w:sz="0" w:space="0" w:color="auto"/>
                                                                                    <w:right w:val="none" w:sz="0" w:space="0" w:color="auto"/>
                                                                                  </w:divBdr>
                                                                                </w:div>
                                                                                <w:div w:id="2122994269">
                                                                                  <w:marLeft w:val="0"/>
                                                                                  <w:marRight w:val="0"/>
                                                                                  <w:marTop w:val="0"/>
                                                                                  <w:marBottom w:val="0"/>
                                                                                  <w:divBdr>
                                                                                    <w:top w:val="none" w:sz="0" w:space="0" w:color="auto"/>
                                                                                    <w:left w:val="none" w:sz="0" w:space="0" w:color="auto"/>
                                                                                    <w:bottom w:val="none" w:sz="0" w:space="0" w:color="auto"/>
                                                                                    <w:right w:val="none" w:sz="0" w:space="0" w:color="auto"/>
                                                                                  </w:divBdr>
                                                                                </w:div>
                                                                                <w:div w:id="2133278638">
                                                                                  <w:marLeft w:val="0"/>
                                                                                  <w:marRight w:val="0"/>
                                                                                  <w:marTop w:val="0"/>
                                                                                  <w:marBottom w:val="0"/>
                                                                                  <w:divBdr>
                                                                                    <w:top w:val="none" w:sz="0" w:space="0" w:color="auto"/>
                                                                                    <w:left w:val="none" w:sz="0" w:space="0" w:color="auto"/>
                                                                                    <w:bottom w:val="none" w:sz="0" w:space="0" w:color="auto"/>
                                                                                    <w:right w:val="none" w:sz="0" w:space="0" w:color="auto"/>
                                                                                  </w:divBdr>
                                                                                </w:div>
                                                                                <w:div w:id="2133747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53440682">
      <w:bodyDiv w:val="1"/>
      <w:marLeft w:val="0"/>
      <w:marRight w:val="0"/>
      <w:marTop w:val="0"/>
      <w:marBottom w:val="0"/>
      <w:divBdr>
        <w:top w:val="none" w:sz="0" w:space="0" w:color="auto"/>
        <w:left w:val="none" w:sz="0" w:space="0" w:color="auto"/>
        <w:bottom w:val="none" w:sz="0" w:space="0" w:color="auto"/>
        <w:right w:val="none" w:sz="0" w:space="0" w:color="auto"/>
      </w:divBdr>
    </w:div>
    <w:div w:id="1953635384">
      <w:bodyDiv w:val="1"/>
      <w:marLeft w:val="0"/>
      <w:marRight w:val="0"/>
      <w:marTop w:val="0"/>
      <w:marBottom w:val="0"/>
      <w:divBdr>
        <w:top w:val="none" w:sz="0" w:space="0" w:color="auto"/>
        <w:left w:val="none" w:sz="0" w:space="0" w:color="auto"/>
        <w:bottom w:val="none" w:sz="0" w:space="0" w:color="auto"/>
        <w:right w:val="none" w:sz="0" w:space="0" w:color="auto"/>
      </w:divBdr>
    </w:div>
    <w:div w:id="1957592966">
      <w:bodyDiv w:val="1"/>
      <w:marLeft w:val="0"/>
      <w:marRight w:val="0"/>
      <w:marTop w:val="0"/>
      <w:marBottom w:val="0"/>
      <w:divBdr>
        <w:top w:val="none" w:sz="0" w:space="0" w:color="auto"/>
        <w:left w:val="none" w:sz="0" w:space="0" w:color="auto"/>
        <w:bottom w:val="none" w:sz="0" w:space="0" w:color="auto"/>
        <w:right w:val="none" w:sz="0" w:space="0" w:color="auto"/>
      </w:divBdr>
    </w:div>
    <w:div w:id="1961646423">
      <w:bodyDiv w:val="1"/>
      <w:marLeft w:val="0"/>
      <w:marRight w:val="0"/>
      <w:marTop w:val="0"/>
      <w:marBottom w:val="0"/>
      <w:divBdr>
        <w:top w:val="none" w:sz="0" w:space="0" w:color="auto"/>
        <w:left w:val="none" w:sz="0" w:space="0" w:color="auto"/>
        <w:bottom w:val="none" w:sz="0" w:space="0" w:color="auto"/>
        <w:right w:val="none" w:sz="0" w:space="0" w:color="auto"/>
      </w:divBdr>
      <w:divsChild>
        <w:div w:id="1413744617">
          <w:marLeft w:val="0"/>
          <w:marRight w:val="0"/>
          <w:marTop w:val="0"/>
          <w:marBottom w:val="0"/>
          <w:divBdr>
            <w:top w:val="none" w:sz="0" w:space="0" w:color="auto"/>
            <w:left w:val="none" w:sz="0" w:space="0" w:color="auto"/>
            <w:bottom w:val="none" w:sz="0" w:space="0" w:color="auto"/>
            <w:right w:val="none" w:sz="0" w:space="0" w:color="auto"/>
          </w:divBdr>
          <w:divsChild>
            <w:div w:id="1949771914">
              <w:marLeft w:val="0"/>
              <w:marRight w:val="0"/>
              <w:marTop w:val="0"/>
              <w:marBottom w:val="0"/>
              <w:divBdr>
                <w:top w:val="none" w:sz="0" w:space="0" w:color="auto"/>
                <w:left w:val="none" w:sz="0" w:space="0" w:color="auto"/>
                <w:bottom w:val="none" w:sz="0" w:space="0" w:color="auto"/>
                <w:right w:val="none" w:sz="0" w:space="0" w:color="auto"/>
              </w:divBdr>
              <w:divsChild>
                <w:div w:id="1154099511">
                  <w:marLeft w:val="0"/>
                  <w:marRight w:val="0"/>
                  <w:marTop w:val="0"/>
                  <w:marBottom w:val="0"/>
                  <w:divBdr>
                    <w:top w:val="none" w:sz="0" w:space="0" w:color="auto"/>
                    <w:left w:val="none" w:sz="0" w:space="0" w:color="auto"/>
                    <w:bottom w:val="none" w:sz="0" w:space="0" w:color="auto"/>
                    <w:right w:val="none" w:sz="0" w:space="0" w:color="auto"/>
                  </w:divBdr>
                  <w:divsChild>
                    <w:div w:id="1417676772">
                      <w:marLeft w:val="0"/>
                      <w:marRight w:val="0"/>
                      <w:marTop w:val="0"/>
                      <w:marBottom w:val="0"/>
                      <w:divBdr>
                        <w:top w:val="none" w:sz="0" w:space="0" w:color="auto"/>
                        <w:left w:val="none" w:sz="0" w:space="0" w:color="auto"/>
                        <w:bottom w:val="none" w:sz="0" w:space="0" w:color="auto"/>
                        <w:right w:val="none" w:sz="0" w:space="0" w:color="auto"/>
                      </w:divBdr>
                    </w:div>
                  </w:divsChild>
                </w:div>
                <w:div w:id="1811089685">
                  <w:marLeft w:val="0"/>
                  <w:marRight w:val="0"/>
                  <w:marTop w:val="0"/>
                  <w:marBottom w:val="0"/>
                  <w:divBdr>
                    <w:top w:val="none" w:sz="0" w:space="0" w:color="auto"/>
                    <w:left w:val="none" w:sz="0" w:space="0" w:color="auto"/>
                    <w:bottom w:val="none" w:sz="0" w:space="0" w:color="auto"/>
                    <w:right w:val="none" w:sz="0" w:space="0" w:color="auto"/>
                  </w:divBdr>
                  <w:divsChild>
                    <w:div w:id="351346338">
                      <w:marLeft w:val="0"/>
                      <w:marRight w:val="0"/>
                      <w:marTop w:val="0"/>
                      <w:marBottom w:val="0"/>
                      <w:divBdr>
                        <w:top w:val="none" w:sz="0" w:space="0" w:color="auto"/>
                        <w:left w:val="none" w:sz="0" w:space="0" w:color="auto"/>
                        <w:bottom w:val="none" w:sz="0" w:space="0" w:color="auto"/>
                        <w:right w:val="none" w:sz="0" w:space="0" w:color="auto"/>
                      </w:divBdr>
                    </w:div>
                    <w:div w:id="854268806">
                      <w:marLeft w:val="0"/>
                      <w:marRight w:val="0"/>
                      <w:marTop w:val="0"/>
                      <w:marBottom w:val="0"/>
                      <w:divBdr>
                        <w:top w:val="none" w:sz="0" w:space="0" w:color="auto"/>
                        <w:left w:val="none" w:sz="0" w:space="0" w:color="auto"/>
                        <w:bottom w:val="none" w:sz="0" w:space="0" w:color="auto"/>
                        <w:right w:val="none" w:sz="0" w:space="0" w:color="auto"/>
                      </w:divBdr>
                    </w:div>
                  </w:divsChild>
                </w:div>
                <w:div w:id="1948846878">
                  <w:marLeft w:val="0"/>
                  <w:marRight w:val="0"/>
                  <w:marTop w:val="0"/>
                  <w:marBottom w:val="0"/>
                  <w:divBdr>
                    <w:top w:val="none" w:sz="0" w:space="0" w:color="auto"/>
                    <w:left w:val="none" w:sz="0" w:space="0" w:color="auto"/>
                    <w:bottom w:val="none" w:sz="0" w:space="0" w:color="auto"/>
                    <w:right w:val="none" w:sz="0" w:space="0" w:color="auto"/>
                  </w:divBdr>
                  <w:divsChild>
                    <w:div w:id="965627165">
                      <w:marLeft w:val="0"/>
                      <w:marRight w:val="0"/>
                      <w:marTop w:val="0"/>
                      <w:marBottom w:val="0"/>
                      <w:divBdr>
                        <w:top w:val="none" w:sz="0" w:space="0" w:color="auto"/>
                        <w:left w:val="none" w:sz="0" w:space="0" w:color="auto"/>
                        <w:bottom w:val="none" w:sz="0" w:space="0" w:color="auto"/>
                        <w:right w:val="none" w:sz="0" w:space="0" w:color="auto"/>
                      </w:divBdr>
                    </w:div>
                  </w:divsChild>
                </w:div>
                <w:div w:id="2005932873">
                  <w:marLeft w:val="0"/>
                  <w:marRight w:val="0"/>
                  <w:marTop w:val="0"/>
                  <w:marBottom w:val="0"/>
                  <w:divBdr>
                    <w:top w:val="none" w:sz="0" w:space="0" w:color="auto"/>
                    <w:left w:val="none" w:sz="0" w:space="0" w:color="auto"/>
                    <w:bottom w:val="none" w:sz="0" w:space="0" w:color="auto"/>
                    <w:right w:val="none" w:sz="0" w:space="0" w:color="auto"/>
                  </w:divBdr>
                  <w:divsChild>
                    <w:div w:id="137988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3883142">
      <w:bodyDiv w:val="1"/>
      <w:marLeft w:val="0"/>
      <w:marRight w:val="0"/>
      <w:marTop w:val="0"/>
      <w:marBottom w:val="0"/>
      <w:divBdr>
        <w:top w:val="none" w:sz="0" w:space="0" w:color="auto"/>
        <w:left w:val="none" w:sz="0" w:space="0" w:color="auto"/>
        <w:bottom w:val="none" w:sz="0" w:space="0" w:color="auto"/>
        <w:right w:val="none" w:sz="0" w:space="0" w:color="auto"/>
      </w:divBdr>
      <w:divsChild>
        <w:div w:id="463087755">
          <w:marLeft w:val="0"/>
          <w:marRight w:val="0"/>
          <w:marTop w:val="0"/>
          <w:marBottom w:val="0"/>
          <w:divBdr>
            <w:top w:val="none" w:sz="0" w:space="0" w:color="auto"/>
            <w:left w:val="none" w:sz="0" w:space="0" w:color="auto"/>
            <w:bottom w:val="none" w:sz="0" w:space="0" w:color="auto"/>
            <w:right w:val="none" w:sz="0" w:space="0" w:color="auto"/>
          </w:divBdr>
          <w:divsChild>
            <w:div w:id="906838498">
              <w:marLeft w:val="0"/>
              <w:marRight w:val="0"/>
              <w:marTop w:val="0"/>
              <w:marBottom w:val="0"/>
              <w:divBdr>
                <w:top w:val="none" w:sz="0" w:space="0" w:color="auto"/>
                <w:left w:val="none" w:sz="0" w:space="0" w:color="auto"/>
                <w:bottom w:val="none" w:sz="0" w:space="0" w:color="auto"/>
                <w:right w:val="none" w:sz="0" w:space="0" w:color="auto"/>
              </w:divBdr>
              <w:divsChild>
                <w:div w:id="30042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920063">
      <w:bodyDiv w:val="1"/>
      <w:marLeft w:val="0"/>
      <w:marRight w:val="0"/>
      <w:marTop w:val="0"/>
      <w:marBottom w:val="0"/>
      <w:divBdr>
        <w:top w:val="none" w:sz="0" w:space="0" w:color="auto"/>
        <w:left w:val="none" w:sz="0" w:space="0" w:color="auto"/>
        <w:bottom w:val="none" w:sz="0" w:space="0" w:color="auto"/>
        <w:right w:val="none" w:sz="0" w:space="0" w:color="auto"/>
      </w:divBdr>
    </w:div>
    <w:div w:id="1966158980">
      <w:bodyDiv w:val="1"/>
      <w:marLeft w:val="0"/>
      <w:marRight w:val="0"/>
      <w:marTop w:val="0"/>
      <w:marBottom w:val="0"/>
      <w:divBdr>
        <w:top w:val="none" w:sz="0" w:space="0" w:color="auto"/>
        <w:left w:val="none" w:sz="0" w:space="0" w:color="auto"/>
        <w:bottom w:val="none" w:sz="0" w:space="0" w:color="auto"/>
        <w:right w:val="none" w:sz="0" w:space="0" w:color="auto"/>
      </w:divBdr>
    </w:div>
    <w:div w:id="1971091931">
      <w:bodyDiv w:val="1"/>
      <w:marLeft w:val="0"/>
      <w:marRight w:val="0"/>
      <w:marTop w:val="0"/>
      <w:marBottom w:val="0"/>
      <w:divBdr>
        <w:top w:val="none" w:sz="0" w:space="0" w:color="auto"/>
        <w:left w:val="none" w:sz="0" w:space="0" w:color="auto"/>
        <w:bottom w:val="none" w:sz="0" w:space="0" w:color="auto"/>
        <w:right w:val="none" w:sz="0" w:space="0" w:color="auto"/>
      </w:divBdr>
      <w:divsChild>
        <w:div w:id="1848444277">
          <w:marLeft w:val="0"/>
          <w:marRight w:val="0"/>
          <w:marTop w:val="0"/>
          <w:marBottom w:val="0"/>
          <w:divBdr>
            <w:top w:val="none" w:sz="0" w:space="0" w:color="auto"/>
            <w:left w:val="none" w:sz="0" w:space="0" w:color="auto"/>
            <w:bottom w:val="none" w:sz="0" w:space="0" w:color="auto"/>
            <w:right w:val="none" w:sz="0" w:space="0" w:color="auto"/>
          </w:divBdr>
          <w:divsChild>
            <w:div w:id="1359624272">
              <w:marLeft w:val="0"/>
              <w:marRight w:val="0"/>
              <w:marTop w:val="0"/>
              <w:marBottom w:val="0"/>
              <w:divBdr>
                <w:top w:val="none" w:sz="0" w:space="0" w:color="auto"/>
                <w:left w:val="none" w:sz="0" w:space="0" w:color="auto"/>
                <w:bottom w:val="none" w:sz="0" w:space="0" w:color="auto"/>
                <w:right w:val="none" w:sz="0" w:space="0" w:color="auto"/>
              </w:divBdr>
              <w:divsChild>
                <w:div w:id="485439928">
                  <w:marLeft w:val="0"/>
                  <w:marRight w:val="0"/>
                  <w:marTop w:val="0"/>
                  <w:marBottom w:val="0"/>
                  <w:divBdr>
                    <w:top w:val="none" w:sz="0" w:space="0" w:color="auto"/>
                    <w:left w:val="none" w:sz="0" w:space="0" w:color="auto"/>
                    <w:bottom w:val="none" w:sz="0" w:space="0" w:color="auto"/>
                    <w:right w:val="none" w:sz="0" w:space="0" w:color="auto"/>
                  </w:divBdr>
                  <w:divsChild>
                    <w:div w:id="55373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3710304">
      <w:bodyDiv w:val="1"/>
      <w:marLeft w:val="0"/>
      <w:marRight w:val="0"/>
      <w:marTop w:val="0"/>
      <w:marBottom w:val="0"/>
      <w:divBdr>
        <w:top w:val="none" w:sz="0" w:space="0" w:color="auto"/>
        <w:left w:val="none" w:sz="0" w:space="0" w:color="auto"/>
        <w:bottom w:val="none" w:sz="0" w:space="0" w:color="auto"/>
        <w:right w:val="none" w:sz="0" w:space="0" w:color="auto"/>
      </w:divBdr>
      <w:divsChild>
        <w:div w:id="544564064">
          <w:marLeft w:val="0"/>
          <w:marRight w:val="0"/>
          <w:marTop w:val="0"/>
          <w:marBottom w:val="0"/>
          <w:divBdr>
            <w:top w:val="none" w:sz="0" w:space="0" w:color="auto"/>
            <w:left w:val="none" w:sz="0" w:space="0" w:color="auto"/>
            <w:bottom w:val="none" w:sz="0" w:space="0" w:color="auto"/>
            <w:right w:val="none" w:sz="0" w:space="0" w:color="auto"/>
          </w:divBdr>
          <w:divsChild>
            <w:div w:id="1407797581">
              <w:marLeft w:val="0"/>
              <w:marRight w:val="0"/>
              <w:marTop w:val="0"/>
              <w:marBottom w:val="0"/>
              <w:divBdr>
                <w:top w:val="none" w:sz="0" w:space="0" w:color="auto"/>
                <w:left w:val="none" w:sz="0" w:space="0" w:color="auto"/>
                <w:bottom w:val="none" w:sz="0" w:space="0" w:color="auto"/>
                <w:right w:val="none" w:sz="0" w:space="0" w:color="auto"/>
              </w:divBdr>
              <w:divsChild>
                <w:div w:id="1682052243">
                  <w:marLeft w:val="0"/>
                  <w:marRight w:val="0"/>
                  <w:marTop w:val="0"/>
                  <w:marBottom w:val="0"/>
                  <w:divBdr>
                    <w:top w:val="none" w:sz="0" w:space="0" w:color="auto"/>
                    <w:left w:val="none" w:sz="0" w:space="0" w:color="auto"/>
                    <w:bottom w:val="none" w:sz="0" w:space="0" w:color="auto"/>
                    <w:right w:val="none" w:sz="0" w:space="0" w:color="auto"/>
                  </w:divBdr>
                  <w:divsChild>
                    <w:div w:id="1200780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5617007">
      <w:bodyDiv w:val="1"/>
      <w:marLeft w:val="0"/>
      <w:marRight w:val="0"/>
      <w:marTop w:val="0"/>
      <w:marBottom w:val="0"/>
      <w:divBdr>
        <w:top w:val="none" w:sz="0" w:space="0" w:color="auto"/>
        <w:left w:val="none" w:sz="0" w:space="0" w:color="auto"/>
        <w:bottom w:val="none" w:sz="0" w:space="0" w:color="auto"/>
        <w:right w:val="none" w:sz="0" w:space="0" w:color="auto"/>
      </w:divBdr>
      <w:divsChild>
        <w:div w:id="1333290451">
          <w:marLeft w:val="0"/>
          <w:marRight w:val="0"/>
          <w:marTop w:val="0"/>
          <w:marBottom w:val="0"/>
          <w:divBdr>
            <w:top w:val="none" w:sz="0" w:space="0" w:color="auto"/>
            <w:left w:val="none" w:sz="0" w:space="0" w:color="auto"/>
            <w:bottom w:val="none" w:sz="0" w:space="0" w:color="auto"/>
            <w:right w:val="none" w:sz="0" w:space="0" w:color="auto"/>
          </w:divBdr>
          <w:divsChild>
            <w:div w:id="134881324">
              <w:marLeft w:val="0"/>
              <w:marRight w:val="0"/>
              <w:marTop w:val="0"/>
              <w:marBottom w:val="0"/>
              <w:divBdr>
                <w:top w:val="none" w:sz="0" w:space="0" w:color="auto"/>
                <w:left w:val="none" w:sz="0" w:space="0" w:color="auto"/>
                <w:bottom w:val="none" w:sz="0" w:space="0" w:color="auto"/>
                <w:right w:val="none" w:sz="0" w:space="0" w:color="auto"/>
              </w:divBdr>
              <w:divsChild>
                <w:div w:id="1803647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927654">
      <w:bodyDiv w:val="1"/>
      <w:marLeft w:val="0"/>
      <w:marRight w:val="0"/>
      <w:marTop w:val="0"/>
      <w:marBottom w:val="0"/>
      <w:divBdr>
        <w:top w:val="none" w:sz="0" w:space="0" w:color="auto"/>
        <w:left w:val="none" w:sz="0" w:space="0" w:color="auto"/>
        <w:bottom w:val="none" w:sz="0" w:space="0" w:color="auto"/>
        <w:right w:val="none" w:sz="0" w:space="0" w:color="auto"/>
      </w:divBdr>
    </w:div>
    <w:div w:id="1988900526">
      <w:bodyDiv w:val="1"/>
      <w:marLeft w:val="0"/>
      <w:marRight w:val="0"/>
      <w:marTop w:val="0"/>
      <w:marBottom w:val="0"/>
      <w:divBdr>
        <w:top w:val="none" w:sz="0" w:space="0" w:color="auto"/>
        <w:left w:val="none" w:sz="0" w:space="0" w:color="auto"/>
        <w:bottom w:val="none" w:sz="0" w:space="0" w:color="auto"/>
        <w:right w:val="none" w:sz="0" w:space="0" w:color="auto"/>
      </w:divBdr>
    </w:div>
    <w:div w:id="1990745516">
      <w:bodyDiv w:val="1"/>
      <w:marLeft w:val="0"/>
      <w:marRight w:val="0"/>
      <w:marTop w:val="0"/>
      <w:marBottom w:val="0"/>
      <w:divBdr>
        <w:top w:val="none" w:sz="0" w:space="0" w:color="auto"/>
        <w:left w:val="none" w:sz="0" w:space="0" w:color="auto"/>
        <w:bottom w:val="none" w:sz="0" w:space="0" w:color="auto"/>
        <w:right w:val="none" w:sz="0" w:space="0" w:color="auto"/>
      </w:divBdr>
    </w:div>
    <w:div w:id="2001738590">
      <w:bodyDiv w:val="1"/>
      <w:marLeft w:val="0"/>
      <w:marRight w:val="0"/>
      <w:marTop w:val="0"/>
      <w:marBottom w:val="0"/>
      <w:divBdr>
        <w:top w:val="none" w:sz="0" w:space="0" w:color="auto"/>
        <w:left w:val="none" w:sz="0" w:space="0" w:color="auto"/>
        <w:bottom w:val="none" w:sz="0" w:space="0" w:color="auto"/>
        <w:right w:val="none" w:sz="0" w:space="0" w:color="auto"/>
      </w:divBdr>
    </w:div>
    <w:div w:id="2003386638">
      <w:bodyDiv w:val="1"/>
      <w:marLeft w:val="0"/>
      <w:marRight w:val="0"/>
      <w:marTop w:val="0"/>
      <w:marBottom w:val="0"/>
      <w:divBdr>
        <w:top w:val="none" w:sz="0" w:space="0" w:color="auto"/>
        <w:left w:val="none" w:sz="0" w:space="0" w:color="auto"/>
        <w:bottom w:val="none" w:sz="0" w:space="0" w:color="auto"/>
        <w:right w:val="none" w:sz="0" w:space="0" w:color="auto"/>
      </w:divBdr>
    </w:div>
    <w:div w:id="2012831971">
      <w:bodyDiv w:val="1"/>
      <w:marLeft w:val="0"/>
      <w:marRight w:val="0"/>
      <w:marTop w:val="0"/>
      <w:marBottom w:val="0"/>
      <w:divBdr>
        <w:top w:val="none" w:sz="0" w:space="0" w:color="auto"/>
        <w:left w:val="none" w:sz="0" w:space="0" w:color="auto"/>
        <w:bottom w:val="none" w:sz="0" w:space="0" w:color="auto"/>
        <w:right w:val="none" w:sz="0" w:space="0" w:color="auto"/>
      </w:divBdr>
      <w:divsChild>
        <w:div w:id="1189948776">
          <w:marLeft w:val="0"/>
          <w:marRight w:val="0"/>
          <w:marTop w:val="0"/>
          <w:marBottom w:val="0"/>
          <w:divBdr>
            <w:top w:val="none" w:sz="0" w:space="0" w:color="auto"/>
            <w:left w:val="none" w:sz="0" w:space="0" w:color="auto"/>
            <w:bottom w:val="none" w:sz="0" w:space="0" w:color="auto"/>
            <w:right w:val="none" w:sz="0" w:space="0" w:color="auto"/>
          </w:divBdr>
          <w:divsChild>
            <w:div w:id="1938099760">
              <w:marLeft w:val="0"/>
              <w:marRight w:val="0"/>
              <w:marTop w:val="0"/>
              <w:marBottom w:val="0"/>
              <w:divBdr>
                <w:top w:val="none" w:sz="0" w:space="0" w:color="auto"/>
                <w:left w:val="none" w:sz="0" w:space="0" w:color="auto"/>
                <w:bottom w:val="none" w:sz="0" w:space="0" w:color="auto"/>
                <w:right w:val="none" w:sz="0" w:space="0" w:color="auto"/>
              </w:divBdr>
              <w:divsChild>
                <w:div w:id="1223951116">
                  <w:marLeft w:val="0"/>
                  <w:marRight w:val="0"/>
                  <w:marTop w:val="0"/>
                  <w:marBottom w:val="0"/>
                  <w:divBdr>
                    <w:top w:val="none" w:sz="0" w:space="0" w:color="auto"/>
                    <w:left w:val="none" w:sz="0" w:space="0" w:color="auto"/>
                    <w:bottom w:val="none" w:sz="0" w:space="0" w:color="auto"/>
                    <w:right w:val="none" w:sz="0" w:space="0" w:color="auto"/>
                  </w:divBdr>
                  <w:divsChild>
                    <w:div w:id="114774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9769435">
      <w:bodyDiv w:val="1"/>
      <w:marLeft w:val="0"/>
      <w:marRight w:val="0"/>
      <w:marTop w:val="0"/>
      <w:marBottom w:val="0"/>
      <w:divBdr>
        <w:top w:val="none" w:sz="0" w:space="0" w:color="auto"/>
        <w:left w:val="none" w:sz="0" w:space="0" w:color="auto"/>
        <w:bottom w:val="none" w:sz="0" w:space="0" w:color="auto"/>
        <w:right w:val="none" w:sz="0" w:space="0" w:color="auto"/>
      </w:divBdr>
      <w:divsChild>
        <w:div w:id="796605347">
          <w:marLeft w:val="0"/>
          <w:marRight w:val="0"/>
          <w:marTop w:val="0"/>
          <w:marBottom w:val="0"/>
          <w:divBdr>
            <w:top w:val="none" w:sz="0" w:space="0" w:color="auto"/>
            <w:left w:val="none" w:sz="0" w:space="0" w:color="auto"/>
            <w:bottom w:val="none" w:sz="0" w:space="0" w:color="auto"/>
            <w:right w:val="none" w:sz="0" w:space="0" w:color="auto"/>
          </w:divBdr>
          <w:divsChild>
            <w:div w:id="2138330516">
              <w:marLeft w:val="0"/>
              <w:marRight w:val="0"/>
              <w:marTop w:val="0"/>
              <w:marBottom w:val="0"/>
              <w:divBdr>
                <w:top w:val="none" w:sz="0" w:space="0" w:color="auto"/>
                <w:left w:val="none" w:sz="0" w:space="0" w:color="auto"/>
                <w:bottom w:val="none" w:sz="0" w:space="0" w:color="auto"/>
                <w:right w:val="none" w:sz="0" w:space="0" w:color="auto"/>
              </w:divBdr>
              <w:divsChild>
                <w:div w:id="1867404848">
                  <w:marLeft w:val="0"/>
                  <w:marRight w:val="0"/>
                  <w:marTop w:val="0"/>
                  <w:marBottom w:val="0"/>
                  <w:divBdr>
                    <w:top w:val="none" w:sz="0" w:space="0" w:color="auto"/>
                    <w:left w:val="none" w:sz="0" w:space="0" w:color="auto"/>
                    <w:bottom w:val="none" w:sz="0" w:space="0" w:color="auto"/>
                    <w:right w:val="none" w:sz="0" w:space="0" w:color="auto"/>
                  </w:divBdr>
                  <w:divsChild>
                    <w:div w:id="1754276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1352088">
      <w:bodyDiv w:val="1"/>
      <w:marLeft w:val="0"/>
      <w:marRight w:val="0"/>
      <w:marTop w:val="0"/>
      <w:marBottom w:val="0"/>
      <w:divBdr>
        <w:top w:val="none" w:sz="0" w:space="0" w:color="auto"/>
        <w:left w:val="none" w:sz="0" w:space="0" w:color="auto"/>
        <w:bottom w:val="none" w:sz="0" w:space="0" w:color="auto"/>
        <w:right w:val="none" w:sz="0" w:space="0" w:color="auto"/>
      </w:divBdr>
      <w:divsChild>
        <w:div w:id="1579055953">
          <w:marLeft w:val="0"/>
          <w:marRight w:val="0"/>
          <w:marTop w:val="0"/>
          <w:marBottom w:val="0"/>
          <w:divBdr>
            <w:top w:val="none" w:sz="0" w:space="0" w:color="auto"/>
            <w:left w:val="none" w:sz="0" w:space="0" w:color="auto"/>
            <w:bottom w:val="none" w:sz="0" w:space="0" w:color="auto"/>
            <w:right w:val="none" w:sz="0" w:space="0" w:color="auto"/>
          </w:divBdr>
          <w:divsChild>
            <w:div w:id="903446206">
              <w:marLeft w:val="0"/>
              <w:marRight w:val="0"/>
              <w:marTop w:val="0"/>
              <w:marBottom w:val="0"/>
              <w:divBdr>
                <w:top w:val="none" w:sz="0" w:space="0" w:color="auto"/>
                <w:left w:val="none" w:sz="0" w:space="0" w:color="auto"/>
                <w:bottom w:val="none" w:sz="0" w:space="0" w:color="auto"/>
                <w:right w:val="none" w:sz="0" w:space="0" w:color="auto"/>
              </w:divBdr>
              <w:divsChild>
                <w:div w:id="95835277">
                  <w:marLeft w:val="0"/>
                  <w:marRight w:val="0"/>
                  <w:marTop w:val="0"/>
                  <w:marBottom w:val="0"/>
                  <w:divBdr>
                    <w:top w:val="none" w:sz="0" w:space="0" w:color="auto"/>
                    <w:left w:val="none" w:sz="0" w:space="0" w:color="auto"/>
                    <w:bottom w:val="none" w:sz="0" w:space="0" w:color="auto"/>
                    <w:right w:val="none" w:sz="0" w:space="0" w:color="auto"/>
                  </w:divBdr>
                  <w:divsChild>
                    <w:div w:id="2107529049">
                      <w:marLeft w:val="0"/>
                      <w:marRight w:val="0"/>
                      <w:marTop w:val="0"/>
                      <w:marBottom w:val="0"/>
                      <w:divBdr>
                        <w:top w:val="none" w:sz="0" w:space="0" w:color="auto"/>
                        <w:left w:val="none" w:sz="0" w:space="0" w:color="auto"/>
                        <w:bottom w:val="none" w:sz="0" w:space="0" w:color="auto"/>
                        <w:right w:val="none" w:sz="0" w:space="0" w:color="auto"/>
                      </w:divBdr>
                    </w:div>
                  </w:divsChild>
                </w:div>
                <w:div w:id="990135499">
                  <w:marLeft w:val="0"/>
                  <w:marRight w:val="0"/>
                  <w:marTop w:val="0"/>
                  <w:marBottom w:val="0"/>
                  <w:divBdr>
                    <w:top w:val="none" w:sz="0" w:space="0" w:color="auto"/>
                    <w:left w:val="none" w:sz="0" w:space="0" w:color="auto"/>
                    <w:bottom w:val="none" w:sz="0" w:space="0" w:color="auto"/>
                    <w:right w:val="none" w:sz="0" w:space="0" w:color="auto"/>
                  </w:divBdr>
                  <w:divsChild>
                    <w:div w:id="959844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7242978">
      <w:bodyDiv w:val="1"/>
      <w:marLeft w:val="0"/>
      <w:marRight w:val="0"/>
      <w:marTop w:val="0"/>
      <w:marBottom w:val="0"/>
      <w:divBdr>
        <w:top w:val="none" w:sz="0" w:space="0" w:color="auto"/>
        <w:left w:val="none" w:sz="0" w:space="0" w:color="auto"/>
        <w:bottom w:val="none" w:sz="0" w:space="0" w:color="auto"/>
        <w:right w:val="none" w:sz="0" w:space="0" w:color="auto"/>
      </w:divBdr>
    </w:div>
    <w:div w:id="2035764985">
      <w:bodyDiv w:val="1"/>
      <w:marLeft w:val="0"/>
      <w:marRight w:val="0"/>
      <w:marTop w:val="0"/>
      <w:marBottom w:val="0"/>
      <w:divBdr>
        <w:top w:val="none" w:sz="0" w:space="0" w:color="auto"/>
        <w:left w:val="none" w:sz="0" w:space="0" w:color="auto"/>
        <w:bottom w:val="none" w:sz="0" w:space="0" w:color="auto"/>
        <w:right w:val="none" w:sz="0" w:space="0" w:color="auto"/>
      </w:divBdr>
    </w:div>
    <w:div w:id="2036610521">
      <w:bodyDiv w:val="1"/>
      <w:marLeft w:val="0"/>
      <w:marRight w:val="0"/>
      <w:marTop w:val="0"/>
      <w:marBottom w:val="0"/>
      <w:divBdr>
        <w:top w:val="none" w:sz="0" w:space="0" w:color="auto"/>
        <w:left w:val="none" w:sz="0" w:space="0" w:color="auto"/>
        <w:bottom w:val="none" w:sz="0" w:space="0" w:color="auto"/>
        <w:right w:val="none" w:sz="0" w:space="0" w:color="auto"/>
      </w:divBdr>
    </w:div>
    <w:div w:id="2037384656">
      <w:bodyDiv w:val="1"/>
      <w:marLeft w:val="0"/>
      <w:marRight w:val="0"/>
      <w:marTop w:val="0"/>
      <w:marBottom w:val="0"/>
      <w:divBdr>
        <w:top w:val="none" w:sz="0" w:space="0" w:color="auto"/>
        <w:left w:val="none" w:sz="0" w:space="0" w:color="auto"/>
        <w:bottom w:val="none" w:sz="0" w:space="0" w:color="auto"/>
        <w:right w:val="none" w:sz="0" w:space="0" w:color="auto"/>
      </w:divBdr>
      <w:divsChild>
        <w:div w:id="1486119295">
          <w:marLeft w:val="0"/>
          <w:marRight w:val="0"/>
          <w:marTop w:val="0"/>
          <w:marBottom w:val="0"/>
          <w:divBdr>
            <w:top w:val="none" w:sz="0" w:space="0" w:color="auto"/>
            <w:left w:val="none" w:sz="0" w:space="0" w:color="auto"/>
            <w:bottom w:val="none" w:sz="0" w:space="0" w:color="auto"/>
            <w:right w:val="none" w:sz="0" w:space="0" w:color="auto"/>
          </w:divBdr>
          <w:divsChild>
            <w:div w:id="1151752204">
              <w:marLeft w:val="0"/>
              <w:marRight w:val="0"/>
              <w:marTop w:val="0"/>
              <w:marBottom w:val="0"/>
              <w:divBdr>
                <w:top w:val="none" w:sz="0" w:space="0" w:color="auto"/>
                <w:left w:val="none" w:sz="0" w:space="0" w:color="auto"/>
                <w:bottom w:val="none" w:sz="0" w:space="0" w:color="auto"/>
                <w:right w:val="none" w:sz="0" w:space="0" w:color="auto"/>
              </w:divBdr>
              <w:divsChild>
                <w:div w:id="1945261437">
                  <w:marLeft w:val="0"/>
                  <w:marRight w:val="0"/>
                  <w:marTop w:val="0"/>
                  <w:marBottom w:val="0"/>
                  <w:divBdr>
                    <w:top w:val="none" w:sz="0" w:space="0" w:color="auto"/>
                    <w:left w:val="none" w:sz="0" w:space="0" w:color="auto"/>
                    <w:bottom w:val="none" w:sz="0" w:space="0" w:color="auto"/>
                    <w:right w:val="none" w:sz="0" w:space="0" w:color="auto"/>
                  </w:divBdr>
                  <w:divsChild>
                    <w:div w:id="153905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7659263">
      <w:bodyDiv w:val="1"/>
      <w:marLeft w:val="0"/>
      <w:marRight w:val="0"/>
      <w:marTop w:val="0"/>
      <w:marBottom w:val="0"/>
      <w:divBdr>
        <w:top w:val="none" w:sz="0" w:space="0" w:color="auto"/>
        <w:left w:val="none" w:sz="0" w:space="0" w:color="auto"/>
        <w:bottom w:val="none" w:sz="0" w:space="0" w:color="auto"/>
        <w:right w:val="none" w:sz="0" w:space="0" w:color="auto"/>
      </w:divBdr>
    </w:div>
    <w:div w:id="2041010906">
      <w:bodyDiv w:val="1"/>
      <w:marLeft w:val="0"/>
      <w:marRight w:val="0"/>
      <w:marTop w:val="0"/>
      <w:marBottom w:val="0"/>
      <w:divBdr>
        <w:top w:val="none" w:sz="0" w:space="0" w:color="auto"/>
        <w:left w:val="none" w:sz="0" w:space="0" w:color="auto"/>
        <w:bottom w:val="none" w:sz="0" w:space="0" w:color="auto"/>
        <w:right w:val="none" w:sz="0" w:space="0" w:color="auto"/>
      </w:divBdr>
    </w:div>
    <w:div w:id="2044281923">
      <w:bodyDiv w:val="1"/>
      <w:marLeft w:val="0"/>
      <w:marRight w:val="0"/>
      <w:marTop w:val="0"/>
      <w:marBottom w:val="0"/>
      <w:divBdr>
        <w:top w:val="none" w:sz="0" w:space="0" w:color="auto"/>
        <w:left w:val="none" w:sz="0" w:space="0" w:color="auto"/>
        <w:bottom w:val="none" w:sz="0" w:space="0" w:color="auto"/>
        <w:right w:val="none" w:sz="0" w:space="0" w:color="auto"/>
      </w:divBdr>
    </w:div>
    <w:div w:id="2044599247">
      <w:bodyDiv w:val="1"/>
      <w:marLeft w:val="0"/>
      <w:marRight w:val="0"/>
      <w:marTop w:val="0"/>
      <w:marBottom w:val="0"/>
      <w:divBdr>
        <w:top w:val="none" w:sz="0" w:space="0" w:color="auto"/>
        <w:left w:val="none" w:sz="0" w:space="0" w:color="auto"/>
        <w:bottom w:val="none" w:sz="0" w:space="0" w:color="auto"/>
        <w:right w:val="none" w:sz="0" w:space="0" w:color="auto"/>
      </w:divBdr>
      <w:divsChild>
        <w:div w:id="1742553986">
          <w:marLeft w:val="0"/>
          <w:marRight w:val="0"/>
          <w:marTop w:val="0"/>
          <w:marBottom w:val="0"/>
          <w:divBdr>
            <w:top w:val="none" w:sz="0" w:space="0" w:color="auto"/>
            <w:left w:val="none" w:sz="0" w:space="0" w:color="auto"/>
            <w:bottom w:val="none" w:sz="0" w:space="0" w:color="auto"/>
            <w:right w:val="none" w:sz="0" w:space="0" w:color="auto"/>
          </w:divBdr>
          <w:divsChild>
            <w:div w:id="1432971397">
              <w:marLeft w:val="0"/>
              <w:marRight w:val="0"/>
              <w:marTop w:val="0"/>
              <w:marBottom w:val="0"/>
              <w:divBdr>
                <w:top w:val="none" w:sz="0" w:space="0" w:color="auto"/>
                <w:left w:val="none" w:sz="0" w:space="0" w:color="auto"/>
                <w:bottom w:val="none" w:sz="0" w:space="0" w:color="auto"/>
                <w:right w:val="none" w:sz="0" w:space="0" w:color="auto"/>
              </w:divBdr>
              <w:divsChild>
                <w:div w:id="1445881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250033">
      <w:bodyDiv w:val="1"/>
      <w:marLeft w:val="0"/>
      <w:marRight w:val="0"/>
      <w:marTop w:val="0"/>
      <w:marBottom w:val="0"/>
      <w:divBdr>
        <w:top w:val="none" w:sz="0" w:space="0" w:color="auto"/>
        <w:left w:val="none" w:sz="0" w:space="0" w:color="auto"/>
        <w:bottom w:val="none" w:sz="0" w:space="0" w:color="auto"/>
        <w:right w:val="none" w:sz="0" w:space="0" w:color="auto"/>
      </w:divBdr>
    </w:div>
    <w:div w:id="2069643314">
      <w:bodyDiv w:val="1"/>
      <w:marLeft w:val="0"/>
      <w:marRight w:val="0"/>
      <w:marTop w:val="0"/>
      <w:marBottom w:val="0"/>
      <w:divBdr>
        <w:top w:val="none" w:sz="0" w:space="0" w:color="auto"/>
        <w:left w:val="none" w:sz="0" w:space="0" w:color="auto"/>
        <w:bottom w:val="none" w:sz="0" w:space="0" w:color="auto"/>
        <w:right w:val="none" w:sz="0" w:space="0" w:color="auto"/>
      </w:divBdr>
    </w:div>
    <w:div w:id="2094425801">
      <w:bodyDiv w:val="1"/>
      <w:marLeft w:val="0"/>
      <w:marRight w:val="0"/>
      <w:marTop w:val="0"/>
      <w:marBottom w:val="0"/>
      <w:divBdr>
        <w:top w:val="none" w:sz="0" w:space="0" w:color="auto"/>
        <w:left w:val="none" w:sz="0" w:space="0" w:color="auto"/>
        <w:bottom w:val="none" w:sz="0" w:space="0" w:color="auto"/>
        <w:right w:val="none" w:sz="0" w:space="0" w:color="auto"/>
      </w:divBdr>
      <w:divsChild>
        <w:div w:id="1551921760">
          <w:marLeft w:val="0"/>
          <w:marRight w:val="0"/>
          <w:marTop w:val="0"/>
          <w:marBottom w:val="0"/>
          <w:divBdr>
            <w:top w:val="none" w:sz="0" w:space="0" w:color="auto"/>
            <w:left w:val="none" w:sz="0" w:space="0" w:color="auto"/>
            <w:bottom w:val="none" w:sz="0" w:space="0" w:color="auto"/>
            <w:right w:val="none" w:sz="0" w:space="0" w:color="auto"/>
          </w:divBdr>
          <w:divsChild>
            <w:div w:id="1665794">
              <w:marLeft w:val="0"/>
              <w:marRight w:val="0"/>
              <w:marTop w:val="0"/>
              <w:marBottom w:val="0"/>
              <w:divBdr>
                <w:top w:val="none" w:sz="0" w:space="0" w:color="auto"/>
                <w:left w:val="none" w:sz="0" w:space="0" w:color="auto"/>
                <w:bottom w:val="none" w:sz="0" w:space="0" w:color="auto"/>
                <w:right w:val="none" w:sz="0" w:space="0" w:color="auto"/>
              </w:divBdr>
              <w:divsChild>
                <w:div w:id="905258046">
                  <w:marLeft w:val="0"/>
                  <w:marRight w:val="0"/>
                  <w:marTop w:val="0"/>
                  <w:marBottom w:val="0"/>
                  <w:divBdr>
                    <w:top w:val="none" w:sz="0" w:space="0" w:color="auto"/>
                    <w:left w:val="none" w:sz="0" w:space="0" w:color="auto"/>
                    <w:bottom w:val="none" w:sz="0" w:space="0" w:color="auto"/>
                    <w:right w:val="none" w:sz="0" w:space="0" w:color="auto"/>
                  </w:divBdr>
                  <w:divsChild>
                    <w:div w:id="1944418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7627353">
      <w:bodyDiv w:val="1"/>
      <w:marLeft w:val="0"/>
      <w:marRight w:val="0"/>
      <w:marTop w:val="0"/>
      <w:marBottom w:val="0"/>
      <w:divBdr>
        <w:top w:val="none" w:sz="0" w:space="0" w:color="auto"/>
        <w:left w:val="none" w:sz="0" w:space="0" w:color="auto"/>
        <w:bottom w:val="none" w:sz="0" w:space="0" w:color="auto"/>
        <w:right w:val="none" w:sz="0" w:space="0" w:color="auto"/>
      </w:divBdr>
      <w:divsChild>
        <w:div w:id="707028108">
          <w:marLeft w:val="0"/>
          <w:marRight w:val="0"/>
          <w:marTop w:val="0"/>
          <w:marBottom w:val="0"/>
          <w:divBdr>
            <w:top w:val="none" w:sz="0" w:space="0" w:color="auto"/>
            <w:left w:val="none" w:sz="0" w:space="0" w:color="auto"/>
            <w:bottom w:val="none" w:sz="0" w:space="0" w:color="auto"/>
            <w:right w:val="none" w:sz="0" w:space="0" w:color="auto"/>
          </w:divBdr>
          <w:divsChild>
            <w:div w:id="1633362270">
              <w:marLeft w:val="0"/>
              <w:marRight w:val="0"/>
              <w:marTop w:val="0"/>
              <w:marBottom w:val="0"/>
              <w:divBdr>
                <w:top w:val="none" w:sz="0" w:space="0" w:color="auto"/>
                <w:left w:val="none" w:sz="0" w:space="0" w:color="auto"/>
                <w:bottom w:val="none" w:sz="0" w:space="0" w:color="auto"/>
                <w:right w:val="none" w:sz="0" w:space="0" w:color="auto"/>
              </w:divBdr>
              <w:divsChild>
                <w:div w:id="1595092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212659">
      <w:bodyDiv w:val="1"/>
      <w:marLeft w:val="0"/>
      <w:marRight w:val="0"/>
      <w:marTop w:val="0"/>
      <w:marBottom w:val="0"/>
      <w:divBdr>
        <w:top w:val="none" w:sz="0" w:space="0" w:color="auto"/>
        <w:left w:val="none" w:sz="0" w:space="0" w:color="auto"/>
        <w:bottom w:val="none" w:sz="0" w:space="0" w:color="auto"/>
        <w:right w:val="none" w:sz="0" w:space="0" w:color="auto"/>
      </w:divBdr>
    </w:div>
    <w:div w:id="2111536205">
      <w:bodyDiv w:val="1"/>
      <w:marLeft w:val="0"/>
      <w:marRight w:val="0"/>
      <w:marTop w:val="0"/>
      <w:marBottom w:val="0"/>
      <w:divBdr>
        <w:top w:val="none" w:sz="0" w:space="0" w:color="auto"/>
        <w:left w:val="none" w:sz="0" w:space="0" w:color="auto"/>
        <w:bottom w:val="none" w:sz="0" w:space="0" w:color="auto"/>
        <w:right w:val="none" w:sz="0" w:space="0" w:color="auto"/>
      </w:divBdr>
    </w:div>
    <w:div w:id="2132437735">
      <w:bodyDiv w:val="1"/>
      <w:marLeft w:val="0"/>
      <w:marRight w:val="0"/>
      <w:marTop w:val="0"/>
      <w:marBottom w:val="0"/>
      <w:divBdr>
        <w:top w:val="none" w:sz="0" w:space="0" w:color="auto"/>
        <w:left w:val="none" w:sz="0" w:space="0" w:color="auto"/>
        <w:bottom w:val="none" w:sz="0" w:space="0" w:color="auto"/>
        <w:right w:val="none" w:sz="0" w:space="0" w:color="auto"/>
      </w:divBdr>
    </w:div>
    <w:div w:id="2136169921">
      <w:bodyDiv w:val="1"/>
      <w:marLeft w:val="0"/>
      <w:marRight w:val="0"/>
      <w:marTop w:val="0"/>
      <w:marBottom w:val="0"/>
      <w:divBdr>
        <w:top w:val="none" w:sz="0" w:space="0" w:color="auto"/>
        <w:left w:val="none" w:sz="0" w:space="0" w:color="auto"/>
        <w:bottom w:val="none" w:sz="0" w:space="0" w:color="auto"/>
        <w:right w:val="none" w:sz="0" w:space="0" w:color="auto"/>
      </w:divBdr>
      <w:divsChild>
        <w:div w:id="262306124">
          <w:marLeft w:val="0"/>
          <w:marRight w:val="0"/>
          <w:marTop w:val="0"/>
          <w:marBottom w:val="0"/>
          <w:divBdr>
            <w:top w:val="none" w:sz="0" w:space="0" w:color="auto"/>
            <w:left w:val="none" w:sz="0" w:space="0" w:color="auto"/>
            <w:bottom w:val="none" w:sz="0" w:space="0" w:color="auto"/>
            <w:right w:val="none" w:sz="0" w:space="0" w:color="auto"/>
          </w:divBdr>
          <w:divsChild>
            <w:div w:id="1656690169">
              <w:marLeft w:val="0"/>
              <w:marRight w:val="0"/>
              <w:marTop w:val="0"/>
              <w:marBottom w:val="0"/>
              <w:divBdr>
                <w:top w:val="none" w:sz="0" w:space="0" w:color="auto"/>
                <w:left w:val="none" w:sz="0" w:space="0" w:color="auto"/>
                <w:bottom w:val="none" w:sz="0" w:space="0" w:color="auto"/>
                <w:right w:val="none" w:sz="0" w:space="0" w:color="auto"/>
              </w:divBdr>
              <w:divsChild>
                <w:div w:id="828012265">
                  <w:marLeft w:val="0"/>
                  <w:marRight w:val="0"/>
                  <w:marTop w:val="0"/>
                  <w:marBottom w:val="0"/>
                  <w:divBdr>
                    <w:top w:val="none" w:sz="0" w:space="0" w:color="auto"/>
                    <w:left w:val="none" w:sz="0" w:space="0" w:color="auto"/>
                    <w:bottom w:val="none" w:sz="0" w:space="0" w:color="auto"/>
                    <w:right w:val="none" w:sz="0" w:space="0" w:color="auto"/>
                  </w:divBdr>
                  <w:divsChild>
                    <w:div w:id="1394540628">
                      <w:marLeft w:val="0"/>
                      <w:marRight w:val="0"/>
                      <w:marTop w:val="0"/>
                      <w:marBottom w:val="0"/>
                      <w:divBdr>
                        <w:top w:val="none" w:sz="0" w:space="0" w:color="auto"/>
                        <w:left w:val="none" w:sz="0" w:space="0" w:color="auto"/>
                        <w:bottom w:val="none" w:sz="0" w:space="0" w:color="auto"/>
                        <w:right w:val="none" w:sz="0" w:space="0" w:color="auto"/>
                      </w:divBdr>
                    </w:div>
                  </w:divsChild>
                </w:div>
                <w:div w:id="1793016305">
                  <w:marLeft w:val="0"/>
                  <w:marRight w:val="0"/>
                  <w:marTop w:val="0"/>
                  <w:marBottom w:val="0"/>
                  <w:divBdr>
                    <w:top w:val="none" w:sz="0" w:space="0" w:color="auto"/>
                    <w:left w:val="none" w:sz="0" w:space="0" w:color="auto"/>
                    <w:bottom w:val="none" w:sz="0" w:space="0" w:color="auto"/>
                    <w:right w:val="none" w:sz="0" w:space="0" w:color="auto"/>
                  </w:divBdr>
                  <w:divsChild>
                    <w:div w:id="173763975">
                      <w:marLeft w:val="0"/>
                      <w:marRight w:val="0"/>
                      <w:marTop w:val="0"/>
                      <w:marBottom w:val="0"/>
                      <w:divBdr>
                        <w:top w:val="none" w:sz="0" w:space="0" w:color="auto"/>
                        <w:left w:val="none" w:sz="0" w:space="0" w:color="auto"/>
                        <w:bottom w:val="none" w:sz="0" w:space="0" w:color="auto"/>
                        <w:right w:val="none" w:sz="0" w:space="0" w:color="auto"/>
                      </w:divBdr>
                    </w:div>
                    <w:div w:id="263465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8066855">
      <w:bodyDiv w:val="1"/>
      <w:marLeft w:val="0"/>
      <w:marRight w:val="0"/>
      <w:marTop w:val="0"/>
      <w:marBottom w:val="0"/>
      <w:divBdr>
        <w:top w:val="none" w:sz="0" w:space="0" w:color="auto"/>
        <w:left w:val="none" w:sz="0" w:space="0" w:color="auto"/>
        <w:bottom w:val="none" w:sz="0" w:space="0" w:color="auto"/>
        <w:right w:val="none" w:sz="0" w:space="0" w:color="auto"/>
      </w:divBdr>
    </w:div>
    <w:div w:id="2142646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header" Target="header1.xml"/><Relationship Id="rId26" Type="http://schemas.openxmlformats.org/officeDocument/2006/relationships/image" Target="media/image1.png"/><Relationship Id="rId39" Type="http://schemas.openxmlformats.org/officeDocument/2006/relationships/image" Target="media/image12.png"/><Relationship Id="rId21" Type="http://schemas.openxmlformats.org/officeDocument/2006/relationships/header" Target="header2.xml"/><Relationship Id="rId34" Type="http://schemas.openxmlformats.org/officeDocument/2006/relationships/image" Target="media/image9.png"/><Relationship Id="rId42" Type="http://schemas.openxmlformats.org/officeDocument/2006/relationships/image" Target="media/image13.png"/><Relationship Id="rId47" Type="http://schemas.openxmlformats.org/officeDocument/2006/relationships/image" Target="media/image16.png"/><Relationship Id="rId50" Type="http://schemas.openxmlformats.org/officeDocument/2006/relationships/image" Target="media/image17.png"/><Relationship Id="rId55" Type="http://schemas.openxmlformats.org/officeDocument/2006/relationships/image" Target="media/image20.png"/><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hyperlink" Target="http://www.relayservice.com.au" TargetMode="External"/><Relationship Id="rId29" Type="http://schemas.openxmlformats.org/officeDocument/2006/relationships/image" Target="media/image4.png"/><Relationship Id="rId11" Type="http://schemas.openxmlformats.org/officeDocument/2006/relationships/webSettings" Target="webSettings.xml"/><Relationship Id="rId24" Type="http://schemas.openxmlformats.org/officeDocument/2006/relationships/chart" Target="charts/chart2.xml"/><Relationship Id="rId32" Type="http://schemas.openxmlformats.org/officeDocument/2006/relationships/image" Target="media/image7.png"/><Relationship Id="rId37" Type="http://schemas.openxmlformats.org/officeDocument/2006/relationships/chart" Target="charts/chart5.xml"/><Relationship Id="rId40" Type="http://schemas.openxmlformats.org/officeDocument/2006/relationships/chart" Target="charts/chart6.xml"/><Relationship Id="rId45" Type="http://schemas.openxmlformats.org/officeDocument/2006/relationships/chart" Target="charts/chart9.xml"/><Relationship Id="rId53" Type="http://schemas.openxmlformats.org/officeDocument/2006/relationships/chart" Target="charts/chart13.xml"/><Relationship Id="rId58" Type="http://schemas.openxmlformats.org/officeDocument/2006/relationships/image" Target="media/image21.png"/><Relationship Id="rId5" Type="http://schemas.openxmlformats.org/officeDocument/2006/relationships/customXml" Target="../customXml/item5.xml"/><Relationship Id="rId61" Type="http://schemas.openxmlformats.org/officeDocument/2006/relationships/fontTable" Target="fontTable.xml"/><Relationship Id="rId19" Type="http://schemas.openxmlformats.org/officeDocument/2006/relationships/footer" Target="footer1.xml"/><Relationship Id="rId14" Type="http://schemas.openxmlformats.org/officeDocument/2006/relationships/hyperlink" Target="http://creativecommons.org/licenses/by/4.0/" TargetMode="External"/><Relationship Id="rId22" Type="http://schemas.openxmlformats.org/officeDocument/2006/relationships/footer" Target="footer3.xml"/><Relationship Id="rId27" Type="http://schemas.openxmlformats.org/officeDocument/2006/relationships/image" Target="media/image2.png"/><Relationship Id="rId30" Type="http://schemas.openxmlformats.org/officeDocument/2006/relationships/image" Target="media/image5.png"/><Relationship Id="rId35" Type="http://schemas.openxmlformats.org/officeDocument/2006/relationships/image" Target="media/image10.png"/><Relationship Id="rId43" Type="http://schemas.openxmlformats.org/officeDocument/2006/relationships/image" Target="media/image14.png"/><Relationship Id="rId48" Type="http://schemas.openxmlformats.org/officeDocument/2006/relationships/chart" Target="charts/chart10.xml"/><Relationship Id="rId56" Type="http://schemas.openxmlformats.org/officeDocument/2006/relationships/chart" Target="charts/chart14.xml"/><Relationship Id="rId8" Type="http://schemas.openxmlformats.org/officeDocument/2006/relationships/numbering" Target="numbering.xml"/><Relationship Id="rId51" Type="http://schemas.openxmlformats.org/officeDocument/2006/relationships/image" Target="media/image18.png"/><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hyperlink" Target="http://www.delwp.vic.gov.au" TargetMode="External"/><Relationship Id="rId25" Type="http://schemas.openxmlformats.org/officeDocument/2006/relationships/chart" Target="charts/chart3.xml"/><Relationship Id="rId33" Type="http://schemas.openxmlformats.org/officeDocument/2006/relationships/image" Target="media/image8.png"/><Relationship Id="rId38" Type="http://schemas.openxmlformats.org/officeDocument/2006/relationships/image" Target="media/image11.png"/><Relationship Id="rId46" Type="http://schemas.openxmlformats.org/officeDocument/2006/relationships/image" Target="media/image15.png"/><Relationship Id="rId59" Type="http://schemas.openxmlformats.org/officeDocument/2006/relationships/image" Target="media/image22.png"/><Relationship Id="rId20" Type="http://schemas.openxmlformats.org/officeDocument/2006/relationships/footer" Target="footer2.xml"/><Relationship Id="rId41" Type="http://schemas.openxmlformats.org/officeDocument/2006/relationships/chart" Target="charts/chart7.xml"/><Relationship Id="rId54" Type="http://schemas.openxmlformats.org/officeDocument/2006/relationships/image" Target="media/image19.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mailto:customer.service@delwp.vic.gov.au" TargetMode="External"/><Relationship Id="rId23" Type="http://schemas.openxmlformats.org/officeDocument/2006/relationships/chart" Target="charts/chart1.xml"/><Relationship Id="rId28" Type="http://schemas.openxmlformats.org/officeDocument/2006/relationships/image" Target="media/image3.png"/><Relationship Id="rId36" Type="http://schemas.openxmlformats.org/officeDocument/2006/relationships/chart" Target="charts/chart4.xml"/><Relationship Id="rId49" Type="http://schemas.openxmlformats.org/officeDocument/2006/relationships/chart" Target="charts/chart11.xml"/><Relationship Id="rId57" Type="http://schemas.openxmlformats.org/officeDocument/2006/relationships/chart" Target="charts/chart15.xml"/><Relationship Id="rId10" Type="http://schemas.openxmlformats.org/officeDocument/2006/relationships/settings" Target="settings.xml"/><Relationship Id="rId31" Type="http://schemas.openxmlformats.org/officeDocument/2006/relationships/image" Target="media/image6.jpeg"/><Relationship Id="rId44" Type="http://schemas.openxmlformats.org/officeDocument/2006/relationships/chart" Target="charts/chart8.xml"/><Relationship Id="rId52" Type="http://schemas.openxmlformats.org/officeDocument/2006/relationships/chart" Target="charts/chart12.xml"/><Relationship Id="rId60" Type="http://schemas.openxmlformats.org/officeDocument/2006/relationships/chart" Target="charts/chart16.xml"/><Relationship Id="rId4" Type="http://schemas.openxmlformats.org/officeDocument/2006/relationships/customXml" Target="../customXml/item4.xml"/><Relationship Id="rId9"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https://delwpvicgovau-my.sharepoint.com/personal/yang_bai_delwp_vic_gov_au/Documents/0.%20Industrial%20Land/MICLUP%20Graphic%20Design/5.%20Tables%20and%20figures%20in%20the%20plan/1.%20State%20Gross%20Value%20Added%20Chart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delwpvicgovau-my.sharepoint.com/personal/yang_bai_delwp_vic_gov_au/Documents/0.%20Industrial%20Land/11.MICLUP%20Graphic%20Design/00.%20Graphic%20Design%20for%20Final%20MICLUP/Figure%2010,14,18,22,26,30,34%20commercial%20floorspace%20updated%20for%20fi"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delwpvicgovau-my.sharepoint.com/personal/yang_bai_delwp_vic_gov_au/Documents/0.%20Industrial%20Land/MICLUP%20Graphic%20Design/5.%20Tables%20and%20figures%20in%20the%20plan/6.%20Population%20projection-Final%20Regional%20Snapshot%20data.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delwpvicgovau-my.sharepoint.com/personal/yang_bai_delwp_vic_gov_au/Documents/0.%20Industrial%20Land/11.MICLUP%20Graphic%20Design/00.%20Graphic%20Design%20for%20Final%20MICLUP/Figure%2010,14,18,22,26,30,34%20commercial%20floorspace%20updated%20for%20fi"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https://delwpvicgovau-my.sharepoint.com/personal/yang_bai_delwp_vic_gov_au/Documents/0.%20Industrial%20Land/MICLUP%20Graphic%20Design/5.%20Tables%20and%20figures%20in%20the%20plan/6.%20Population%20projection-Final%20Regional%20Snapshot%20data.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https://delwpvicgovau-my.sharepoint.com/personal/yang_bai_delwp_vic_gov_au/Documents/0.%20Industrial%20Land/11.MICLUP%20Graphic%20Design/00.%20Graphic%20Design%20for%20Final%20MICLUP/Figure%2010,14,18,22,26,30,34%20commercial%20floorspace%20updated%20for%20fi"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https://delwpvicgovau-my.sharepoint.com/personal/yang_bai_delwp_vic_gov_au/Documents/0.%20Industrial%20Land/MICLUP%20Graphic%20Design/5.%20Tables%20and%20figures%20in%20the%20plan/6.%20Population%20projection-Final%20Regional%20Snapshot%20data.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https://delwpvicgovau-my.sharepoint.com/personal/yang_bai_delwp_vic_gov_au/Documents/0.%20Industrial%20Land/11.MICLUP%20Graphic%20Design/00.%20Graphic%20Design%20for%20Final%20MICLUP/Figure%2010,14,18,22,26,30,34%20commercial%20floorspace%20updated%20for%20fi"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https://delwpvicgovau-my.sharepoint.com/personal/yang_bai_delwp_vic_gov_au/Documents/0.%20Industrial%20Land/MICLUP%20Graphic%20Design/5.%20Tables%20and%20figures%20in%20the%20plan/1.%20State%20Gross%20Value%20Added%20Chart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elwpvicgovau-my.sharepoint.com/personal/yang_bai_delwp_vic_gov_au/Documents/0.%20Industrial%20Land/MICLUP%20Graphic%20Design/5.%20Tables%20and%20figures%20in%20the%20plan/2.%20Peter's%20job%20number%20Rebased%201996%20to%202016%20Figur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delwpvicgovau-my.sharepoint.com/personal/yang_bai_delwp_vic_gov_au/Documents/0.%20Industrial%20Land/11.MICLUP%20Graphic%20Design/00.%20Graphic%20Design%20for%20Final%20MICLUP/Figure%2010,14,18,22,26,30,34%20commercial%20floorspace%20updated%20for%20fi"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delwpvicgovau.sharepoint.com/sites/ecm_378/Industrial_Employment_Land/Report%20datasets/Final%20Regional%20Snapshot%20data_simplified_180419.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delwpvicgovau-my.sharepoint.com/personal/yang_bai_delwp_vic_gov_au/Documents/0.%20Industrial%20Land/11.MICLUP%20Graphic%20Design/00.%20Graphic%20Design%20for%20Final%20MICLUP/Figure%2010,14,18,22,26,30,34%20commercial%20floorspace%20updated%20for%20fi"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delwpvicgovau-my.sharepoint.com/personal/yang_bai_delwp_vic_gov_au/Documents/0.%20Industrial%20Land/MICLUP%20Graphic%20Design/5.%20Tables%20and%20figures%20in%20the%20plan/6.%20Population%20projection-Final%20Regional%20Snapshot%20data.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delwpvicgovau-my.sharepoint.com/personal/yang_bai_delwp_vic_gov_au/Documents/0.%20Industrial%20Land/11.MICLUP%20Graphic%20Design/00.%20Graphic%20Design%20for%20Final%20MICLUP/Figure%2010,14,18,22,26,30,34%20commercial%20floorspace%20updated%20for%20fi"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delwpvicgovau-my.sharepoint.com/personal/yang_bai_delwp_vic_gov_au/Documents/0.%20Industrial%20Land/MICLUP%20Graphic%20Design/5.%20Tables%20and%20figures%20in%20the%20plan/6.%20Population%20projection-Final%20Regional%20Snapshot%20data.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647085952659609E-2"/>
          <c:y val="0.10911580549383815"/>
          <c:w val="0.89966665654418954"/>
          <c:h val="0.54040362312510326"/>
        </c:manualLayout>
      </c:layout>
      <c:lineChart>
        <c:grouping val="standard"/>
        <c:varyColors val="0"/>
        <c:ser>
          <c:idx val="0"/>
          <c:order val="0"/>
          <c:tx>
            <c:strRef>
              <c:f>'USE THIS Data for charts'!$B$28</c:f>
              <c:strCache>
                <c:ptCount val="1"/>
                <c:pt idx="0">
                  <c:v>Manufacturing</c:v>
                </c:pt>
              </c:strCache>
            </c:strRef>
          </c:tx>
          <c:spPr>
            <a:ln w="28575" cap="rnd">
              <a:solidFill>
                <a:srgbClr val="D4DE2A"/>
              </a:solidFill>
              <a:round/>
            </a:ln>
            <a:effectLst/>
          </c:spPr>
          <c:marker>
            <c:symbol val="none"/>
          </c:marker>
          <c:cat>
            <c:strRef>
              <c:f>'USE THIS Data for charts'!$A$29:$A$57</c:f>
              <c:strCache>
                <c:ptCount val="29"/>
                <c:pt idx="0">
                  <c:v>1989-90</c:v>
                </c:pt>
                <c:pt idx="1">
                  <c:v>1990-91</c:v>
                </c:pt>
                <c:pt idx="2">
                  <c:v>1991-92</c:v>
                </c:pt>
                <c:pt idx="3">
                  <c:v>1992-93</c:v>
                </c:pt>
                <c:pt idx="4">
                  <c:v>1993-94</c:v>
                </c:pt>
                <c:pt idx="5">
                  <c:v>1994-95</c:v>
                </c:pt>
                <c:pt idx="6">
                  <c:v>1995-96</c:v>
                </c:pt>
                <c:pt idx="7">
                  <c:v>1996-97</c:v>
                </c:pt>
                <c:pt idx="8">
                  <c:v>1997-98</c:v>
                </c:pt>
                <c:pt idx="9">
                  <c:v>1998-99</c:v>
                </c:pt>
                <c:pt idx="10">
                  <c:v>1999-00</c:v>
                </c:pt>
                <c:pt idx="11">
                  <c:v>2000-01</c:v>
                </c:pt>
                <c:pt idx="12">
                  <c:v>2001-02</c:v>
                </c:pt>
                <c:pt idx="13">
                  <c:v>2002-03</c:v>
                </c:pt>
                <c:pt idx="14">
                  <c:v>2003-04</c:v>
                </c:pt>
                <c:pt idx="15">
                  <c:v>2004-05</c:v>
                </c:pt>
                <c:pt idx="16">
                  <c:v>2005-06</c:v>
                </c:pt>
                <c:pt idx="17">
                  <c:v>2006-07</c:v>
                </c:pt>
                <c:pt idx="18">
                  <c:v>2007-08</c:v>
                </c:pt>
                <c:pt idx="19">
                  <c:v>2008-09</c:v>
                </c:pt>
                <c:pt idx="20">
                  <c:v>2009-10</c:v>
                </c:pt>
                <c:pt idx="21">
                  <c:v>2010-11</c:v>
                </c:pt>
                <c:pt idx="22">
                  <c:v>2011-12</c:v>
                </c:pt>
                <c:pt idx="23">
                  <c:v>2012-13</c:v>
                </c:pt>
                <c:pt idx="24">
                  <c:v>2013-14</c:v>
                </c:pt>
                <c:pt idx="25">
                  <c:v>2014-15</c:v>
                </c:pt>
                <c:pt idx="26">
                  <c:v>2015-16</c:v>
                </c:pt>
                <c:pt idx="27">
                  <c:v>2016-17</c:v>
                </c:pt>
                <c:pt idx="28">
                  <c:v>2017-18</c:v>
                </c:pt>
              </c:strCache>
            </c:strRef>
          </c:cat>
          <c:val>
            <c:numRef>
              <c:f>'USE THIS Data for charts'!$B$29:$B$57</c:f>
              <c:numCache>
                <c:formatCode>0;\-0;0;@</c:formatCode>
                <c:ptCount val="29"/>
                <c:pt idx="0">
                  <c:v>29291</c:v>
                </c:pt>
                <c:pt idx="1">
                  <c:v>28223</c:v>
                </c:pt>
                <c:pt idx="2">
                  <c:v>27128</c:v>
                </c:pt>
                <c:pt idx="3">
                  <c:v>28092</c:v>
                </c:pt>
                <c:pt idx="4">
                  <c:v>29310</c:v>
                </c:pt>
                <c:pt idx="5">
                  <c:v>29690</c:v>
                </c:pt>
                <c:pt idx="6">
                  <c:v>31076</c:v>
                </c:pt>
                <c:pt idx="7">
                  <c:v>32117</c:v>
                </c:pt>
                <c:pt idx="8">
                  <c:v>33269</c:v>
                </c:pt>
                <c:pt idx="9">
                  <c:v>34336</c:v>
                </c:pt>
                <c:pt idx="10">
                  <c:v>34940</c:v>
                </c:pt>
                <c:pt idx="11">
                  <c:v>34427</c:v>
                </c:pt>
                <c:pt idx="12">
                  <c:v>33807</c:v>
                </c:pt>
                <c:pt idx="13">
                  <c:v>34825</c:v>
                </c:pt>
                <c:pt idx="14">
                  <c:v>35093</c:v>
                </c:pt>
                <c:pt idx="15">
                  <c:v>35031</c:v>
                </c:pt>
                <c:pt idx="16">
                  <c:v>33642</c:v>
                </c:pt>
                <c:pt idx="17">
                  <c:v>33166</c:v>
                </c:pt>
                <c:pt idx="18">
                  <c:v>34689</c:v>
                </c:pt>
                <c:pt idx="19">
                  <c:v>32158</c:v>
                </c:pt>
                <c:pt idx="20">
                  <c:v>31986</c:v>
                </c:pt>
                <c:pt idx="21">
                  <c:v>31979</c:v>
                </c:pt>
                <c:pt idx="22">
                  <c:v>31214</c:v>
                </c:pt>
                <c:pt idx="23">
                  <c:v>29876</c:v>
                </c:pt>
                <c:pt idx="24">
                  <c:v>30029</c:v>
                </c:pt>
                <c:pt idx="25">
                  <c:v>30114</c:v>
                </c:pt>
                <c:pt idx="26">
                  <c:v>29407</c:v>
                </c:pt>
                <c:pt idx="27">
                  <c:v>29565</c:v>
                </c:pt>
                <c:pt idx="28">
                  <c:v>30029</c:v>
                </c:pt>
              </c:numCache>
            </c:numRef>
          </c:val>
          <c:smooth val="0"/>
          <c:extLst>
            <c:ext xmlns:c16="http://schemas.microsoft.com/office/drawing/2014/chart" uri="{C3380CC4-5D6E-409C-BE32-E72D297353CC}">
              <c16:uniqueId val="{00000000-2902-43C8-B021-D9761AB8945C}"/>
            </c:ext>
          </c:extLst>
        </c:ser>
        <c:ser>
          <c:idx val="1"/>
          <c:order val="1"/>
          <c:tx>
            <c:strRef>
              <c:f>'USE THIS Data for charts'!$C$28</c:f>
              <c:strCache>
                <c:ptCount val="1"/>
                <c:pt idx="0">
                  <c:v>Financial and insurance services</c:v>
                </c:pt>
              </c:strCache>
            </c:strRef>
          </c:tx>
          <c:spPr>
            <a:ln w="28575" cap="rnd">
              <a:solidFill>
                <a:srgbClr val="4D446C"/>
              </a:solidFill>
              <a:round/>
            </a:ln>
            <a:effectLst/>
          </c:spPr>
          <c:marker>
            <c:symbol val="none"/>
          </c:marker>
          <c:cat>
            <c:strRef>
              <c:f>'USE THIS Data for charts'!$A$29:$A$57</c:f>
              <c:strCache>
                <c:ptCount val="29"/>
                <c:pt idx="0">
                  <c:v>1989-90</c:v>
                </c:pt>
                <c:pt idx="1">
                  <c:v>1990-91</c:v>
                </c:pt>
                <c:pt idx="2">
                  <c:v>1991-92</c:v>
                </c:pt>
                <c:pt idx="3">
                  <c:v>1992-93</c:v>
                </c:pt>
                <c:pt idx="4">
                  <c:v>1993-94</c:v>
                </c:pt>
                <c:pt idx="5">
                  <c:v>1994-95</c:v>
                </c:pt>
                <c:pt idx="6">
                  <c:v>1995-96</c:v>
                </c:pt>
                <c:pt idx="7">
                  <c:v>1996-97</c:v>
                </c:pt>
                <c:pt idx="8">
                  <c:v>1997-98</c:v>
                </c:pt>
                <c:pt idx="9">
                  <c:v>1998-99</c:v>
                </c:pt>
                <c:pt idx="10">
                  <c:v>1999-00</c:v>
                </c:pt>
                <c:pt idx="11">
                  <c:v>2000-01</c:v>
                </c:pt>
                <c:pt idx="12">
                  <c:v>2001-02</c:v>
                </c:pt>
                <c:pt idx="13">
                  <c:v>2002-03</c:v>
                </c:pt>
                <c:pt idx="14">
                  <c:v>2003-04</c:v>
                </c:pt>
                <c:pt idx="15">
                  <c:v>2004-05</c:v>
                </c:pt>
                <c:pt idx="16">
                  <c:v>2005-06</c:v>
                </c:pt>
                <c:pt idx="17">
                  <c:v>2006-07</c:v>
                </c:pt>
                <c:pt idx="18">
                  <c:v>2007-08</c:v>
                </c:pt>
                <c:pt idx="19">
                  <c:v>2008-09</c:v>
                </c:pt>
                <c:pt idx="20">
                  <c:v>2009-10</c:v>
                </c:pt>
                <c:pt idx="21">
                  <c:v>2010-11</c:v>
                </c:pt>
                <c:pt idx="22">
                  <c:v>2011-12</c:v>
                </c:pt>
                <c:pt idx="23">
                  <c:v>2012-13</c:v>
                </c:pt>
                <c:pt idx="24">
                  <c:v>2013-14</c:v>
                </c:pt>
                <c:pt idx="25">
                  <c:v>2014-15</c:v>
                </c:pt>
                <c:pt idx="26">
                  <c:v>2015-16</c:v>
                </c:pt>
                <c:pt idx="27">
                  <c:v>2016-17</c:v>
                </c:pt>
                <c:pt idx="28">
                  <c:v>2017-18</c:v>
                </c:pt>
              </c:strCache>
            </c:strRef>
          </c:cat>
          <c:val>
            <c:numRef>
              <c:f>'USE THIS Data for charts'!$C$29:$C$57</c:f>
              <c:numCache>
                <c:formatCode>0;\-0;0;@</c:formatCode>
                <c:ptCount val="29"/>
                <c:pt idx="0">
                  <c:v>12702</c:v>
                </c:pt>
                <c:pt idx="1">
                  <c:v>12416</c:v>
                </c:pt>
                <c:pt idx="2">
                  <c:v>12639</c:v>
                </c:pt>
                <c:pt idx="3">
                  <c:v>12987</c:v>
                </c:pt>
                <c:pt idx="4">
                  <c:v>14506</c:v>
                </c:pt>
                <c:pt idx="5">
                  <c:v>14048</c:v>
                </c:pt>
                <c:pt idx="6">
                  <c:v>14683</c:v>
                </c:pt>
                <c:pt idx="7">
                  <c:v>16071</c:v>
                </c:pt>
                <c:pt idx="8">
                  <c:v>17944</c:v>
                </c:pt>
                <c:pt idx="9">
                  <c:v>20517</c:v>
                </c:pt>
                <c:pt idx="10">
                  <c:v>20925</c:v>
                </c:pt>
                <c:pt idx="11">
                  <c:v>20967</c:v>
                </c:pt>
                <c:pt idx="12">
                  <c:v>22326</c:v>
                </c:pt>
                <c:pt idx="13">
                  <c:v>23225</c:v>
                </c:pt>
                <c:pt idx="14">
                  <c:v>24301</c:v>
                </c:pt>
                <c:pt idx="15">
                  <c:v>26383</c:v>
                </c:pt>
                <c:pt idx="16">
                  <c:v>26810</c:v>
                </c:pt>
                <c:pt idx="17">
                  <c:v>29650</c:v>
                </c:pt>
                <c:pt idx="18">
                  <c:v>32047</c:v>
                </c:pt>
                <c:pt idx="19">
                  <c:v>30618</c:v>
                </c:pt>
                <c:pt idx="20">
                  <c:v>32363</c:v>
                </c:pt>
                <c:pt idx="21">
                  <c:v>34566</c:v>
                </c:pt>
                <c:pt idx="22">
                  <c:v>35817</c:v>
                </c:pt>
                <c:pt idx="23">
                  <c:v>35723</c:v>
                </c:pt>
                <c:pt idx="24">
                  <c:v>37174</c:v>
                </c:pt>
                <c:pt idx="25">
                  <c:v>38530</c:v>
                </c:pt>
                <c:pt idx="26">
                  <c:v>40713</c:v>
                </c:pt>
                <c:pt idx="27">
                  <c:v>43431</c:v>
                </c:pt>
                <c:pt idx="28">
                  <c:v>45579</c:v>
                </c:pt>
              </c:numCache>
            </c:numRef>
          </c:val>
          <c:smooth val="0"/>
          <c:extLst>
            <c:ext xmlns:c16="http://schemas.microsoft.com/office/drawing/2014/chart" uri="{C3380CC4-5D6E-409C-BE32-E72D297353CC}">
              <c16:uniqueId val="{00000001-2902-43C8-B021-D9761AB8945C}"/>
            </c:ext>
          </c:extLst>
        </c:ser>
        <c:ser>
          <c:idx val="2"/>
          <c:order val="2"/>
          <c:tx>
            <c:strRef>
              <c:f>'USE THIS Data for charts'!$D$28</c:f>
              <c:strCache>
                <c:ptCount val="1"/>
                <c:pt idx="0">
                  <c:v>Professional, scientific and technical services</c:v>
                </c:pt>
              </c:strCache>
            </c:strRef>
          </c:tx>
          <c:spPr>
            <a:ln w="28575" cap="rnd">
              <a:solidFill>
                <a:srgbClr val="0CB9BD"/>
              </a:solidFill>
              <a:round/>
            </a:ln>
            <a:effectLst/>
          </c:spPr>
          <c:marker>
            <c:symbol val="none"/>
          </c:marker>
          <c:cat>
            <c:strRef>
              <c:f>'USE THIS Data for charts'!$A$29:$A$57</c:f>
              <c:strCache>
                <c:ptCount val="29"/>
                <c:pt idx="0">
                  <c:v>1989-90</c:v>
                </c:pt>
                <c:pt idx="1">
                  <c:v>1990-91</c:v>
                </c:pt>
                <c:pt idx="2">
                  <c:v>1991-92</c:v>
                </c:pt>
                <c:pt idx="3">
                  <c:v>1992-93</c:v>
                </c:pt>
                <c:pt idx="4">
                  <c:v>1993-94</c:v>
                </c:pt>
                <c:pt idx="5">
                  <c:v>1994-95</c:v>
                </c:pt>
                <c:pt idx="6">
                  <c:v>1995-96</c:v>
                </c:pt>
                <c:pt idx="7">
                  <c:v>1996-97</c:v>
                </c:pt>
                <c:pt idx="8">
                  <c:v>1997-98</c:v>
                </c:pt>
                <c:pt idx="9">
                  <c:v>1998-99</c:v>
                </c:pt>
                <c:pt idx="10">
                  <c:v>1999-00</c:v>
                </c:pt>
                <c:pt idx="11">
                  <c:v>2000-01</c:v>
                </c:pt>
                <c:pt idx="12">
                  <c:v>2001-02</c:v>
                </c:pt>
                <c:pt idx="13">
                  <c:v>2002-03</c:v>
                </c:pt>
                <c:pt idx="14">
                  <c:v>2003-04</c:v>
                </c:pt>
                <c:pt idx="15">
                  <c:v>2004-05</c:v>
                </c:pt>
                <c:pt idx="16">
                  <c:v>2005-06</c:v>
                </c:pt>
                <c:pt idx="17">
                  <c:v>2006-07</c:v>
                </c:pt>
                <c:pt idx="18">
                  <c:v>2007-08</c:v>
                </c:pt>
                <c:pt idx="19">
                  <c:v>2008-09</c:v>
                </c:pt>
                <c:pt idx="20">
                  <c:v>2009-10</c:v>
                </c:pt>
                <c:pt idx="21">
                  <c:v>2010-11</c:v>
                </c:pt>
                <c:pt idx="22">
                  <c:v>2011-12</c:v>
                </c:pt>
                <c:pt idx="23">
                  <c:v>2012-13</c:v>
                </c:pt>
                <c:pt idx="24">
                  <c:v>2013-14</c:v>
                </c:pt>
                <c:pt idx="25">
                  <c:v>2014-15</c:v>
                </c:pt>
                <c:pt idx="26">
                  <c:v>2015-16</c:v>
                </c:pt>
                <c:pt idx="27">
                  <c:v>2016-17</c:v>
                </c:pt>
                <c:pt idx="28">
                  <c:v>2017-18</c:v>
                </c:pt>
              </c:strCache>
            </c:strRef>
          </c:cat>
          <c:val>
            <c:numRef>
              <c:f>'USE THIS Data for charts'!$D$29:$D$57</c:f>
              <c:numCache>
                <c:formatCode>0;\-0;0;@</c:formatCode>
                <c:ptCount val="29"/>
                <c:pt idx="0">
                  <c:v>7789</c:v>
                </c:pt>
                <c:pt idx="1">
                  <c:v>7821</c:v>
                </c:pt>
                <c:pt idx="2">
                  <c:v>8210</c:v>
                </c:pt>
                <c:pt idx="3">
                  <c:v>7801</c:v>
                </c:pt>
                <c:pt idx="4">
                  <c:v>8418</c:v>
                </c:pt>
                <c:pt idx="5">
                  <c:v>10429</c:v>
                </c:pt>
                <c:pt idx="6">
                  <c:v>10913</c:v>
                </c:pt>
                <c:pt idx="7">
                  <c:v>11511</c:v>
                </c:pt>
                <c:pt idx="8">
                  <c:v>12211</c:v>
                </c:pt>
                <c:pt idx="9">
                  <c:v>13323</c:v>
                </c:pt>
                <c:pt idx="10">
                  <c:v>13696</c:v>
                </c:pt>
                <c:pt idx="11">
                  <c:v>15491</c:v>
                </c:pt>
                <c:pt idx="12">
                  <c:v>17026</c:v>
                </c:pt>
                <c:pt idx="13">
                  <c:v>17212</c:v>
                </c:pt>
                <c:pt idx="14">
                  <c:v>17667</c:v>
                </c:pt>
                <c:pt idx="15">
                  <c:v>17778</c:v>
                </c:pt>
                <c:pt idx="16">
                  <c:v>18532</c:v>
                </c:pt>
                <c:pt idx="17">
                  <c:v>19735</c:v>
                </c:pt>
                <c:pt idx="18">
                  <c:v>20257</c:v>
                </c:pt>
                <c:pt idx="19">
                  <c:v>22679</c:v>
                </c:pt>
                <c:pt idx="20">
                  <c:v>23248</c:v>
                </c:pt>
                <c:pt idx="21">
                  <c:v>25035</c:v>
                </c:pt>
                <c:pt idx="22">
                  <c:v>25418</c:v>
                </c:pt>
                <c:pt idx="23">
                  <c:v>26654</c:v>
                </c:pt>
                <c:pt idx="24">
                  <c:v>26620</c:v>
                </c:pt>
                <c:pt idx="25">
                  <c:v>26953</c:v>
                </c:pt>
                <c:pt idx="26">
                  <c:v>28837</c:v>
                </c:pt>
                <c:pt idx="27">
                  <c:v>31318</c:v>
                </c:pt>
                <c:pt idx="28">
                  <c:v>32707</c:v>
                </c:pt>
              </c:numCache>
            </c:numRef>
          </c:val>
          <c:smooth val="0"/>
          <c:extLst>
            <c:ext xmlns:c16="http://schemas.microsoft.com/office/drawing/2014/chart" uri="{C3380CC4-5D6E-409C-BE32-E72D297353CC}">
              <c16:uniqueId val="{00000002-2902-43C8-B021-D9761AB8945C}"/>
            </c:ext>
          </c:extLst>
        </c:ser>
        <c:ser>
          <c:idx val="3"/>
          <c:order val="3"/>
          <c:tx>
            <c:strRef>
              <c:f>'USE THIS Data for charts'!$E$28</c:f>
              <c:strCache>
                <c:ptCount val="1"/>
                <c:pt idx="0">
                  <c:v>Health care and social assistance</c:v>
                </c:pt>
              </c:strCache>
            </c:strRef>
          </c:tx>
          <c:spPr>
            <a:ln w="28575" cap="rnd">
              <a:solidFill>
                <a:srgbClr val="94D6DC"/>
              </a:solidFill>
              <a:round/>
            </a:ln>
            <a:effectLst/>
          </c:spPr>
          <c:marker>
            <c:symbol val="none"/>
          </c:marker>
          <c:cat>
            <c:strRef>
              <c:f>'USE THIS Data for charts'!$A$29:$A$57</c:f>
              <c:strCache>
                <c:ptCount val="29"/>
                <c:pt idx="0">
                  <c:v>1989-90</c:v>
                </c:pt>
                <c:pt idx="1">
                  <c:v>1990-91</c:v>
                </c:pt>
                <c:pt idx="2">
                  <c:v>1991-92</c:v>
                </c:pt>
                <c:pt idx="3">
                  <c:v>1992-93</c:v>
                </c:pt>
                <c:pt idx="4">
                  <c:v>1993-94</c:v>
                </c:pt>
                <c:pt idx="5">
                  <c:v>1994-95</c:v>
                </c:pt>
                <c:pt idx="6">
                  <c:v>1995-96</c:v>
                </c:pt>
                <c:pt idx="7">
                  <c:v>1996-97</c:v>
                </c:pt>
                <c:pt idx="8">
                  <c:v>1997-98</c:v>
                </c:pt>
                <c:pt idx="9">
                  <c:v>1998-99</c:v>
                </c:pt>
                <c:pt idx="10">
                  <c:v>1999-00</c:v>
                </c:pt>
                <c:pt idx="11">
                  <c:v>2000-01</c:v>
                </c:pt>
                <c:pt idx="12">
                  <c:v>2001-02</c:v>
                </c:pt>
                <c:pt idx="13">
                  <c:v>2002-03</c:v>
                </c:pt>
                <c:pt idx="14">
                  <c:v>2003-04</c:v>
                </c:pt>
                <c:pt idx="15">
                  <c:v>2004-05</c:v>
                </c:pt>
                <c:pt idx="16">
                  <c:v>2005-06</c:v>
                </c:pt>
                <c:pt idx="17">
                  <c:v>2006-07</c:v>
                </c:pt>
                <c:pt idx="18">
                  <c:v>2007-08</c:v>
                </c:pt>
                <c:pt idx="19">
                  <c:v>2008-09</c:v>
                </c:pt>
                <c:pt idx="20">
                  <c:v>2009-10</c:v>
                </c:pt>
                <c:pt idx="21">
                  <c:v>2010-11</c:v>
                </c:pt>
                <c:pt idx="22">
                  <c:v>2011-12</c:v>
                </c:pt>
                <c:pt idx="23">
                  <c:v>2012-13</c:v>
                </c:pt>
                <c:pt idx="24">
                  <c:v>2013-14</c:v>
                </c:pt>
                <c:pt idx="25">
                  <c:v>2014-15</c:v>
                </c:pt>
                <c:pt idx="26">
                  <c:v>2015-16</c:v>
                </c:pt>
                <c:pt idx="27">
                  <c:v>2016-17</c:v>
                </c:pt>
                <c:pt idx="28">
                  <c:v>2017-18</c:v>
                </c:pt>
              </c:strCache>
            </c:strRef>
          </c:cat>
          <c:val>
            <c:numRef>
              <c:f>'USE THIS Data for charts'!$E$29:$E$57</c:f>
              <c:numCache>
                <c:formatCode>0;\-0;0;@</c:formatCode>
                <c:ptCount val="29"/>
                <c:pt idx="0">
                  <c:v>9309</c:v>
                </c:pt>
                <c:pt idx="1">
                  <c:v>9832</c:v>
                </c:pt>
                <c:pt idx="2">
                  <c:v>10065</c:v>
                </c:pt>
                <c:pt idx="3">
                  <c:v>10318</c:v>
                </c:pt>
                <c:pt idx="4">
                  <c:v>10759</c:v>
                </c:pt>
                <c:pt idx="5">
                  <c:v>11237</c:v>
                </c:pt>
                <c:pt idx="6">
                  <c:v>11895</c:v>
                </c:pt>
                <c:pt idx="7">
                  <c:v>12283</c:v>
                </c:pt>
                <c:pt idx="8">
                  <c:v>12740</c:v>
                </c:pt>
                <c:pt idx="9">
                  <c:v>13269</c:v>
                </c:pt>
                <c:pt idx="10">
                  <c:v>14013</c:v>
                </c:pt>
                <c:pt idx="11">
                  <c:v>15073</c:v>
                </c:pt>
                <c:pt idx="12">
                  <c:v>15964</c:v>
                </c:pt>
                <c:pt idx="13">
                  <c:v>16920</c:v>
                </c:pt>
                <c:pt idx="14">
                  <c:v>17836</c:v>
                </c:pt>
                <c:pt idx="15">
                  <c:v>18030</c:v>
                </c:pt>
                <c:pt idx="16">
                  <c:v>18787</c:v>
                </c:pt>
                <c:pt idx="17">
                  <c:v>19277</c:v>
                </c:pt>
                <c:pt idx="18">
                  <c:v>19691</c:v>
                </c:pt>
                <c:pt idx="19">
                  <c:v>20974</c:v>
                </c:pt>
                <c:pt idx="20">
                  <c:v>22569</c:v>
                </c:pt>
                <c:pt idx="21">
                  <c:v>22793</c:v>
                </c:pt>
                <c:pt idx="22">
                  <c:v>23349</c:v>
                </c:pt>
                <c:pt idx="23">
                  <c:v>24103</c:v>
                </c:pt>
                <c:pt idx="24">
                  <c:v>25968</c:v>
                </c:pt>
                <c:pt idx="25">
                  <c:v>27680</c:v>
                </c:pt>
                <c:pt idx="26">
                  <c:v>28724</c:v>
                </c:pt>
                <c:pt idx="27">
                  <c:v>30046</c:v>
                </c:pt>
                <c:pt idx="28">
                  <c:v>32405</c:v>
                </c:pt>
              </c:numCache>
            </c:numRef>
          </c:val>
          <c:smooth val="0"/>
          <c:extLst>
            <c:ext xmlns:c16="http://schemas.microsoft.com/office/drawing/2014/chart" uri="{C3380CC4-5D6E-409C-BE32-E72D297353CC}">
              <c16:uniqueId val="{00000003-2902-43C8-B021-D9761AB8945C}"/>
            </c:ext>
          </c:extLst>
        </c:ser>
        <c:dLbls>
          <c:showLegendKey val="0"/>
          <c:showVal val="0"/>
          <c:showCatName val="0"/>
          <c:showSerName val="0"/>
          <c:showPercent val="0"/>
          <c:showBubbleSize val="0"/>
        </c:dLbls>
        <c:smooth val="0"/>
        <c:axId val="453328936"/>
        <c:axId val="453331392"/>
      </c:lineChart>
      <c:catAx>
        <c:axId val="4533289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b="1">
                    <a:solidFill>
                      <a:sysClr val="windowText" lastClr="000000"/>
                    </a:solidFill>
                  </a:rPr>
                  <a:t>$(Millions)</a:t>
                </a:r>
              </a:p>
            </c:rich>
          </c:tx>
          <c:layout>
            <c:manualLayout>
              <c:xMode val="edge"/>
              <c:yMode val="edge"/>
              <c:x val="3.7693480751617397E-3"/>
              <c:y val="2.4808649314181253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3300000" spcFirstLastPara="1" vertOverflow="ellipsis"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crossAx val="453331392"/>
        <c:crosses val="autoZero"/>
        <c:auto val="1"/>
        <c:lblAlgn val="ctr"/>
        <c:lblOffset val="100"/>
        <c:noMultiLvlLbl val="0"/>
      </c:catAx>
      <c:valAx>
        <c:axId val="453331392"/>
        <c:scaling>
          <c:orientation val="minMax"/>
        </c:scaling>
        <c:delete val="0"/>
        <c:axPos val="l"/>
        <c:numFmt formatCode="#,##0;\ #,##0" sourceLinked="0"/>
        <c:majorTickMark val="out"/>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crossAx val="453328936"/>
        <c:crosses val="autoZero"/>
        <c:crossBetween val="between"/>
      </c:valAx>
      <c:spPr>
        <a:noFill/>
        <a:ln>
          <a:noFill/>
        </a:ln>
        <a:effectLst/>
      </c:spPr>
    </c:plotArea>
    <c:legend>
      <c:legendPos val="b"/>
      <c:layout>
        <c:manualLayout>
          <c:xMode val="edge"/>
          <c:yMode val="edge"/>
          <c:x val="7.3041851851851858E-2"/>
          <c:y val="0.83180861111111115"/>
          <c:w val="0.92102833333333312"/>
          <c:h val="0.1470247222222222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58336816933483"/>
          <c:y val="0.17594129453541488"/>
          <c:w val="0.860827548503595"/>
          <c:h val="0.63286815791624662"/>
        </c:manualLayout>
      </c:layout>
      <c:barChart>
        <c:barDir val="col"/>
        <c:grouping val="stacked"/>
        <c:varyColors val="0"/>
        <c:ser>
          <c:idx val="0"/>
          <c:order val="0"/>
          <c:tx>
            <c:strRef>
              <c:f>'[Figure 10,14,18,22,26,30,34 commercial floorspace updated for final MICLUP .xlsx]1+2. commercial floorspace '!$B$38</c:f>
              <c:strCache>
                <c:ptCount val="1"/>
                <c:pt idx="0">
                  <c:v>Office</c:v>
                </c:pt>
              </c:strCache>
            </c:strRef>
          </c:tx>
          <c:spPr>
            <a:solidFill>
              <a:srgbClr val="4D446C"/>
            </a:solidFill>
            <a:ln>
              <a:noFill/>
            </a:ln>
            <a:effectLst/>
          </c:spPr>
          <c:invertIfNegative val="0"/>
          <c:cat>
            <c:strRef>
              <c:f>'[Figure 10,14,18,22,26,30,34 commercial floorspace updated for final MICLUP .xlsx]1+2. commercial floorspace '!$A$39:$A$45</c:f>
              <c:strCache>
                <c:ptCount val="7"/>
                <c:pt idx="0">
                  <c:v>Banyule</c:v>
                </c:pt>
                <c:pt idx="1">
                  <c:v>Darebin</c:v>
                </c:pt>
                <c:pt idx="2">
                  <c:v>Hume</c:v>
                </c:pt>
                <c:pt idx="3">
                  <c:v>Moreland</c:v>
                </c:pt>
                <c:pt idx="4">
                  <c:v>Nillumbik </c:v>
                </c:pt>
                <c:pt idx="5">
                  <c:v>Whittlesea</c:v>
                </c:pt>
                <c:pt idx="6">
                  <c:v>Mitchell (Within UGB)</c:v>
                </c:pt>
              </c:strCache>
            </c:strRef>
          </c:cat>
          <c:val>
            <c:numRef>
              <c:f>'[Figure 10,14,18,22,26,30,34 commercial floorspace updated for final MICLUP .xlsx]1+2. commercial floorspace '!$B$39:$B$45</c:f>
              <c:numCache>
                <c:formatCode>#,##0</c:formatCode>
                <c:ptCount val="7"/>
                <c:pt idx="0">
                  <c:v>17085.478221778198</c:v>
                </c:pt>
                <c:pt idx="1">
                  <c:v>133086.50826514038</c:v>
                </c:pt>
                <c:pt idx="2">
                  <c:v>218625.18763261492</c:v>
                </c:pt>
                <c:pt idx="3">
                  <c:v>186567.20695832226</c:v>
                </c:pt>
                <c:pt idx="4">
                  <c:v>2370.8370392732004</c:v>
                </c:pt>
                <c:pt idx="5">
                  <c:v>182618.23085863891</c:v>
                </c:pt>
                <c:pt idx="6">
                  <c:v>52401</c:v>
                </c:pt>
              </c:numCache>
            </c:numRef>
          </c:val>
          <c:extLst>
            <c:ext xmlns:c16="http://schemas.microsoft.com/office/drawing/2014/chart" uri="{C3380CC4-5D6E-409C-BE32-E72D297353CC}">
              <c16:uniqueId val="{00000000-F9F5-EF4D-AC5D-D378998FA111}"/>
            </c:ext>
          </c:extLst>
        </c:ser>
        <c:ser>
          <c:idx val="1"/>
          <c:order val="1"/>
          <c:tx>
            <c:strRef>
              <c:f>'[Figure 10,14,18,22,26,30,34 commercial floorspace updated for final MICLUP .xlsx]1+2. commercial floorspace '!$C$38</c:f>
              <c:strCache>
                <c:ptCount val="1"/>
                <c:pt idx="0">
                  <c:v>Retail </c:v>
                </c:pt>
              </c:strCache>
            </c:strRef>
          </c:tx>
          <c:spPr>
            <a:solidFill>
              <a:srgbClr val="B293B3"/>
            </a:solidFill>
            <a:ln>
              <a:noFill/>
            </a:ln>
            <a:effectLst/>
          </c:spPr>
          <c:invertIfNegative val="0"/>
          <c:cat>
            <c:strRef>
              <c:f>'[Figure 10,14,18,22,26,30,34 commercial floorspace updated for final MICLUP .xlsx]1+2. commercial floorspace '!$A$39:$A$45</c:f>
              <c:strCache>
                <c:ptCount val="7"/>
                <c:pt idx="0">
                  <c:v>Banyule</c:v>
                </c:pt>
                <c:pt idx="1">
                  <c:v>Darebin</c:v>
                </c:pt>
                <c:pt idx="2">
                  <c:v>Hume</c:v>
                </c:pt>
                <c:pt idx="3">
                  <c:v>Moreland</c:v>
                </c:pt>
                <c:pt idx="4">
                  <c:v>Nillumbik </c:v>
                </c:pt>
                <c:pt idx="5">
                  <c:v>Whittlesea</c:v>
                </c:pt>
                <c:pt idx="6">
                  <c:v>Mitchell (Within UGB)</c:v>
                </c:pt>
              </c:strCache>
            </c:strRef>
          </c:cat>
          <c:val>
            <c:numRef>
              <c:f>'[Figure 10,14,18,22,26,30,34 commercial floorspace updated for final MICLUP .xlsx]1+2. commercial floorspace '!$C$39:$C$45</c:f>
              <c:numCache>
                <c:formatCode>#,##0</c:formatCode>
                <c:ptCount val="7"/>
                <c:pt idx="0">
                  <c:v>1522.2178152711786</c:v>
                </c:pt>
                <c:pt idx="1">
                  <c:v>61030.758205144477</c:v>
                </c:pt>
                <c:pt idx="2">
                  <c:v>249346.96370065666</c:v>
                </c:pt>
                <c:pt idx="3">
                  <c:v>90294.124121469242</c:v>
                </c:pt>
                <c:pt idx="4">
                  <c:v>-18.824327020312012</c:v>
                </c:pt>
                <c:pt idx="5">
                  <c:v>159500.62237451656</c:v>
                </c:pt>
                <c:pt idx="6">
                  <c:v>59134</c:v>
                </c:pt>
              </c:numCache>
            </c:numRef>
          </c:val>
          <c:extLst>
            <c:ext xmlns:c16="http://schemas.microsoft.com/office/drawing/2014/chart" uri="{C3380CC4-5D6E-409C-BE32-E72D297353CC}">
              <c16:uniqueId val="{00000001-F9F5-EF4D-AC5D-D378998FA111}"/>
            </c:ext>
          </c:extLst>
        </c:ser>
        <c:dLbls>
          <c:showLegendKey val="0"/>
          <c:showVal val="0"/>
          <c:showCatName val="0"/>
          <c:showSerName val="0"/>
          <c:showPercent val="0"/>
          <c:showBubbleSize val="0"/>
        </c:dLbls>
        <c:gapWidth val="150"/>
        <c:overlap val="100"/>
        <c:axId val="747841528"/>
        <c:axId val="747842840"/>
      </c:barChart>
      <c:catAx>
        <c:axId val="7478415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b="1" i="0" baseline="0">
                    <a:effectLst/>
                  </a:rPr>
                  <a:t>Square metres</a:t>
                </a:r>
                <a:endParaRPr lang="en-AU" sz="1000">
                  <a:effectLst/>
                </a:endParaRPr>
              </a:p>
            </c:rich>
          </c:tx>
          <c:layout>
            <c:manualLayout>
              <c:xMode val="edge"/>
              <c:yMode val="edge"/>
              <c:x val="2.8234391487009666E-2"/>
              <c:y val="6.797416659058425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65000"/>
                <a:lumOff val="3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7842840"/>
        <c:crosses val="autoZero"/>
        <c:auto val="1"/>
        <c:lblAlgn val="ctr"/>
        <c:lblOffset val="100"/>
        <c:noMultiLvlLbl val="0"/>
      </c:catAx>
      <c:valAx>
        <c:axId val="747842840"/>
        <c:scaling>
          <c:orientation val="minMax"/>
        </c:scaling>
        <c:delete val="0"/>
        <c:axPos val="l"/>
        <c:numFmt formatCode="#,##0" sourceLinked="1"/>
        <c:majorTickMark val="out"/>
        <c:minorTickMark val="none"/>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7841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latin typeface="+mn-lt"/>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30812605053024"/>
          <c:y val="0.15590827192064638"/>
          <c:w val="0.87362360013788443"/>
          <c:h val="0.56781396016453944"/>
        </c:manualLayout>
      </c:layout>
      <c:barChart>
        <c:barDir val="col"/>
        <c:grouping val="clustered"/>
        <c:varyColors val="0"/>
        <c:ser>
          <c:idx val="0"/>
          <c:order val="0"/>
          <c:tx>
            <c:strRef>
              <c:f>'1. Population'!$C$63</c:f>
              <c:strCache>
                <c:ptCount val="1"/>
                <c:pt idx="0">
                  <c:v>2016</c:v>
                </c:pt>
              </c:strCache>
            </c:strRef>
          </c:tx>
          <c:spPr>
            <a:solidFill>
              <a:srgbClr val="B293B3"/>
            </a:solidFill>
            <a:ln>
              <a:noFill/>
            </a:ln>
            <a:effectLst/>
          </c:spPr>
          <c:invertIfNegative val="0"/>
          <c:cat>
            <c:strRef>
              <c:f>'1. Population'!$A$95:$A$100</c:f>
              <c:strCache>
                <c:ptCount val="6"/>
                <c:pt idx="0">
                  <c:v>Knox</c:v>
                </c:pt>
                <c:pt idx="1">
                  <c:v>Manningham</c:v>
                </c:pt>
                <c:pt idx="2">
                  <c:v>Maroondah</c:v>
                </c:pt>
                <c:pt idx="3">
                  <c:v>Monash</c:v>
                </c:pt>
                <c:pt idx="4">
                  <c:v>Whitehorse</c:v>
                </c:pt>
                <c:pt idx="5">
                  <c:v>Yarra Ranges</c:v>
                </c:pt>
              </c:strCache>
            </c:strRef>
          </c:cat>
          <c:val>
            <c:numRef>
              <c:f>'1. Population'!$C$95:$C$100</c:f>
              <c:numCache>
                <c:formatCode>#,##0</c:formatCode>
                <c:ptCount val="6"/>
                <c:pt idx="0">
                  <c:v>160353.00000000003</c:v>
                </c:pt>
                <c:pt idx="1">
                  <c:v>122570.00000000003</c:v>
                </c:pt>
                <c:pt idx="2">
                  <c:v>114800.00000000001</c:v>
                </c:pt>
                <c:pt idx="3">
                  <c:v>192625</c:v>
                </c:pt>
                <c:pt idx="4">
                  <c:v>169641</c:v>
                </c:pt>
                <c:pt idx="5">
                  <c:v>155226</c:v>
                </c:pt>
              </c:numCache>
            </c:numRef>
          </c:val>
          <c:extLst>
            <c:ext xmlns:c16="http://schemas.microsoft.com/office/drawing/2014/chart" uri="{C3380CC4-5D6E-409C-BE32-E72D297353CC}">
              <c16:uniqueId val="{00000000-391D-4CE3-8173-CC1F738999A6}"/>
            </c:ext>
          </c:extLst>
        </c:ser>
        <c:ser>
          <c:idx val="1"/>
          <c:order val="1"/>
          <c:tx>
            <c:strRef>
              <c:f>'1. Population'!$D$63</c:f>
              <c:strCache>
                <c:ptCount val="1"/>
                <c:pt idx="0">
                  <c:v>2031</c:v>
                </c:pt>
              </c:strCache>
            </c:strRef>
          </c:tx>
          <c:spPr>
            <a:solidFill>
              <a:srgbClr val="635B7E"/>
            </a:solidFill>
            <a:ln>
              <a:noFill/>
            </a:ln>
            <a:effectLst/>
          </c:spPr>
          <c:invertIfNegative val="0"/>
          <c:cat>
            <c:strRef>
              <c:f>'1. Population'!$A$95:$A$100</c:f>
              <c:strCache>
                <c:ptCount val="6"/>
                <c:pt idx="0">
                  <c:v>Knox</c:v>
                </c:pt>
                <c:pt idx="1">
                  <c:v>Manningham</c:v>
                </c:pt>
                <c:pt idx="2">
                  <c:v>Maroondah</c:v>
                </c:pt>
                <c:pt idx="3">
                  <c:v>Monash</c:v>
                </c:pt>
                <c:pt idx="4">
                  <c:v>Whitehorse</c:v>
                </c:pt>
                <c:pt idx="5">
                  <c:v>Yarra Ranges</c:v>
                </c:pt>
              </c:strCache>
            </c:strRef>
          </c:cat>
          <c:val>
            <c:numRef>
              <c:f>'1. Population'!$D$95:$D$100</c:f>
              <c:numCache>
                <c:formatCode>#,##0</c:formatCode>
                <c:ptCount val="6"/>
                <c:pt idx="0">
                  <c:v>182505.34720832348</c:v>
                </c:pt>
                <c:pt idx="1">
                  <c:v>142719.46575367716</c:v>
                </c:pt>
                <c:pt idx="2">
                  <c:v>135994.70311327549</c:v>
                </c:pt>
                <c:pt idx="3">
                  <c:v>234748.943359375</c:v>
                </c:pt>
                <c:pt idx="4">
                  <c:v>207836.45575374406</c:v>
                </c:pt>
                <c:pt idx="5">
                  <c:v>176032.24979471246</c:v>
                </c:pt>
              </c:numCache>
            </c:numRef>
          </c:val>
          <c:extLst>
            <c:ext xmlns:c16="http://schemas.microsoft.com/office/drawing/2014/chart" uri="{C3380CC4-5D6E-409C-BE32-E72D297353CC}">
              <c16:uniqueId val="{00000001-391D-4CE3-8173-CC1F738999A6}"/>
            </c:ext>
          </c:extLst>
        </c:ser>
        <c:dLbls>
          <c:showLegendKey val="0"/>
          <c:showVal val="0"/>
          <c:showCatName val="0"/>
          <c:showSerName val="0"/>
          <c:showPercent val="0"/>
          <c:showBubbleSize val="0"/>
        </c:dLbls>
        <c:gapWidth val="219"/>
        <c:overlap val="-27"/>
        <c:axId val="728397000"/>
        <c:axId val="577152016"/>
      </c:barChart>
      <c:catAx>
        <c:axId val="728397000"/>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sz="900"/>
                  <a:t>No. of persons</a:t>
                </a:r>
              </a:p>
            </c:rich>
          </c:tx>
          <c:layout>
            <c:manualLayout>
              <c:xMode val="edge"/>
              <c:yMode val="edge"/>
              <c:x val="2.1488373578649805E-3"/>
              <c:y val="2.932038724932860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65000"/>
                <a:lumOff val="3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7152016"/>
        <c:crosses val="autoZero"/>
        <c:auto val="1"/>
        <c:lblAlgn val="ctr"/>
        <c:lblOffset val="100"/>
        <c:noMultiLvlLbl val="0"/>
      </c:catAx>
      <c:valAx>
        <c:axId val="577152016"/>
        <c:scaling>
          <c:orientation val="minMax"/>
        </c:scaling>
        <c:delete val="0"/>
        <c:axPos val="l"/>
        <c:numFmt formatCode="#,##0" sourceLinked="1"/>
        <c:majorTickMark val="out"/>
        <c:minorTickMark val="none"/>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8397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58336816933483"/>
          <c:y val="0.16202345199010573"/>
          <c:w val="0.860827548503595"/>
          <c:h val="0.64678585362814633"/>
        </c:manualLayout>
      </c:layout>
      <c:barChart>
        <c:barDir val="col"/>
        <c:grouping val="stacked"/>
        <c:varyColors val="0"/>
        <c:ser>
          <c:idx val="0"/>
          <c:order val="0"/>
          <c:tx>
            <c:strRef>
              <c:f>'[Figure 10,14,18,22,26,30,34 commercial floorspace updated for final MICLUP .xlsx]1+2. commercial floorspace '!$B$49</c:f>
              <c:strCache>
                <c:ptCount val="1"/>
                <c:pt idx="0">
                  <c:v>Office</c:v>
                </c:pt>
              </c:strCache>
            </c:strRef>
          </c:tx>
          <c:spPr>
            <a:solidFill>
              <a:srgbClr val="4D446C"/>
            </a:solidFill>
            <a:ln>
              <a:noFill/>
            </a:ln>
            <a:effectLst/>
          </c:spPr>
          <c:invertIfNegative val="0"/>
          <c:cat>
            <c:strRef>
              <c:f>'[Figure 10,14,18,22,26,30,34 commercial floorspace updated for final MICLUP .xlsx]1+2. commercial floorspace '!$A$50:$A$55</c:f>
              <c:strCache>
                <c:ptCount val="6"/>
                <c:pt idx="0">
                  <c:v>Knox</c:v>
                </c:pt>
                <c:pt idx="1">
                  <c:v>Manningham</c:v>
                </c:pt>
                <c:pt idx="2">
                  <c:v>Maroondah</c:v>
                </c:pt>
                <c:pt idx="3">
                  <c:v>Monash</c:v>
                </c:pt>
                <c:pt idx="4">
                  <c:v>Whitehorse</c:v>
                </c:pt>
                <c:pt idx="5">
                  <c:v>Yarra Ranges </c:v>
                </c:pt>
              </c:strCache>
            </c:strRef>
          </c:cat>
          <c:val>
            <c:numRef>
              <c:f>'[Figure 10,14,18,22,26,30,34 commercial floorspace updated for final MICLUP .xlsx]1+2. commercial floorspace '!$B$50:$B$55</c:f>
              <c:numCache>
                <c:formatCode>#,##0</c:formatCode>
                <c:ptCount val="6"/>
                <c:pt idx="0">
                  <c:v>85604.090279915486</c:v>
                </c:pt>
                <c:pt idx="1">
                  <c:v>69359.756599697415</c:v>
                </c:pt>
                <c:pt idx="2">
                  <c:v>60045.712682431928</c:v>
                </c:pt>
                <c:pt idx="3">
                  <c:v>147144.32450861475</c:v>
                </c:pt>
                <c:pt idx="4">
                  <c:v>188240.19544441972</c:v>
                </c:pt>
                <c:pt idx="5">
                  <c:v>63911.316216050669</c:v>
                </c:pt>
              </c:numCache>
            </c:numRef>
          </c:val>
          <c:extLst>
            <c:ext xmlns:c16="http://schemas.microsoft.com/office/drawing/2014/chart" uri="{C3380CC4-5D6E-409C-BE32-E72D297353CC}">
              <c16:uniqueId val="{00000000-CBE5-C94B-AB65-5FDB25E000F8}"/>
            </c:ext>
          </c:extLst>
        </c:ser>
        <c:ser>
          <c:idx val="1"/>
          <c:order val="1"/>
          <c:tx>
            <c:strRef>
              <c:f>'[Figure 10,14,18,22,26,30,34 commercial floorspace updated for final MICLUP .xlsx]1+2. commercial floorspace '!$C$49</c:f>
              <c:strCache>
                <c:ptCount val="1"/>
                <c:pt idx="0">
                  <c:v>Retail </c:v>
                </c:pt>
              </c:strCache>
            </c:strRef>
          </c:tx>
          <c:spPr>
            <a:solidFill>
              <a:srgbClr val="B293B3"/>
            </a:solidFill>
            <a:ln>
              <a:noFill/>
            </a:ln>
            <a:effectLst/>
          </c:spPr>
          <c:invertIfNegative val="0"/>
          <c:cat>
            <c:strRef>
              <c:f>'[Figure 10,14,18,22,26,30,34 commercial floorspace updated for final MICLUP .xlsx]1+2. commercial floorspace '!$A$50:$A$55</c:f>
              <c:strCache>
                <c:ptCount val="6"/>
                <c:pt idx="0">
                  <c:v>Knox</c:v>
                </c:pt>
                <c:pt idx="1">
                  <c:v>Manningham</c:v>
                </c:pt>
                <c:pt idx="2">
                  <c:v>Maroondah</c:v>
                </c:pt>
                <c:pt idx="3">
                  <c:v>Monash</c:v>
                </c:pt>
                <c:pt idx="4">
                  <c:v>Whitehorse</c:v>
                </c:pt>
                <c:pt idx="5">
                  <c:v>Yarra Ranges </c:v>
                </c:pt>
              </c:strCache>
            </c:strRef>
          </c:cat>
          <c:val>
            <c:numRef>
              <c:f>'[Figure 10,14,18,22,26,30,34 commercial floorspace updated for final MICLUP .xlsx]1+2. commercial floorspace '!$C$50:$C$55</c:f>
              <c:numCache>
                <c:formatCode>#,##0</c:formatCode>
                <c:ptCount val="6"/>
                <c:pt idx="0">
                  <c:v>35613.660972926838</c:v>
                </c:pt>
                <c:pt idx="1">
                  <c:v>14275.264535423505</c:v>
                </c:pt>
                <c:pt idx="2">
                  <c:v>27329.667082339511</c:v>
                </c:pt>
                <c:pt idx="3">
                  <c:v>67216.061677979844</c:v>
                </c:pt>
                <c:pt idx="4">
                  <c:v>41083.461669555676</c:v>
                </c:pt>
                <c:pt idx="5">
                  <c:v>37950.813091669785</c:v>
                </c:pt>
              </c:numCache>
            </c:numRef>
          </c:val>
          <c:extLst>
            <c:ext xmlns:c16="http://schemas.microsoft.com/office/drawing/2014/chart" uri="{C3380CC4-5D6E-409C-BE32-E72D297353CC}">
              <c16:uniqueId val="{00000001-CBE5-C94B-AB65-5FDB25E000F8}"/>
            </c:ext>
          </c:extLst>
        </c:ser>
        <c:dLbls>
          <c:showLegendKey val="0"/>
          <c:showVal val="0"/>
          <c:showCatName val="0"/>
          <c:showSerName val="0"/>
          <c:showPercent val="0"/>
          <c:showBubbleSize val="0"/>
        </c:dLbls>
        <c:gapWidth val="150"/>
        <c:overlap val="100"/>
        <c:axId val="747841528"/>
        <c:axId val="747842840"/>
      </c:barChart>
      <c:catAx>
        <c:axId val="74784152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AU" b="1"/>
                  <a:t>Square metres</a:t>
                </a:r>
                <a:endParaRPr lang="en-AU" b="1" baseline="30000"/>
              </a:p>
            </c:rich>
          </c:tx>
          <c:layout>
            <c:manualLayout>
              <c:xMode val="edge"/>
              <c:yMode val="edge"/>
              <c:x val="4.6102180456221505E-2"/>
              <c:y val="7.1516492254409925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65000"/>
                <a:lumOff val="3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7842840"/>
        <c:crosses val="autoZero"/>
        <c:auto val="1"/>
        <c:lblAlgn val="ctr"/>
        <c:lblOffset val="100"/>
        <c:noMultiLvlLbl val="0"/>
      </c:catAx>
      <c:valAx>
        <c:axId val="747842840"/>
        <c:scaling>
          <c:orientation val="minMax"/>
        </c:scaling>
        <c:delete val="0"/>
        <c:axPos val="l"/>
        <c:numFmt formatCode="#,##0" sourceLinked="1"/>
        <c:majorTickMark val="out"/>
        <c:minorTickMark val="none"/>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7841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latin typeface="+mn-lt"/>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30812605053024"/>
          <c:y val="0.16151209916385059"/>
          <c:w val="0.87362360013788443"/>
          <c:h val="0.49438014199838543"/>
        </c:manualLayout>
      </c:layout>
      <c:barChart>
        <c:barDir val="col"/>
        <c:grouping val="clustered"/>
        <c:varyColors val="0"/>
        <c:ser>
          <c:idx val="0"/>
          <c:order val="0"/>
          <c:tx>
            <c:strRef>
              <c:f>'1. Population'!$C$63</c:f>
              <c:strCache>
                <c:ptCount val="1"/>
                <c:pt idx="0">
                  <c:v>2016</c:v>
                </c:pt>
              </c:strCache>
            </c:strRef>
          </c:tx>
          <c:spPr>
            <a:solidFill>
              <a:srgbClr val="B293B3"/>
            </a:solidFill>
            <a:ln>
              <a:noFill/>
            </a:ln>
            <a:effectLst/>
          </c:spPr>
          <c:invertIfNegative val="0"/>
          <c:cat>
            <c:strRef>
              <c:f>'1. Population'!$A$104:$A$109</c:f>
              <c:strCache>
                <c:ptCount val="6"/>
                <c:pt idx="0">
                  <c:v>Cardinia</c:v>
                </c:pt>
                <c:pt idx="1">
                  <c:v>Casey</c:v>
                </c:pt>
                <c:pt idx="2">
                  <c:v>Frankston</c:v>
                </c:pt>
                <c:pt idx="3">
                  <c:v>Greater Dandenong</c:v>
                </c:pt>
                <c:pt idx="4">
                  <c:v>Kingston </c:v>
                </c:pt>
                <c:pt idx="5">
                  <c:v>Mornington Peninsula</c:v>
                </c:pt>
              </c:strCache>
            </c:strRef>
          </c:cat>
          <c:val>
            <c:numRef>
              <c:f>'1. Population'!$C$104:$C$109</c:f>
              <c:numCache>
                <c:formatCode>#,##0</c:formatCode>
                <c:ptCount val="6"/>
                <c:pt idx="0">
                  <c:v>97573</c:v>
                </c:pt>
                <c:pt idx="1">
                  <c:v>312789</c:v>
                </c:pt>
                <c:pt idx="2">
                  <c:v>139502</c:v>
                </c:pt>
                <c:pt idx="3">
                  <c:v>160222</c:v>
                </c:pt>
                <c:pt idx="4">
                  <c:v>158941</c:v>
                </c:pt>
                <c:pt idx="5">
                  <c:v>161528</c:v>
                </c:pt>
              </c:numCache>
            </c:numRef>
          </c:val>
          <c:extLst>
            <c:ext xmlns:c16="http://schemas.microsoft.com/office/drawing/2014/chart" uri="{C3380CC4-5D6E-409C-BE32-E72D297353CC}">
              <c16:uniqueId val="{00000000-DF6C-4E9B-9997-AA3022DF3A6C}"/>
            </c:ext>
          </c:extLst>
        </c:ser>
        <c:ser>
          <c:idx val="1"/>
          <c:order val="1"/>
          <c:tx>
            <c:strRef>
              <c:f>'1. Population'!$D$63</c:f>
              <c:strCache>
                <c:ptCount val="1"/>
                <c:pt idx="0">
                  <c:v>2031</c:v>
                </c:pt>
              </c:strCache>
            </c:strRef>
          </c:tx>
          <c:spPr>
            <a:solidFill>
              <a:srgbClr val="635B7E"/>
            </a:solidFill>
            <a:ln>
              <a:noFill/>
            </a:ln>
            <a:effectLst/>
          </c:spPr>
          <c:invertIfNegative val="0"/>
          <c:cat>
            <c:strRef>
              <c:f>'1. Population'!$A$104:$A$109</c:f>
              <c:strCache>
                <c:ptCount val="6"/>
                <c:pt idx="0">
                  <c:v>Cardinia</c:v>
                </c:pt>
                <c:pt idx="1">
                  <c:v>Casey</c:v>
                </c:pt>
                <c:pt idx="2">
                  <c:v>Frankston</c:v>
                </c:pt>
                <c:pt idx="3">
                  <c:v>Greater Dandenong</c:v>
                </c:pt>
                <c:pt idx="4">
                  <c:v>Kingston </c:v>
                </c:pt>
                <c:pt idx="5">
                  <c:v>Mornington Peninsula</c:v>
                </c:pt>
              </c:strCache>
            </c:strRef>
          </c:cat>
          <c:val>
            <c:numRef>
              <c:f>'1. Population'!$D$104:$D$109</c:f>
              <c:numCache>
                <c:formatCode>#,##0</c:formatCode>
                <c:ptCount val="6"/>
                <c:pt idx="0">
                  <c:v>163331.49286906523</c:v>
                </c:pt>
                <c:pt idx="1">
                  <c:v>481317.73828125</c:v>
                </c:pt>
                <c:pt idx="2">
                  <c:v>158470.767578125</c:v>
                </c:pt>
                <c:pt idx="3">
                  <c:v>203455.58984375</c:v>
                </c:pt>
                <c:pt idx="4">
                  <c:v>190598.83940522373</c:v>
                </c:pt>
                <c:pt idx="5">
                  <c:v>189729.62451171875</c:v>
                </c:pt>
              </c:numCache>
            </c:numRef>
          </c:val>
          <c:extLst>
            <c:ext xmlns:c16="http://schemas.microsoft.com/office/drawing/2014/chart" uri="{C3380CC4-5D6E-409C-BE32-E72D297353CC}">
              <c16:uniqueId val="{00000001-DF6C-4E9B-9997-AA3022DF3A6C}"/>
            </c:ext>
          </c:extLst>
        </c:ser>
        <c:dLbls>
          <c:showLegendKey val="0"/>
          <c:showVal val="0"/>
          <c:showCatName val="0"/>
          <c:showSerName val="0"/>
          <c:showPercent val="0"/>
          <c:showBubbleSize val="0"/>
        </c:dLbls>
        <c:gapWidth val="219"/>
        <c:overlap val="-27"/>
        <c:axId val="728397000"/>
        <c:axId val="577152016"/>
      </c:barChart>
      <c:catAx>
        <c:axId val="728397000"/>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sz="900"/>
                  <a:t>No. of persons</a:t>
                </a:r>
              </a:p>
            </c:rich>
          </c:tx>
          <c:layout>
            <c:manualLayout>
              <c:xMode val="edge"/>
              <c:yMode val="edge"/>
              <c:x val="2.1488373578649484E-3"/>
              <c:y val="1.10280970008602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65000"/>
                <a:lumOff val="3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7152016"/>
        <c:crosses val="autoZero"/>
        <c:auto val="1"/>
        <c:lblAlgn val="ctr"/>
        <c:lblOffset val="100"/>
        <c:noMultiLvlLbl val="0"/>
      </c:catAx>
      <c:valAx>
        <c:axId val="577152016"/>
        <c:scaling>
          <c:orientation val="minMax"/>
        </c:scaling>
        <c:delete val="0"/>
        <c:axPos val="l"/>
        <c:numFmt formatCode="#,##0" sourceLinked="1"/>
        <c:majorTickMark val="out"/>
        <c:minorTickMark val="none"/>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839700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58336816933483"/>
          <c:y val="0.18827987938081789"/>
          <c:w val="0.860827548503595"/>
          <c:h val="0.56612940172790094"/>
        </c:manualLayout>
      </c:layout>
      <c:barChart>
        <c:barDir val="col"/>
        <c:grouping val="stacked"/>
        <c:varyColors val="0"/>
        <c:ser>
          <c:idx val="0"/>
          <c:order val="0"/>
          <c:tx>
            <c:strRef>
              <c:f>'[Figure 10,14,18,22,26,30,34 commercial floorspace updated for final MICLUP .xlsx]1+2. commercial floorspace '!$B$59</c:f>
              <c:strCache>
                <c:ptCount val="1"/>
                <c:pt idx="0">
                  <c:v>Office</c:v>
                </c:pt>
              </c:strCache>
            </c:strRef>
          </c:tx>
          <c:spPr>
            <a:solidFill>
              <a:srgbClr val="4D446C"/>
            </a:solidFill>
            <a:ln>
              <a:noFill/>
            </a:ln>
            <a:effectLst/>
          </c:spPr>
          <c:invertIfNegative val="0"/>
          <c:cat>
            <c:strRef>
              <c:f>'[Figure 10,14,18,22,26,30,34 commercial floorspace updated for final MICLUP .xlsx]1+2. commercial floorspace '!$A$60:$A$65</c:f>
              <c:strCache>
                <c:ptCount val="6"/>
                <c:pt idx="0">
                  <c:v>Cardinia </c:v>
                </c:pt>
                <c:pt idx="1">
                  <c:v>Casey</c:v>
                </c:pt>
                <c:pt idx="2">
                  <c:v>Frankston</c:v>
                </c:pt>
                <c:pt idx="3">
                  <c:v>Greater Dandenong</c:v>
                </c:pt>
                <c:pt idx="4">
                  <c:v>Kingston</c:v>
                </c:pt>
                <c:pt idx="5">
                  <c:v>Mornington Peninsula </c:v>
                </c:pt>
              </c:strCache>
            </c:strRef>
          </c:cat>
          <c:val>
            <c:numRef>
              <c:f>'[Figure 10,14,18,22,26,30,34 commercial floorspace updated for final MICLUP .xlsx]1+2. commercial floorspace '!$B$60:$B$65</c:f>
              <c:numCache>
                <c:formatCode>#,##0</c:formatCode>
                <c:ptCount val="6"/>
                <c:pt idx="0">
                  <c:v>100293.06022486802</c:v>
                </c:pt>
                <c:pt idx="1">
                  <c:v>270522.79473572521</c:v>
                </c:pt>
                <c:pt idx="2">
                  <c:v>60144.099939842745</c:v>
                </c:pt>
                <c:pt idx="3">
                  <c:v>135664.91293943269</c:v>
                </c:pt>
                <c:pt idx="4">
                  <c:v>152585.09233866507</c:v>
                </c:pt>
                <c:pt idx="5">
                  <c:v>80440.283678651002</c:v>
                </c:pt>
              </c:numCache>
            </c:numRef>
          </c:val>
          <c:extLst>
            <c:ext xmlns:c16="http://schemas.microsoft.com/office/drawing/2014/chart" uri="{C3380CC4-5D6E-409C-BE32-E72D297353CC}">
              <c16:uniqueId val="{00000000-5892-D447-ACF8-D98F7008DE17}"/>
            </c:ext>
          </c:extLst>
        </c:ser>
        <c:ser>
          <c:idx val="1"/>
          <c:order val="1"/>
          <c:tx>
            <c:strRef>
              <c:f>'[Figure 10,14,18,22,26,30,34 commercial floorspace updated for final MICLUP .xlsx]1+2. commercial floorspace '!$C$59</c:f>
              <c:strCache>
                <c:ptCount val="1"/>
                <c:pt idx="0">
                  <c:v>Retail </c:v>
                </c:pt>
              </c:strCache>
            </c:strRef>
          </c:tx>
          <c:spPr>
            <a:solidFill>
              <a:srgbClr val="B293B3"/>
            </a:solidFill>
            <a:ln>
              <a:noFill/>
            </a:ln>
            <a:effectLst/>
          </c:spPr>
          <c:invertIfNegative val="0"/>
          <c:cat>
            <c:strRef>
              <c:f>'[Figure 10,14,18,22,26,30,34 commercial floorspace updated for final MICLUP .xlsx]1+2. commercial floorspace '!$A$60:$A$65</c:f>
              <c:strCache>
                <c:ptCount val="6"/>
                <c:pt idx="0">
                  <c:v>Cardinia </c:v>
                </c:pt>
                <c:pt idx="1">
                  <c:v>Casey</c:v>
                </c:pt>
                <c:pt idx="2">
                  <c:v>Frankston</c:v>
                </c:pt>
                <c:pt idx="3">
                  <c:v>Greater Dandenong</c:v>
                </c:pt>
                <c:pt idx="4">
                  <c:v>Kingston</c:v>
                </c:pt>
                <c:pt idx="5">
                  <c:v>Mornington Peninsula </c:v>
                </c:pt>
              </c:strCache>
            </c:strRef>
          </c:cat>
          <c:val>
            <c:numRef>
              <c:f>'[Figure 10,14,18,22,26,30,34 commercial floorspace updated for final MICLUP .xlsx]1+2. commercial floorspace '!$C$60:$C$65</c:f>
              <c:numCache>
                <c:formatCode>#,##0</c:formatCode>
                <c:ptCount val="6"/>
                <c:pt idx="0">
                  <c:v>117349.35237772473</c:v>
                </c:pt>
                <c:pt idx="1">
                  <c:v>270494.62688848353</c:v>
                </c:pt>
                <c:pt idx="2">
                  <c:v>14553.154002570278</c:v>
                </c:pt>
                <c:pt idx="3">
                  <c:v>77202.203740987665</c:v>
                </c:pt>
                <c:pt idx="4">
                  <c:v>65399.431442021014</c:v>
                </c:pt>
                <c:pt idx="5">
                  <c:v>26371.29560485066</c:v>
                </c:pt>
              </c:numCache>
            </c:numRef>
          </c:val>
          <c:extLst>
            <c:ext xmlns:c16="http://schemas.microsoft.com/office/drawing/2014/chart" uri="{C3380CC4-5D6E-409C-BE32-E72D297353CC}">
              <c16:uniqueId val="{00000001-5892-D447-ACF8-D98F7008DE17}"/>
            </c:ext>
          </c:extLst>
        </c:ser>
        <c:dLbls>
          <c:showLegendKey val="0"/>
          <c:showVal val="0"/>
          <c:showCatName val="0"/>
          <c:showSerName val="0"/>
          <c:showPercent val="0"/>
          <c:showBubbleSize val="0"/>
        </c:dLbls>
        <c:gapWidth val="150"/>
        <c:overlap val="100"/>
        <c:axId val="747841528"/>
        <c:axId val="747842840"/>
      </c:barChart>
      <c:catAx>
        <c:axId val="74784152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AU" b="1"/>
                  <a:t>Square metres</a:t>
                </a:r>
                <a:endParaRPr lang="en-AU" b="1" baseline="30000"/>
              </a:p>
            </c:rich>
          </c:tx>
          <c:layout>
            <c:manualLayout>
              <c:xMode val="edge"/>
              <c:yMode val="edge"/>
              <c:x val="2.860933251243283E-2"/>
              <c:y val="3.0585033531054181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65000"/>
                <a:lumOff val="3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7842840"/>
        <c:crosses val="autoZero"/>
        <c:auto val="1"/>
        <c:lblAlgn val="ctr"/>
        <c:lblOffset val="100"/>
        <c:noMultiLvlLbl val="0"/>
      </c:catAx>
      <c:valAx>
        <c:axId val="747842840"/>
        <c:scaling>
          <c:orientation val="minMax"/>
        </c:scaling>
        <c:delete val="0"/>
        <c:axPos val="l"/>
        <c:numFmt formatCode="#,##0" sourceLinked="1"/>
        <c:majorTickMark val="out"/>
        <c:minorTickMark val="none"/>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7841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latin typeface="+mn-lt"/>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526484139365256"/>
          <c:y val="0.15302114342539236"/>
          <c:w val="0.85621335371713436"/>
          <c:h val="0.59562415758045062"/>
        </c:manualLayout>
      </c:layout>
      <c:barChart>
        <c:barDir val="col"/>
        <c:grouping val="clustered"/>
        <c:varyColors val="0"/>
        <c:ser>
          <c:idx val="0"/>
          <c:order val="0"/>
          <c:tx>
            <c:strRef>
              <c:f>'1. Population'!$C$63</c:f>
              <c:strCache>
                <c:ptCount val="1"/>
                <c:pt idx="0">
                  <c:v>2016</c:v>
                </c:pt>
              </c:strCache>
            </c:strRef>
          </c:tx>
          <c:spPr>
            <a:solidFill>
              <a:srgbClr val="B293B3"/>
            </a:solidFill>
            <a:ln>
              <a:noFill/>
            </a:ln>
            <a:effectLst/>
          </c:spPr>
          <c:invertIfNegative val="0"/>
          <c:cat>
            <c:strRef>
              <c:f>'1. Population'!$A$69:$A$72</c:f>
              <c:strCache>
                <c:ptCount val="4"/>
                <c:pt idx="0">
                  <c:v>Bayside</c:v>
                </c:pt>
                <c:pt idx="1">
                  <c:v>Boroondara</c:v>
                </c:pt>
                <c:pt idx="2">
                  <c:v>Glen Eira</c:v>
                </c:pt>
                <c:pt idx="3">
                  <c:v>Stonnington</c:v>
                </c:pt>
              </c:strCache>
            </c:strRef>
          </c:cat>
          <c:val>
            <c:numRef>
              <c:f>'1. Population'!$C$69:$C$72</c:f>
              <c:numCache>
                <c:formatCode>#,##0</c:formatCode>
                <c:ptCount val="4"/>
                <c:pt idx="0">
                  <c:v>102912</c:v>
                </c:pt>
                <c:pt idx="1">
                  <c:v>177276</c:v>
                </c:pt>
                <c:pt idx="2">
                  <c:v>148583</c:v>
                </c:pt>
                <c:pt idx="3">
                  <c:v>111003</c:v>
                </c:pt>
              </c:numCache>
            </c:numRef>
          </c:val>
          <c:extLst>
            <c:ext xmlns:c16="http://schemas.microsoft.com/office/drawing/2014/chart" uri="{C3380CC4-5D6E-409C-BE32-E72D297353CC}">
              <c16:uniqueId val="{00000000-885A-4989-A458-06C18759ECD5}"/>
            </c:ext>
          </c:extLst>
        </c:ser>
        <c:ser>
          <c:idx val="1"/>
          <c:order val="1"/>
          <c:tx>
            <c:strRef>
              <c:f>'1. Population'!$D$63</c:f>
              <c:strCache>
                <c:ptCount val="1"/>
                <c:pt idx="0">
                  <c:v>2031</c:v>
                </c:pt>
              </c:strCache>
            </c:strRef>
          </c:tx>
          <c:spPr>
            <a:solidFill>
              <a:srgbClr val="635B7E"/>
            </a:solidFill>
            <a:ln>
              <a:noFill/>
            </a:ln>
            <a:effectLst/>
          </c:spPr>
          <c:invertIfNegative val="0"/>
          <c:cat>
            <c:strRef>
              <c:f>'1. Population'!$A$69:$A$72</c:f>
              <c:strCache>
                <c:ptCount val="4"/>
                <c:pt idx="0">
                  <c:v>Bayside</c:v>
                </c:pt>
                <c:pt idx="1">
                  <c:v>Boroondara</c:v>
                </c:pt>
                <c:pt idx="2">
                  <c:v>Glen Eira</c:v>
                </c:pt>
                <c:pt idx="3">
                  <c:v>Stonnington</c:v>
                </c:pt>
              </c:strCache>
            </c:strRef>
          </c:cat>
          <c:val>
            <c:numRef>
              <c:f>'1. Population'!$D$69:$D$72</c:f>
              <c:numCache>
                <c:formatCode>#,##0</c:formatCode>
                <c:ptCount val="4"/>
                <c:pt idx="0">
                  <c:v>118038.111328125</c:v>
                </c:pt>
                <c:pt idx="1">
                  <c:v>204548.5986328125</c:v>
                </c:pt>
                <c:pt idx="2">
                  <c:v>178838.79296875</c:v>
                </c:pt>
                <c:pt idx="3">
                  <c:v>137805.1103515625</c:v>
                </c:pt>
              </c:numCache>
            </c:numRef>
          </c:val>
          <c:extLst>
            <c:ext xmlns:c16="http://schemas.microsoft.com/office/drawing/2014/chart" uri="{C3380CC4-5D6E-409C-BE32-E72D297353CC}">
              <c16:uniqueId val="{00000001-885A-4989-A458-06C18759ECD5}"/>
            </c:ext>
          </c:extLst>
        </c:ser>
        <c:dLbls>
          <c:showLegendKey val="0"/>
          <c:showVal val="0"/>
          <c:showCatName val="0"/>
          <c:showSerName val="0"/>
          <c:showPercent val="0"/>
          <c:showBubbleSize val="0"/>
        </c:dLbls>
        <c:gapWidth val="219"/>
        <c:overlap val="-27"/>
        <c:axId val="728397000"/>
        <c:axId val="577152016"/>
      </c:barChart>
      <c:catAx>
        <c:axId val="728397000"/>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sz="900"/>
                  <a:t>No. of persons</a:t>
                </a:r>
              </a:p>
            </c:rich>
          </c:tx>
          <c:layout>
            <c:manualLayout>
              <c:xMode val="edge"/>
              <c:yMode val="edge"/>
              <c:x val="9.7754045676128986E-4"/>
              <c:y val="3.831593203130145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65000"/>
                <a:lumOff val="3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7152016"/>
        <c:crosses val="autoZero"/>
        <c:auto val="1"/>
        <c:lblAlgn val="ctr"/>
        <c:lblOffset val="100"/>
        <c:noMultiLvlLbl val="0"/>
      </c:catAx>
      <c:valAx>
        <c:axId val="577152016"/>
        <c:scaling>
          <c:orientation val="minMax"/>
        </c:scaling>
        <c:delete val="0"/>
        <c:axPos val="l"/>
        <c:numFmt formatCode="#,##0" sourceLinked="1"/>
        <c:majorTickMark val="out"/>
        <c:minorTickMark val="none"/>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8397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58336816933483"/>
          <c:y val="0.17735730444367206"/>
          <c:w val="0.860827548503595"/>
          <c:h val="0.63145240412903458"/>
        </c:manualLayout>
      </c:layout>
      <c:barChart>
        <c:barDir val="col"/>
        <c:grouping val="stacked"/>
        <c:varyColors val="0"/>
        <c:ser>
          <c:idx val="0"/>
          <c:order val="0"/>
          <c:tx>
            <c:strRef>
              <c:f>'[Figure 10,14,18,22,26,30,34 commercial floorspace updated for final MICLUP .xlsx]1+2. commercial floorspace '!$B$69</c:f>
              <c:strCache>
                <c:ptCount val="1"/>
                <c:pt idx="0">
                  <c:v>Office</c:v>
                </c:pt>
              </c:strCache>
            </c:strRef>
          </c:tx>
          <c:spPr>
            <a:solidFill>
              <a:srgbClr val="4D446C"/>
            </a:solidFill>
            <a:ln>
              <a:noFill/>
            </a:ln>
            <a:effectLst/>
          </c:spPr>
          <c:invertIfNegative val="0"/>
          <c:cat>
            <c:strRef>
              <c:f>'[Figure 10,14,18,22,26,30,34 commercial floorspace updated for final MICLUP .xlsx]1+2. commercial floorspace '!$A$70:$A$73</c:f>
              <c:strCache>
                <c:ptCount val="4"/>
                <c:pt idx="0">
                  <c:v>Bayside</c:v>
                </c:pt>
                <c:pt idx="1">
                  <c:v>Boroondara</c:v>
                </c:pt>
                <c:pt idx="2">
                  <c:v>Glen Eira</c:v>
                </c:pt>
                <c:pt idx="3">
                  <c:v>Stonnington</c:v>
                </c:pt>
              </c:strCache>
            </c:strRef>
          </c:cat>
          <c:val>
            <c:numRef>
              <c:f>'[Figure 10,14,18,22,26,30,34 commercial floorspace updated for final MICLUP .xlsx]1+2. commercial floorspace '!$B$70:$B$73</c:f>
              <c:numCache>
                <c:formatCode>#,##0</c:formatCode>
                <c:ptCount val="4"/>
                <c:pt idx="0">
                  <c:v>68859.417288211829</c:v>
                </c:pt>
                <c:pt idx="1">
                  <c:v>188830.09743386169</c:v>
                </c:pt>
                <c:pt idx="2">
                  <c:v>80706.587016982783</c:v>
                </c:pt>
                <c:pt idx="3">
                  <c:v>232691.54738048883</c:v>
                </c:pt>
              </c:numCache>
            </c:numRef>
          </c:val>
          <c:extLst>
            <c:ext xmlns:c16="http://schemas.microsoft.com/office/drawing/2014/chart" uri="{C3380CC4-5D6E-409C-BE32-E72D297353CC}">
              <c16:uniqueId val="{00000000-2790-D24E-9053-15A5B2EDAB6D}"/>
            </c:ext>
          </c:extLst>
        </c:ser>
        <c:ser>
          <c:idx val="1"/>
          <c:order val="1"/>
          <c:tx>
            <c:strRef>
              <c:f>'[Figure 10,14,18,22,26,30,34 commercial floorspace updated for final MICLUP .xlsx]1+2. commercial floorspace '!$C$69</c:f>
              <c:strCache>
                <c:ptCount val="1"/>
                <c:pt idx="0">
                  <c:v>Retail </c:v>
                </c:pt>
              </c:strCache>
            </c:strRef>
          </c:tx>
          <c:spPr>
            <a:solidFill>
              <a:srgbClr val="B293B3"/>
            </a:solidFill>
            <a:ln>
              <a:noFill/>
            </a:ln>
            <a:effectLst/>
          </c:spPr>
          <c:invertIfNegative val="0"/>
          <c:cat>
            <c:strRef>
              <c:f>'[Figure 10,14,18,22,26,30,34 commercial floorspace updated for final MICLUP .xlsx]1+2. commercial floorspace '!$A$70:$A$73</c:f>
              <c:strCache>
                <c:ptCount val="4"/>
                <c:pt idx="0">
                  <c:v>Bayside</c:v>
                </c:pt>
                <c:pt idx="1">
                  <c:v>Boroondara</c:v>
                </c:pt>
                <c:pt idx="2">
                  <c:v>Glen Eira</c:v>
                </c:pt>
                <c:pt idx="3">
                  <c:v>Stonnington</c:v>
                </c:pt>
              </c:strCache>
            </c:strRef>
          </c:cat>
          <c:val>
            <c:numRef>
              <c:f>'[Figure 10,14,18,22,26,30,34 commercial floorspace updated for final MICLUP .xlsx]1+2. commercial floorspace '!$C$70:$C$73</c:f>
              <c:numCache>
                <c:formatCode>#,##0</c:formatCode>
                <c:ptCount val="4"/>
                <c:pt idx="0">
                  <c:v>30383.876324343993</c:v>
                </c:pt>
                <c:pt idx="1">
                  <c:v>54712.030715609115</c:v>
                </c:pt>
                <c:pt idx="2">
                  <c:v>32134.52067103345</c:v>
                </c:pt>
                <c:pt idx="3">
                  <c:v>95123.661564060007</c:v>
                </c:pt>
              </c:numCache>
            </c:numRef>
          </c:val>
          <c:extLst>
            <c:ext xmlns:c16="http://schemas.microsoft.com/office/drawing/2014/chart" uri="{C3380CC4-5D6E-409C-BE32-E72D297353CC}">
              <c16:uniqueId val="{00000001-2790-D24E-9053-15A5B2EDAB6D}"/>
            </c:ext>
          </c:extLst>
        </c:ser>
        <c:dLbls>
          <c:showLegendKey val="0"/>
          <c:showVal val="0"/>
          <c:showCatName val="0"/>
          <c:showSerName val="0"/>
          <c:showPercent val="0"/>
          <c:showBubbleSize val="0"/>
        </c:dLbls>
        <c:gapWidth val="150"/>
        <c:overlap val="100"/>
        <c:axId val="747841528"/>
        <c:axId val="747842840"/>
      </c:barChart>
      <c:catAx>
        <c:axId val="74784152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AU" sz="1000" b="1" i="0" baseline="0">
                    <a:effectLst/>
                  </a:rPr>
                  <a:t>Square metres</a:t>
                </a:r>
                <a:endParaRPr lang="en-AU" sz="1000">
                  <a:effectLst/>
                </a:endParaRPr>
              </a:p>
            </c:rich>
          </c:tx>
          <c:layout>
            <c:manualLayout>
              <c:xMode val="edge"/>
              <c:yMode val="edge"/>
              <c:x val="6.6119825789756573E-2"/>
              <c:y val="6.2877786330054641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65000"/>
                <a:lumOff val="3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7842840"/>
        <c:crosses val="autoZero"/>
        <c:auto val="1"/>
        <c:lblAlgn val="ctr"/>
        <c:lblOffset val="100"/>
        <c:noMultiLvlLbl val="0"/>
      </c:catAx>
      <c:valAx>
        <c:axId val="747842840"/>
        <c:scaling>
          <c:orientation val="minMax"/>
        </c:scaling>
        <c:delete val="0"/>
        <c:axPos val="l"/>
        <c:numFmt formatCode="#,##0" sourceLinked="1"/>
        <c:majorTickMark val="out"/>
        <c:minorTickMark val="none"/>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7841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latin typeface="+mn-lt"/>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356533784486474E-2"/>
          <c:y val="0.11657559198542805"/>
          <c:w val="0.90555079666980576"/>
          <c:h val="0.52922478952426033"/>
        </c:manualLayout>
      </c:layout>
      <c:lineChart>
        <c:grouping val="standard"/>
        <c:varyColors val="0"/>
        <c:ser>
          <c:idx val="0"/>
          <c:order val="0"/>
          <c:tx>
            <c:strRef>
              <c:f>'USE THIS Data for charts'!$I$28</c:f>
              <c:strCache>
                <c:ptCount val="1"/>
                <c:pt idx="0">
                  <c:v>Manufacturing</c:v>
                </c:pt>
              </c:strCache>
            </c:strRef>
          </c:tx>
          <c:spPr>
            <a:ln w="28575" cap="rnd">
              <a:solidFill>
                <a:srgbClr val="D4DE2A"/>
              </a:solidFill>
              <a:round/>
            </a:ln>
            <a:effectLst/>
          </c:spPr>
          <c:marker>
            <c:symbol val="none"/>
          </c:marker>
          <c:cat>
            <c:strRef>
              <c:f>'USE THIS Data for charts'!$H$29:$H$57</c:f>
              <c:strCache>
                <c:ptCount val="29"/>
                <c:pt idx="0">
                  <c:v>1989-90</c:v>
                </c:pt>
                <c:pt idx="1">
                  <c:v>1990-91</c:v>
                </c:pt>
                <c:pt idx="2">
                  <c:v>1991-92</c:v>
                </c:pt>
                <c:pt idx="3">
                  <c:v>1992-93</c:v>
                </c:pt>
                <c:pt idx="4">
                  <c:v>1993-94</c:v>
                </c:pt>
                <c:pt idx="5">
                  <c:v>1994-95</c:v>
                </c:pt>
                <c:pt idx="6">
                  <c:v>1995-96</c:v>
                </c:pt>
                <c:pt idx="7">
                  <c:v>1996-97</c:v>
                </c:pt>
                <c:pt idx="8">
                  <c:v>1997-98</c:v>
                </c:pt>
                <c:pt idx="9">
                  <c:v>1998-99</c:v>
                </c:pt>
                <c:pt idx="10">
                  <c:v>1999-00</c:v>
                </c:pt>
                <c:pt idx="11">
                  <c:v>2000-01</c:v>
                </c:pt>
                <c:pt idx="12">
                  <c:v>2001-02</c:v>
                </c:pt>
                <c:pt idx="13">
                  <c:v>2002-03</c:v>
                </c:pt>
                <c:pt idx="14">
                  <c:v>2003-04</c:v>
                </c:pt>
                <c:pt idx="15">
                  <c:v>2004-05</c:v>
                </c:pt>
                <c:pt idx="16">
                  <c:v>2005-06</c:v>
                </c:pt>
                <c:pt idx="17">
                  <c:v>2006-07</c:v>
                </c:pt>
                <c:pt idx="18">
                  <c:v>2007-08</c:v>
                </c:pt>
                <c:pt idx="19">
                  <c:v>2008-09</c:v>
                </c:pt>
                <c:pt idx="20">
                  <c:v>2009-10</c:v>
                </c:pt>
                <c:pt idx="21">
                  <c:v>2010-11</c:v>
                </c:pt>
                <c:pt idx="22">
                  <c:v>2011-12</c:v>
                </c:pt>
                <c:pt idx="23">
                  <c:v>2012-13</c:v>
                </c:pt>
                <c:pt idx="24">
                  <c:v>2013-14</c:v>
                </c:pt>
                <c:pt idx="25">
                  <c:v>2014-15</c:v>
                </c:pt>
                <c:pt idx="26">
                  <c:v>2015-16</c:v>
                </c:pt>
                <c:pt idx="27">
                  <c:v>2016-17</c:v>
                </c:pt>
                <c:pt idx="28">
                  <c:v>2017-18</c:v>
                </c:pt>
              </c:strCache>
            </c:strRef>
          </c:cat>
          <c:val>
            <c:numRef>
              <c:f>'USE THIS Data for charts'!$I$29:$I$57</c:f>
              <c:numCache>
                <c:formatCode>0%</c:formatCode>
                <c:ptCount val="29"/>
                <c:pt idx="0">
                  <c:v>0.15252154442969096</c:v>
                </c:pt>
                <c:pt idx="1">
                  <c:v>0.15108995909976658</c:v>
                </c:pt>
                <c:pt idx="2">
                  <c:v>0.14732508947142617</c:v>
                </c:pt>
                <c:pt idx="3">
                  <c:v>0.14565024653528488</c:v>
                </c:pt>
                <c:pt idx="4">
                  <c:v>0.14722428723553876</c:v>
                </c:pt>
                <c:pt idx="5">
                  <c:v>0.14481019573031845</c:v>
                </c:pt>
                <c:pt idx="6">
                  <c:v>0.1462166053431451</c:v>
                </c:pt>
                <c:pt idx="7">
                  <c:v>0.14468876845382095</c:v>
                </c:pt>
                <c:pt idx="8">
                  <c:v>0.14175298363421773</c:v>
                </c:pt>
                <c:pt idx="9">
                  <c:v>0.13815024482882099</c:v>
                </c:pt>
                <c:pt idx="10">
                  <c:v>0.13544788125244708</c:v>
                </c:pt>
                <c:pt idx="11">
                  <c:v>0.13152023593951759</c:v>
                </c:pt>
                <c:pt idx="12">
                  <c:v>0.12418679998677574</c:v>
                </c:pt>
                <c:pt idx="13">
                  <c:v>0.1235980976717774</c:v>
                </c:pt>
                <c:pt idx="14">
                  <c:v>0.12051581441670386</c:v>
                </c:pt>
                <c:pt idx="15">
                  <c:v>0.11554255294587169</c:v>
                </c:pt>
                <c:pt idx="16">
                  <c:v>0.1087172195382055</c:v>
                </c:pt>
                <c:pt idx="17">
                  <c:v>0.10414135038983141</c:v>
                </c:pt>
                <c:pt idx="18">
                  <c:v>0.10528855784815429</c:v>
                </c:pt>
                <c:pt idx="19">
                  <c:v>9.5862683666260259E-2</c:v>
                </c:pt>
                <c:pt idx="20">
                  <c:v>9.4138214181654439E-2</c:v>
                </c:pt>
                <c:pt idx="21">
                  <c:v>9.1439371627746055E-2</c:v>
                </c:pt>
                <c:pt idx="22">
                  <c:v>8.7489313993413212E-2</c:v>
                </c:pt>
                <c:pt idx="23">
                  <c:v>8.2808550268304582E-2</c:v>
                </c:pt>
                <c:pt idx="24">
                  <c:v>8.1317479101280593E-2</c:v>
                </c:pt>
                <c:pt idx="25">
                  <c:v>7.9098330514083992E-2</c:v>
                </c:pt>
                <c:pt idx="26">
                  <c:v>7.4664723476212003E-2</c:v>
                </c:pt>
                <c:pt idx="27">
                  <c:v>7.2186167797131592E-2</c:v>
                </c:pt>
                <c:pt idx="28">
                  <c:v>7.0829628196933211E-2</c:v>
                </c:pt>
              </c:numCache>
            </c:numRef>
          </c:val>
          <c:smooth val="0"/>
          <c:extLst>
            <c:ext xmlns:c16="http://schemas.microsoft.com/office/drawing/2014/chart" uri="{C3380CC4-5D6E-409C-BE32-E72D297353CC}">
              <c16:uniqueId val="{00000000-E920-420F-A3FB-C8F8421FE573}"/>
            </c:ext>
          </c:extLst>
        </c:ser>
        <c:ser>
          <c:idx val="1"/>
          <c:order val="1"/>
          <c:tx>
            <c:strRef>
              <c:f>'USE THIS Data for charts'!$J$28</c:f>
              <c:strCache>
                <c:ptCount val="1"/>
                <c:pt idx="0">
                  <c:v>Financial and insurance services</c:v>
                </c:pt>
              </c:strCache>
            </c:strRef>
          </c:tx>
          <c:spPr>
            <a:ln w="28575" cap="rnd">
              <a:solidFill>
                <a:srgbClr val="4D446C"/>
              </a:solidFill>
              <a:round/>
            </a:ln>
            <a:effectLst/>
          </c:spPr>
          <c:marker>
            <c:symbol val="none"/>
          </c:marker>
          <c:cat>
            <c:strRef>
              <c:f>'USE THIS Data for charts'!$H$29:$H$57</c:f>
              <c:strCache>
                <c:ptCount val="29"/>
                <c:pt idx="0">
                  <c:v>1989-90</c:v>
                </c:pt>
                <c:pt idx="1">
                  <c:v>1990-91</c:v>
                </c:pt>
                <c:pt idx="2">
                  <c:v>1991-92</c:v>
                </c:pt>
                <c:pt idx="3">
                  <c:v>1992-93</c:v>
                </c:pt>
                <c:pt idx="4">
                  <c:v>1993-94</c:v>
                </c:pt>
                <c:pt idx="5">
                  <c:v>1994-95</c:v>
                </c:pt>
                <c:pt idx="6">
                  <c:v>1995-96</c:v>
                </c:pt>
                <c:pt idx="7">
                  <c:v>1996-97</c:v>
                </c:pt>
                <c:pt idx="8">
                  <c:v>1997-98</c:v>
                </c:pt>
                <c:pt idx="9">
                  <c:v>1998-99</c:v>
                </c:pt>
                <c:pt idx="10">
                  <c:v>1999-00</c:v>
                </c:pt>
                <c:pt idx="11">
                  <c:v>2000-01</c:v>
                </c:pt>
                <c:pt idx="12">
                  <c:v>2001-02</c:v>
                </c:pt>
                <c:pt idx="13">
                  <c:v>2002-03</c:v>
                </c:pt>
                <c:pt idx="14">
                  <c:v>2003-04</c:v>
                </c:pt>
                <c:pt idx="15">
                  <c:v>2004-05</c:v>
                </c:pt>
                <c:pt idx="16">
                  <c:v>2005-06</c:v>
                </c:pt>
                <c:pt idx="17">
                  <c:v>2006-07</c:v>
                </c:pt>
                <c:pt idx="18">
                  <c:v>2007-08</c:v>
                </c:pt>
                <c:pt idx="19">
                  <c:v>2008-09</c:v>
                </c:pt>
                <c:pt idx="20">
                  <c:v>2009-10</c:v>
                </c:pt>
                <c:pt idx="21">
                  <c:v>2010-11</c:v>
                </c:pt>
                <c:pt idx="22">
                  <c:v>2011-12</c:v>
                </c:pt>
                <c:pt idx="23">
                  <c:v>2012-13</c:v>
                </c:pt>
                <c:pt idx="24">
                  <c:v>2013-14</c:v>
                </c:pt>
                <c:pt idx="25">
                  <c:v>2014-15</c:v>
                </c:pt>
                <c:pt idx="26">
                  <c:v>2015-16</c:v>
                </c:pt>
                <c:pt idx="27">
                  <c:v>2016-17</c:v>
                </c:pt>
                <c:pt idx="28">
                  <c:v>2017-18</c:v>
                </c:pt>
              </c:strCache>
            </c:strRef>
          </c:cat>
          <c:val>
            <c:numRef>
              <c:f>'USE THIS Data for charts'!$J$29:$J$57</c:f>
              <c:numCache>
                <c:formatCode>0%</c:formatCode>
                <c:ptCount val="29"/>
                <c:pt idx="0">
                  <c:v>6.614074826212607E-2</c:v>
                </c:pt>
                <c:pt idx="1">
                  <c:v>6.6468232724469473E-2</c:v>
                </c:pt>
                <c:pt idx="2">
                  <c:v>6.8639111096629138E-2</c:v>
                </c:pt>
                <c:pt idx="3">
                  <c:v>6.7334463610769779E-2</c:v>
                </c:pt>
                <c:pt idx="4">
                  <c:v>7.2863715818448499E-2</c:v>
                </c:pt>
                <c:pt idx="5">
                  <c:v>6.8517804972028071E-2</c:v>
                </c:pt>
                <c:pt idx="6">
                  <c:v>6.9085416921527851E-2</c:v>
                </c:pt>
                <c:pt idx="7">
                  <c:v>7.2400697382114035E-2</c:v>
                </c:pt>
                <c:pt idx="8">
                  <c:v>7.6456026280693826E-2</c:v>
                </c:pt>
                <c:pt idx="9">
                  <c:v>8.254976040170435E-2</c:v>
                </c:pt>
                <c:pt idx="10">
                  <c:v>8.1117541934958654E-2</c:v>
                </c:pt>
                <c:pt idx="11">
                  <c:v>8.0099479680014671E-2</c:v>
                </c:pt>
                <c:pt idx="12">
                  <c:v>8.2012438149044728E-2</c:v>
                </c:pt>
                <c:pt idx="13">
                  <c:v>8.242830777967064E-2</c:v>
                </c:pt>
                <c:pt idx="14">
                  <c:v>8.3454102132628175E-2</c:v>
                </c:pt>
                <c:pt idx="15">
                  <c:v>8.7018902525504066E-2</c:v>
                </c:pt>
                <c:pt idx="16">
                  <c:v>8.6638982694824604E-2</c:v>
                </c:pt>
                <c:pt idx="17">
                  <c:v>9.310109868716461E-2</c:v>
                </c:pt>
                <c:pt idx="18">
                  <c:v>9.7269520982438254E-2</c:v>
                </c:pt>
                <c:pt idx="19">
                  <c:v>9.1271958719247356E-2</c:v>
                </c:pt>
                <c:pt idx="20">
                  <c:v>9.5247765446160274E-2</c:v>
                </c:pt>
                <c:pt idx="21">
                  <c:v>9.8836527711456582E-2</c:v>
                </c:pt>
                <c:pt idx="22">
                  <c:v>0.1003910027328148</c:v>
                </c:pt>
                <c:pt idx="23">
                  <c:v>9.9014923056454832E-2</c:v>
                </c:pt>
                <c:pt idx="24">
                  <c:v>0.10066588857807469</c:v>
                </c:pt>
                <c:pt idx="25">
                  <c:v>0.10120404711123251</c:v>
                </c:pt>
                <c:pt idx="26">
                  <c:v>0.10337079222249869</c:v>
                </c:pt>
                <c:pt idx="27">
                  <c:v>0.10604151711812015</c:v>
                </c:pt>
                <c:pt idx="28">
                  <c:v>0.10750753017376598</c:v>
                </c:pt>
              </c:numCache>
            </c:numRef>
          </c:val>
          <c:smooth val="0"/>
          <c:extLst>
            <c:ext xmlns:c16="http://schemas.microsoft.com/office/drawing/2014/chart" uri="{C3380CC4-5D6E-409C-BE32-E72D297353CC}">
              <c16:uniqueId val="{00000001-E920-420F-A3FB-C8F8421FE573}"/>
            </c:ext>
          </c:extLst>
        </c:ser>
        <c:ser>
          <c:idx val="2"/>
          <c:order val="2"/>
          <c:tx>
            <c:strRef>
              <c:f>'USE THIS Data for charts'!$K$28</c:f>
              <c:strCache>
                <c:ptCount val="1"/>
                <c:pt idx="0">
                  <c:v>Professional, scientific and technical services</c:v>
                </c:pt>
              </c:strCache>
            </c:strRef>
          </c:tx>
          <c:spPr>
            <a:ln w="28575" cap="rnd">
              <a:solidFill>
                <a:srgbClr val="0CB9BD"/>
              </a:solidFill>
              <a:round/>
            </a:ln>
            <a:effectLst/>
          </c:spPr>
          <c:marker>
            <c:symbol val="none"/>
          </c:marker>
          <c:cat>
            <c:strRef>
              <c:f>'USE THIS Data for charts'!$H$29:$H$57</c:f>
              <c:strCache>
                <c:ptCount val="29"/>
                <c:pt idx="0">
                  <c:v>1989-90</c:v>
                </c:pt>
                <c:pt idx="1">
                  <c:v>1990-91</c:v>
                </c:pt>
                <c:pt idx="2">
                  <c:v>1991-92</c:v>
                </c:pt>
                <c:pt idx="3">
                  <c:v>1992-93</c:v>
                </c:pt>
                <c:pt idx="4">
                  <c:v>1993-94</c:v>
                </c:pt>
                <c:pt idx="5">
                  <c:v>1994-95</c:v>
                </c:pt>
                <c:pt idx="6">
                  <c:v>1995-96</c:v>
                </c:pt>
                <c:pt idx="7">
                  <c:v>1996-97</c:v>
                </c:pt>
                <c:pt idx="8">
                  <c:v>1997-98</c:v>
                </c:pt>
                <c:pt idx="9">
                  <c:v>1998-99</c:v>
                </c:pt>
                <c:pt idx="10">
                  <c:v>1999-00</c:v>
                </c:pt>
                <c:pt idx="11">
                  <c:v>2000-01</c:v>
                </c:pt>
                <c:pt idx="12">
                  <c:v>2001-02</c:v>
                </c:pt>
                <c:pt idx="13">
                  <c:v>2002-03</c:v>
                </c:pt>
                <c:pt idx="14">
                  <c:v>2003-04</c:v>
                </c:pt>
                <c:pt idx="15">
                  <c:v>2004-05</c:v>
                </c:pt>
                <c:pt idx="16">
                  <c:v>2005-06</c:v>
                </c:pt>
                <c:pt idx="17">
                  <c:v>2006-07</c:v>
                </c:pt>
                <c:pt idx="18">
                  <c:v>2007-08</c:v>
                </c:pt>
                <c:pt idx="19">
                  <c:v>2008-09</c:v>
                </c:pt>
                <c:pt idx="20">
                  <c:v>2009-10</c:v>
                </c:pt>
                <c:pt idx="21">
                  <c:v>2010-11</c:v>
                </c:pt>
                <c:pt idx="22">
                  <c:v>2011-12</c:v>
                </c:pt>
                <c:pt idx="23">
                  <c:v>2012-13</c:v>
                </c:pt>
                <c:pt idx="24">
                  <c:v>2013-14</c:v>
                </c:pt>
                <c:pt idx="25">
                  <c:v>2014-15</c:v>
                </c:pt>
                <c:pt idx="26">
                  <c:v>2015-16</c:v>
                </c:pt>
                <c:pt idx="27">
                  <c:v>2016-17</c:v>
                </c:pt>
                <c:pt idx="28">
                  <c:v>2017-18</c:v>
                </c:pt>
              </c:strCache>
            </c:strRef>
          </c:cat>
          <c:val>
            <c:numRef>
              <c:f>'USE THIS Data for charts'!$K$29:$K$57</c:f>
              <c:numCache>
                <c:formatCode>0%</c:formatCode>
                <c:ptCount val="29"/>
                <c:pt idx="0">
                  <c:v>4.0558202504621312E-2</c:v>
                </c:pt>
                <c:pt idx="1">
                  <c:v>4.1869204908028007E-2</c:v>
                </c:pt>
                <c:pt idx="2">
                  <c:v>4.4586367758788291E-2</c:v>
                </c:pt>
                <c:pt idx="3">
                  <c:v>4.0446304044630406E-2</c:v>
                </c:pt>
                <c:pt idx="4">
                  <c:v>4.2283659158947981E-2</c:v>
                </c:pt>
                <c:pt idx="5">
                  <c:v>5.0866471245250629E-2</c:v>
                </c:pt>
                <c:pt idx="6">
                  <c:v>5.1347078585073445E-2</c:v>
                </c:pt>
                <c:pt idx="7">
                  <c:v>5.1857658363855065E-2</c:v>
                </c:pt>
                <c:pt idx="8">
                  <c:v>5.2028786051802965E-2</c:v>
                </c:pt>
                <c:pt idx="9">
                  <c:v>5.3604837833596874E-2</c:v>
                </c:pt>
                <c:pt idx="10">
                  <c:v>5.3093708690140684E-2</c:v>
                </c:pt>
                <c:pt idx="11">
                  <c:v>5.9179712868942018E-2</c:v>
                </c:pt>
                <c:pt idx="12">
                  <c:v>6.2543392095567307E-2</c:v>
                </c:pt>
                <c:pt idx="13">
                  <c:v>6.1087450312322544E-2</c:v>
                </c:pt>
                <c:pt idx="14">
                  <c:v>6.0671726364229538E-2</c:v>
                </c:pt>
                <c:pt idx="15">
                  <c:v>5.863707876656981E-2</c:v>
                </c:pt>
                <c:pt idx="16">
                  <c:v>5.9887863756079435E-2</c:v>
                </c:pt>
                <c:pt idx="17">
                  <c:v>6.1967965686043625E-2</c:v>
                </c:pt>
                <c:pt idx="18">
                  <c:v>6.1484341328088485E-2</c:v>
                </c:pt>
                <c:pt idx="19">
                  <c:v>6.7605877320328273E-2</c:v>
                </c:pt>
                <c:pt idx="20">
                  <c:v>6.8421346942259181E-2</c:v>
                </c:pt>
                <c:pt idx="21">
                  <c:v>7.1583997895513382E-2</c:v>
                </c:pt>
                <c:pt idx="22">
                  <c:v>7.1243781094527364E-2</c:v>
                </c:pt>
                <c:pt idx="23">
                  <c:v>7.3877999024346983E-2</c:v>
                </c:pt>
                <c:pt idx="24">
                  <c:v>7.2086026630127198E-2</c:v>
                </c:pt>
                <c:pt idx="25">
                  <c:v>7.0795553641034265E-2</c:v>
                </c:pt>
                <c:pt idx="26">
                  <c:v>7.3217486682882485E-2</c:v>
                </c:pt>
                <c:pt idx="27">
                  <c:v>7.6466308238476832E-2</c:v>
                </c:pt>
                <c:pt idx="28">
                  <c:v>7.7146246942525379E-2</c:v>
                </c:pt>
              </c:numCache>
            </c:numRef>
          </c:val>
          <c:smooth val="0"/>
          <c:extLst>
            <c:ext xmlns:c16="http://schemas.microsoft.com/office/drawing/2014/chart" uri="{C3380CC4-5D6E-409C-BE32-E72D297353CC}">
              <c16:uniqueId val="{00000002-E920-420F-A3FB-C8F8421FE573}"/>
            </c:ext>
          </c:extLst>
        </c:ser>
        <c:ser>
          <c:idx val="3"/>
          <c:order val="3"/>
          <c:tx>
            <c:strRef>
              <c:f>'USE THIS Data for charts'!$L$28</c:f>
              <c:strCache>
                <c:ptCount val="1"/>
                <c:pt idx="0">
                  <c:v>Health care and social assistance</c:v>
                </c:pt>
              </c:strCache>
            </c:strRef>
          </c:tx>
          <c:spPr>
            <a:ln w="28575" cap="rnd">
              <a:solidFill>
                <a:srgbClr val="94D6DC"/>
              </a:solidFill>
              <a:round/>
            </a:ln>
            <a:effectLst/>
          </c:spPr>
          <c:marker>
            <c:symbol val="none"/>
          </c:marker>
          <c:cat>
            <c:strRef>
              <c:f>'USE THIS Data for charts'!$H$29:$H$57</c:f>
              <c:strCache>
                <c:ptCount val="29"/>
                <c:pt idx="0">
                  <c:v>1989-90</c:v>
                </c:pt>
                <c:pt idx="1">
                  <c:v>1990-91</c:v>
                </c:pt>
                <c:pt idx="2">
                  <c:v>1991-92</c:v>
                </c:pt>
                <c:pt idx="3">
                  <c:v>1992-93</c:v>
                </c:pt>
                <c:pt idx="4">
                  <c:v>1993-94</c:v>
                </c:pt>
                <c:pt idx="5">
                  <c:v>1994-95</c:v>
                </c:pt>
                <c:pt idx="6">
                  <c:v>1995-96</c:v>
                </c:pt>
                <c:pt idx="7">
                  <c:v>1996-97</c:v>
                </c:pt>
                <c:pt idx="8">
                  <c:v>1997-98</c:v>
                </c:pt>
                <c:pt idx="9">
                  <c:v>1998-99</c:v>
                </c:pt>
                <c:pt idx="10">
                  <c:v>1999-00</c:v>
                </c:pt>
                <c:pt idx="11">
                  <c:v>2000-01</c:v>
                </c:pt>
                <c:pt idx="12">
                  <c:v>2001-02</c:v>
                </c:pt>
                <c:pt idx="13">
                  <c:v>2002-03</c:v>
                </c:pt>
                <c:pt idx="14">
                  <c:v>2003-04</c:v>
                </c:pt>
                <c:pt idx="15">
                  <c:v>2004-05</c:v>
                </c:pt>
                <c:pt idx="16">
                  <c:v>2005-06</c:v>
                </c:pt>
                <c:pt idx="17">
                  <c:v>2006-07</c:v>
                </c:pt>
                <c:pt idx="18">
                  <c:v>2007-08</c:v>
                </c:pt>
                <c:pt idx="19">
                  <c:v>2008-09</c:v>
                </c:pt>
                <c:pt idx="20">
                  <c:v>2009-10</c:v>
                </c:pt>
                <c:pt idx="21">
                  <c:v>2010-11</c:v>
                </c:pt>
                <c:pt idx="22">
                  <c:v>2011-12</c:v>
                </c:pt>
                <c:pt idx="23">
                  <c:v>2012-13</c:v>
                </c:pt>
                <c:pt idx="24">
                  <c:v>2013-14</c:v>
                </c:pt>
                <c:pt idx="25">
                  <c:v>2014-15</c:v>
                </c:pt>
                <c:pt idx="26">
                  <c:v>2015-16</c:v>
                </c:pt>
                <c:pt idx="27">
                  <c:v>2016-17</c:v>
                </c:pt>
                <c:pt idx="28">
                  <c:v>2017-18</c:v>
                </c:pt>
              </c:strCache>
            </c:strRef>
          </c:cat>
          <c:val>
            <c:numRef>
              <c:f>'USE THIS Data for charts'!$L$29:$L$57</c:f>
              <c:numCache>
                <c:formatCode>0%</c:formatCode>
                <c:ptCount val="29"/>
                <c:pt idx="0">
                  <c:v>4.8473014137311567E-2</c:v>
                </c:pt>
                <c:pt idx="1">
                  <c:v>5.2634960063384653E-2</c:v>
                </c:pt>
                <c:pt idx="2">
                  <c:v>5.4660388732302577E-2</c:v>
                </c:pt>
                <c:pt idx="3">
                  <c:v>5.3496342152608192E-2</c:v>
                </c:pt>
                <c:pt idx="4">
                  <c:v>5.4042514717405718E-2</c:v>
                </c:pt>
                <c:pt idx="5">
                  <c:v>5.4807415608675927E-2</c:v>
                </c:pt>
                <c:pt idx="6">
                  <c:v>5.5967515785709583E-2</c:v>
                </c:pt>
                <c:pt idx="7">
                  <c:v>5.5335558829226979E-2</c:v>
                </c:pt>
                <c:pt idx="8">
                  <c:v>5.428275606420193E-2</c:v>
                </c:pt>
                <c:pt idx="9">
                  <c:v>5.3387569857689478E-2</c:v>
                </c:pt>
                <c:pt idx="10">
                  <c:v>5.432258614741102E-2</c:v>
                </c:pt>
                <c:pt idx="11">
                  <c:v>5.7582842429382414E-2</c:v>
                </c:pt>
                <c:pt idx="12">
                  <c:v>5.8642236075040315E-2</c:v>
                </c:pt>
                <c:pt idx="13">
                  <c:v>6.0051107325383303E-2</c:v>
                </c:pt>
                <c:pt idx="14">
                  <c:v>6.1252103437618048E-2</c:v>
                </c:pt>
                <c:pt idx="15">
                  <c:v>5.9468248968458412E-2</c:v>
                </c:pt>
                <c:pt idx="16">
                  <c:v>6.0711919727253628E-2</c:v>
                </c:pt>
                <c:pt idx="17">
                  <c:v>6.0529844161634809E-2</c:v>
                </c:pt>
                <c:pt idx="18">
                  <c:v>5.976640988751495E-2</c:v>
                </c:pt>
                <c:pt idx="19">
                  <c:v>6.252328898613542E-2</c:v>
                </c:pt>
                <c:pt idx="20">
                  <c:v>6.6422977423427718E-2</c:v>
                </c:pt>
                <c:pt idx="21">
                  <c:v>6.5173319913418681E-2</c:v>
                </c:pt>
                <c:pt idx="22">
                  <c:v>6.5444607946184577E-2</c:v>
                </c:pt>
                <c:pt idx="23">
                  <c:v>6.680728635416204E-2</c:v>
                </c:pt>
                <c:pt idx="24">
                  <c:v>7.0320433491027165E-2</c:v>
                </c:pt>
                <c:pt idx="25">
                  <c:v>7.2705113522940984E-2</c:v>
                </c:pt>
                <c:pt idx="26">
                  <c:v>7.2930578336134713E-2</c:v>
                </c:pt>
                <c:pt idx="27">
                  <c:v>7.3360581688909729E-2</c:v>
                </c:pt>
                <c:pt idx="28">
                  <c:v>7.6433917270692348E-2</c:v>
                </c:pt>
              </c:numCache>
            </c:numRef>
          </c:val>
          <c:smooth val="0"/>
          <c:extLst>
            <c:ext xmlns:c16="http://schemas.microsoft.com/office/drawing/2014/chart" uri="{C3380CC4-5D6E-409C-BE32-E72D297353CC}">
              <c16:uniqueId val="{00000003-E920-420F-A3FB-C8F8421FE573}"/>
            </c:ext>
          </c:extLst>
        </c:ser>
        <c:dLbls>
          <c:showLegendKey val="0"/>
          <c:showVal val="0"/>
          <c:showCatName val="0"/>
          <c:showSerName val="0"/>
          <c:showPercent val="0"/>
          <c:showBubbleSize val="0"/>
        </c:dLbls>
        <c:smooth val="0"/>
        <c:axId val="950963768"/>
        <c:axId val="684921632"/>
      </c:lineChart>
      <c:catAx>
        <c:axId val="9509637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b="1">
                    <a:solidFill>
                      <a:sysClr val="windowText" lastClr="000000"/>
                    </a:solidFill>
                  </a:rPr>
                  <a:t>Share</a:t>
                </a:r>
              </a:p>
            </c:rich>
          </c:tx>
          <c:layout>
            <c:manualLayout>
              <c:xMode val="edge"/>
              <c:yMode val="edge"/>
              <c:x val="8.8168518518518518E-3"/>
              <c:y val="2.9076388888888888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3300000" spcFirstLastPara="1" vertOverflow="ellipsis"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crossAx val="684921632"/>
        <c:crosses val="autoZero"/>
        <c:auto val="1"/>
        <c:lblAlgn val="ctr"/>
        <c:lblOffset val="100"/>
        <c:noMultiLvlLbl val="0"/>
      </c:catAx>
      <c:valAx>
        <c:axId val="684921632"/>
        <c:scaling>
          <c:orientation val="minMax"/>
        </c:scaling>
        <c:delete val="0"/>
        <c:axPos val="l"/>
        <c:numFmt formatCode="0%" sourceLinked="1"/>
        <c:majorTickMark val="out"/>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crossAx val="950963768"/>
        <c:crosses val="autoZero"/>
        <c:crossBetween val="between"/>
      </c:valAx>
      <c:spPr>
        <a:noFill/>
        <a:ln>
          <a:noFill/>
        </a:ln>
        <a:effectLst/>
      </c:spPr>
    </c:plotArea>
    <c:legend>
      <c:legendPos val="b"/>
      <c:layout>
        <c:manualLayout>
          <c:xMode val="edge"/>
          <c:yMode val="edge"/>
          <c:x val="7.1384444444444459E-2"/>
          <c:y val="0.83683944444444447"/>
          <c:w val="0.92308296296296299"/>
          <c:h val="0.1419938888888888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4584417559393056E-2"/>
          <c:y val="2.0018198362147407E-2"/>
          <c:w val="0.9346859687067014"/>
          <c:h val="0.66746059922199141"/>
        </c:manualLayout>
      </c:layout>
      <c:lineChart>
        <c:grouping val="standard"/>
        <c:varyColors val="0"/>
        <c:ser>
          <c:idx val="0"/>
          <c:order val="0"/>
          <c:tx>
            <c:strRef>
              <c:f>'Job 1996-2016'!$C$16</c:f>
              <c:strCache>
                <c:ptCount val="1"/>
                <c:pt idx="0">
                  <c:v>Community services</c:v>
                </c:pt>
              </c:strCache>
            </c:strRef>
          </c:tx>
          <c:spPr>
            <a:ln w="28575" cap="rnd">
              <a:solidFill>
                <a:schemeClr val="accent1"/>
              </a:solidFill>
              <a:round/>
            </a:ln>
            <a:effectLst/>
          </c:spPr>
          <c:marker>
            <c:symbol val="none"/>
          </c:marker>
          <c:cat>
            <c:numRef>
              <c:f>'Job 1996-2016'!$D$15:$H$15</c:f>
              <c:numCache>
                <c:formatCode>General</c:formatCode>
                <c:ptCount val="5"/>
                <c:pt idx="0">
                  <c:v>1996</c:v>
                </c:pt>
                <c:pt idx="1">
                  <c:v>2001</c:v>
                </c:pt>
                <c:pt idx="2">
                  <c:v>2006</c:v>
                </c:pt>
                <c:pt idx="3">
                  <c:v>2011</c:v>
                </c:pt>
                <c:pt idx="4">
                  <c:v>2016</c:v>
                </c:pt>
              </c:numCache>
            </c:numRef>
          </c:cat>
          <c:val>
            <c:numRef>
              <c:f>'Job 1996-2016'!$D$16:$H$16</c:f>
              <c:numCache>
                <c:formatCode>_-* #,##0_-;\-* #,##0_-;_-* "-"??_-;_-@_-</c:formatCode>
                <c:ptCount val="5"/>
                <c:pt idx="0">
                  <c:v>286927.05162710272</c:v>
                </c:pt>
                <c:pt idx="1">
                  <c:v>307241.90693122952</c:v>
                </c:pt>
                <c:pt idx="2">
                  <c:v>367720.62208170723</c:v>
                </c:pt>
                <c:pt idx="3">
                  <c:v>445004.90101010591</c:v>
                </c:pt>
                <c:pt idx="4">
                  <c:v>557339.78843874112</c:v>
                </c:pt>
              </c:numCache>
            </c:numRef>
          </c:val>
          <c:smooth val="0"/>
          <c:extLst>
            <c:ext xmlns:c16="http://schemas.microsoft.com/office/drawing/2014/chart" uri="{C3380CC4-5D6E-409C-BE32-E72D297353CC}">
              <c16:uniqueId val="{00000000-0DF7-424B-915C-ADFFC1406CCD}"/>
            </c:ext>
          </c:extLst>
        </c:ser>
        <c:ser>
          <c:idx val="1"/>
          <c:order val="1"/>
          <c:tx>
            <c:strRef>
              <c:f>'Job 1996-2016'!$C$17</c:f>
              <c:strCache>
                <c:ptCount val="1"/>
                <c:pt idx="0">
                  <c:v>Retail, accomodation, food and other</c:v>
                </c:pt>
              </c:strCache>
            </c:strRef>
          </c:tx>
          <c:spPr>
            <a:ln w="28575" cap="rnd">
              <a:solidFill>
                <a:schemeClr val="accent2"/>
              </a:solidFill>
              <a:round/>
            </a:ln>
            <a:effectLst/>
          </c:spPr>
          <c:marker>
            <c:symbol val="none"/>
          </c:marker>
          <c:cat>
            <c:numRef>
              <c:f>'Job 1996-2016'!$D$15:$H$15</c:f>
              <c:numCache>
                <c:formatCode>General</c:formatCode>
                <c:ptCount val="5"/>
                <c:pt idx="0">
                  <c:v>1996</c:v>
                </c:pt>
                <c:pt idx="1">
                  <c:v>2001</c:v>
                </c:pt>
                <c:pt idx="2">
                  <c:v>2006</c:v>
                </c:pt>
                <c:pt idx="3">
                  <c:v>2011</c:v>
                </c:pt>
                <c:pt idx="4">
                  <c:v>2016</c:v>
                </c:pt>
              </c:numCache>
            </c:numRef>
          </c:cat>
          <c:val>
            <c:numRef>
              <c:f>'Job 1996-2016'!$D$17:$H$17</c:f>
              <c:numCache>
                <c:formatCode>_-* #,##0_-;\-* #,##0_-;_-* "-"??_-;_-@_-</c:formatCode>
                <c:ptCount val="5"/>
                <c:pt idx="0">
                  <c:v>320522.45281456824</c:v>
                </c:pt>
                <c:pt idx="1">
                  <c:v>348143.02149506065</c:v>
                </c:pt>
                <c:pt idx="2">
                  <c:v>387499.03908420843</c:v>
                </c:pt>
                <c:pt idx="3">
                  <c:v>427527.19293473306</c:v>
                </c:pt>
                <c:pt idx="4">
                  <c:v>497910.61195087788</c:v>
                </c:pt>
              </c:numCache>
            </c:numRef>
          </c:val>
          <c:smooth val="0"/>
          <c:extLst>
            <c:ext xmlns:c16="http://schemas.microsoft.com/office/drawing/2014/chart" uri="{C3380CC4-5D6E-409C-BE32-E72D297353CC}">
              <c16:uniqueId val="{00000001-0DF7-424B-915C-ADFFC1406CCD}"/>
            </c:ext>
          </c:extLst>
        </c:ser>
        <c:ser>
          <c:idx val="2"/>
          <c:order val="2"/>
          <c:tx>
            <c:strRef>
              <c:f>'Job 1996-2016'!$C$18</c:f>
              <c:strCache>
                <c:ptCount val="1"/>
                <c:pt idx="0">
                  <c:v>Business services</c:v>
                </c:pt>
              </c:strCache>
            </c:strRef>
          </c:tx>
          <c:spPr>
            <a:ln w="28575" cap="rnd">
              <a:solidFill>
                <a:schemeClr val="accent3"/>
              </a:solidFill>
              <a:round/>
            </a:ln>
            <a:effectLst/>
          </c:spPr>
          <c:marker>
            <c:symbol val="none"/>
          </c:marker>
          <c:cat>
            <c:numRef>
              <c:f>'Job 1996-2016'!$D$15:$H$15</c:f>
              <c:numCache>
                <c:formatCode>General</c:formatCode>
                <c:ptCount val="5"/>
                <c:pt idx="0">
                  <c:v>1996</c:v>
                </c:pt>
                <c:pt idx="1">
                  <c:v>2001</c:v>
                </c:pt>
                <c:pt idx="2">
                  <c:v>2006</c:v>
                </c:pt>
                <c:pt idx="3">
                  <c:v>2011</c:v>
                </c:pt>
                <c:pt idx="4">
                  <c:v>2016</c:v>
                </c:pt>
              </c:numCache>
            </c:numRef>
          </c:cat>
          <c:val>
            <c:numRef>
              <c:f>'Job 1996-2016'!$D$18:$H$18</c:f>
              <c:numCache>
                <c:formatCode>_-* #,##0_-;\-* #,##0_-;_-* "-"??_-;_-@_-</c:formatCode>
                <c:ptCount val="5"/>
                <c:pt idx="0">
                  <c:v>393577.60888615355</c:v>
                </c:pt>
                <c:pt idx="1">
                  <c:v>425160.73295750929</c:v>
                </c:pt>
                <c:pt idx="2">
                  <c:v>486213.80280388246</c:v>
                </c:pt>
                <c:pt idx="3">
                  <c:v>557489.02882141329</c:v>
                </c:pt>
                <c:pt idx="4">
                  <c:v>642196.87495906232</c:v>
                </c:pt>
              </c:numCache>
            </c:numRef>
          </c:val>
          <c:smooth val="0"/>
          <c:extLst>
            <c:ext xmlns:c16="http://schemas.microsoft.com/office/drawing/2014/chart" uri="{C3380CC4-5D6E-409C-BE32-E72D297353CC}">
              <c16:uniqueId val="{00000002-0DF7-424B-915C-ADFFC1406CCD}"/>
            </c:ext>
          </c:extLst>
        </c:ser>
        <c:ser>
          <c:idx val="3"/>
          <c:order val="3"/>
          <c:tx>
            <c:strRef>
              <c:f>'Job 1996-2016'!$C$19</c:f>
              <c:strCache>
                <c:ptCount val="1"/>
                <c:pt idx="0">
                  <c:v>Manufacturing and industrial</c:v>
                </c:pt>
              </c:strCache>
            </c:strRef>
          </c:tx>
          <c:spPr>
            <a:ln w="28575" cap="rnd">
              <a:solidFill>
                <a:schemeClr val="accent4"/>
              </a:solidFill>
              <a:round/>
            </a:ln>
            <a:effectLst/>
          </c:spPr>
          <c:marker>
            <c:symbol val="none"/>
          </c:marker>
          <c:cat>
            <c:numRef>
              <c:f>'Job 1996-2016'!$D$15:$H$15</c:f>
              <c:numCache>
                <c:formatCode>General</c:formatCode>
                <c:ptCount val="5"/>
                <c:pt idx="0">
                  <c:v>1996</c:v>
                </c:pt>
                <c:pt idx="1">
                  <c:v>2001</c:v>
                </c:pt>
                <c:pt idx="2">
                  <c:v>2006</c:v>
                </c:pt>
                <c:pt idx="3">
                  <c:v>2011</c:v>
                </c:pt>
                <c:pt idx="4">
                  <c:v>2016</c:v>
                </c:pt>
              </c:numCache>
            </c:numRef>
          </c:cat>
          <c:val>
            <c:numRef>
              <c:f>'Job 1996-2016'!$D$19:$H$19</c:f>
              <c:numCache>
                <c:formatCode>_-* #,##0_-;\-* #,##0_-;_-* "-"??_-;_-@_-</c:formatCode>
                <c:ptCount val="5"/>
                <c:pt idx="0">
                  <c:v>453013.49590041663</c:v>
                </c:pt>
                <c:pt idx="1">
                  <c:v>444891.06462165539</c:v>
                </c:pt>
                <c:pt idx="2">
                  <c:v>452944.78184270911</c:v>
                </c:pt>
                <c:pt idx="3">
                  <c:v>466296.07110360637</c:v>
                </c:pt>
                <c:pt idx="4">
                  <c:v>428797.05803231656</c:v>
                </c:pt>
              </c:numCache>
            </c:numRef>
          </c:val>
          <c:smooth val="0"/>
          <c:extLst>
            <c:ext xmlns:c16="http://schemas.microsoft.com/office/drawing/2014/chart" uri="{C3380CC4-5D6E-409C-BE32-E72D297353CC}">
              <c16:uniqueId val="{00000003-0DF7-424B-915C-ADFFC1406CCD}"/>
            </c:ext>
          </c:extLst>
        </c:ser>
        <c:ser>
          <c:idx val="5"/>
          <c:order val="5"/>
          <c:tx>
            <c:strRef>
              <c:f>'Job 1996-2016'!$C$20</c:f>
              <c:strCache>
                <c:ptCount val="1"/>
                <c:pt idx="0">
                  <c:v>Construction</c:v>
                </c:pt>
              </c:strCache>
            </c:strRef>
          </c:tx>
          <c:spPr>
            <a:ln w="28575" cap="rnd">
              <a:solidFill>
                <a:schemeClr val="accent6"/>
              </a:solidFill>
              <a:round/>
            </a:ln>
            <a:effectLst/>
          </c:spPr>
          <c:marker>
            <c:symbol val="none"/>
          </c:marker>
          <c:cat>
            <c:numRef>
              <c:f>'Job 1996-2016'!$D$15:$H$15</c:f>
              <c:numCache>
                <c:formatCode>General</c:formatCode>
                <c:ptCount val="5"/>
                <c:pt idx="0">
                  <c:v>1996</c:v>
                </c:pt>
                <c:pt idx="1">
                  <c:v>2001</c:v>
                </c:pt>
                <c:pt idx="2">
                  <c:v>2006</c:v>
                </c:pt>
                <c:pt idx="3">
                  <c:v>2011</c:v>
                </c:pt>
                <c:pt idx="4">
                  <c:v>2016</c:v>
                </c:pt>
              </c:numCache>
            </c:numRef>
          </c:cat>
          <c:val>
            <c:numRef>
              <c:f>'Job 1996-2016'!$D$20:$H$20</c:f>
              <c:numCache>
                <c:formatCode>_-* #,##0_-;\-* #,##0_-;_-* "-"??_-;_-@_-</c:formatCode>
                <c:ptCount val="5"/>
                <c:pt idx="0">
                  <c:v>71996.682375618373</c:v>
                </c:pt>
                <c:pt idx="1">
                  <c:v>74398.400371409734</c:v>
                </c:pt>
                <c:pt idx="2">
                  <c:v>98617.828079592451</c:v>
                </c:pt>
                <c:pt idx="3">
                  <c:v>135607.9756194193</c:v>
                </c:pt>
                <c:pt idx="4">
                  <c:v>162596.57294439091</c:v>
                </c:pt>
              </c:numCache>
            </c:numRef>
          </c:val>
          <c:smooth val="0"/>
          <c:extLst>
            <c:ext xmlns:c16="http://schemas.microsoft.com/office/drawing/2014/chart" uri="{C3380CC4-5D6E-409C-BE32-E72D297353CC}">
              <c16:uniqueId val="{00000004-0DF7-424B-915C-ADFFC1406CCD}"/>
            </c:ext>
          </c:extLst>
        </c:ser>
        <c:ser>
          <c:idx val="6"/>
          <c:order val="6"/>
          <c:tx>
            <c:strRef>
              <c:f>'Job 1996-2016'!$C$21</c:f>
              <c:strCache>
                <c:ptCount val="1"/>
                <c:pt idx="0">
                  <c:v>Primary industry</c:v>
                </c:pt>
              </c:strCache>
            </c:strRef>
          </c:tx>
          <c:spPr>
            <a:ln w="28575" cap="rnd">
              <a:solidFill>
                <a:schemeClr val="accent5"/>
              </a:solidFill>
              <a:round/>
            </a:ln>
            <a:effectLst/>
          </c:spPr>
          <c:marker>
            <c:symbol val="none"/>
          </c:marker>
          <c:cat>
            <c:numRef>
              <c:f>'Job 1996-2016'!$D$15:$H$15</c:f>
              <c:numCache>
                <c:formatCode>General</c:formatCode>
                <c:ptCount val="5"/>
                <c:pt idx="0">
                  <c:v>1996</c:v>
                </c:pt>
                <c:pt idx="1">
                  <c:v>2001</c:v>
                </c:pt>
                <c:pt idx="2">
                  <c:v>2006</c:v>
                </c:pt>
                <c:pt idx="3">
                  <c:v>2011</c:v>
                </c:pt>
                <c:pt idx="4">
                  <c:v>2016</c:v>
                </c:pt>
              </c:numCache>
            </c:numRef>
          </c:cat>
          <c:val>
            <c:numRef>
              <c:f>'Job 1996-2016'!$D$21:$H$21</c:f>
              <c:numCache>
                <c:formatCode>_-* #,##0_-;\-* #,##0_-;_-* "-"??_-;_-@_-</c:formatCode>
                <c:ptCount val="5"/>
                <c:pt idx="0">
                  <c:v>15762.708396140504</c:v>
                </c:pt>
                <c:pt idx="1">
                  <c:v>15123.605542941597</c:v>
                </c:pt>
                <c:pt idx="2">
                  <c:v>12483.419015385402</c:v>
                </c:pt>
                <c:pt idx="3">
                  <c:v>13801.046799668609</c:v>
                </c:pt>
                <c:pt idx="4">
                  <c:v>18487.944832167086</c:v>
                </c:pt>
              </c:numCache>
            </c:numRef>
          </c:val>
          <c:smooth val="0"/>
          <c:extLst>
            <c:ext xmlns:c16="http://schemas.microsoft.com/office/drawing/2014/chart" uri="{C3380CC4-5D6E-409C-BE32-E72D297353CC}">
              <c16:uniqueId val="{00000005-0DF7-424B-915C-ADFFC1406CCD}"/>
            </c:ext>
          </c:extLst>
        </c:ser>
        <c:dLbls>
          <c:showLegendKey val="0"/>
          <c:showVal val="0"/>
          <c:showCatName val="0"/>
          <c:showSerName val="0"/>
          <c:showPercent val="0"/>
          <c:showBubbleSize val="0"/>
        </c:dLbls>
        <c:smooth val="0"/>
        <c:axId val="20066928"/>
        <c:axId val="2306608"/>
        <c:extLst>
          <c:ext xmlns:c15="http://schemas.microsoft.com/office/drawing/2012/chart" uri="{02D57815-91ED-43cb-92C2-25804820EDAC}">
            <c15:filteredLineSeries>
              <c15:ser>
                <c:idx val="4"/>
                <c:order val="4"/>
                <c:tx>
                  <c:strRef>
                    <c:extLst>
                      <c:ext uri="{02D57815-91ED-43cb-92C2-25804820EDAC}">
                        <c15:formulaRef>
                          <c15:sqref>'Rebased job number'!#REF!</c15:sqref>
                        </c15:formulaRef>
                      </c:ext>
                    </c:extLst>
                    <c:strCache>
                      <c:ptCount val="1"/>
                      <c:pt idx="0">
                        <c:v>#REF!</c:v>
                      </c:pt>
                    </c:strCache>
                  </c:strRef>
                </c:tx>
                <c:spPr>
                  <a:ln w="28575" cap="rnd">
                    <a:solidFill>
                      <a:schemeClr val="accent5"/>
                    </a:solidFill>
                    <a:round/>
                  </a:ln>
                  <a:effectLst/>
                </c:spPr>
                <c:marker>
                  <c:symbol val="none"/>
                </c:marker>
                <c:cat>
                  <c:numRef>
                    <c:extLst>
                      <c:ext uri="{02D57815-91ED-43cb-92C2-25804820EDAC}">
                        <c15:formulaRef>
                          <c15:sqref>'Job 1996-2016'!$D$15:$H$15</c15:sqref>
                        </c15:formulaRef>
                      </c:ext>
                    </c:extLst>
                    <c:numCache>
                      <c:formatCode>General</c:formatCode>
                      <c:ptCount val="5"/>
                      <c:pt idx="0">
                        <c:v>1996</c:v>
                      </c:pt>
                      <c:pt idx="1">
                        <c:v>2001</c:v>
                      </c:pt>
                      <c:pt idx="2">
                        <c:v>2006</c:v>
                      </c:pt>
                      <c:pt idx="3">
                        <c:v>2011</c:v>
                      </c:pt>
                      <c:pt idx="4">
                        <c:v>2016</c:v>
                      </c:pt>
                    </c:numCache>
                  </c:numRef>
                </c:cat>
                <c:val>
                  <c:numRef>
                    <c:extLst>
                      <c:ext uri="{02D57815-91ED-43cb-92C2-25804820EDAC}">
                        <c15:formulaRef>
                          <c15:sqref>'Rebased job number'!#REF!</c15:sqref>
                        </c15:formulaRef>
                      </c:ext>
                    </c:extLst>
                    <c:numCache>
                      <c:formatCode>General</c:formatCode>
                      <c:ptCount val="1"/>
                      <c:pt idx="0">
                        <c:v>1</c:v>
                      </c:pt>
                    </c:numCache>
                  </c:numRef>
                </c:val>
                <c:smooth val="0"/>
                <c:extLst>
                  <c:ext xmlns:c16="http://schemas.microsoft.com/office/drawing/2014/chart" uri="{C3380CC4-5D6E-409C-BE32-E72D297353CC}">
                    <c16:uniqueId val="{00000006-0DF7-424B-915C-ADFFC1406CCD}"/>
                  </c:ext>
                </c:extLst>
              </c15:ser>
            </c15:filteredLineSeries>
          </c:ext>
        </c:extLst>
      </c:lineChart>
      <c:catAx>
        <c:axId val="20066928"/>
        <c:scaling>
          <c:orientation val="minMax"/>
        </c:scaling>
        <c:delete val="0"/>
        <c:axPos val="b"/>
        <c:numFmt formatCode="General" sourceLinked="1"/>
        <c:majorTickMark val="out"/>
        <c:minorTickMark val="none"/>
        <c:tickLblPos val="nextTo"/>
        <c:spPr>
          <a:noFill/>
          <a:ln w="9525" cap="flat" cmpd="sng" algn="ctr">
            <a:solidFill>
              <a:schemeClr val="tx1">
                <a:lumMod val="65000"/>
                <a:lumOff val="3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306608"/>
        <c:crosses val="autoZero"/>
        <c:auto val="1"/>
        <c:lblAlgn val="ctr"/>
        <c:lblOffset val="100"/>
        <c:noMultiLvlLbl val="0"/>
      </c:catAx>
      <c:valAx>
        <c:axId val="2306608"/>
        <c:scaling>
          <c:orientation val="minMax"/>
          <c:min val="1.0000000000000002E-2"/>
        </c:scaling>
        <c:delete val="0"/>
        <c:axPos val="l"/>
        <c:numFmt formatCode="_-* #,##0_-;\-* #,##0_-;_-* &quot;-&quot;??_-;_-@_-" sourceLinked="1"/>
        <c:majorTickMark val="out"/>
        <c:minorTickMark val="none"/>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0066928"/>
        <c:crosses val="autoZero"/>
        <c:crossBetween val="midCat"/>
        <c:minorUnit val="50000"/>
      </c:valAx>
      <c:spPr>
        <a:noFill/>
        <a:ln>
          <a:noFill/>
        </a:ln>
        <a:effectLst/>
      </c:spPr>
    </c:plotArea>
    <c:legend>
      <c:legendPos val="b"/>
      <c:layout>
        <c:manualLayout>
          <c:xMode val="edge"/>
          <c:yMode val="edge"/>
          <c:x val="5.2208610726234339E-2"/>
          <c:y val="0.78994579997556469"/>
          <c:w val="0.93528234936298194"/>
          <c:h val="0.1936756783767358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sz="1000"/>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58336816933483"/>
          <c:y val="0.1296331985951748"/>
          <c:w val="0.860827548503595"/>
          <c:h val="0.67917650023810294"/>
        </c:manualLayout>
      </c:layout>
      <c:barChart>
        <c:barDir val="col"/>
        <c:grouping val="stacked"/>
        <c:varyColors val="0"/>
        <c:ser>
          <c:idx val="0"/>
          <c:order val="0"/>
          <c:tx>
            <c:strRef>
              <c:f>'[Figure 10,14,18,22,26,30,34 commercial floorspace updated for final MICLUP .xlsx]1+2. commercial floorspace '!$B$6</c:f>
              <c:strCache>
                <c:ptCount val="1"/>
                <c:pt idx="0">
                  <c:v>Office</c:v>
                </c:pt>
              </c:strCache>
            </c:strRef>
          </c:tx>
          <c:spPr>
            <a:solidFill>
              <a:srgbClr val="4D446C"/>
            </a:solidFill>
            <a:ln>
              <a:noFill/>
            </a:ln>
            <a:effectLst/>
          </c:spPr>
          <c:invertIfNegative val="0"/>
          <c:cat>
            <c:strRef>
              <c:f>'[Figure 10,14,18,22,26,30,34 commercial floorspace updated for final MICLUP .xlsx]1+2. commercial floorspace '!$A$7:$A$12</c:f>
              <c:strCache>
                <c:ptCount val="6"/>
                <c:pt idx="0">
                  <c:v>Inner</c:v>
                </c:pt>
                <c:pt idx="1">
                  <c:v>Western</c:v>
                </c:pt>
                <c:pt idx="2">
                  <c:v>Northern</c:v>
                </c:pt>
                <c:pt idx="3">
                  <c:v>Eastern</c:v>
                </c:pt>
                <c:pt idx="4">
                  <c:v>Southern</c:v>
                </c:pt>
                <c:pt idx="5">
                  <c:v>Inner South East</c:v>
                </c:pt>
              </c:strCache>
            </c:strRef>
          </c:cat>
          <c:val>
            <c:numRef>
              <c:f>'[Figure 10,14,18,22,26,30,34 commercial floorspace updated for final MICLUP .xlsx]1+2. commercial floorspace '!$B$7:$B$12</c:f>
              <c:numCache>
                <c:formatCode>#,##0</c:formatCode>
                <c:ptCount val="6"/>
                <c:pt idx="0">
                  <c:v>3334769.3635313078</c:v>
                </c:pt>
                <c:pt idx="1">
                  <c:v>810912.70902924938</c:v>
                </c:pt>
                <c:pt idx="2">
                  <c:v>792754.44897576794</c:v>
                </c:pt>
                <c:pt idx="3">
                  <c:v>614305.39573112992</c:v>
                </c:pt>
                <c:pt idx="4">
                  <c:v>799650.24385718477</c:v>
                </c:pt>
                <c:pt idx="5">
                  <c:v>571087.64911954524</c:v>
                </c:pt>
              </c:numCache>
            </c:numRef>
          </c:val>
          <c:extLst>
            <c:ext xmlns:c16="http://schemas.microsoft.com/office/drawing/2014/chart" uri="{C3380CC4-5D6E-409C-BE32-E72D297353CC}">
              <c16:uniqueId val="{00000000-9525-9548-A76F-6650A0A4328F}"/>
            </c:ext>
          </c:extLst>
        </c:ser>
        <c:ser>
          <c:idx val="1"/>
          <c:order val="1"/>
          <c:tx>
            <c:strRef>
              <c:f>'[Figure 10,14,18,22,26,30,34 commercial floorspace updated for final MICLUP .xlsx]1+2. commercial floorspace '!$C$6</c:f>
              <c:strCache>
                <c:ptCount val="1"/>
                <c:pt idx="0">
                  <c:v>Retail</c:v>
                </c:pt>
              </c:strCache>
            </c:strRef>
          </c:tx>
          <c:spPr>
            <a:solidFill>
              <a:srgbClr val="B293B3"/>
            </a:solidFill>
            <a:ln>
              <a:noFill/>
            </a:ln>
            <a:effectLst/>
          </c:spPr>
          <c:invertIfNegative val="0"/>
          <c:cat>
            <c:strRef>
              <c:f>'[Figure 10,14,18,22,26,30,34 commercial floorspace updated for final MICLUP .xlsx]1+2. commercial floorspace '!$A$7:$A$12</c:f>
              <c:strCache>
                <c:ptCount val="6"/>
                <c:pt idx="0">
                  <c:v>Inner</c:v>
                </c:pt>
                <c:pt idx="1">
                  <c:v>Western</c:v>
                </c:pt>
                <c:pt idx="2">
                  <c:v>Northern</c:v>
                </c:pt>
                <c:pt idx="3">
                  <c:v>Eastern</c:v>
                </c:pt>
                <c:pt idx="4">
                  <c:v>Southern</c:v>
                </c:pt>
                <c:pt idx="5">
                  <c:v>Inner South East</c:v>
                </c:pt>
              </c:strCache>
            </c:strRef>
          </c:cat>
          <c:val>
            <c:numRef>
              <c:f>'[Figure 10,14,18,22,26,30,34 commercial floorspace updated for final MICLUP .xlsx]1+2. commercial floorspace '!$C$7:$C$12</c:f>
              <c:numCache>
                <c:formatCode>#,##0</c:formatCode>
                <c:ptCount val="6"/>
                <c:pt idx="0">
                  <c:v>672282.79215737351</c:v>
                </c:pt>
                <c:pt idx="1">
                  <c:v>737470.59323864745</c:v>
                </c:pt>
                <c:pt idx="2">
                  <c:v>620809.86189003754</c:v>
                </c:pt>
                <c:pt idx="3">
                  <c:v>223468.92902989546</c:v>
                </c:pt>
                <c:pt idx="4">
                  <c:v>571370.06405663781</c:v>
                </c:pt>
                <c:pt idx="5">
                  <c:v>212354.08927504666</c:v>
                </c:pt>
              </c:numCache>
            </c:numRef>
          </c:val>
          <c:extLst>
            <c:ext xmlns:c16="http://schemas.microsoft.com/office/drawing/2014/chart" uri="{C3380CC4-5D6E-409C-BE32-E72D297353CC}">
              <c16:uniqueId val="{00000001-9525-9548-A76F-6650A0A4328F}"/>
            </c:ext>
          </c:extLst>
        </c:ser>
        <c:dLbls>
          <c:showLegendKey val="0"/>
          <c:showVal val="0"/>
          <c:showCatName val="0"/>
          <c:showSerName val="0"/>
          <c:showPercent val="0"/>
          <c:showBubbleSize val="0"/>
        </c:dLbls>
        <c:gapWidth val="150"/>
        <c:overlap val="100"/>
        <c:axId val="747841528"/>
        <c:axId val="747842840"/>
      </c:barChart>
      <c:catAx>
        <c:axId val="747841528"/>
        <c:scaling>
          <c:orientation val="minMax"/>
        </c:scaling>
        <c:delete val="0"/>
        <c:axPos val="b"/>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mn-lt"/>
                    <a:ea typeface="+mn-ea"/>
                    <a:cs typeface="+mn-cs"/>
                  </a:defRPr>
                </a:pPr>
                <a:r>
                  <a:rPr lang="en-AU" sz="1000" b="1" i="0" baseline="0">
                    <a:effectLst/>
                  </a:rPr>
                  <a:t>Square metres</a:t>
                </a:r>
                <a:endParaRPr lang="en-AU" sz="1000">
                  <a:effectLst/>
                </a:endParaRPr>
              </a:p>
            </c:rich>
          </c:tx>
          <c:layout>
            <c:manualLayout>
              <c:xMode val="edge"/>
              <c:yMode val="edge"/>
              <c:x val="1.3984059650303461E-3"/>
              <c:y val="3.0691687478316222E-2"/>
            </c:manualLayout>
          </c:layout>
          <c:overlay val="0"/>
          <c:spPr>
            <a:solidFill>
              <a:sysClr val="window" lastClr="FFFFFF"/>
            </a:solid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65000"/>
                <a:lumOff val="3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7842840"/>
        <c:crosses val="autoZero"/>
        <c:auto val="1"/>
        <c:lblAlgn val="ctr"/>
        <c:lblOffset val="100"/>
        <c:noMultiLvlLbl val="0"/>
      </c:catAx>
      <c:valAx>
        <c:axId val="747842840"/>
        <c:scaling>
          <c:orientation val="minMax"/>
          <c:max val="4000000"/>
        </c:scaling>
        <c:delete val="0"/>
        <c:axPos val="l"/>
        <c:numFmt formatCode="#,##0" sourceLinked="1"/>
        <c:majorTickMark val="out"/>
        <c:minorTickMark val="none"/>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7841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latin typeface="+mn-lt"/>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034466686139371"/>
          <c:y val="0.15640938456307379"/>
          <c:w val="0.82492762990261581"/>
          <c:h val="0.57801742539641643"/>
        </c:manualLayout>
      </c:layout>
      <c:barChart>
        <c:barDir val="col"/>
        <c:grouping val="clustered"/>
        <c:varyColors val="0"/>
        <c:ser>
          <c:idx val="0"/>
          <c:order val="0"/>
          <c:tx>
            <c:strRef>
              <c:f>'1. Population'!$C$63</c:f>
              <c:strCache>
                <c:ptCount val="1"/>
                <c:pt idx="0">
                  <c:v>2016</c:v>
                </c:pt>
              </c:strCache>
            </c:strRef>
          </c:tx>
          <c:spPr>
            <a:solidFill>
              <a:srgbClr val="B293B3"/>
            </a:solidFill>
            <a:ln>
              <a:noFill/>
            </a:ln>
            <a:effectLst/>
          </c:spPr>
          <c:invertIfNegative val="0"/>
          <c:cat>
            <c:strRef>
              <c:f>'1. Population'!$A$64:$A$66</c:f>
              <c:strCache>
                <c:ptCount val="3"/>
                <c:pt idx="0">
                  <c:v>Melbourne</c:v>
                </c:pt>
                <c:pt idx="1">
                  <c:v>Port Phillip</c:v>
                </c:pt>
                <c:pt idx="2">
                  <c:v>Yarra</c:v>
                </c:pt>
              </c:strCache>
            </c:strRef>
          </c:cat>
          <c:val>
            <c:numRef>
              <c:f>'1. Population'!$C$64:$C$66</c:f>
              <c:numCache>
                <c:formatCode>#,##0</c:formatCode>
                <c:ptCount val="3"/>
                <c:pt idx="0">
                  <c:v>146096</c:v>
                </c:pt>
                <c:pt idx="1">
                  <c:v>108627</c:v>
                </c:pt>
                <c:pt idx="2">
                  <c:v>92894</c:v>
                </c:pt>
              </c:numCache>
            </c:numRef>
          </c:val>
          <c:extLst>
            <c:ext xmlns:c16="http://schemas.microsoft.com/office/drawing/2014/chart" uri="{C3380CC4-5D6E-409C-BE32-E72D297353CC}">
              <c16:uniqueId val="{00000000-AD7D-4D28-B0D8-8F23860C7A0C}"/>
            </c:ext>
          </c:extLst>
        </c:ser>
        <c:ser>
          <c:idx val="1"/>
          <c:order val="1"/>
          <c:tx>
            <c:strRef>
              <c:f>'1. Population'!$D$63</c:f>
              <c:strCache>
                <c:ptCount val="1"/>
                <c:pt idx="0">
                  <c:v>2031</c:v>
                </c:pt>
              </c:strCache>
            </c:strRef>
          </c:tx>
          <c:spPr>
            <a:solidFill>
              <a:srgbClr val="635B7E"/>
            </a:solidFill>
            <a:ln>
              <a:noFill/>
            </a:ln>
            <a:effectLst/>
          </c:spPr>
          <c:invertIfNegative val="0"/>
          <c:cat>
            <c:strRef>
              <c:f>'1. Population'!$A$64:$A$66</c:f>
              <c:strCache>
                <c:ptCount val="3"/>
                <c:pt idx="0">
                  <c:v>Melbourne</c:v>
                </c:pt>
                <c:pt idx="1">
                  <c:v>Port Phillip</c:v>
                </c:pt>
                <c:pt idx="2">
                  <c:v>Yarra</c:v>
                </c:pt>
              </c:strCache>
            </c:strRef>
          </c:cat>
          <c:val>
            <c:numRef>
              <c:f>'1. Population'!$D$64:$D$66</c:f>
              <c:numCache>
                <c:formatCode>#,##0</c:formatCode>
                <c:ptCount val="3"/>
                <c:pt idx="0">
                  <c:v>270540.48628409242</c:v>
                </c:pt>
                <c:pt idx="1">
                  <c:v>142882.57897305393</c:v>
                </c:pt>
                <c:pt idx="2">
                  <c:v>125855.50417424756</c:v>
                </c:pt>
              </c:numCache>
            </c:numRef>
          </c:val>
          <c:extLst>
            <c:ext xmlns:c16="http://schemas.microsoft.com/office/drawing/2014/chart" uri="{C3380CC4-5D6E-409C-BE32-E72D297353CC}">
              <c16:uniqueId val="{00000001-AD7D-4D28-B0D8-8F23860C7A0C}"/>
            </c:ext>
          </c:extLst>
        </c:ser>
        <c:dLbls>
          <c:showLegendKey val="0"/>
          <c:showVal val="0"/>
          <c:showCatName val="0"/>
          <c:showSerName val="0"/>
          <c:showPercent val="0"/>
          <c:showBubbleSize val="0"/>
        </c:dLbls>
        <c:gapWidth val="219"/>
        <c:overlap val="-27"/>
        <c:axId val="728397000"/>
        <c:axId val="577152016"/>
      </c:barChart>
      <c:catAx>
        <c:axId val="728397000"/>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sz="900"/>
                  <a:t>No. of persons</a:t>
                </a:r>
              </a:p>
            </c:rich>
          </c:tx>
          <c:layout>
            <c:manualLayout>
              <c:xMode val="edge"/>
              <c:yMode val="edge"/>
              <c:x val="2.8953010707915678E-3"/>
              <c:y val="6.5953248533495079E-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65000"/>
                <a:lumOff val="3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7152016"/>
        <c:crosses val="autoZero"/>
        <c:auto val="1"/>
        <c:lblAlgn val="ctr"/>
        <c:lblOffset val="100"/>
        <c:noMultiLvlLbl val="0"/>
      </c:catAx>
      <c:valAx>
        <c:axId val="577152016"/>
        <c:scaling>
          <c:orientation val="minMax"/>
        </c:scaling>
        <c:delete val="0"/>
        <c:axPos val="l"/>
        <c:numFmt formatCode="#,##0" sourceLinked="1"/>
        <c:majorTickMark val="out"/>
        <c:minorTickMark val="none"/>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8397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58336816933483"/>
          <c:y val="0.13162053903115872"/>
          <c:w val="0.860827548503595"/>
          <c:h val="0.6771887659323037"/>
        </c:manualLayout>
      </c:layout>
      <c:barChart>
        <c:barDir val="col"/>
        <c:grouping val="stacked"/>
        <c:varyColors val="0"/>
        <c:ser>
          <c:idx val="0"/>
          <c:order val="0"/>
          <c:tx>
            <c:strRef>
              <c:f>'[Figure 10,14,18,22,26,30,34 commercial floorspace updated for final MICLUP .xlsx]1+2. commercial floorspace '!$B$21</c:f>
              <c:strCache>
                <c:ptCount val="1"/>
                <c:pt idx="0">
                  <c:v>Office</c:v>
                </c:pt>
              </c:strCache>
            </c:strRef>
          </c:tx>
          <c:spPr>
            <a:solidFill>
              <a:srgbClr val="4D446C"/>
            </a:solidFill>
            <a:ln>
              <a:noFill/>
            </a:ln>
            <a:effectLst/>
          </c:spPr>
          <c:invertIfNegative val="0"/>
          <c:cat>
            <c:strRef>
              <c:f>'[Figure 10,14,18,22,26,30,34 commercial floorspace updated for final MICLUP .xlsx]1+2. commercial floorspace '!$A$22:$A$24</c:f>
              <c:strCache>
                <c:ptCount val="3"/>
                <c:pt idx="0">
                  <c:v>Melbourne</c:v>
                </c:pt>
                <c:pt idx="1">
                  <c:v>Port Phillip</c:v>
                </c:pt>
                <c:pt idx="2">
                  <c:v>Yarra</c:v>
                </c:pt>
              </c:strCache>
            </c:strRef>
          </c:cat>
          <c:val>
            <c:numRef>
              <c:f>'[Figure 10,14,18,22,26,30,34 commercial floorspace updated for final MICLUP .xlsx]1+2. commercial floorspace '!$B$22:$B$24</c:f>
              <c:numCache>
                <c:formatCode>#,##0</c:formatCode>
                <c:ptCount val="3"/>
                <c:pt idx="0">
                  <c:v>2439417.5849430128</c:v>
                </c:pt>
                <c:pt idx="1">
                  <c:v>481478.95579344605</c:v>
                </c:pt>
                <c:pt idx="2">
                  <c:v>413872.82279484917</c:v>
                </c:pt>
              </c:numCache>
            </c:numRef>
          </c:val>
          <c:extLst>
            <c:ext xmlns:c16="http://schemas.microsoft.com/office/drawing/2014/chart" uri="{C3380CC4-5D6E-409C-BE32-E72D297353CC}">
              <c16:uniqueId val="{00000000-CF22-2D40-A6D7-3231130CDB85}"/>
            </c:ext>
          </c:extLst>
        </c:ser>
        <c:ser>
          <c:idx val="1"/>
          <c:order val="1"/>
          <c:tx>
            <c:strRef>
              <c:f>'[Figure 10,14,18,22,26,30,34 commercial floorspace updated for final MICLUP .xlsx]1+2. commercial floorspace '!$C$21</c:f>
              <c:strCache>
                <c:ptCount val="1"/>
                <c:pt idx="0">
                  <c:v>Retail </c:v>
                </c:pt>
              </c:strCache>
            </c:strRef>
          </c:tx>
          <c:spPr>
            <a:solidFill>
              <a:srgbClr val="B293B3"/>
            </a:solidFill>
            <a:ln>
              <a:noFill/>
            </a:ln>
            <a:effectLst/>
          </c:spPr>
          <c:invertIfNegative val="0"/>
          <c:cat>
            <c:strRef>
              <c:f>'[Figure 10,14,18,22,26,30,34 commercial floorspace updated for final MICLUP .xlsx]1+2. commercial floorspace '!$A$22:$A$24</c:f>
              <c:strCache>
                <c:ptCount val="3"/>
                <c:pt idx="0">
                  <c:v>Melbourne</c:v>
                </c:pt>
                <c:pt idx="1">
                  <c:v>Port Phillip</c:v>
                </c:pt>
                <c:pt idx="2">
                  <c:v>Yarra</c:v>
                </c:pt>
              </c:strCache>
            </c:strRef>
          </c:cat>
          <c:val>
            <c:numRef>
              <c:f>'[Figure 10,14,18,22,26,30,34 commercial floorspace updated for final MICLUP .xlsx]1+2. commercial floorspace '!$C$22:$C$24</c:f>
              <c:numCache>
                <c:formatCode>#,##0</c:formatCode>
                <c:ptCount val="3"/>
                <c:pt idx="0">
                  <c:v>401908.56680524955</c:v>
                </c:pt>
                <c:pt idx="1">
                  <c:v>136426.62377416616</c:v>
                </c:pt>
                <c:pt idx="2">
                  <c:v>133947.60157795792</c:v>
                </c:pt>
              </c:numCache>
            </c:numRef>
          </c:val>
          <c:extLst>
            <c:ext xmlns:c16="http://schemas.microsoft.com/office/drawing/2014/chart" uri="{C3380CC4-5D6E-409C-BE32-E72D297353CC}">
              <c16:uniqueId val="{00000001-CF22-2D40-A6D7-3231130CDB85}"/>
            </c:ext>
          </c:extLst>
        </c:ser>
        <c:dLbls>
          <c:showLegendKey val="0"/>
          <c:showVal val="0"/>
          <c:showCatName val="0"/>
          <c:showSerName val="0"/>
          <c:showPercent val="0"/>
          <c:showBubbleSize val="0"/>
        </c:dLbls>
        <c:gapWidth val="150"/>
        <c:overlap val="100"/>
        <c:axId val="747841528"/>
        <c:axId val="747842840"/>
      </c:barChart>
      <c:catAx>
        <c:axId val="7478415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b="1">
                    <a:solidFill>
                      <a:sysClr val="windowText" lastClr="000000"/>
                    </a:solidFill>
                  </a:rPr>
                  <a:t>Square metres</a:t>
                </a:r>
                <a:endParaRPr lang="en-AU" b="1" baseline="30000">
                  <a:solidFill>
                    <a:sysClr val="windowText" lastClr="000000"/>
                  </a:solidFill>
                </a:endParaRPr>
              </a:p>
            </c:rich>
          </c:tx>
          <c:layout>
            <c:manualLayout>
              <c:xMode val="edge"/>
              <c:yMode val="edge"/>
              <c:x val="4.6114075626901771E-2"/>
              <c:y val="3.1942517788219792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65000"/>
                <a:lumOff val="3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7842840"/>
        <c:crosses val="autoZero"/>
        <c:auto val="1"/>
        <c:lblAlgn val="ctr"/>
        <c:lblOffset val="100"/>
        <c:noMultiLvlLbl val="0"/>
      </c:catAx>
      <c:valAx>
        <c:axId val="747842840"/>
        <c:scaling>
          <c:orientation val="minMax"/>
        </c:scaling>
        <c:delete val="0"/>
        <c:axPos val="l"/>
        <c:numFmt formatCode="#,##0" sourceLinked="1"/>
        <c:majorTickMark val="out"/>
        <c:minorTickMark val="none"/>
        <c:tickLblPos val="nextTo"/>
        <c:spPr>
          <a:noFill/>
          <a:ln>
            <a:solidFill>
              <a:schemeClr val="tx1">
                <a:lumMod val="75000"/>
                <a:lumOff val="2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7841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latin typeface="+mn-lt"/>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56448028006473"/>
          <c:y val="0.18033575108933128"/>
          <c:w val="0.87330381212204622"/>
          <c:h val="0.58886762006901827"/>
        </c:manualLayout>
      </c:layout>
      <c:barChart>
        <c:barDir val="col"/>
        <c:grouping val="clustered"/>
        <c:varyColors val="0"/>
        <c:ser>
          <c:idx val="0"/>
          <c:order val="0"/>
          <c:tx>
            <c:strRef>
              <c:f>'1. Population'!$C$63</c:f>
              <c:strCache>
                <c:ptCount val="1"/>
                <c:pt idx="0">
                  <c:v>2016</c:v>
                </c:pt>
              </c:strCache>
            </c:strRef>
          </c:tx>
          <c:spPr>
            <a:solidFill>
              <a:srgbClr val="B293B3"/>
            </a:solidFill>
            <a:ln>
              <a:noFill/>
            </a:ln>
            <a:effectLst/>
          </c:spPr>
          <c:invertIfNegative val="0"/>
          <c:cat>
            <c:strRef>
              <c:f>'1. Population'!$A$76:$A$81</c:f>
              <c:strCache>
                <c:ptCount val="6"/>
                <c:pt idx="0">
                  <c:v>Brimbank</c:v>
                </c:pt>
                <c:pt idx="1">
                  <c:v>Hobsons Bay</c:v>
                </c:pt>
                <c:pt idx="2">
                  <c:v>Maribyrnong</c:v>
                </c:pt>
                <c:pt idx="3">
                  <c:v>Melton</c:v>
                </c:pt>
                <c:pt idx="4">
                  <c:v>Moonee Valley</c:v>
                </c:pt>
                <c:pt idx="5">
                  <c:v>Wyndham</c:v>
                </c:pt>
              </c:strCache>
            </c:strRef>
          </c:cat>
          <c:val>
            <c:numRef>
              <c:f>'1. Population'!$C$76:$C$81</c:f>
              <c:numCache>
                <c:formatCode>#,##0</c:formatCode>
                <c:ptCount val="6"/>
                <c:pt idx="0">
                  <c:v>204190</c:v>
                </c:pt>
                <c:pt idx="1">
                  <c:v>93445</c:v>
                </c:pt>
                <c:pt idx="2">
                  <c:v>86942</c:v>
                </c:pt>
                <c:pt idx="3">
                  <c:v>141419.99999999997</c:v>
                </c:pt>
                <c:pt idx="4">
                  <c:v>122871</c:v>
                </c:pt>
                <c:pt idx="5">
                  <c:v>227008</c:v>
                </c:pt>
              </c:numCache>
            </c:numRef>
          </c:val>
          <c:extLst>
            <c:ext xmlns:c16="http://schemas.microsoft.com/office/drawing/2014/chart" uri="{C3380CC4-5D6E-409C-BE32-E72D297353CC}">
              <c16:uniqueId val="{00000000-5BB0-4240-A094-FC2F56D7BD00}"/>
            </c:ext>
          </c:extLst>
        </c:ser>
        <c:ser>
          <c:idx val="1"/>
          <c:order val="1"/>
          <c:tx>
            <c:strRef>
              <c:f>'1. Population'!$D$63</c:f>
              <c:strCache>
                <c:ptCount val="1"/>
                <c:pt idx="0">
                  <c:v>2031</c:v>
                </c:pt>
              </c:strCache>
            </c:strRef>
          </c:tx>
          <c:spPr>
            <a:solidFill>
              <a:srgbClr val="635B7E"/>
            </a:solidFill>
            <a:ln>
              <a:noFill/>
            </a:ln>
            <a:effectLst/>
          </c:spPr>
          <c:invertIfNegative val="0"/>
          <c:cat>
            <c:strRef>
              <c:f>'1. Population'!$A$76:$A$81</c:f>
              <c:strCache>
                <c:ptCount val="6"/>
                <c:pt idx="0">
                  <c:v>Brimbank</c:v>
                </c:pt>
                <c:pt idx="1">
                  <c:v>Hobsons Bay</c:v>
                </c:pt>
                <c:pt idx="2">
                  <c:v>Maribyrnong</c:v>
                </c:pt>
                <c:pt idx="3">
                  <c:v>Melton</c:v>
                </c:pt>
                <c:pt idx="4">
                  <c:v>Moonee Valley</c:v>
                </c:pt>
                <c:pt idx="5">
                  <c:v>Wyndham</c:v>
                </c:pt>
              </c:strCache>
            </c:strRef>
          </c:cat>
          <c:val>
            <c:numRef>
              <c:f>'1. Population'!$D$76:$D$81</c:f>
              <c:numCache>
                <c:formatCode>#,##0</c:formatCode>
                <c:ptCount val="6"/>
                <c:pt idx="0">
                  <c:v>233387.53125</c:v>
                </c:pt>
                <c:pt idx="1">
                  <c:v>113944.16604560916</c:v>
                </c:pt>
                <c:pt idx="2">
                  <c:v>133572.0048828125</c:v>
                </c:pt>
                <c:pt idx="3">
                  <c:v>276428.21931561385</c:v>
                </c:pt>
                <c:pt idx="4">
                  <c:v>156661.49409098638</c:v>
                </c:pt>
                <c:pt idx="5">
                  <c:v>406651.36764579709</c:v>
                </c:pt>
              </c:numCache>
            </c:numRef>
          </c:val>
          <c:extLst>
            <c:ext xmlns:c16="http://schemas.microsoft.com/office/drawing/2014/chart" uri="{C3380CC4-5D6E-409C-BE32-E72D297353CC}">
              <c16:uniqueId val="{00000001-5BB0-4240-A094-FC2F56D7BD00}"/>
            </c:ext>
          </c:extLst>
        </c:ser>
        <c:dLbls>
          <c:showLegendKey val="0"/>
          <c:showVal val="0"/>
          <c:showCatName val="0"/>
          <c:showSerName val="0"/>
          <c:showPercent val="0"/>
          <c:showBubbleSize val="0"/>
        </c:dLbls>
        <c:gapWidth val="219"/>
        <c:overlap val="-27"/>
        <c:axId val="728397000"/>
        <c:axId val="577152016"/>
      </c:barChart>
      <c:catAx>
        <c:axId val="7283970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No. of persons</a:t>
                </a:r>
              </a:p>
            </c:rich>
          </c:tx>
          <c:layout>
            <c:manualLayout>
              <c:xMode val="edge"/>
              <c:yMode val="edge"/>
              <c:x val="8.8905439476569671E-4"/>
              <c:y val="6.1880944035992834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65000"/>
                <a:lumOff val="3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7152016"/>
        <c:crosses val="autoZero"/>
        <c:auto val="1"/>
        <c:lblAlgn val="ctr"/>
        <c:lblOffset val="100"/>
        <c:noMultiLvlLbl val="0"/>
      </c:catAx>
      <c:valAx>
        <c:axId val="577152016"/>
        <c:scaling>
          <c:orientation val="minMax"/>
        </c:scaling>
        <c:delete val="0"/>
        <c:axPos val="l"/>
        <c:numFmt formatCode="#,##0" sourceLinked="1"/>
        <c:majorTickMark val="out"/>
        <c:minorTickMark val="none"/>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8397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58336816933483"/>
          <c:y val="0.16273994861982224"/>
          <c:w val="0.860827548503595"/>
          <c:h val="0.64606925508274748"/>
        </c:manualLayout>
      </c:layout>
      <c:barChart>
        <c:barDir val="col"/>
        <c:grouping val="stacked"/>
        <c:varyColors val="0"/>
        <c:ser>
          <c:idx val="0"/>
          <c:order val="0"/>
          <c:tx>
            <c:strRef>
              <c:f>'[Figure 10,14,18,22,26,30,34 commercial floorspace updated for final MICLUP .xlsx]1+2. commercial floorspace '!$B$28</c:f>
              <c:strCache>
                <c:ptCount val="1"/>
                <c:pt idx="0">
                  <c:v>Office</c:v>
                </c:pt>
              </c:strCache>
            </c:strRef>
          </c:tx>
          <c:spPr>
            <a:solidFill>
              <a:srgbClr val="4D446C"/>
            </a:solidFill>
            <a:ln>
              <a:noFill/>
            </a:ln>
            <a:effectLst/>
          </c:spPr>
          <c:invertIfNegative val="0"/>
          <c:cat>
            <c:strRef>
              <c:f>'[Figure 10,14,18,22,26,30,34 commercial floorspace updated for final MICLUP .xlsx]1+2. commercial floorspace '!$A$29:$A$34</c:f>
              <c:strCache>
                <c:ptCount val="6"/>
                <c:pt idx="0">
                  <c:v>Brimbank</c:v>
                </c:pt>
                <c:pt idx="1">
                  <c:v>Hobsons Bay</c:v>
                </c:pt>
                <c:pt idx="2">
                  <c:v>Maribyrnong</c:v>
                </c:pt>
                <c:pt idx="3">
                  <c:v>Melton </c:v>
                </c:pt>
                <c:pt idx="4">
                  <c:v>Moonee Valley</c:v>
                </c:pt>
                <c:pt idx="5">
                  <c:v>Wyndham</c:v>
                </c:pt>
              </c:strCache>
            </c:strRef>
          </c:cat>
          <c:val>
            <c:numRef>
              <c:f>'[Figure 10,14,18,22,26,30,34 commercial floorspace updated for final MICLUP .xlsx]1+2. commercial floorspace '!$B$29:$B$34</c:f>
              <c:numCache>
                <c:formatCode>#,##0</c:formatCode>
                <c:ptCount val="6"/>
                <c:pt idx="0">
                  <c:v>88223.113196418621</c:v>
                </c:pt>
                <c:pt idx="1">
                  <c:v>32027.057442223231</c:v>
                </c:pt>
                <c:pt idx="2">
                  <c:v>80598.591375527103</c:v>
                </c:pt>
                <c:pt idx="3">
                  <c:v>168782.19583836896</c:v>
                </c:pt>
                <c:pt idx="4">
                  <c:v>171450.87948910237</c:v>
                </c:pt>
                <c:pt idx="5">
                  <c:v>269830.87168760906</c:v>
                </c:pt>
              </c:numCache>
            </c:numRef>
          </c:val>
          <c:extLst>
            <c:ext xmlns:c16="http://schemas.microsoft.com/office/drawing/2014/chart" uri="{C3380CC4-5D6E-409C-BE32-E72D297353CC}">
              <c16:uniqueId val="{00000000-D999-3747-BF57-DF0D2DE4EAF5}"/>
            </c:ext>
          </c:extLst>
        </c:ser>
        <c:ser>
          <c:idx val="1"/>
          <c:order val="1"/>
          <c:tx>
            <c:strRef>
              <c:f>'[Figure 10,14,18,22,26,30,34 commercial floorspace updated for final MICLUP .xlsx]1+2. commercial floorspace '!$C$28</c:f>
              <c:strCache>
                <c:ptCount val="1"/>
                <c:pt idx="0">
                  <c:v>Retail </c:v>
                </c:pt>
              </c:strCache>
            </c:strRef>
          </c:tx>
          <c:spPr>
            <a:solidFill>
              <a:srgbClr val="B293B3"/>
            </a:solidFill>
            <a:ln>
              <a:noFill/>
            </a:ln>
            <a:effectLst/>
          </c:spPr>
          <c:invertIfNegative val="0"/>
          <c:cat>
            <c:strRef>
              <c:f>'[Figure 10,14,18,22,26,30,34 commercial floorspace updated for final MICLUP .xlsx]1+2. commercial floorspace '!$A$29:$A$34</c:f>
              <c:strCache>
                <c:ptCount val="6"/>
                <c:pt idx="0">
                  <c:v>Brimbank</c:v>
                </c:pt>
                <c:pt idx="1">
                  <c:v>Hobsons Bay</c:v>
                </c:pt>
                <c:pt idx="2">
                  <c:v>Maribyrnong</c:v>
                </c:pt>
                <c:pt idx="3">
                  <c:v>Melton </c:v>
                </c:pt>
                <c:pt idx="4">
                  <c:v>Moonee Valley</c:v>
                </c:pt>
                <c:pt idx="5">
                  <c:v>Wyndham</c:v>
                </c:pt>
              </c:strCache>
            </c:strRef>
          </c:cat>
          <c:val>
            <c:numRef>
              <c:f>'[Figure 10,14,18,22,26,30,34 commercial floorspace updated for final MICLUP .xlsx]1+2. commercial floorspace '!$C$29:$C$34</c:f>
              <c:numCache>
                <c:formatCode>#,##0</c:formatCode>
                <c:ptCount val="6"/>
                <c:pt idx="0">
                  <c:v>17646.462808748525</c:v>
                </c:pt>
                <c:pt idx="1">
                  <c:v>31912.65191648683</c:v>
                </c:pt>
                <c:pt idx="2">
                  <c:v>113761.77146879531</c:v>
                </c:pt>
                <c:pt idx="3">
                  <c:v>179502.18711718876</c:v>
                </c:pt>
                <c:pt idx="4">
                  <c:v>95693.855342176103</c:v>
                </c:pt>
                <c:pt idx="5">
                  <c:v>298953.66458525159</c:v>
                </c:pt>
              </c:numCache>
            </c:numRef>
          </c:val>
          <c:extLst>
            <c:ext xmlns:c16="http://schemas.microsoft.com/office/drawing/2014/chart" uri="{C3380CC4-5D6E-409C-BE32-E72D297353CC}">
              <c16:uniqueId val="{00000001-D999-3747-BF57-DF0D2DE4EAF5}"/>
            </c:ext>
          </c:extLst>
        </c:ser>
        <c:dLbls>
          <c:showLegendKey val="0"/>
          <c:showVal val="0"/>
          <c:showCatName val="0"/>
          <c:showSerName val="0"/>
          <c:showPercent val="0"/>
          <c:showBubbleSize val="0"/>
        </c:dLbls>
        <c:gapWidth val="150"/>
        <c:overlap val="100"/>
        <c:axId val="747841528"/>
        <c:axId val="747842840"/>
      </c:barChart>
      <c:catAx>
        <c:axId val="74784152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AU" b="1"/>
                  <a:t>Square metres</a:t>
                </a:r>
                <a:endParaRPr lang="en-AU" b="1" baseline="30000"/>
              </a:p>
            </c:rich>
          </c:tx>
          <c:layout>
            <c:manualLayout>
              <c:xMode val="edge"/>
              <c:yMode val="edge"/>
              <c:x val="4.8300334294231625E-2"/>
              <c:y val="6.4730679964275728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65000"/>
                <a:lumOff val="3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7842840"/>
        <c:crosses val="autoZero"/>
        <c:auto val="1"/>
        <c:lblAlgn val="ctr"/>
        <c:lblOffset val="100"/>
        <c:noMultiLvlLbl val="0"/>
      </c:catAx>
      <c:valAx>
        <c:axId val="747842840"/>
        <c:scaling>
          <c:orientation val="minMax"/>
        </c:scaling>
        <c:delete val="0"/>
        <c:axPos val="l"/>
        <c:numFmt formatCode="#,##0" sourceLinked="1"/>
        <c:majorTickMark val="out"/>
        <c:minorTickMark val="none"/>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7841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latin typeface="+mn-lt"/>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56448028006473"/>
          <c:y val="0.15839276788941592"/>
          <c:w val="0.87330381212204622"/>
          <c:h val="0.53942861774387074"/>
        </c:manualLayout>
      </c:layout>
      <c:barChart>
        <c:barDir val="col"/>
        <c:grouping val="clustered"/>
        <c:varyColors val="0"/>
        <c:ser>
          <c:idx val="0"/>
          <c:order val="0"/>
          <c:tx>
            <c:strRef>
              <c:f>'1. Population'!$C$63</c:f>
              <c:strCache>
                <c:ptCount val="1"/>
                <c:pt idx="0">
                  <c:v>2016</c:v>
                </c:pt>
              </c:strCache>
            </c:strRef>
          </c:tx>
          <c:spPr>
            <a:solidFill>
              <a:srgbClr val="B293B3"/>
            </a:solidFill>
            <a:ln>
              <a:noFill/>
            </a:ln>
            <a:effectLst/>
          </c:spPr>
          <c:invertIfNegative val="0"/>
          <c:cat>
            <c:strRef>
              <c:f>'1. Population'!$A$85:$A$91</c:f>
              <c:strCache>
                <c:ptCount val="7"/>
                <c:pt idx="0">
                  <c:v>Banyule</c:v>
                </c:pt>
                <c:pt idx="1">
                  <c:v>Darebin</c:v>
                </c:pt>
                <c:pt idx="2">
                  <c:v>Hume</c:v>
                </c:pt>
                <c:pt idx="3">
                  <c:v>Mitchell (Wallan SA2)</c:v>
                </c:pt>
                <c:pt idx="4">
                  <c:v>Moreland</c:v>
                </c:pt>
                <c:pt idx="5">
                  <c:v>Nillumbik</c:v>
                </c:pt>
                <c:pt idx="6">
                  <c:v>Whittlesea</c:v>
                </c:pt>
              </c:strCache>
            </c:strRef>
          </c:cat>
          <c:val>
            <c:numRef>
              <c:f>'1. Population'!$C$85:$C$91</c:f>
              <c:numCache>
                <c:formatCode>#,##0</c:formatCode>
                <c:ptCount val="7"/>
                <c:pt idx="0">
                  <c:v>127447</c:v>
                </c:pt>
                <c:pt idx="1">
                  <c:v>155126</c:v>
                </c:pt>
                <c:pt idx="2">
                  <c:v>207041</c:v>
                </c:pt>
                <c:pt idx="3">
                  <c:v>16747</c:v>
                </c:pt>
                <c:pt idx="4">
                  <c:v>172294</c:v>
                </c:pt>
                <c:pt idx="5">
                  <c:v>64174</c:v>
                </c:pt>
                <c:pt idx="6">
                  <c:v>207058</c:v>
                </c:pt>
              </c:numCache>
            </c:numRef>
          </c:val>
          <c:extLst>
            <c:ext xmlns:c16="http://schemas.microsoft.com/office/drawing/2014/chart" uri="{C3380CC4-5D6E-409C-BE32-E72D297353CC}">
              <c16:uniqueId val="{00000000-1E94-4B06-AA04-4A1D594733C6}"/>
            </c:ext>
          </c:extLst>
        </c:ser>
        <c:ser>
          <c:idx val="1"/>
          <c:order val="1"/>
          <c:tx>
            <c:strRef>
              <c:f>'1. Population'!$D$63</c:f>
              <c:strCache>
                <c:ptCount val="1"/>
                <c:pt idx="0">
                  <c:v>2031</c:v>
                </c:pt>
              </c:strCache>
            </c:strRef>
          </c:tx>
          <c:spPr>
            <a:solidFill>
              <a:srgbClr val="635B7E"/>
            </a:solidFill>
            <a:ln>
              <a:noFill/>
            </a:ln>
            <a:effectLst/>
          </c:spPr>
          <c:invertIfNegative val="0"/>
          <c:cat>
            <c:strRef>
              <c:f>'1. Population'!$A$85:$A$91</c:f>
              <c:strCache>
                <c:ptCount val="7"/>
                <c:pt idx="0">
                  <c:v>Banyule</c:v>
                </c:pt>
                <c:pt idx="1">
                  <c:v>Darebin</c:v>
                </c:pt>
                <c:pt idx="2">
                  <c:v>Hume</c:v>
                </c:pt>
                <c:pt idx="3">
                  <c:v>Mitchell (Wallan SA2)</c:v>
                </c:pt>
                <c:pt idx="4">
                  <c:v>Moreland</c:v>
                </c:pt>
                <c:pt idx="5">
                  <c:v>Nillumbik</c:v>
                </c:pt>
                <c:pt idx="6">
                  <c:v>Whittlesea</c:v>
                </c:pt>
              </c:strCache>
            </c:strRef>
          </c:cat>
          <c:val>
            <c:numRef>
              <c:f>'1. Population'!$D$85:$D$91</c:f>
              <c:numCache>
                <c:formatCode>#,##0</c:formatCode>
                <c:ptCount val="7"/>
                <c:pt idx="0">
                  <c:v>144679.0439453125</c:v>
                </c:pt>
                <c:pt idx="1">
                  <c:v>196027.748046875</c:v>
                </c:pt>
                <c:pt idx="2">
                  <c:v>316240.05821124162</c:v>
                </c:pt>
                <c:pt idx="3">
                  <c:v>47160.57421875</c:v>
                </c:pt>
                <c:pt idx="4">
                  <c:v>224995.29658596544</c:v>
                </c:pt>
                <c:pt idx="5">
                  <c:v>68409.58154296875</c:v>
                </c:pt>
                <c:pt idx="6">
                  <c:v>327470.9716796875</c:v>
                </c:pt>
              </c:numCache>
            </c:numRef>
          </c:val>
          <c:extLst>
            <c:ext xmlns:c16="http://schemas.microsoft.com/office/drawing/2014/chart" uri="{C3380CC4-5D6E-409C-BE32-E72D297353CC}">
              <c16:uniqueId val="{00000001-1E94-4B06-AA04-4A1D594733C6}"/>
            </c:ext>
          </c:extLst>
        </c:ser>
        <c:dLbls>
          <c:showLegendKey val="0"/>
          <c:showVal val="0"/>
          <c:showCatName val="0"/>
          <c:showSerName val="0"/>
          <c:showPercent val="0"/>
          <c:showBubbleSize val="0"/>
        </c:dLbls>
        <c:gapWidth val="219"/>
        <c:overlap val="-27"/>
        <c:axId val="728397000"/>
        <c:axId val="577152016"/>
      </c:barChart>
      <c:catAx>
        <c:axId val="728397000"/>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sz="900"/>
                  <a:t>No. of persons</a:t>
                </a:r>
              </a:p>
            </c:rich>
          </c:tx>
          <c:layout>
            <c:manualLayout>
              <c:xMode val="edge"/>
              <c:yMode val="edge"/>
              <c:x val="1.4057493608263128E-3"/>
              <c:y val="3.471311488299100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65000"/>
                <a:lumOff val="3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7152016"/>
        <c:crosses val="autoZero"/>
        <c:auto val="1"/>
        <c:lblAlgn val="ctr"/>
        <c:lblOffset val="100"/>
        <c:noMultiLvlLbl val="0"/>
      </c:catAx>
      <c:valAx>
        <c:axId val="577152016"/>
        <c:scaling>
          <c:orientation val="minMax"/>
        </c:scaling>
        <c:delete val="0"/>
        <c:axPos val="l"/>
        <c:numFmt formatCode="#,##0" sourceLinked="1"/>
        <c:majorTickMark val="out"/>
        <c:minorTickMark val="none"/>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8397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ustom 6">
      <a:dk1>
        <a:sysClr val="windowText" lastClr="000000"/>
      </a:dk1>
      <a:lt1>
        <a:sysClr val="window" lastClr="FFFFFF"/>
      </a:lt1>
      <a:dk2>
        <a:srgbClr val="44546A"/>
      </a:dk2>
      <a:lt2>
        <a:srgbClr val="E7E6E6"/>
      </a:lt2>
      <a:accent1>
        <a:srgbClr val="94D6DC"/>
      </a:accent1>
      <a:accent2>
        <a:srgbClr val="EE407C"/>
      </a:accent2>
      <a:accent3>
        <a:srgbClr val="0CB9BD"/>
      </a:accent3>
      <a:accent4>
        <a:srgbClr val="D4DE2A"/>
      </a:accent4>
      <a:accent5>
        <a:srgbClr val="086281"/>
      </a:accent5>
      <a:accent6>
        <a:srgbClr val="6460AB"/>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haredContentType xmlns="Microsoft.SharePoint.Taxonomy.ContentTypeSync" SourceId="797aeec6-0273-40f2-ab3e-beee73212332" ContentTypeId="0x0101002517F445A0F35E449C98AAD631F2B03875" PreviousValue="false"/>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Meeting Paper" ma:contentTypeID="0x0101002517F445A0F35E449C98AAD631F2B0387500FF250D22B65FA34BA877078AA8455BD7" ma:contentTypeVersion="23" ma:contentTypeDescription="A meeting paper contains information specifically related to a meeting agenda item , used to brief attendees - DELWP" ma:contentTypeScope="" ma:versionID="29e5eb8c9471cd75017d75add0edd181">
  <xsd:schema xmlns:xsd="http://www.w3.org/2001/XMLSchema" xmlns:xs="http://www.w3.org/2001/XMLSchema" xmlns:p="http://schemas.microsoft.com/office/2006/metadata/properties" xmlns:ns1="http://schemas.microsoft.com/sharepoint/v3" xmlns:ns2="a5f32de4-e402-4188-b034-e71ca7d22e54" xmlns:ns3="9fd47c19-1c4a-4d7d-b342-c10cef269344" xmlns:ns4="7fb10a2a-0aa6-41b2-9505-75bfecd881e8" xmlns:ns5="c42f9c80-6326-4d3e-8624-f1221488f056" targetNamespace="http://schemas.microsoft.com/office/2006/metadata/properties" ma:root="true" ma:fieldsID="976a4d5bd65076c472049c9bb120ea38" ns1:_="" ns2:_="" ns3:_="" ns4:_="" ns5:_="">
    <xsd:import namespace="http://schemas.microsoft.com/sharepoint/v3"/>
    <xsd:import namespace="a5f32de4-e402-4188-b034-e71ca7d22e54"/>
    <xsd:import namespace="9fd47c19-1c4a-4d7d-b342-c10cef269344"/>
    <xsd:import namespace="7fb10a2a-0aa6-41b2-9505-75bfecd881e8"/>
    <xsd:import namespace="c42f9c80-6326-4d3e-8624-f1221488f056"/>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4:MediaServiceDateTaken" minOccurs="0"/>
                <xsd:element ref="ns4:MediaServiceLocation" minOccurs="0"/>
                <xsd:element ref="ns4:MediaServiceGenerationTime" minOccurs="0"/>
                <xsd:element ref="ns4:MediaServiceEventHashCode" minOccurs="0"/>
                <xsd:element ref="ns4:MediaServiceAutoKeyPoints" minOccurs="0"/>
                <xsd:element ref="ns4:MediaServiceKeyPoints" minOccurs="0"/>
                <xsd:element ref="ns4:MediaServiceOCR" minOccurs="0"/>
                <xsd:element ref="ns5:Project_x0020_Functions" minOccurs="0"/>
                <xsd:element ref="ns4:MediaServiceFastMetadata" minOccurs="0"/>
                <xsd:element ref="ns4:MediaServiceMetadata" minOccurs="0"/>
                <xsd:element ref="ns5:SharedWithDetails" minOccurs="0"/>
                <xsd:element ref="ns4:MediaServiceAutoTags" minOccurs="0"/>
                <xsd:element ref="ns5: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7;#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ma:taxonomy="true" ma:internalName="mfe9accc5a0b4653a7b513b67ffd122d" ma:taxonomyFieldName="Branch" ma:displayName="Branch" ma:default="4;#Planning Projects|d219d5e2-8a35-4610-bf14-658e59e4db98"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3f074256-959f-4882-a500-9cd963490934}" ma:internalName="TaxCatchAll" ma:showField="CatchAllData" ma:web="c42f9c80-6326-4d3e-8624-f1221488f056">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3f074256-959f-4882-a500-9cd963490934}" ma:internalName="TaxCatchAllLabel" ma:readOnly="true" ma:showField="CatchAllDataLabel" ma:web="c42f9c80-6326-4d3e-8624-f1221488f056">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ma:taxonomy="true" ma:internalName="ic50d0a05a8e4d9791dac67f8a1e716c" ma:taxonomyFieldName="Group1" ma:displayName="Group" ma:default="6;#Planning|a27341dd-7be7-4882-a552-a667d667e276"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ma:taxonomy="true" ma:internalName="n771d69a070c4babbf278c67c8a2b859" ma:taxonomyFieldName="Division" ma:displayName="Division" ma:default="5;#Planning Implementation|06da14fd-37da-4d18-9fc8-be88426fa8db"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fb10a2a-0aa6-41b2-9505-75bfecd881e8" elementFormDefault="qualified">
    <xsd:import namespace="http://schemas.microsoft.com/office/2006/documentManagement/types"/>
    <xsd:import namespace="http://schemas.microsoft.com/office/infopath/2007/PartnerControls"/>
    <xsd:element name="MediaServiceDateTaken" ma:index="31" nillable="true" ma:displayName="MediaServiceDateTaken" ma:hidden="true" ma:internalName="MediaServiceDateTaken" ma:readOnly="true">
      <xsd:simpleType>
        <xsd:restriction base="dms:Text"/>
      </xsd:simpleType>
    </xsd:element>
    <xsd:element name="MediaServiceLocation" ma:index="32" nillable="true" ma:displayName="Location" ma:internalName="MediaServiceLocation" ma:readOnly="true">
      <xsd:simpleType>
        <xsd:restriction base="dms:Text"/>
      </xsd:simpleType>
    </xsd:element>
    <xsd:element name="MediaServiceGenerationTime" ma:index="33" nillable="true" ma:displayName="MediaServiceGenerationTime" ma:hidden="true" ma:internalName="MediaServiceGenerationTime" ma:readOnly="true">
      <xsd:simpleType>
        <xsd:restriction base="dms:Text"/>
      </xsd:simpleType>
    </xsd:element>
    <xsd:element name="MediaServiceEventHashCode" ma:index="34" nillable="true" ma:displayName="MediaServiceEventHashCode" ma:hidden="true" ma:internalName="MediaServiceEventHashCode" ma:readOnly="true">
      <xsd:simpleType>
        <xsd:restriction base="dms:Text"/>
      </xsd:simpleType>
    </xsd:element>
    <xsd:element name="MediaServiceAutoKeyPoints" ma:index="35" nillable="true" ma:displayName="MediaServiceAutoKeyPoints" ma:hidden="true" ma:internalName="MediaServiceAutoKeyPoints" ma:readOnly="true">
      <xsd:simpleType>
        <xsd:restriction base="dms:Note"/>
      </xsd:simpleType>
    </xsd:element>
    <xsd:element name="MediaServiceKeyPoints" ma:index="36" nillable="true" ma:displayName="KeyPoints" ma:internalName="MediaServiceKeyPoints" ma:readOnly="true">
      <xsd:simpleType>
        <xsd:restriction base="dms:Note">
          <xsd:maxLength value="255"/>
        </xsd:restriction>
      </xsd:simpleType>
    </xsd:element>
    <xsd:element name="MediaServiceOCR" ma:index="37" nillable="true" ma:displayName="MediaServiceOCR" ma:internalName="MediaServiceOCR" ma:readOnly="true">
      <xsd:simpleType>
        <xsd:restriction base="dms:Note">
          <xsd:maxLength value="255"/>
        </xsd:restriction>
      </xsd:simpleType>
    </xsd:element>
    <xsd:element name="MediaServiceFastMetadata" ma:index="39" nillable="true" ma:displayName="MediaServiceFastMetadata" ma:hidden="true" ma:internalName="MediaServiceFastMetadata" ma:readOnly="true">
      <xsd:simpleType>
        <xsd:restriction base="dms:Note"/>
      </xsd:simpleType>
    </xsd:element>
    <xsd:element name="MediaServiceMetadata" ma:index="40" nillable="true" ma:displayName="MediaServiceMetadata" ma:hidden="true" ma:internalName="MediaServiceMetadata" ma:readOnly="true">
      <xsd:simpleType>
        <xsd:restriction base="dms:Note"/>
      </xsd:simpleType>
    </xsd:element>
    <xsd:element name="MediaServiceAutoTags" ma:index="42" nillable="true" ma:displayName="MediaServiceAuto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2f9c80-6326-4d3e-8624-f1221488f056" elementFormDefault="qualified">
    <xsd:import namespace="http://schemas.microsoft.com/office/2006/documentManagement/types"/>
    <xsd:import namespace="http://schemas.microsoft.com/office/infopath/2007/PartnerControls"/>
    <xsd:element name="Project_x0020_Functions" ma:index="38" nillable="true" ma:displayName="Project Functions" ma:format="Dropdown" ma:internalName="Project_x0020_Functions">
      <xsd:simpleType>
        <xsd:restriction base="dms:Choice">
          <xsd:enumeration value="Budgets"/>
          <xsd:enumeration value="Project Management"/>
          <xsd:enumeration value="Meetings"/>
          <xsd:enumeration value="Correspondence"/>
          <xsd:enumeration value="Communications"/>
          <xsd:enumeration value="Development &amp; Analysis"/>
          <xsd:enumeration value="Consultation"/>
          <xsd:enumeration value="Other"/>
        </xsd:restriction>
      </xsd:simpleType>
    </xsd:element>
    <xsd:element name="SharedWithDetails" ma:index="41" nillable="true" ma:displayName="Shared With Details" ma:internalName="SharedWithDetails" ma:readOnly="true">
      <xsd:simpleType>
        <xsd:restriction base="dms:Note">
          <xsd:maxLength value="255"/>
        </xsd:restriction>
      </xsd:simpleType>
    </xsd:element>
    <xsd:element name="SharedWithUsers" ma:index="4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customXsn xmlns="http://schemas.microsoft.com/office/2006/metadata/customXsn">
  <xsnLocation/>
  <cached>True</cached>
  <openByDefault>True</openByDefault>
  <xsnScope>/sites/contentTypeHub</xsnScope>
</customXsn>
</file>

<file path=customXml/item7.xml><?xml version="1.0" encoding="utf-8"?>
<p:properties xmlns:p="http://schemas.microsoft.com/office/2006/metadata/properties" xmlns:xsi="http://www.w3.org/2001/XMLSchema-instance" xmlns:pc="http://schemas.microsoft.com/office/infopath/2007/PartnerControls">
  <documentManagement>
    <_dlc_DocId xmlns="a5f32de4-e402-4188-b034-e71ca7d22e54">DOCID378-1775153642-1821</_dlc_DocId>
    <_dlc_DocIdUrl xmlns="a5f32de4-e402-4188-b034-e71ca7d22e54">
      <Url>https://delwpvicgovau.sharepoint.com/sites/ecm_378/_layouts/15/DocIdRedir.aspx?ID=DOCID378-1775153642-1821</Url>
      <Description>DOCID378-1775153642-1821</Description>
    </_dlc_DocIdUrl>
    <Language xmlns="http://schemas.microsoft.com/sharepoint/v3">English</Language>
    <TaxCatchAll xmlns="9fd47c19-1c4a-4d7d-b342-c10cef269344">
      <Value>7</Value>
      <Value>6</Value>
      <Value>5</Value>
      <Value>4</Value>
      <Value>3</Value>
      <Value>2</Value>
      <Value>1</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Planning Implementation</TermName>
          <TermId xmlns="http://schemas.microsoft.com/office/infopath/2007/PartnerControls">06da14fd-37da-4d18-9fc8-be88426fa8db</TermId>
        </TermInfo>
      </Terms>
    </n771d69a070c4babbf278c67c8a2b859>
    <Project_x0020_Functions xmlns="c42f9c80-6326-4d3e-8624-f1221488f056">Development &amp; Analysis</Project_x0020_Functions>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Planning Projects</TermName>
          <TermId xmlns="http://schemas.microsoft.com/office/infopath/2007/PartnerControls">d219d5e2-8a35-4610-bf14-658e59e4db98</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 xsi:nil="true"/>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Planning</TermName>
          <TermId xmlns="http://schemas.microsoft.com/office/infopath/2007/PartnerControls">a27341dd-7be7-4882-a552-a667d667e276</TermId>
        </TermInfo>
      </Terms>
    </ic50d0a05a8e4d9791dac67f8a1e716c>
    <SharedWithUsers xmlns="c42f9c80-6326-4d3e-8624-f1221488f056">
      <UserInfo>
        <DisplayName>Julie M Hallyburton (DELWP)</DisplayName>
        <AccountId>568</AccountId>
        <AccountType/>
      </UserInfo>
    </SharedWithUsers>
  </documentManagement>
</p:properties>
</file>

<file path=customXml/itemProps1.xml><?xml version="1.0" encoding="utf-8"?>
<ds:datastoreItem xmlns:ds="http://schemas.openxmlformats.org/officeDocument/2006/customXml" ds:itemID="{21C3C25F-56C4-4A6D-8A9A-5556F7E9F037}">
  <ds:schemaRefs>
    <ds:schemaRef ds:uri="http://schemas.microsoft.com/sharepoint/v3/contenttype/forms"/>
  </ds:schemaRefs>
</ds:datastoreItem>
</file>

<file path=customXml/itemProps2.xml><?xml version="1.0" encoding="utf-8"?>
<ds:datastoreItem xmlns:ds="http://schemas.openxmlformats.org/officeDocument/2006/customXml" ds:itemID="{55DF0A15-8948-4F60-BADC-9E66EFF7E76C}">
  <ds:schemaRefs>
    <ds:schemaRef ds:uri="Microsoft.SharePoint.Taxonomy.ContentTypeSync"/>
  </ds:schemaRefs>
</ds:datastoreItem>
</file>

<file path=customXml/itemProps3.xml><?xml version="1.0" encoding="utf-8"?>
<ds:datastoreItem xmlns:ds="http://schemas.openxmlformats.org/officeDocument/2006/customXml" ds:itemID="{2204EB8B-0F16-8545-8479-67393F42EA65}">
  <ds:schemaRefs>
    <ds:schemaRef ds:uri="http://schemas.openxmlformats.org/officeDocument/2006/bibliography"/>
  </ds:schemaRefs>
</ds:datastoreItem>
</file>

<file path=customXml/itemProps4.xml><?xml version="1.0" encoding="utf-8"?>
<ds:datastoreItem xmlns:ds="http://schemas.openxmlformats.org/officeDocument/2006/customXml" ds:itemID="{E430F460-2446-420F-935E-0180D82159E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7fb10a2a-0aa6-41b2-9505-75bfecd881e8"/>
    <ds:schemaRef ds:uri="c42f9c80-6326-4d3e-8624-f1221488f05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CF1EFA7-7FDC-40BC-9ACC-F08D2E4BE1FC}">
  <ds:schemaRefs>
    <ds:schemaRef ds:uri="http://schemas.microsoft.com/sharepoint/events"/>
  </ds:schemaRefs>
</ds:datastoreItem>
</file>

<file path=customXml/itemProps6.xml><?xml version="1.0" encoding="utf-8"?>
<ds:datastoreItem xmlns:ds="http://schemas.openxmlformats.org/officeDocument/2006/customXml" ds:itemID="{A295D515-43B1-47BB-B4C3-E7385B38CD7E}">
  <ds:schemaRefs>
    <ds:schemaRef ds:uri="http://schemas.microsoft.com/office/2006/metadata/customXsn"/>
  </ds:schemaRefs>
</ds:datastoreItem>
</file>

<file path=customXml/itemProps7.xml><?xml version="1.0" encoding="utf-8"?>
<ds:datastoreItem xmlns:ds="http://schemas.openxmlformats.org/officeDocument/2006/customXml" ds:itemID="{5198A99D-CFE0-41C5-A0AC-EA6C7B09393A}">
  <ds:schemaRefs>
    <ds:schemaRef ds:uri="http://schemas.microsoft.com/office/2006/metadata/properties"/>
    <ds:schemaRef ds:uri="http://schemas.microsoft.com/office/infopath/2007/PartnerControls"/>
    <ds:schemaRef ds:uri="a5f32de4-e402-4188-b034-e71ca7d22e54"/>
    <ds:schemaRef ds:uri="http://schemas.microsoft.com/sharepoint/v3"/>
    <ds:schemaRef ds:uri="9fd47c19-1c4a-4d7d-b342-c10cef269344"/>
    <ds:schemaRef ds:uri="c42f9c80-6326-4d3e-8624-f1221488f056"/>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111</Pages>
  <Words>39919</Words>
  <Characters>227542</Characters>
  <Application>Microsoft Office Word</Application>
  <DocSecurity>0</DocSecurity>
  <Lines>1896</Lines>
  <Paragraphs>533</Paragraphs>
  <ScaleCrop>false</ScaleCrop>
  <HeadingPairs>
    <vt:vector size="2" baseType="variant">
      <vt:variant>
        <vt:lpstr>Title</vt:lpstr>
      </vt:variant>
      <vt:variant>
        <vt:i4>1</vt:i4>
      </vt:variant>
    </vt:vector>
  </HeadingPairs>
  <TitlesOfParts>
    <vt:vector size="1" baseType="lpstr">
      <vt:lpstr>Final MICLUP for for checking post MBR041994</vt:lpstr>
    </vt:vector>
  </TitlesOfParts>
  <Manager/>
  <Company/>
  <LinksUpToDate>false</LinksUpToDate>
  <CharactersWithSpaces>266928</CharactersWithSpaces>
  <SharedDoc>false</SharedDoc>
  <HyperlinkBase/>
  <HLinks>
    <vt:vector size="24" baseType="variant">
      <vt:variant>
        <vt:i4>1638431</vt:i4>
      </vt:variant>
      <vt:variant>
        <vt:i4>9</vt:i4>
      </vt:variant>
      <vt:variant>
        <vt:i4>0</vt:i4>
      </vt:variant>
      <vt:variant>
        <vt:i4>5</vt:i4>
      </vt:variant>
      <vt:variant>
        <vt:lpwstr>http://www.delwp.vic.gov.au/</vt:lpwstr>
      </vt:variant>
      <vt:variant>
        <vt:lpwstr/>
      </vt:variant>
      <vt:variant>
        <vt:i4>2490422</vt:i4>
      </vt:variant>
      <vt:variant>
        <vt:i4>6</vt:i4>
      </vt:variant>
      <vt:variant>
        <vt:i4>0</vt:i4>
      </vt:variant>
      <vt:variant>
        <vt:i4>5</vt:i4>
      </vt:variant>
      <vt:variant>
        <vt:lpwstr>http://www.relayservice.com.au/</vt:lpwstr>
      </vt:variant>
      <vt:variant>
        <vt:lpwstr/>
      </vt:variant>
      <vt:variant>
        <vt:i4>2687044</vt:i4>
      </vt:variant>
      <vt:variant>
        <vt:i4>3</vt:i4>
      </vt:variant>
      <vt:variant>
        <vt:i4>0</vt:i4>
      </vt:variant>
      <vt:variant>
        <vt:i4>5</vt:i4>
      </vt:variant>
      <vt:variant>
        <vt:lpwstr>mailto:customer.service@delwp.vic.gov.au</vt:lpwstr>
      </vt:variant>
      <vt:variant>
        <vt:lpwstr/>
      </vt:variant>
      <vt:variant>
        <vt:i4>6488166</vt:i4>
      </vt:variant>
      <vt:variant>
        <vt:i4>0</vt:i4>
      </vt:variant>
      <vt:variant>
        <vt:i4>0</vt:i4>
      </vt:variant>
      <vt:variant>
        <vt:i4>5</vt:i4>
      </vt:variant>
      <vt:variant>
        <vt:lpwstr>http://creativecommons.org/licenses/by/4.0/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MICLUP FINAL_Web Accessible_20042020</dc:title>
  <dc:subject/>
  <dc:creator>Denise L Thorson (DELWP)</dc:creator>
  <cp:keywords/>
  <dc:description/>
  <cp:lastModifiedBy>Denise L Thorson (DELWP)</cp:lastModifiedBy>
  <cp:revision>3</cp:revision>
  <cp:lastPrinted>2019-10-30T17:09:00Z</cp:lastPrinted>
  <dcterms:created xsi:type="dcterms:W3CDTF">2020-04-19T22:55:00Z</dcterms:created>
  <dcterms:modified xsi:type="dcterms:W3CDTF">2020-04-19T22:55:00Z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0x0101002517F445A0F35E449C98AAD631F2B0387500FF250D22B65FA34BA877078AA8455BD7</vt:lpwstr>
  </property>
  <property fmtid="{D5CDD505-2E9C-101B-9397-08002B2CF9AE}" pid="3" name="_dlc_DocIdItemGuid">
    <vt:lpwstr>709e42c4-0b74-41ea-b12a-20048f2beee1</vt:lpwstr>
  </property>
  <property fmtid="{D5CDD505-2E9C-101B-9397-08002B2CF9AE}" pid="4" name="ld508a88e6264ce89693af80a72862cb">
    <vt:lpwstr/>
  </property>
  <property fmtid="{D5CDD505-2E9C-101B-9397-08002B2CF9AE}" pid="5" name="Sub-Section">
    <vt:lpwstr/>
  </property>
  <property fmtid="{D5CDD505-2E9C-101B-9397-08002B2CF9AE}" pid="6" name="Agency">
    <vt:lpwstr>1;#Department of Environment, Land, Water and Planning|607a3f87-1228-4cd9-82a5-076aa8776274</vt:lpwstr>
  </property>
  <property fmtid="{D5CDD505-2E9C-101B-9397-08002B2CF9AE}" pid="7" name="Branch">
    <vt:lpwstr>4;#Planning Projects|d219d5e2-8a35-4610-bf14-658e59e4db98</vt:lpwstr>
  </property>
  <property fmtid="{D5CDD505-2E9C-101B-9397-08002B2CF9AE}" pid="8" name="Reference Type">
    <vt:lpwstr/>
  </property>
  <property fmtid="{D5CDD505-2E9C-101B-9397-08002B2CF9AE}" pid="9" name="Division">
    <vt:lpwstr>5;#Planning Implementation|06da14fd-37da-4d18-9fc8-be88426fa8db</vt:lpwstr>
  </property>
  <property fmtid="{D5CDD505-2E9C-101B-9397-08002B2CF9AE}" pid="10" name="Group1">
    <vt:lpwstr>6;#Planning|a27341dd-7be7-4882-a552-a667d667e276</vt:lpwstr>
  </property>
  <property fmtid="{D5CDD505-2E9C-101B-9397-08002B2CF9AE}" pid="11" name="Dissemination Limiting Marker">
    <vt:lpwstr>2;#FOUO|955eb6fc-b35a-4808-8aa5-31e514fa3f26</vt:lpwstr>
  </property>
  <property fmtid="{D5CDD505-2E9C-101B-9397-08002B2CF9AE}" pid="12" name="Security Classification">
    <vt:lpwstr>3;#Unclassified|7fa379f4-4aba-4692-ab80-7d39d3a23cf4</vt:lpwstr>
  </property>
  <property fmtid="{D5CDD505-2E9C-101B-9397-08002B2CF9AE}" pid="13" name="Order">
    <vt:i4>60600</vt:i4>
  </property>
  <property fmtid="{D5CDD505-2E9C-101B-9397-08002B2CF9AE}" pid="14" name="AuthorIds_UIVersion_2">
    <vt:lpwstr>377</vt:lpwstr>
  </property>
  <property fmtid="{D5CDD505-2E9C-101B-9397-08002B2CF9AE}" pid="15" name="AuthorIds_UIVersion_4">
    <vt:lpwstr>377</vt:lpwstr>
  </property>
  <property fmtid="{D5CDD505-2E9C-101B-9397-08002B2CF9AE}" pid="16" name="AuthorIds_UIVersion_5">
    <vt:lpwstr>377</vt:lpwstr>
  </property>
  <property fmtid="{D5CDD505-2E9C-101B-9397-08002B2CF9AE}" pid="17" name="AuthorIds_UIVersion_6">
    <vt:lpwstr>377</vt:lpwstr>
  </property>
  <property fmtid="{D5CDD505-2E9C-101B-9397-08002B2CF9AE}" pid="18" name="AuthorIds_UIVersion_7">
    <vt:lpwstr>377</vt:lpwstr>
  </property>
  <property fmtid="{D5CDD505-2E9C-101B-9397-08002B2CF9AE}" pid="19" name="AuthorIds_UIVersion_9">
    <vt:lpwstr>377</vt:lpwstr>
  </property>
  <property fmtid="{D5CDD505-2E9C-101B-9397-08002B2CF9AE}" pid="20" name="AuthorIds_UIVersion_10">
    <vt:lpwstr>377</vt:lpwstr>
  </property>
  <property fmtid="{D5CDD505-2E9C-101B-9397-08002B2CF9AE}" pid="21" name="AuthorIds_UIVersion_11">
    <vt:lpwstr>388</vt:lpwstr>
  </property>
  <property fmtid="{D5CDD505-2E9C-101B-9397-08002B2CF9AE}" pid="22" name="AuthorIds_UIVersion_12">
    <vt:lpwstr>377</vt:lpwstr>
  </property>
  <property fmtid="{D5CDD505-2E9C-101B-9397-08002B2CF9AE}" pid="23" name="AuthorIds_UIVersion_13">
    <vt:lpwstr>388</vt:lpwstr>
  </property>
  <property fmtid="{D5CDD505-2E9C-101B-9397-08002B2CF9AE}" pid="24" name="AuthorIds_UIVersion_14">
    <vt:lpwstr>388</vt:lpwstr>
  </property>
  <property fmtid="{D5CDD505-2E9C-101B-9397-08002B2CF9AE}" pid="25" name="AuthorIds_UIVersion_15">
    <vt:lpwstr>388</vt:lpwstr>
  </property>
  <property fmtid="{D5CDD505-2E9C-101B-9397-08002B2CF9AE}" pid="26" name="AuthorIds_UIVersion_16">
    <vt:lpwstr>377</vt:lpwstr>
  </property>
  <property fmtid="{D5CDD505-2E9C-101B-9397-08002B2CF9AE}" pid="27" name="AuthorIds_UIVersion_17">
    <vt:lpwstr>377</vt:lpwstr>
  </property>
  <property fmtid="{D5CDD505-2E9C-101B-9397-08002B2CF9AE}" pid="28" name="AuthorIds_UIVersion_18">
    <vt:lpwstr>388</vt:lpwstr>
  </property>
  <property fmtid="{D5CDD505-2E9C-101B-9397-08002B2CF9AE}" pid="29" name="AuthorIds_UIVersion_19">
    <vt:lpwstr>377</vt:lpwstr>
  </property>
  <property fmtid="{D5CDD505-2E9C-101B-9397-08002B2CF9AE}" pid="30" name="AuthorIds_UIVersion_21">
    <vt:lpwstr>388</vt:lpwstr>
  </property>
  <property fmtid="{D5CDD505-2E9C-101B-9397-08002B2CF9AE}" pid="31" name="AuthorIds_UIVersion_22">
    <vt:lpwstr>388</vt:lpwstr>
  </property>
  <property fmtid="{D5CDD505-2E9C-101B-9397-08002B2CF9AE}" pid="32" name="AuthorIds_UIVersion_23">
    <vt:lpwstr>377</vt:lpwstr>
  </property>
  <property fmtid="{D5CDD505-2E9C-101B-9397-08002B2CF9AE}" pid="33" name="AuthorIds_UIVersion_24">
    <vt:lpwstr>388</vt:lpwstr>
  </property>
  <property fmtid="{D5CDD505-2E9C-101B-9397-08002B2CF9AE}" pid="34" name="AuthorIds_UIVersion_25">
    <vt:lpwstr>388</vt:lpwstr>
  </property>
  <property fmtid="{D5CDD505-2E9C-101B-9397-08002B2CF9AE}" pid="35" name="AuthorIds_UIVersion_26">
    <vt:lpwstr>388</vt:lpwstr>
  </property>
  <property fmtid="{D5CDD505-2E9C-101B-9397-08002B2CF9AE}" pid="36" name="AuthorIds_UIVersion_27">
    <vt:lpwstr>388</vt:lpwstr>
  </property>
  <property fmtid="{D5CDD505-2E9C-101B-9397-08002B2CF9AE}" pid="37" name="AuthorIds_UIVersion_28">
    <vt:lpwstr>377</vt:lpwstr>
  </property>
  <property fmtid="{D5CDD505-2E9C-101B-9397-08002B2CF9AE}" pid="38" name="AuthorIds_UIVersion_29">
    <vt:lpwstr>377</vt:lpwstr>
  </property>
  <property fmtid="{D5CDD505-2E9C-101B-9397-08002B2CF9AE}" pid="39" name="AuthorIds_UIVersion_30">
    <vt:lpwstr>388</vt:lpwstr>
  </property>
  <property fmtid="{D5CDD505-2E9C-101B-9397-08002B2CF9AE}" pid="40" name="AuthorIds_UIVersion_32">
    <vt:lpwstr>377</vt:lpwstr>
  </property>
  <property fmtid="{D5CDD505-2E9C-101B-9397-08002B2CF9AE}" pid="41" name="AuthorIds_UIVersion_33">
    <vt:lpwstr>377</vt:lpwstr>
  </property>
  <property fmtid="{D5CDD505-2E9C-101B-9397-08002B2CF9AE}" pid="42" name="AuthorIds_UIVersion_34">
    <vt:lpwstr>377</vt:lpwstr>
  </property>
  <property fmtid="{D5CDD505-2E9C-101B-9397-08002B2CF9AE}" pid="43" name="AuthorIds_UIVersion_35">
    <vt:lpwstr>377</vt:lpwstr>
  </property>
  <property fmtid="{D5CDD505-2E9C-101B-9397-08002B2CF9AE}" pid="44" name="AuthorIds_UIVersion_36">
    <vt:lpwstr>377</vt:lpwstr>
  </property>
  <property fmtid="{D5CDD505-2E9C-101B-9397-08002B2CF9AE}" pid="45" name="AuthorIds_UIVersion_39">
    <vt:lpwstr>377</vt:lpwstr>
  </property>
  <property fmtid="{D5CDD505-2E9C-101B-9397-08002B2CF9AE}" pid="46" name="AuthorIds_UIVersion_40">
    <vt:lpwstr>377</vt:lpwstr>
  </property>
  <property fmtid="{D5CDD505-2E9C-101B-9397-08002B2CF9AE}" pid="47" name="AuthorIds_UIVersion_41">
    <vt:lpwstr>377</vt:lpwstr>
  </property>
  <property fmtid="{D5CDD505-2E9C-101B-9397-08002B2CF9AE}" pid="48" name="AuthorIds_UIVersion_42">
    <vt:lpwstr>377</vt:lpwstr>
  </property>
  <property fmtid="{D5CDD505-2E9C-101B-9397-08002B2CF9AE}" pid="49" name="AuthorIds_UIVersion_43">
    <vt:lpwstr>377</vt:lpwstr>
  </property>
  <property fmtid="{D5CDD505-2E9C-101B-9397-08002B2CF9AE}" pid="50" name="AuthorIds_UIVersion_44">
    <vt:lpwstr>377</vt:lpwstr>
  </property>
  <property fmtid="{D5CDD505-2E9C-101B-9397-08002B2CF9AE}" pid="51" name="AuthorIds_UIVersion_45">
    <vt:lpwstr>377</vt:lpwstr>
  </property>
  <property fmtid="{D5CDD505-2E9C-101B-9397-08002B2CF9AE}" pid="52" name="AuthorIds_UIVersion_47">
    <vt:lpwstr>377</vt:lpwstr>
  </property>
  <property fmtid="{D5CDD505-2E9C-101B-9397-08002B2CF9AE}" pid="53" name="AuthorIds_UIVersion_48">
    <vt:lpwstr>377</vt:lpwstr>
  </property>
  <property fmtid="{D5CDD505-2E9C-101B-9397-08002B2CF9AE}" pid="54" name="AuthorIds_UIVersion_49">
    <vt:lpwstr>377</vt:lpwstr>
  </property>
  <property fmtid="{D5CDD505-2E9C-101B-9397-08002B2CF9AE}" pid="55" name="AuthorIds_UIVersion_50">
    <vt:lpwstr>377</vt:lpwstr>
  </property>
  <property fmtid="{D5CDD505-2E9C-101B-9397-08002B2CF9AE}" pid="56" name="AuthorIds_UIVersion_51">
    <vt:lpwstr>377</vt:lpwstr>
  </property>
  <property fmtid="{D5CDD505-2E9C-101B-9397-08002B2CF9AE}" pid="57" name="AuthorIds_UIVersion_52">
    <vt:lpwstr>377</vt:lpwstr>
  </property>
  <property fmtid="{D5CDD505-2E9C-101B-9397-08002B2CF9AE}" pid="58" name="AuthorIds_UIVersion_53">
    <vt:lpwstr>377</vt:lpwstr>
  </property>
  <property fmtid="{D5CDD505-2E9C-101B-9397-08002B2CF9AE}" pid="59" name="AuthorIds_UIVersion_54">
    <vt:lpwstr>377</vt:lpwstr>
  </property>
  <property fmtid="{D5CDD505-2E9C-101B-9397-08002B2CF9AE}" pid="60" name="AuthorIds_UIVersion_55">
    <vt:lpwstr>377</vt:lpwstr>
  </property>
  <property fmtid="{D5CDD505-2E9C-101B-9397-08002B2CF9AE}" pid="61" name="AuthorIds_UIVersion_56">
    <vt:lpwstr>377</vt:lpwstr>
  </property>
  <property fmtid="{D5CDD505-2E9C-101B-9397-08002B2CF9AE}" pid="62" name="AuthorIds_UIVersion_57">
    <vt:lpwstr>377</vt:lpwstr>
  </property>
  <property fmtid="{D5CDD505-2E9C-101B-9397-08002B2CF9AE}" pid="63" name="AuthorIds_UIVersion_58">
    <vt:lpwstr>377</vt:lpwstr>
  </property>
  <property fmtid="{D5CDD505-2E9C-101B-9397-08002B2CF9AE}" pid="64" name="AuthorIds_UIVersion_59">
    <vt:lpwstr>377</vt:lpwstr>
  </property>
  <property fmtid="{D5CDD505-2E9C-101B-9397-08002B2CF9AE}" pid="65" name="AuthorIds_UIVersion_60">
    <vt:lpwstr>377</vt:lpwstr>
  </property>
  <property fmtid="{D5CDD505-2E9C-101B-9397-08002B2CF9AE}" pid="66" name="AuthorIds_UIVersion_61">
    <vt:lpwstr>377</vt:lpwstr>
  </property>
  <property fmtid="{D5CDD505-2E9C-101B-9397-08002B2CF9AE}" pid="67" name="AuthorIds_UIVersion_62">
    <vt:lpwstr>377</vt:lpwstr>
  </property>
  <property fmtid="{D5CDD505-2E9C-101B-9397-08002B2CF9AE}" pid="68" name="AuthorIds_UIVersion_63">
    <vt:lpwstr>377</vt:lpwstr>
  </property>
  <property fmtid="{D5CDD505-2E9C-101B-9397-08002B2CF9AE}" pid="69" name="AuthorIds_UIVersion_64">
    <vt:lpwstr>377</vt:lpwstr>
  </property>
  <property fmtid="{D5CDD505-2E9C-101B-9397-08002B2CF9AE}" pid="70" name="AuthorIds_UIVersion_66">
    <vt:lpwstr>377</vt:lpwstr>
  </property>
  <property fmtid="{D5CDD505-2E9C-101B-9397-08002B2CF9AE}" pid="71" name="AuthorIds_UIVersion_67">
    <vt:lpwstr>388</vt:lpwstr>
  </property>
  <property fmtid="{D5CDD505-2E9C-101B-9397-08002B2CF9AE}" pid="72" name="AuthorIds_UIVersion_68">
    <vt:lpwstr>377</vt:lpwstr>
  </property>
  <property fmtid="{D5CDD505-2E9C-101B-9397-08002B2CF9AE}" pid="73" name="AuthorIds_UIVersion_69">
    <vt:lpwstr>388</vt:lpwstr>
  </property>
  <property fmtid="{D5CDD505-2E9C-101B-9397-08002B2CF9AE}" pid="74" name="AuthorIds_UIVersion_70">
    <vt:lpwstr>388</vt:lpwstr>
  </property>
  <property fmtid="{D5CDD505-2E9C-101B-9397-08002B2CF9AE}" pid="75" name="AuthorIds_UIVersion_71">
    <vt:lpwstr>388</vt:lpwstr>
  </property>
  <property fmtid="{D5CDD505-2E9C-101B-9397-08002B2CF9AE}" pid="76" name="AuthorIds_UIVersion_73">
    <vt:lpwstr>388</vt:lpwstr>
  </property>
  <property fmtid="{D5CDD505-2E9C-101B-9397-08002B2CF9AE}" pid="77" name="AuthorIds_UIVersion_74">
    <vt:lpwstr>377</vt:lpwstr>
  </property>
  <property fmtid="{D5CDD505-2E9C-101B-9397-08002B2CF9AE}" pid="78" name="AuthorIds_UIVersion_75">
    <vt:lpwstr>388</vt:lpwstr>
  </property>
  <property fmtid="{D5CDD505-2E9C-101B-9397-08002B2CF9AE}" pid="79" name="AuthorIds_UIVersion_76">
    <vt:lpwstr>388</vt:lpwstr>
  </property>
  <property fmtid="{D5CDD505-2E9C-101B-9397-08002B2CF9AE}" pid="80" name="AuthorIds_UIVersion_77">
    <vt:lpwstr>377</vt:lpwstr>
  </property>
  <property fmtid="{D5CDD505-2E9C-101B-9397-08002B2CF9AE}" pid="81" name="AuthorIds_UIVersion_78">
    <vt:lpwstr>377</vt:lpwstr>
  </property>
  <property fmtid="{D5CDD505-2E9C-101B-9397-08002B2CF9AE}" pid="82" name="AuthorIds_UIVersion_79">
    <vt:lpwstr>377</vt:lpwstr>
  </property>
  <property fmtid="{D5CDD505-2E9C-101B-9397-08002B2CF9AE}" pid="83" name="AuthorIds_UIVersion_80">
    <vt:lpwstr>377</vt:lpwstr>
  </property>
  <property fmtid="{D5CDD505-2E9C-101B-9397-08002B2CF9AE}" pid="84" name="AuthorIds_UIVersion_81">
    <vt:lpwstr>377</vt:lpwstr>
  </property>
  <property fmtid="{D5CDD505-2E9C-101B-9397-08002B2CF9AE}" pid="85" name="AuthorIds_UIVersion_82">
    <vt:lpwstr>377</vt:lpwstr>
  </property>
  <property fmtid="{D5CDD505-2E9C-101B-9397-08002B2CF9AE}" pid="86" name="AuthorIds_UIVersion_83">
    <vt:lpwstr>377</vt:lpwstr>
  </property>
  <property fmtid="{D5CDD505-2E9C-101B-9397-08002B2CF9AE}" pid="87" name="AuthorIds_UIVersion_84">
    <vt:lpwstr>377</vt:lpwstr>
  </property>
  <property fmtid="{D5CDD505-2E9C-101B-9397-08002B2CF9AE}" pid="88" name="AuthorIds_UIVersion_85">
    <vt:lpwstr>377</vt:lpwstr>
  </property>
  <property fmtid="{D5CDD505-2E9C-101B-9397-08002B2CF9AE}" pid="89" name="AuthorIds_UIVersion_86">
    <vt:lpwstr>377</vt:lpwstr>
  </property>
  <property fmtid="{D5CDD505-2E9C-101B-9397-08002B2CF9AE}" pid="90" name="AuthorIds_UIVersion_88">
    <vt:lpwstr>377</vt:lpwstr>
  </property>
  <property fmtid="{D5CDD505-2E9C-101B-9397-08002B2CF9AE}" pid="91" name="AuthorIds_UIVersion_89">
    <vt:lpwstr>377</vt:lpwstr>
  </property>
  <property fmtid="{D5CDD505-2E9C-101B-9397-08002B2CF9AE}" pid="92" name="AuthorIds_UIVersion_90">
    <vt:lpwstr>377</vt:lpwstr>
  </property>
  <property fmtid="{D5CDD505-2E9C-101B-9397-08002B2CF9AE}" pid="93" name="AuthorIds_UIVersion_91">
    <vt:lpwstr>377</vt:lpwstr>
  </property>
  <property fmtid="{D5CDD505-2E9C-101B-9397-08002B2CF9AE}" pid="94" name="AuthorIds_UIVersion_92">
    <vt:lpwstr>377</vt:lpwstr>
  </property>
  <property fmtid="{D5CDD505-2E9C-101B-9397-08002B2CF9AE}" pid="95" name="AuthorIds_UIVersion_93">
    <vt:lpwstr>377</vt:lpwstr>
  </property>
  <property fmtid="{D5CDD505-2E9C-101B-9397-08002B2CF9AE}" pid="96" name="AuthorIds_UIVersion_94">
    <vt:lpwstr>377</vt:lpwstr>
  </property>
  <property fmtid="{D5CDD505-2E9C-101B-9397-08002B2CF9AE}" pid="97" name="AuthorIds_UIVersion_95">
    <vt:lpwstr>377</vt:lpwstr>
  </property>
  <property fmtid="{D5CDD505-2E9C-101B-9397-08002B2CF9AE}" pid="98" name="AuthorIds_UIVersion_96">
    <vt:lpwstr>377</vt:lpwstr>
  </property>
  <property fmtid="{D5CDD505-2E9C-101B-9397-08002B2CF9AE}" pid="99" name="AuthorIds_UIVersion_97">
    <vt:lpwstr>377</vt:lpwstr>
  </property>
  <property fmtid="{D5CDD505-2E9C-101B-9397-08002B2CF9AE}" pid="100" name="AuthorIds_UIVersion_98">
    <vt:lpwstr>377</vt:lpwstr>
  </property>
  <property fmtid="{D5CDD505-2E9C-101B-9397-08002B2CF9AE}" pid="101" name="AuthorIds_UIVersion_99">
    <vt:lpwstr>377</vt:lpwstr>
  </property>
  <property fmtid="{D5CDD505-2E9C-101B-9397-08002B2CF9AE}" pid="102" name="AuthorIds_UIVersion_100">
    <vt:lpwstr>377</vt:lpwstr>
  </property>
  <property fmtid="{D5CDD505-2E9C-101B-9397-08002B2CF9AE}" pid="103" name="AuthorIds_UIVersion_101">
    <vt:lpwstr>377</vt:lpwstr>
  </property>
  <property fmtid="{D5CDD505-2E9C-101B-9397-08002B2CF9AE}" pid="104" name="AuthorIds_UIVersion_102">
    <vt:lpwstr>377</vt:lpwstr>
  </property>
  <property fmtid="{D5CDD505-2E9C-101B-9397-08002B2CF9AE}" pid="105" name="AuthorIds_UIVersion_103">
    <vt:lpwstr>377</vt:lpwstr>
  </property>
  <property fmtid="{D5CDD505-2E9C-101B-9397-08002B2CF9AE}" pid="106" name="AuthorIds_UIVersion_104">
    <vt:lpwstr>377</vt:lpwstr>
  </property>
  <property fmtid="{D5CDD505-2E9C-101B-9397-08002B2CF9AE}" pid="107" name="AuthorIds_UIVersion_105">
    <vt:lpwstr>377</vt:lpwstr>
  </property>
  <property fmtid="{D5CDD505-2E9C-101B-9397-08002B2CF9AE}" pid="108" name="AuthorIds_UIVersion_106">
    <vt:lpwstr>377</vt:lpwstr>
  </property>
  <property fmtid="{D5CDD505-2E9C-101B-9397-08002B2CF9AE}" pid="109" name="AuthorIds_UIVersion_107">
    <vt:lpwstr>377</vt:lpwstr>
  </property>
  <property fmtid="{D5CDD505-2E9C-101B-9397-08002B2CF9AE}" pid="110" name="AuthorIds_UIVersion_108">
    <vt:lpwstr>377</vt:lpwstr>
  </property>
  <property fmtid="{D5CDD505-2E9C-101B-9397-08002B2CF9AE}" pid="111" name="AuthorIds_UIVersion_109">
    <vt:lpwstr>377</vt:lpwstr>
  </property>
  <property fmtid="{D5CDD505-2E9C-101B-9397-08002B2CF9AE}" pid="112" name="AuthorIds_UIVersion_110">
    <vt:lpwstr>377</vt:lpwstr>
  </property>
  <property fmtid="{D5CDD505-2E9C-101B-9397-08002B2CF9AE}" pid="113" name="AuthorIds_UIVersion_111">
    <vt:lpwstr>377</vt:lpwstr>
  </property>
  <property fmtid="{D5CDD505-2E9C-101B-9397-08002B2CF9AE}" pid="114" name="AuthorIds_UIVersion_112">
    <vt:lpwstr>377</vt:lpwstr>
  </property>
  <property fmtid="{D5CDD505-2E9C-101B-9397-08002B2CF9AE}" pid="115" name="AuthorIds_UIVersion_113">
    <vt:lpwstr>377</vt:lpwstr>
  </property>
  <property fmtid="{D5CDD505-2E9C-101B-9397-08002B2CF9AE}" pid="116" name="AuthorIds_UIVersion_114">
    <vt:lpwstr>377</vt:lpwstr>
  </property>
  <property fmtid="{D5CDD505-2E9C-101B-9397-08002B2CF9AE}" pid="117" name="AuthorIds_UIVersion_115">
    <vt:lpwstr>377</vt:lpwstr>
  </property>
  <property fmtid="{D5CDD505-2E9C-101B-9397-08002B2CF9AE}" pid="118" name="AuthorIds_UIVersion_116">
    <vt:lpwstr>377</vt:lpwstr>
  </property>
  <property fmtid="{D5CDD505-2E9C-101B-9397-08002B2CF9AE}" pid="119" name="AuthorIds_UIVersion_117">
    <vt:lpwstr>377</vt:lpwstr>
  </property>
  <property fmtid="{D5CDD505-2E9C-101B-9397-08002B2CF9AE}" pid="120" name="AuthorIds_UIVersion_118">
    <vt:lpwstr>377</vt:lpwstr>
  </property>
  <property fmtid="{D5CDD505-2E9C-101B-9397-08002B2CF9AE}" pid="121" name="AuthorIds_UIVersion_119">
    <vt:lpwstr>377</vt:lpwstr>
  </property>
  <property fmtid="{D5CDD505-2E9C-101B-9397-08002B2CF9AE}" pid="122" name="AuthorIds_UIVersion_120">
    <vt:lpwstr>377</vt:lpwstr>
  </property>
  <property fmtid="{D5CDD505-2E9C-101B-9397-08002B2CF9AE}" pid="123" name="AuthorIds_UIVersion_121">
    <vt:lpwstr>377</vt:lpwstr>
  </property>
  <property fmtid="{D5CDD505-2E9C-101B-9397-08002B2CF9AE}" pid="124" name="AuthorIds_UIVersion_122">
    <vt:lpwstr>377</vt:lpwstr>
  </property>
  <property fmtid="{D5CDD505-2E9C-101B-9397-08002B2CF9AE}" pid="125" name="AuthorIds_UIVersion_123">
    <vt:lpwstr>377</vt:lpwstr>
  </property>
  <property fmtid="{D5CDD505-2E9C-101B-9397-08002B2CF9AE}" pid="126" name="AuthorIds_UIVersion_124">
    <vt:lpwstr>377</vt:lpwstr>
  </property>
  <property fmtid="{D5CDD505-2E9C-101B-9397-08002B2CF9AE}" pid="127" name="AuthorIds_UIVersion_125">
    <vt:lpwstr>377</vt:lpwstr>
  </property>
  <property fmtid="{D5CDD505-2E9C-101B-9397-08002B2CF9AE}" pid="128" name="AuthorIds_UIVersion_126">
    <vt:lpwstr>377</vt:lpwstr>
  </property>
  <property fmtid="{D5CDD505-2E9C-101B-9397-08002B2CF9AE}" pid="129" name="AuthorIds_UIVersion_127">
    <vt:lpwstr>377</vt:lpwstr>
  </property>
  <property fmtid="{D5CDD505-2E9C-101B-9397-08002B2CF9AE}" pid="130" name="AuthorIds_UIVersion_128">
    <vt:lpwstr>377</vt:lpwstr>
  </property>
  <property fmtid="{D5CDD505-2E9C-101B-9397-08002B2CF9AE}" pid="131" name="AuthorIds_UIVersion_129">
    <vt:lpwstr>377</vt:lpwstr>
  </property>
  <property fmtid="{D5CDD505-2E9C-101B-9397-08002B2CF9AE}" pid="132" name="AuthorIds_UIVersion_130">
    <vt:lpwstr>377</vt:lpwstr>
  </property>
  <property fmtid="{D5CDD505-2E9C-101B-9397-08002B2CF9AE}" pid="133" name="AuthorIds_UIVersion_131">
    <vt:lpwstr>377</vt:lpwstr>
  </property>
  <property fmtid="{D5CDD505-2E9C-101B-9397-08002B2CF9AE}" pid="134" name="AuthorIds_UIVersion_134">
    <vt:lpwstr>388</vt:lpwstr>
  </property>
  <property fmtid="{D5CDD505-2E9C-101B-9397-08002B2CF9AE}" pid="135" name="AuthorIds_UIVersion_135">
    <vt:lpwstr>377</vt:lpwstr>
  </property>
  <property fmtid="{D5CDD505-2E9C-101B-9397-08002B2CF9AE}" pid="136" name="AuthorIds_UIVersion_136">
    <vt:lpwstr>388</vt:lpwstr>
  </property>
  <property fmtid="{D5CDD505-2E9C-101B-9397-08002B2CF9AE}" pid="137" name="AuthorIds_UIVersion_137">
    <vt:lpwstr>377</vt:lpwstr>
  </property>
  <property fmtid="{D5CDD505-2E9C-101B-9397-08002B2CF9AE}" pid="138" name="AuthorIds_UIVersion_138">
    <vt:lpwstr>388</vt:lpwstr>
  </property>
  <property fmtid="{D5CDD505-2E9C-101B-9397-08002B2CF9AE}" pid="139" name="AuthorIds_UIVersion_139">
    <vt:lpwstr>377</vt:lpwstr>
  </property>
  <property fmtid="{D5CDD505-2E9C-101B-9397-08002B2CF9AE}" pid="140" name="AuthorIds_UIVersion_140">
    <vt:lpwstr>388</vt:lpwstr>
  </property>
  <property fmtid="{D5CDD505-2E9C-101B-9397-08002B2CF9AE}" pid="141" name="AuthorIds_UIVersion_141">
    <vt:lpwstr>388</vt:lpwstr>
  </property>
  <property fmtid="{D5CDD505-2E9C-101B-9397-08002B2CF9AE}" pid="142" name="AuthorIds_UIVersion_142">
    <vt:lpwstr>388</vt:lpwstr>
  </property>
  <property fmtid="{D5CDD505-2E9C-101B-9397-08002B2CF9AE}" pid="143" name="AuthorIds_UIVersion_143">
    <vt:lpwstr>377</vt:lpwstr>
  </property>
  <property fmtid="{D5CDD505-2E9C-101B-9397-08002B2CF9AE}" pid="144" name="AuthorIds_UIVersion_144">
    <vt:lpwstr>388</vt:lpwstr>
  </property>
  <property fmtid="{D5CDD505-2E9C-101B-9397-08002B2CF9AE}" pid="145" name="AuthorIds_UIVersion_145">
    <vt:lpwstr>377</vt:lpwstr>
  </property>
  <property fmtid="{D5CDD505-2E9C-101B-9397-08002B2CF9AE}" pid="146" name="AuthorIds_UIVersion_146">
    <vt:lpwstr>388</vt:lpwstr>
  </property>
  <property fmtid="{D5CDD505-2E9C-101B-9397-08002B2CF9AE}" pid="147" name="AuthorIds_UIVersion_147">
    <vt:lpwstr>388</vt:lpwstr>
  </property>
  <property fmtid="{D5CDD505-2E9C-101B-9397-08002B2CF9AE}" pid="148" name="AuthorIds_UIVersion_148">
    <vt:lpwstr>377</vt:lpwstr>
  </property>
  <property fmtid="{D5CDD505-2E9C-101B-9397-08002B2CF9AE}" pid="149" name="AuthorIds_UIVersion_149">
    <vt:lpwstr>377</vt:lpwstr>
  </property>
  <property fmtid="{D5CDD505-2E9C-101B-9397-08002B2CF9AE}" pid="150" name="AuthorIds_UIVersion_150">
    <vt:lpwstr>377</vt:lpwstr>
  </property>
  <property fmtid="{D5CDD505-2E9C-101B-9397-08002B2CF9AE}" pid="151" name="AuthorIds_UIVersion_151">
    <vt:lpwstr>388</vt:lpwstr>
  </property>
  <property fmtid="{D5CDD505-2E9C-101B-9397-08002B2CF9AE}" pid="152" name="AuthorIds_UIVersion_153">
    <vt:lpwstr>388</vt:lpwstr>
  </property>
  <property fmtid="{D5CDD505-2E9C-101B-9397-08002B2CF9AE}" pid="153" name="AuthorIds_UIVersion_154">
    <vt:lpwstr>388</vt:lpwstr>
  </property>
  <property fmtid="{D5CDD505-2E9C-101B-9397-08002B2CF9AE}" pid="154" name="AuthorIds_UIVersion_155">
    <vt:lpwstr>388</vt:lpwstr>
  </property>
  <property fmtid="{D5CDD505-2E9C-101B-9397-08002B2CF9AE}" pid="155" name="AuthorIds_UIVersion_156">
    <vt:lpwstr>377</vt:lpwstr>
  </property>
  <property fmtid="{D5CDD505-2E9C-101B-9397-08002B2CF9AE}" pid="156" name="AuthorIds_UIVersion_157">
    <vt:lpwstr>388</vt:lpwstr>
  </property>
  <property fmtid="{D5CDD505-2E9C-101B-9397-08002B2CF9AE}" pid="157" name="AuthorIds_UIVersion_158">
    <vt:lpwstr>388</vt:lpwstr>
  </property>
  <property fmtid="{D5CDD505-2E9C-101B-9397-08002B2CF9AE}" pid="158" name="AuthorIds_UIVersion_159">
    <vt:lpwstr>377</vt:lpwstr>
  </property>
  <property fmtid="{D5CDD505-2E9C-101B-9397-08002B2CF9AE}" pid="159" name="AuthorIds_UIVersion_160">
    <vt:lpwstr>377</vt:lpwstr>
  </property>
  <property fmtid="{D5CDD505-2E9C-101B-9397-08002B2CF9AE}" pid="160" name="AuthorIds_UIVersion_161">
    <vt:lpwstr>377</vt:lpwstr>
  </property>
  <property fmtid="{D5CDD505-2E9C-101B-9397-08002B2CF9AE}" pid="161" name="AuthorIds_UIVersion_162">
    <vt:lpwstr>377</vt:lpwstr>
  </property>
  <property fmtid="{D5CDD505-2E9C-101B-9397-08002B2CF9AE}" pid="162" name="AuthorIds_UIVersion_171">
    <vt:lpwstr>377</vt:lpwstr>
  </property>
  <property fmtid="{D5CDD505-2E9C-101B-9397-08002B2CF9AE}" pid="163" name="AuthorIds_UIVersion_173">
    <vt:lpwstr>388</vt:lpwstr>
  </property>
  <property fmtid="{D5CDD505-2E9C-101B-9397-08002B2CF9AE}" pid="164" name="SharedWithUsers">
    <vt:lpwstr>568;#Julie M Hallyburton (DELWP)</vt:lpwstr>
  </property>
  <property fmtid="{D5CDD505-2E9C-101B-9397-08002B2CF9AE}" pid="165" name="AuthorIds_UIVersion_190">
    <vt:lpwstr>568</vt:lpwstr>
  </property>
  <property fmtid="{D5CDD505-2E9C-101B-9397-08002B2CF9AE}" pid="166" name="AuthorIds_UIVersion_198">
    <vt:lpwstr>568</vt:lpwstr>
  </property>
  <property fmtid="{D5CDD505-2E9C-101B-9397-08002B2CF9AE}" pid="167" name="AuthorIds_UIVersion_199">
    <vt:lpwstr>568</vt:lpwstr>
  </property>
  <property fmtid="{D5CDD505-2E9C-101B-9397-08002B2CF9AE}" pid="168" name="AuthorIds_UIVersion_200">
    <vt:lpwstr>568</vt:lpwstr>
  </property>
  <property fmtid="{D5CDD505-2E9C-101B-9397-08002B2CF9AE}" pid="169" name="AuthorIds_UIVersion_201">
    <vt:lpwstr>568</vt:lpwstr>
  </property>
  <property fmtid="{D5CDD505-2E9C-101B-9397-08002B2CF9AE}" pid="170" name="AuthorIds_UIVersion_203">
    <vt:lpwstr>568</vt:lpwstr>
  </property>
  <property fmtid="{D5CDD505-2E9C-101B-9397-08002B2CF9AE}" pid="171" name="AuthorIds_UIVersion_204">
    <vt:lpwstr>568</vt:lpwstr>
  </property>
  <property fmtid="{D5CDD505-2E9C-101B-9397-08002B2CF9AE}" pid="172" name="AuthorIds_UIVersion_206">
    <vt:lpwstr>568</vt:lpwstr>
  </property>
  <property fmtid="{D5CDD505-2E9C-101B-9397-08002B2CF9AE}" pid="173" name="AuthorIds_UIVersion_211">
    <vt:lpwstr>388</vt:lpwstr>
  </property>
  <property fmtid="{D5CDD505-2E9C-101B-9397-08002B2CF9AE}" pid="174" name="AuthorIds_UIVersion_212">
    <vt:lpwstr>388</vt:lpwstr>
  </property>
  <property fmtid="{D5CDD505-2E9C-101B-9397-08002B2CF9AE}" pid="175" name="AuthorIds_UIVersion_217">
    <vt:lpwstr>377</vt:lpwstr>
  </property>
  <property fmtid="{D5CDD505-2E9C-101B-9397-08002B2CF9AE}" pid="176" name="Project Functions">
    <vt:lpwstr>Development &amp; Analysis</vt:lpwstr>
  </property>
  <property fmtid="{D5CDD505-2E9C-101B-9397-08002B2CF9AE}" pid="177" name="Section">
    <vt:lpwstr>7;#All|8270565e-a836-42c0-aa61-1ac7b0ff14aa</vt:lpwstr>
  </property>
</Properties>
</file>