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78" w:rsidRPr="0065494F" w:rsidRDefault="00636578" w:rsidP="00554EAD">
      <w:pPr>
        <w:rPr>
          <w:b/>
          <w:sz w:val="22"/>
          <w:szCs w:val="22"/>
        </w:rPr>
      </w:pPr>
    </w:p>
    <w:p w:rsidR="00636578" w:rsidRPr="0065494F" w:rsidRDefault="00636578" w:rsidP="00554EAD">
      <w:pPr>
        <w:rPr>
          <w:b/>
          <w:sz w:val="22"/>
          <w:szCs w:val="22"/>
        </w:rPr>
      </w:pPr>
    </w:p>
    <w:p w:rsidR="00636578" w:rsidRPr="0065494F" w:rsidRDefault="00636578" w:rsidP="00554EAD">
      <w:pPr>
        <w:rPr>
          <w:b/>
          <w:sz w:val="22"/>
          <w:szCs w:val="22"/>
        </w:rPr>
      </w:pPr>
    </w:p>
    <w:p w:rsidR="00636578" w:rsidRPr="0065494F" w:rsidRDefault="00636578" w:rsidP="00554EAD">
      <w:pPr>
        <w:rPr>
          <w:b/>
          <w:sz w:val="22"/>
          <w:szCs w:val="22"/>
        </w:rPr>
      </w:pPr>
    </w:p>
    <w:p w:rsidR="00636578" w:rsidRPr="0065494F" w:rsidRDefault="00636578" w:rsidP="00554EAD">
      <w:pPr>
        <w:rPr>
          <w:b/>
          <w:sz w:val="22"/>
          <w:szCs w:val="22"/>
        </w:rPr>
      </w:pPr>
    </w:p>
    <w:p w:rsidR="00636578" w:rsidRPr="0065494F" w:rsidRDefault="00636578" w:rsidP="00554EAD">
      <w:pPr>
        <w:rPr>
          <w:b/>
          <w:sz w:val="22"/>
          <w:szCs w:val="22"/>
        </w:rPr>
      </w:pPr>
    </w:p>
    <w:p w:rsidR="00554EAD" w:rsidRPr="00391181" w:rsidRDefault="000A23D2" w:rsidP="00391181">
      <w:pPr>
        <w:pStyle w:val="Title"/>
        <w:rPr>
          <w:sz w:val="22"/>
          <w:szCs w:val="22"/>
        </w:rPr>
      </w:pPr>
      <w:r w:rsidRPr="00C2711D">
        <w:rPr>
          <w:lang w:val="en-AU"/>
        </w:rPr>
        <w:t>Loddon Mallee North</w:t>
      </w:r>
    </w:p>
    <w:p w:rsidR="00526E83" w:rsidRPr="00E5545E" w:rsidRDefault="00D90659" w:rsidP="000A23D2">
      <w:pPr>
        <w:rPr>
          <w:color w:val="17365D" w:themeColor="text2" w:themeShade="BF"/>
          <w:sz w:val="36"/>
          <w:szCs w:val="36"/>
        </w:rPr>
      </w:pPr>
      <w:r w:rsidRPr="00D90659">
        <w:rPr>
          <w:color w:val="17365D" w:themeColor="text2" w:themeShade="BF"/>
          <w:sz w:val="36"/>
          <w:szCs w:val="36"/>
        </w:rPr>
        <w:t>Regional Growth Plan Summa</w:t>
      </w:r>
      <w:r w:rsidR="00E5545E">
        <w:rPr>
          <w:color w:val="17365D" w:themeColor="text2" w:themeShade="BF"/>
          <w:sz w:val="36"/>
          <w:szCs w:val="36"/>
        </w:rPr>
        <w:t>ry</w:t>
      </w:r>
    </w:p>
    <w:p w:rsidR="00526E83" w:rsidRPr="00C2711D" w:rsidRDefault="00526E83" w:rsidP="000A23D2">
      <w:pPr>
        <w:rPr>
          <w:sz w:val="22"/>
          <w:szCs w:val="22"/>
        </w:rPr>
      </w:pPr>
    </w:p>
    <w:p w:rsidR="00526E83" w:rsidRPr="00C2711D" w:rsidRDefault="00526E83" w:rsidP="000A23D2">
      <w:pPr>
        <w:rPr>
          <w:sz w:val="22"/>
          <w:szCs w:val="22"/>
        </w:rPr>
      </w:pPr>
    </w:p>
    <w:p w:rsidR="00526E83" w:rsidRPr="00C2711D" w:rsidRDefault="00526E83" w:rsidP="000A23D2">
      <w:pPr>
        <w:rPr>
          <w:sz w:val="22"/>
          <w:szCs w:val="22"/>
        </w:rPr>
      </w:pPr>
    </w:p>
    <w:p w:rsidR="00526E83" w:rsidRPr="00C2711D" w:rsidRDefault="00526E83" w:rsidP="000A23D2">
      <w:pPr>
        <w:rPr>
          <w:sz w:val="22"/>
          <w:szCs w:val="22"/>
        </w:rPr>
      </w:pPr>
    </w:p>
    <w:p w:rsidR="00526E83" w:rsidRPr="00C2711D" w:rsidRDefault="00526E83" w:rsidP="000A23D2">
      <w:pPr>
        <w:rPr>
          <w:sz w:val="22"/>
          <w:szCs w:val="22"/>
        </w:rPr>
      </w:pPr>
    </w:p>
    <w:p w:rsidR="00526E83" w:rsidRPr="00C2711D" w:rsidRDefault="00526E83" w:rsidP="000A23D2">
      <w:pPr>
        <w:rPr>
          <w:sz w:val="22"/>
          <w:szCs w:val="22"/>
        </w:rPr>
      </w:pPr>
    </w:p>
    <w:p w:rsidR="00526E83" w:rsidRPr="00C2711D" w:rsidRDefault="00526E83" w:rsidP="000A23D2">
      <w:pPr>
        <w:rPr>
          <w:sz w:val="22"/>
          <w:szCs w:val="22"/>
        </w:rPr>
      </w:pPr>
    </w:p>
    <w:p w:rsidR="00526E83" w:rsidRPr="00C2711D" w:rsidRDefault="00526E83" w:rsidP="000A23D2">
      <w:pPr>
        <w:rPr>
          <w:sz w:val="22"/>
          <w:szCs w:val="22"/>
        </w:rPr>
      </w:pPr>
    </w:p>
    <w:p w:rsidR="00526E83" w:rsidRPr="00C2711D" w:rsidRDefault="00526E83" w:rsidP="000A23D2">
      <w:pPr>
        <w:rPr>
          <w:sz w:val="22"/>
          <w:szCs w:val="22"/>
        </w:rPr>
      </w:pPr>
    </w:p>
    <w:p w:rsidR="00526E83" w:rsidRPr="00C2711D" w:rsidRDefault="00526E83" w:rsidP="000A23D2">
      <w:pPr>
        <w:rPr>
          <w:sz w:val="22"/>
          <w:szCs w:val="22"/>
        </w:rPr>
      </w:pPr>
    </w:p>
    <w:p w:rsidR="00526E83" w:rsidRPr="00C2711D" w:rsidRDefault="00526E83" w:rsidP="000A23D2">
      <w:pPr>
        <w:rPr>
          <w:sz w:val="22"/>
          <w:szCs w:val="22"/>
        </w:rPr>
      </w:pPr>
    </w:p>
    <w:p w:rsidR="00526E83" w:rsidRPr="00C2711D" w:rsidRDefault="00526E83" w:rsidP="000A23D2">
      <w:pPr>
        <w:rPr>
          <w:sz w:val="22"/>
          <w:szCs w:val="22"/>
        </w:rPr>
      </w:pPr>
    </w:p>
    <w:p w:rsidR="00526E83" w:rsidRPr="00C2711D" w:rsidRDefault="00526E83" w:rsidP="000A23D2">
      <w:pPr>
        <w:rPr>
          <w:sz w:val="22"/>
          <w:szCs w:val="22"/>
        </w:rPr>
      </w:pPr>
    </w:p>
    <w:p w:rsidR="00526E83" w:rsidRPr="00C2711D" w:rsidRDefault="00526E83" w:rsidP="000A23D2">
      <w:pPr>
        <w:rPr>
          <w:sz w:val="22"/>
          <w:szCs w:val="22"/>
        </w:rPr>
      </w:pPr>
    </w:p>
    <w:p w:rsidR="00526E83" w:rsidRPr="00C2711D" w:rsidRDefault="00526E83" w:rsidP="000A23D2">
      <w:pPr>
        <w:rPr>
          <w:sz w:val="22"/>
          <w:szCs w:val="22"/>
        </w:rPr>
      </w:pPr>
    </w:p>
    <w:p w:rsidR="009E006C" w:rsidRPr="00C2711D" w:rsidRDefault="009E006C" w:rsidP="000A23D2">
      <w:pPr>
        <w:rPr>
          <w:sz w:val="22"/>
          <w:szCs w:val="22"/>
        </w:rPr>
      </w:pPr>
    </w:p>
    <w:p w:rsidR="00554EAD" w:rsidRPr="00C2711D" w:rsidRDefault="00554EAD" w:rsidP="00554EAD">
      <w:pPr>
        <w:rPr>
          <w:b/>
          <w:sz w:val="22"/>
          <w:szCs w:val="22"/>
        </w:rPr>
      </w:pPr>
    </w:p>
    <w:p w:rsidR="00391181" w:rsidRDefault="00391181" w:rsidP="00526E83"/>
    <w:p w:rsidR="00391181" w:rsidRDefault="00391181" w:rsidP="00526E83"/>
    <w:p w:rsidR="00391181" w:rsidRDefault="00391181" w:rsidP="00526E83"/>
    <w:p w:rsidR="00391181" w:rsidRDefault="00391181" w:rsidP="00526E83"/>
    <w:p w:rsidR="00391181" w:rsidRDefault="00391181" w:rsidP="00526E83"/>
    <w:p w:rsidR="00391181" w:rsidRDefault="00391181" w:rsidP="00526E83"/>
    <w:p w:rsidR="00526E83" w:rsidRPr="00391181" w:rsidRDefault="00526E83" w:rsidP="00526E83">
      <w:pPr>
        <w:rPr>
          <w:b/>
        </w:rPr>
      </w:pPr>
      <w:r w:rsidRPr="00C2711D">
        <w:t>This document is a summary of the Loddon Mallee North Regional Growth Plan.</w:t>
      </w:r>
      <w:r w:rsidRPr="00C2711D">
        <w:rPr>
          <w:b/>
        </w:rPr>
        <w:t xml:space="preserve"> </w:t>
      </w:r>
      <w:r w:rsidRPr="00391181">
        <w:rPr>
          <w:rStyle w:val="Strong"/>
        </w:rPr>
        <w:t>The full plan is available at</w:t>
      </w:r>
      <w:r w:rsidRPr="00C2711D">
        <w:rPr>
          <w:b/>
        </w:rPr>
        <w:t xml:space="preserve"> </w:t>
      </w:r>
      <w:hyperlink r:id="rId8" w:history="1">
        <w:r w:rsidRPr="00391181">
          <w:rPr>
            <w:rStyle w:val="Hyperlink"/>
          </w:rPr>
          <w:t>www.dtpli.vic.gov.au/regionalgrowthplans</w:t>
        </w:r>
      </w:hyperlink>
    </w:p>
    <w:p w:rsidR="00526E83" w:rsidRPr="00C2711D" w:rsidRDefault="00526E83" w:rsidP="00526E83">
      <w:pPr>
        <w:rPr>
          <w:b/>
          <w:sz w:val="22"/>
          <w:szCs w:val="22"/>
        </w:rPr>
      </w:pPr>
    </w:p>
    <w:p w:rsidR="00526E83" w:rsidRPr="00391181" w:rsidRDefault="00526E83" w:rsidP="00526E83">
      <w:pPr>
        <w:autoSpaceDE w:val="0"/>
        <w:autoSpaceDN w:val="0"/>
        <w:adjustRightInd w:val="0"/>
        <w:spacing w:before="240"/>
      </w:pPr>
      <w:r w:rsidRPr="00391181">
        <w:t>Authorised and published by the Victorian Government, 1 Treasury Place, Melbourne</w:t>
      </w:r>
      <w:r w:rsidRPr="00391181">
        <w:br/>
        <w:t>Printed by Finsbury Green, Melbourne</w:t>
      </w:r>
      <w:r w:rsidRPr="00391181">
        <w:br/>
      </w:r>
      <w:r w:rsidRPr="00C2711D">
        <w:rPr>
          <w:rFonts w:cs="Arial"/>
          <w:bCs/>
          <w:color w:val="000000"/>
          <w:sz w:val="28"/>
          <w:szCs w:val="28"/>
          <w:lang w:val="en-AU"/>
        </w:rPr>
        <w:t>If you would like to receive this publication in an accessible format, please telephone 1300 366 356.</w:t>
      </w:r>
      <w:r w:rsidRPr="00C2711D">
        <w:rPr>
          <w:rFonts w:cs="Arial"/>
          <w:bCs/>
          <w:color w:val="000000"/>
          <w:sz w:val="28"/>
          <w:szCs w:val="28"/>
          <w:lang w:val="en-AU"/>
        </w:rPr>
        <w:br/>
      </w:r>
      <w:r w:rsidRPr="00391181">
        <w:t xml:space="preserve">This document is also available in Word format at </w:t>
      </w:r>
      <w:hyperlink r:id="rId9" w:history="1">
        <w:r w:rsidRPr="00391181">
          <w:rPr>
            <w:rStyle w:val="Hyperlink"/>
          </w:rPr>
          <w:t>www.dtpli.vic.gov.au/regionalgrowthplans</w:t>
        </w:r>
      </w:hyperlink>
      <w:r w:rsidRPr="00391181">
        <w:br/>
        <w:t>Unless indicated otherwise, this work is made available under the terms of the Creative Commons Attribution 3.0 Australia licence.</w:t>
      </w:r>
      <w:r w:rsidRPr="00391181">
        <w:br/>
        <w:t xml:space="preserve">To view a copy of the licence, visit </w:t>
      </w:r>
      <w:hyperlink r:id="rId10" w:history="1">
        <w:r w:rsidRPr="00391181">
          <w:rPr>
            <w:rStyle w:val="Hyperlink"/>
          </w:rPr>
          <w:t>creativecommons.org/licences/by/3.0/au</w:t>
        </w:r>
      </w:hyperlink>
      <w:r w:rsidRPr="00391181">
        <w:br/>
        <w:t>It is a condition of this Creative Commons Attribution 3.0 Licence that you must give credit to the original author who is the State of Victoria.</w:t>
      </w:r>
    </w:p>
    <w:p w:rsidR="00526E83" w:rsidRPr="00C2711D" w:rsidRDefault="00526E83" w:rsidP="00391181">
      <w:pPr>
        <w:rPr>
          <w:lang w:val="en-AU"/>
        </w:rPr>
      </w:pPr>
      <w:r w:rsidRPr="00391181">
        <w:rPr>
          <w:rStyle w:val="Strong"/>
        </w:rPr>
        <w:t>Disclaimer</w:t>
      </w:r>
      <w:r w:rsidRPr="00391181">
        <w:rPr>
          <w:rStyle w:val="Strong"/>
        </w:rPr>
        <w:br/>
      </w:r>
      <w:r w:rsidRPr="00C2711D">
        <w:rPr>
          <w:lang w:val="en-AU"/>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526E83" w:rsidRPr="00C2711D" w:rsidRDefault="006779B9" w:rsidP="00391181">
      <w:pPr>
        <w:rPr>
          <w:b/>
          <w:lang w:val="en-AU"/>
        </w:rPr>
        <w:sectPr w:rsidR="00526E83" w:rsidRPr="00C2711D" w:rsidSect="00554EAD">
          <w:pgSz w:w="11900" w:h="16840"/>
          <w:pgMar w:top="1440" w:right="1800" w:bottom="1440" w:left="1800" w:header="708" w:footer="708" w:gutter="0"/>
          <w:pgNumType w:start="1"/>
          <w:cols w:space="708"/>
          <w:docGrid w:linePitch="360"/>
        </w:sectPr>
      </w:pPr>
      <w:r>
        <w:rPr>
          <w:lang w:val="en-AU"/>
        </w:rPr>
        <w:t>May</w:t>
      </w:r>
      <w:r w:rsidR="002B7D54" w:rsidRPr="00C2711D">
        <w:rPr>
          <w:lang w:val="en-AU"/>
        </w:rPr>
        <w:t xml:space="preserve"> </w:t>
      </w:r>
      <w:r w:rsidR="00612448" w:rsidRPr="00C2711D">
        <w:rPr>
          <w:lang w:val="en-AU"/>
        </w:rPr>
        <w:t>2014</w:t>
      </w:r>
    </w:p>
    <w:p w:rsidR="00CC199B" w:rsidRDefault="00CC199B" w:rsidP="001D77CB">
      <w:pPr>
        <w:pStyle w:val="TOCHeading"/>
      </w:pPr>
      <w:r>
        <w:lastRenderedPageBreak/>
        <w:t>Contents</w:t>
      </w:r>
    </w:p>
    <w:p w:rsidR="001D77CB" w:rsidRDefault="001E7135">
      <w:pPr>
        <w:pStyle w:val="TOC1"/>
        <w:tabs>
          <w:tab w:val="right" w:leader="dot" w:pos="8290"/>
        </w:tabs>
        <w:rPr>
          <w:noProof/>
          <w:sz w:val="22"/>
          <w:szCs w:val="22"/>
          <w:lang w:val="en-AU" w:eastAsia="en-AU"/>
        </w:rPr>
      </w:pPr>
      <w:r>
        <w:rPr>
          <w:sz w:val="22"/>
          <w:szCs w:val="22"/>
        </w:rPr>
        <w:fldChar w:fldCharType="begin"/>
      </w:r>
      <w:r w:rsidR="001D77CB">
        <w:rPr>
          <w:sz w:val="22"/>
          <w:szCs w:val="22"/>
        </w:rPr>
        <w:instrText xml:space="preserve"> TOC \o "1-1" \h \z \u </w:instrText>
      </w:r>
      <w:r>
        <w:rPr>
          <w:sz w:val="22"/>
          <w:szCs w:val="22"/>
        </w:rPr>
        <w:fldChar w:fldCharType="separate"/>
      </w:r>
      <w:hyperlink w:anchor="_Toc384209374" w:history="1">
        <w:r w:rsidR="001D77CB" w:rsidRPr="0076025D">
          <w:rPr>
            <w:rStyle w:val="Hyperlink"/>
            <w:noProof/>
          </w:rPr>
          <w:t>Minister’s Message</w:t>
        </w:r>
        <w:r w:rsidR="001D77CB">
          <w:rPr>
            <w:noProof/>
            <w:webHidden/>
          </w:rPr>
          <w:tab/>
        </w:r>
        <w:r>
          <w:rPr>
            <w:noProof/>
            <w:webHidden/>
          </w:rPr>
          <w:fldChar w:fldCharType="begin"/>
        </w:r>
        <w:r w:rsidR="001D77CB">
          <w:rPr>
            <w:noProof/>
            <w:webHidden/>
          </w:rPr>
          <w:instrText xml:space="preserve"> PAGEREF _Toc384209374 \h </w:instrText>
        </w:r>
        <w:r>
          <w:rPr>
            <w:noProof/>
            <w:webHidden/>
          </w:rPr>
        </w:r>
        <w:r>
          <w:rPr>
            <w:noProof/>
            <w:webHidden/>
          </w:rPr>
          <w:fldChar w:fldCharType="separate"/>
        </w:r>
        <w:r w:rsidR="001D77CB">
          <w:rPr>
            <w:noProof/>
            <w:webHidden/>
          </w:rPr>
          <w:t>i</w:t>
        </w:r>
        <w:r>
          <w:rPr>
            <w:noProof/>
            <w:webHidden/>
          </w:rPr>
          <w:fldChar w:fldCharType="end"/>
        </w:r>
      </w:hyperlink>
    </w:p>
    <w:p w:rsidR="001D77CB" w:rsidRDefault="001E7135">
      <w:pPr>
        <w:pStyle w:val="TOC1"/>
        <w:tabs>
          <w:tab w:val="right" w:leader="dot" w:pos="8290"/>
        </w:tabs>
        <w:rPr>
          <w:noProof/>
          <w:sz w:val="22"/>
          <w:szCs w:val="22"/>
          <w:lang w:val="en-AU" w:eastAsia="en-AU"/>
        </w:rPr>
      </w:pPr>
      <w:hyperlink w:anchor="_Toc384209375" w:history="1">
        <w:r w:rsidR="001D77CB" w:rsidRPr="0076025D">
          <w:rPr>
            <w:rStyle w:val="Hyperlink"/>
            <w:noProof/>
          </w:rPr>
          <w:t>WHY WE NEED A PLAN</w:t>
        </w:r>
        <w:r w:rsidR="001D77CB">
          <w:rPr>
            <w:noProof/>
            <w:webHidden/>
          </w:rPr>
          <w:tab/>
        </w:r>
        <w:r>
          <w:rPr>
            <w:noProof/>
            <w:webHidden/>
          </w:rPr>
          <w:fldChar w:fldCharType="begin"/>
        </w:r>
        <w:r w:rsidR="001D77CB">
          <w:rPr>
            <w:noProof/>
            <w:webHidden/>
          </w:rPr>
          <w:instrText xml:space="preserve"> PAGEREF _Toc384209375 \h </w:instrText>
        </w:r>
        <w:r>
          <w:rPr>
            <w:noProof/>
            <w:webHidden/>
          </w:rPr>
        </w:r>
        <w:r>
          <w:rPr>
            <w:noProof/>
            <w:webHidden/>
          </w:rPr>
          <w:fldChar w:fldCharType="separate"/>
        </w:r>
        <w:r w:rsidR="001D77CB">
          <w:rPr>
            <w:noProof/>
            <w:webHidden/>
          </w:rPr>
          <w:t>1</w:t>
        </w:r>
        <w:r>
          <w:rPr>
            <w:noProof/>
            <w:webHidden/>
          </w:rPr>
          <w:fldChar w:fldCharType="end"/>
        </w:r>
      </w:hyperlink>
    </w:p>
    <w:p w:rsidR="001D77CB" w:rsidRDefault="001E7135">
      <w:pPr>
        <w:pStyle w:val="TOC1"/>
        <w:tabs>
          <w:tab w:val="right" w:leader="dot" w:pos="8290"/>
        </w:tabs>
        <w:rPr>
          <w:noProof/>
          <w:sz w:val="22"/>
          <w:szCs w:val="22"/>
          <w:lang w:val="en-AU" w:eastAsia="en-AU"/>
        </w:rPr>
      </w:pPr>
      <w:hyperlink w:anchor="_Toc384209376" w:history="1">
        <w:r w:rsidR="001D77CB" w:rsidRPr="0076025D">
          <w:rPr>
            <w:rStyle w:val="Hyperlink"/>
            <w:caps/>
            <w:noProof/>
          </w:rPr>
          <w:t>State of Cities</w:t>
        </w:r>
        <w:r w:rsidR="001D77CB">
          <w:rPr>
            <w:noProof/>
            <w:webHidden/>
          </w:rPr>
          <w:tab/>
        </w:r>
        <w:r>
          <w:rPr>
            <w:noProof/>
            <w:webHidden/>
          </w:rPr>
          <w:fldChar w:fldCharType="begin"/>
        </w:r>
        <w:r w:rsidR="001D77CB">
          <w:rPr>
            <w:noProof/>
            <w:webHidden/>
          </w:rPr>
          <w:instrText xml:space="preserve"> PAGEREF _Toc384209376 \h </w:instrText>
        </w:r>
        <w:r>
          <w:rPr>
            <w:noProof/>
            <w:webHidden/>
          </w:rPr>
        </w:r>
        <w:r>
          <w:rPr>
            <w:noProof/>
            <w:webHidden/>
          </w:rPr>
          <w:fldChar w:fldCharType="separate"/>
        </w:r>
        <w:r w:rsidR="001D77CB">
          <w:rPr>
            <w:noProof/>
            <w:webHidden/>
          </w:rPr>
          <w:t>2</w:t>
        </w:r>
        <w:r>
          <w:rPr>
            <w:noProof/>
            <w:webHidden/>
          </w:rPr>
          <w:fldChar w:fldCharType="end"/>
        </w:r>
      </w:hyperlink>
    </w:p>
    <w:p w:rsidR="001D77CB" w:rsidRDefault="001E7135">
      <w:pPr>
        <w:pStyle w:val="TOC1"/>
        <w:tabs>
          <w:tab w:val="right" w:leader="dot" w:pos="8290"/>
        </w:tabs>
        <w:rPr>
          <w:noProof/>
          <w:sz w:val="22"/>
          <w:szCs w:val="22"/>
          <w:lang w:val="en-AU" w:eastAsia="en-AU"/>
        </w:rPr>
      </w:pPr>
      <w:hyperlink w:anchor="_Toc384209377" w:history="1">
        <w:r w:rsidR="001D77CB" w:rsidRPr="0076025D">
          <w:rPr>
            <w:rStyle w:val="Hyperlink"/>
            <w:noProof/>
          </w:rPr>
          <w:t xml:space="preserve">SNAPSHOT OF </w:t>
        </w:r>
        <w:r w:rsidR="00D90659">
          <w:rPr>
            <w:rStyle w:val="Hyperlink"/>
            <w:noProof/>
          </w:rPr>
          <w:t>LODDON MALLEE NORTH</w:t>
        </w:r>
        <w:r w:rsidR="001D77CB">
          <w:rPr>
            <w:noProof/>
            <w:webHidden/>
          </w:rPr>
          <w:tab/>
        </w:r>
        <w:r>
          <w:rPr>
            <w:noProof/>
            <w:webHidden/>
          </w:rPr>
          <w:fldChar w:fldCharType="begin"/>
        </w:r>
        <w:r w:rsidR="001D77CB">
          <w:rPr>
            <w:noProof/>
            <w:webHidden/>
          </w:rPr>
          <w:instrText xml:space="preserve"> PAGEREF _Toc384209377 \h </w:instrText>
        </w:r>
        <w:r>
          <w:rPr>
            <w:noProof/>
            <w:webHidden/>
          </w:rPr>
        </w:r>
        <w:r>
          <w:rPr>
            <w:noProof/>
            <w:webHidden/>
          </w:rPr>
          <w:fldChar w:fldCharType="separate"/>
        </w:r>
        <w:r w:rsidR="001D77CB">
          <w:rPr>
            <w:noProof/>
            <w:webHidden/>
          </w:rPr>
          <w:t>3</w:t>
        </w:r>
        <w:r>
          <w:rPr>
            <w:noProof/>
            <w:webHidden/>
          </w:rPr>
          <w:fldChar w:fldCharType="end"/>
        </w:r>
      </w:hyperlink>
    </w:p>
    <w:p w:rsidR="001D77CB" w:rsidRDefault="001E7135">
      <w:pPr>
        <w:pStyle w:val="TOC1"/>
        <w:tabs>
          <w:tab w:val="right" w:leader="dot" w:pos="8290"/>
        </w:tabs>
        <w:rPr>
          <w:noProof/>
          <w:sz w:val="22"/>
          <w:szCs w:val="22"/>
          <w:lang w:val="en-AU" w:eastAsia="en-AU"/>
        </w:rPr>
      </w:pPr>
      <w:hyperlink w:anchor="_Toc384209378" w:history="1">
        <w:r w:rsidR="001D77CB" w:rsidRPr="0076025D">
          <w:rPr>
            <w:rStyle w:val="Hyperlink"/>
            <w:caps/>
            <w:noProof/>
          </w:rPr>
          <w:t xml:space="preserve">Vision </w:t>
        </w:r>
        <w:r w:rsidR="00777B83">
          <w:rPr>
            <w:rStyle w:val="Hyperlink"/>
            <w:caps/>
            <w:noProof/>
          </w:rPr>
          <w:t xml:space="preserve">AND PRINCIPLES </w:t>
        </w:r>
        <w:r w:rsidR="001D77CB" w:rsidRPr="0076025D">
          <w:rPr>
            <w:rStyle w:val="Hyperlink"/>
            <w:caps/>
            <w:noProof/>
          </w:rPr>
          <w:t xml:space="preserve">for </w:t>
        </w:r>
        <w:r w:rsidR="00D90659" w:rsidRPr="00D90659">
          <w:rPr>
            <w:rStyle w:val="Hyperlink"/>
            <w:caps/>
            <w:noProof/>
          </w:rPr>
          <w:t>LODDON MALLEE NORTH</w:t>
        </w:r>
        <w:r w:rsidR="001D77CB">
          <w:rPr>
            <w:noProof/>
            <w:webHidden/>
          </w:rPr>
          <w:tab/>
        </w:r>
        <w:r>
          <w:rPr>
            <w:noProof/>
            <w:webHidden/>
          </w:rPr>
          <w:fldChar w:fldCharType="begin"/>
        </w:r>
        <w:r w:rsidR="001D77CB">
          <w:rPr>
            <w:noProof/>
            <w:webHidden/>
          </w:rPr>
          <w:instrText xml:space="preserve"> PAGEREF _Toc384209378 \h </w:instrText>
        </w:r>
        <w:r>
          <w:rPr>
            <w:noProof/>
            <w:webHidden/>
          </w:rPr>
        </w:r>
        <w:r>
          <w:rPr>
            <w:noProof/>
            <w:webHidden/>
          </w:rPr>
          <w:fldChar w:fldCharType="separate"/>
        </w:r>
        <w:r w:rsidR="001D77CB">
          <w:rPr>
            <w:noProof/>
            <w:webHidden/>
          </w:rPr>
          <w:t>6</w:t>
        </w:r>
        <w:r>
          <w:rPr>
            <w:noProof/>
            <w:webHidden/>
          </w:rPr>
          <w:fldChar w:fldCharType="end"/>
        </w:r>
      </w:hyperlink>
    </w:p>
    <w:p w:rsidR="001D77CB" w:rsidRDefault="001E7135">
      <w:pPr>
        <w:pStyle w:val="TOC1"/>
        <w:tabs>
          <w:tab w:val="right" w:leader="dot" w:pos="8290"/>
        </w:tabs>
        <w:rPr>
          <w:noProof/>
          <w:sz w:val="22"/>
          <w:szCs w:val="22"/>
          <w:lang w:val="en-AU" w:eastAsia="en-AU"/>
        </w:rPr>
      </w:pPr>
      <w:hyperlink w:anchor="_Toc384209379" w:history="1">
        <w:r w:rsidR="001D77CB" w:rsidRPr="0076025D">
          <w:rPr>
            <w:rStyle w:val="Hyperlink"/>
            <w:noProof/>
          </w:rPr>
          <w:t xml:space="preserve">ABOUT </w:t>
        </w:r>
        <w:r w:rsidR="00D90659" w:rsidRPr="00D90659">
          <w:rPr>
            <w:rStyle w:val="Hyperlink"/>
            <w:noProof/>
          </w:rPr>
          <w:t>LODDON MALLEE NORTH</w:t>
        </w:r>
        <w:r w:rsidR="001D77CB">
          <w:rPr>
            <w:noProof/>
            <w:webHidden/>
          </w:rPr>
          <w:tab/>
        </w:r>
        <w:r>
          <w:rPr>
            <w:noProof/>
            <w:webHidden/>
          </w:rPr>
          <w:fldChar w:fldCharType="begin"/>
        </w:r>
        <w:r w:rsidR="001D77CB">
          <w:rPr>
            <w:noProof/>
            <w:webHidden/>
          </w:rPr>
          <w:instrText xml:space="preserve"> PAGEREF _Toc384209379 \h </w:instrText>
        </w:r>
        <w:r>
          <w:rPr>
            <w:noProof/>
            <w:webHidden/>
          </w:rPr>
        </w:r>
        <w:r>
          <w:rPr>
            <w:noProof/>
            <w:webHidden/>
          </w:rPr>
          <w:fldChar w:fldCharType="separate"/>
        </w:r>
        <w:r w:rsidR="001D77CB">
          <w:rPr>
            <w:noProof/>
            <w:webHidden/>
          </w:rPr>
          <w:t>7</w:t>
        </w:r>
        <w:r>
          <w:rPr>
            <w:noProof/>
            <w:webHidden/>
          </w:rPr>
          <w:fldChar w:fldCharType="end"/>
        </w:r>
      </w:hyperlink>
    </w:p>
    <w:p w:rsidR="001D77CB" w:rsidRDefault="001E7135">
      <w:pPr>
        <w:pStyle w:val="TOC1"/>
        <w:tabs>
          <w:tab w:val="right" w:leader="dot" w:pos="8290"/>
        </w:tabs>
        <w:rPr>
          <w:noProof/>
          <w:sz w:val="22"/>
          <w:szCs w:val="22"/>
          <w:lang w:val="en-AU" w:eastAsia="en-AU"/>
        </w:rPr>
      </w:pPr>
      <w:hyperlink w:anchor="_Toc384209380" w:history="1">
        <w:r w:rsidR="001D77CB" w:rsidRPr="0076025D">
          <w:rPr>
            <w:rStyle w:val="Hyperlink"/>
            <w:noProof/>
          </w:rPr>
          <w:t>THE REGIONAL GROWTH PLAN MAP</w:t>
        </w:r>
        <w:r w:rsidR="001D77CB">
          <w:rPr>
            <w:noProof/>
            <w:webHidden/>
          </w:rPr>
          <w:tab/>
        </w:r>
        <w:r>
          <w:rPr>
            <w:noProof/>
            <w:webHidden/>
          </w:rPr>
          <w:fldChar w:fldCharType="begin"/>
        </w:r>
        <w:r w:rsidR="001D77CB">
          <w:rPr>
            <w:noProof/>
            <w:webHidden/>
          </w:rPr>
          <w:instrText xml:space="preserve"> PAGEREF _Toc384209380 \h </w:instrText>
        </w:r>
        <w:r>
          <w:rPr>
            <w:noProof/>
            <w:webHidden/>
          </w:rPr>
        </w:r>
        <w:r>
          <w:rPr>
            <w:noProof/>
            <w:webHidden/>
          </w:rPr>
          <w:fldChar w:fldCharType="separate"/>
        </w:r>
        <w:r w:rsidR="001D77CB">
          <w:rPr>
            <w:noProof/>
            <w:webHidden/>
          </w:rPr>
          <w:t>8</w:t>
        </w:r>
        <w:r>
          <w:rPr>
            <w:noProof/>
            <w:webHidden/>
          </w:rPr>
          <w:fldChar w:fldCharType="end"/>
        </w:r>
      </w:hyperlink>
    </w:p>
    <w:p w:rsidR="001D77CB" w:rsidRDefault="001E7135">
      <w:pPr>
        <w:pStyle w:val="TOC1"/>
        <w:tabs>
          <w:tab w:val="right" w:leader="dot" w:pos="8290"/>
        </w:tabs>
        <w:rPr>
          <w:noProof/>
          <w:sz w:val="22"/>
          <w:szCs w:val="22"/>
          <w:lang w:val="en-AU" w:eastAsia="en-AU"/>
        </w:rPr>
      </w:pPr>
      <w:hyperlink w:anchor="_Toc384209381" w:history="1">
        <w:r w:rsidR="001D77CB" w:rsidRPr="0076025D">
          <w:rPr>
            <w:rStyle w:val="Hyperlink"/>
            <w:noProof/>
          </w:rPr>
          <w:t>WHAT ARE THE CHALLENGES?</w:t>
        </w:r>
        <w:r w:rsidR="001D77CB">
          <w:rPr>
            <w:noProof/>
            <w:webHidden/>
          </w:rPr>
          <w:tab/>
        </w:r>
        <w:r>
          <w:rPr>
            <w:noProof/>
            <w:webHidden/>
          </w:rPr>
          <w:fldChar w:fldCharType="begin"/>
        </w:r>
        <w:r w:rsidR="001D77CB">
          <w:rPr>
            <w:noProof/>
            <w:webHidden/>
          </w:rPr>
          <w:instrText xml:space="preserve"> PAGEREF _Toc384209381 \h </w:instrText>
        </w:r>
        <w:r>
          <w:rPr>
            <w:noProof/>
            <w:webHidden/>
          </w:rPr>
        </w:r>
        <w:r>
          <w:rPr>
            <w:noProof/>
            <w:webHidden/>
          </w:rPr>
          <w:fldChar w:fldCharType="separate"/>
        </w:r>
        <w:r w:rsidR="001D77CB">
          <w:rPr>
            <w:noProof/>
            <w:webHidden/>
          </w:rPr>
          <w:t>9</w:t>
        </w:r>
        <w:r>
          <w:rPr>
            <w:noProof/>
            <w:webHidden/>
          </w:rPr>
          <w:fldChar w:fldCharType="end"/>
        </w:r>
      </w:hyperlink>
    </w:p>
    <w:p w:rsidR="001D77CB" w:rsidRDefault="001E7135">
      <w:pPr>
        <w:pStyle w:val="TOC1"/>
        <w:tabs>
          <w:tab w:val="right" w:leader="dot" w:pos="8290"/>
        </w:tabs>
        <w:rPr>
          <w:noProof/>
          <w:sz w:val="22"/>
          <w:szCs w:val="22"/>
          <w:lang w:val="en-AU" w:eastAsia="en-AU"/>
        </w:rPr>
      </w:pPr>
      <w:hyperlink w:anchor="_Toc384209382" w:history="1">
        <w:r w:rsidR="001D77CB" w:rsidRPr="0076025D">
          <w:rPr>
            <w:rStyle w:val="Hyperlink"/>
            <w:noProof/>
          </w:rPr>
          <w:t xml:space="preserve">LIVING IN </w:t>
        </w:r>
        <w:r w:rsidR="00D90659" w:rsidRPr="00D90659">
          <w:rPr>
            <w:rStyle w:val="Hyperlink"/>
            <w:noProof/>
          </w:rPr>
          <w:t>LODDON MALLEE NORTH</w:t>
        </w:r>
        <w:r w:rsidR="001D77CB">
          <w:rPr>
            <w:noProof/>
            <w:webHidden/>
          </w:rPr>
          <w:tab/>
        </w:r>
        <w:r>
          <w:rPr>
            <w:noProof/>
            <w:webHidden/>
          </w:rPr>
          <w:fldChar w:fldCharType="begin"/>
        </w:r>
        <w:r w:rsidR="001D77CB">
          <w:rPr>
            <w:noProof/>
            <w:webHidden/>
          </w:rPr>
          <w:instrText xml:space="preserve"> PAGEREF _Toc384209382 \h </w:instrText>
        </w:r>
        <w:r>
          <w:rPr>
            <w:noProof/>
            <w:webHidden/>
          </w:rPr>
        </w:r>
        <w:r>
          <w:rPr>
            <w:noProof/>
            <w:webHidden/>
          </w:rPr>
          <w:fldChar w:fldCharType="separate"/>
        </w:r>
        <w:r w:rsidR="001D77CB">
          <w:rPr>
            <w:noProof/>
            <w:webHidden/>
          </w:rPr>
          <w:t>10</w:t>
        </w:r>
        <w:r>
          <w:rPr>
            <w:noProof/>
            <w:webHidden/>
          </w:rPr>
          <w:fldChar w:fldCharType="end"/>
        </w:r>
      </w:hyperlink>
    </w:p>
    <w:p w:rsidR="001D77CB" w:rsidRDefault="001E7135">
      <w:pPr>
        <w:pStyle w:val="TOC1"/>
        <w:tabs>
          <w:tab w:val="right" w:leader="dot" w:pos="8290"/>
        </w:tabs>
        <w:rPr>
          <w:noProof/>
          <w:sz w:val="22"/>
          <w:szCs w:val="22"/>
          <w:lang w:val="en-AU" w:eastAsia="en-AU"/>
        </w:rPr>
      </w:pPr>
      <w:hyperlink w:anchor="_Toc384209383" w:history="1">
        <w:r w:rsidR="001D77CB" w:rsidRPr="0076025D">
          <w:rPr>
            <w:rStyle w:val="Hyperlink"/>
            <w:noProof/>
          </w:rPr>
          <w:t>KEY TOWNS – FUTURE PLANS OVER THE NEXT 20-30 YEARS</w:t>
        </w:r>
        <w:r w:rsidR="001D77CB">
          <w:rPr>
            <w:noProof/>
            <w:webHidden/>
          </w:rPr>
          <w:tab/>
        </w:r>
        <w:r>
          <w:rPr>
            <w:noProof/>
            <w:webHidden/>
          </w:rPr>
          <w:fldChar w:fldCharType="begin"/>
        </w:r>
        <w:r w:rsidR="001D77CB">
          <w:rPr>
            <w:noProof/>
            <w:webHidden/>
          </w:rPr>
          <w:instrText xml:space="preserve"> PAGEREF _Toc384209383 \h </w:instrText>
        </w:r>
        <w:r>
          <w:rPr>
            <w:noProof/>
            <w:webHidden/>
          </w:rPr>
        </w:r>
        <w:r>
          <w:rPr>
            <w:noProof/>
            <w:webHidden/>
          </w:rPr>
          <w:fldChar w:fldCharType="separate"/>
        </w:r>
        <w:r w:rsidR="001D77CB">
          <w:rPr>
            <w:noProof/>
            <w:webHidden/>
          </w:rPr>
          <w:t>11</w:t>
        </w:r>
        <w:r>
          <w:rPr>
            <w:noProof/>
            <w:webHidden/>
          </w:rPr>
          <w:fldChar w:fldCharType="end"/>
        </w:r>
      </w:hyperlink>
    </w:p>
    <w:p w:rsidR="001D77CB" w:rsidRDefault="001E7135">
      <w:pPr>
        <w:pStyle w:val="TOC1"/>
        <w:tabs>
          <w:tab w:val="right" w:leader="dot" w:pos="8290"/>
        </w:tabs>
        <w:rPr>
          <w:noProof/>
          <w:sz w:val="22"/>
          <w:szCs w:val="22"/>
          <w:lang w:val="en-AU" w:eastAsia="en-AU"/>
        </w:rPr>
      </w:pPr>
      <w:hyperlink w:anchor="_Toc384209384" w:history="1">
        <w:r w:rsidR="001D77CB" w:rsidRPr="0076025D">
          <w:rPr>
            <w:rStyle w:val="Hyperlink"/>
            <w:noProof/>
          </w:rPr>
          <w:t>REGIONAL ECONOMY</w:t>
        </w:r>
        <w:r w:rsidR="001D77CB">
          <w:rPr>
            <w:noProof/>
            <w:webHidden/>
          </w:rPr>
          <w:tab/>
        </w:r>
        <w:r>
          <w:rPr>
            <w:noProof/>
            <w:webHidden/>
          </w:rPr>
          <w:fldChar w:fldCharType="begin"/>
        </w:r>
        <w:r w:rsidR="001D77CB">
          <w:rPr>
            <w:noProof/>
            <w:webHidden/>
          </w:rPr>
          <w:instrText xml:space="preserve"> PAGEREF _Toc384209384 \h </w:instrText>
        </w:r>
        <w:r>
          <w:rPr>
            <w:noProof/>
            <w:webHidden/>
          </w:rPr>
        </w:r>
        <w:r>
          <w:rPr>
            <w:noProof/>
            <w:webHidden/>
          </w:rPr>
          <w:fldChar w:fldCharType="separate"/>
        </w:r>
        <w:r w:rsidR="001D77CB">
          <w:rPr>
            <w:noProof/>
            <w:webHidden/>
          </w:rPr>
          <w:t>15</w:t>
        </w:r>
        <w:r>
          <w:rPr>
            <w:noProof/>
            <w:webHidden/>
          </w:rPr>
          <w:fldChar w:fldCharType="end"/>
        </w:r>
      </w:hyperlink>
    </w:p>
    <w:p w:rsidR="001D77CB" w:rsidRDefault="001E7135">
      <w:pPr>
        <w:pStyle w:val="TOC1"/>
        <w:tabs>
          <w:tab w:val="right" w:leader="dot" w:pos="8290"/>
        </w:tabs>
        <w:rPr>
          <w:noProof/>
          <w:sz w:val="22"/>
          <w:szCs w:val="22"/>
          <w:lang w:val="en-AU" w:eastAsia="en-AU"/>
        </w:rPr>
      </w:pPr>
      <w:hyperlink w:anchor="_Toc384209385" w:history="1">
        <w:r w:rsidR="001D77CB" w:rsidRPr="0076025D">
          <w:rPr>
            <w:rStyle w:val="Hyperlink"/>
            <w:noProof/>
          </w:rPr>
          <w:t>ENVIRONMENT AND HERITAGE</w:t>
        </w:r>
        <w:r w:rsidR="001D77CB">
          <w:rPr>
            <w:noProof/>
            <w:webHidden/>
          </w:rPr>
          <w:tab/>
        </w:r>
        <w:r>
          <w:rPr>
            <w:noProof/>
            <w:webHidden/>
          </w:rPr>
          <w:fldChar w:fldCharType="begin"/>
        </w:r>
        <w:r w:rsidR="001D77CB">
          <w:rPr>
            <w:noProof/>
            <w:webHidden/>
          </w:rPr>
          <w:instrText xml:space="preserve"> PAGEREF _Toc384209385 \h </w:instrText>
        </w:r>
        <w:r>
          <w:rPr>
            <w:noProof/>
            <w:webHidden/>
          </w:rPr>
        </w:r>
        <w:r>
          <w:rPr>
            <w:noProof/>
            <w:webHidden/>
          </w:rPr>
          <w:fldChar w:fldCharType="separate"/>
        </w:r>
        <w:r w:rsidR="001D77CB">
          <w:rPr>
            <w:noProof/>
            <w:webHidden/>
          </w:rPr>
          <w:t>16</w:t>
        </w:r>
        <w:r>
          <w:rPr>
            <w:noProof/>
            <w:webHidden/>
          </w:rPr>
          <w:fldChar w:fldCharType="end"/>
        </w:r>
      </w:hyperlink>
    </w:p>
    <w:p w:rsidR="001D77CB" w:rsidRDefault="001E7135">
      <w:pPr>
        <w:pStyle w:val="TOC1"/>
        <w:tabs>
          <w:tab w:val="right" w:leader="dot" w:pos="8290"/>
        </w:tabs>
        <w:rPr>
          <w:noProof/>
          <w:sz w:val="22"/>
          <w:szCs w:val="22"/>
          <w:lang w:val="en-AU" w:eastAsia="en-AU"/>
        </w:rPr>
      </w:pPr>
      <w:hyperlink w:anchor="_Toc384209386" w:history="1">
        <w:r w:rsidR="001D77CB" w:rsidRPr="0076025D">
          <w:rPr>
            <w:rStyle w:val="Hyperlink"/>
            <w:noProof/>
          </w:rPr>
          <w:t>REGIONAL INFRASTRUCTURE</w:t>
        </w:r>
        <w:r w:rsidR="001D77CB">
          <w:rPr>
            <w:noProof/>
            <w:webHidden/>
          </w:rPr>
          <w:tab/>
        </w:r>
        <w:r>
          <w:rPr>
            <w:noProof/>
            <w:webHidden/>
          </w:rPr>
          <w:fldChar w:fldCharType="begin"/>
        </w:r>
        <w:r w:rsidR="001D77CB">
          <w:rPr>
            <w:noProof/>
            <w:webHidden/>
          </w:rPr>
          <w:instrText xml:space="preserve"> PAGEREF _Toc384209386 \h </w:instrText>
        </w:r>
        <w:r>
          <w:rPr>
            <w:noProof/>
            <w:webHidden/>
          </w:rPr>
        </w:r>
        <w:r>
          <w:rPr>
            <w:noProof/>
            <w:webHidden/>
          </w:rPr>
          <w:fldChar w:fldCharType="separate"/>
        </w:r>
        <w:r w:rsidR="001D77CB">
          <w:rPr>
            <w:noProof/>
            <w:webHidden/>
          </w:rPr>
          <w:t>17</w:t>
        </w:r>
        <w:r>
          <w:rPr>
            <w:noProof/>
            <w:webHidden/>
          </w:rPr>
          <w:fldChar w:fldCharType="end"/>
        </w:r>
      </w:hyperlink>
    </w:p>
    <w:p w:rsidR="001D77CB" w:rsidRDefault="001E7135">
      <w:pPr>
        <w:pStyle w:val="TOC1"/>
        <w:tabs>
          <w:tab w:val="right" w:leader="dot" w:pos="8290"/>
        </w:tabs>
        <w:rPr>
          <w:noProof/>
          <w:sz w:val="22"/>
          <w:szCs w:val="22"/>
          <w:lang w:val="en-AU" w:eastAsia="en-AU"/>
        </w:rPr>
      </w:pPr>
      <w:hyperlink w:anchor="_Toc384209387" w:history="1">
        <w:r w:rsidR="001D77CB" w:rsidRPr="0076025D">
          <w:rPr>
            <w:rStyle w:val="Hyperlink"/>
            <w:noProof/>
          </w:rPr>
          <w:t>DELIVERING REGIONAL GROWTH</w:t>
        </w:r>
        <w:r w:rsidR="001D77CB">
          <w:rPr>
            <w:noProof/>
            <w:webHidden/>
          </w:rPr>
          <w:tab/>
        </w:r>
        <w:r>
          <w:rPr>
            <w:noProof/>
            <w:webHidden/>
          </w:rPr>
          <w:fldChar w:fldCharType="begin"/>
        </w:r>
        <w:r w:rsidR="001D77CB">
          <w:rPr>
            <w:noProof/>
            <w:webHidden/>
          </w:rPr>
          <w:instrText xml:space="preserve"> PAGEREF _Toc384209387 \h </w:instrText>
        </w:r>
        <w:r>
          <w:rPr>
            <w:noProof/>
            <w:webHidden/>
          </w:rPr>
        </w:r>
        <w:r>
          <w:rPr>
            <w:noProof/>
            <w:webHidden/>
          </w:rPr>
          <w:fldChar w:fldCharType="separate"/>
        </w:r>
        <w:r w:rsidR="001D77CB">
          <w:rPr>
            <w:noProof/>
            <w:webHidden/>
          </w:rPr>
          <w:t>18</w:t>
        </w:r>
        <w:r>
          <w:rPr>
            <w:noProof/>
            <w:webHidden/>
          </w:rPr>
          <w:fldChar w:fldCharType="end"/>
        </w:r>
      </w:hyperlink>
    </w:p>
    <w:p w:rsidR="001D77CB" w:rsidRDefault="001E7135">
      <w:pPr>
        <w:pStyle w:val="TOC1"/>
        <w:tabs>
          <w:tab w:val="right" w:leader="dot" w:pos="8290"/>
        </w:tabs>
        <w:rPr>
          <w:noProof/>
          <w:sz w:val="22"/>
          <w:szCs w:val="22"/>
          <w:lang w:val="en-AU" w:eastAsia="en-AU"/>
        </w:rPr>
      </w:pPr>
      <w:hyperlink w:anchor="_Toc384209388" w:history="1">
        <w:r w:rsidR="001D77CB" w:rsidRPr="0076025D">
          <w:rPr>
            <w:rStyle w:val="Hyperlink"/>
            <w:noProof/>
          </w:rPr>
          <w:t>FURTHER READING AND INFORMATION</w:t>
        </w:r>
        <w:r w:rsidR="001D77CB">
          <w:rPr>
            <w:noProof/>
            <w:webHidden/>
          </w:rPr>
          <w:tab/>
        </w:r>
        <w:r>
          <w:rPr>
            <w:noProof/>
            <w:webHidden/>
          </w:rPr>
          <w:fldChar w:fldCharType="begin"/>
        </w:r>
        <w:r w:rsidR="001D77CB">
          <w:rPr>
            <w:noProof/>
            <w:webHidden/>
          </w:rPr>
          <w:instrText xml:space="preserve"> PAGEREF _Toc384209388 \h </w:instrText>
        </w:r>
        <w:r>
          <w:rPr>
            <w:noProof/>
            <w:webHidden/>
          </w:rPr>
        </w:r>
        <w:r>
          <w:rPr>
            <w:noProof/>
            <w:webHidden/>
          </w:rPr>
          <w:fldChar w:fldCharType="separate"/>
        </w:r>
        <w:r w:rsidR="001D77CB">
          <w:rPr>
            <w:noProof/>
            <w:webHidden/>
          </w:rPr>
          <w:t>19</w:t>
        </w:r>
        <w:r>
          <w:rPr>
            <w:noProof/>
            <w:webHidden/>
          </w:rPr>
          <w:fldChar w:fldCharType="end"/>
        </w:r>
      </w:hyperlink>
    </w:p>
    <w:p w:rsidR="00710CA0" w:rsidRPr="00C2711D" w:rsidRDefault="001E7135" w:rsidP="00554EAD">
      <w:pPr>
        <w:rPr>
          <w:sz w:val="22"/>
          <w:szCs w:val="22"/>
        </w:rPr>
      </w:pPr>
      <w:r>
        <w:rPr>
          <w:sz w:val="22"/>
          <w:szCs w:val="22"/>
        </w:rPr>
        <w:fldChar w:fldCharType="end"/>
      </w:r>
    </w:p>
    <w:p w:rsidR="00612448" w:rsidRPr="00C2711D" w:rsidRDefault="00612448">
      <w:pPr>
        <w:rPr>
          <w:sz w:val="22"/>
          <w:szCs w:val="22"/>
        </w:rPr>
        <w:sectPr w:rsidR="00612448" w:rsidRPr="00C2711D" w:rsidSect="00554EAD">
          <w:headerReference w:type="default" r:id="rId11"/>
          <w:footerReference w:type="default" r:id="rId12"/>
          <w:pgSz w:w="11900" w:h="16840"/>
          <w:pgMar w:top="1440" w:right="1800" w:bottom="1440" w:left="1800" w:header="708" w:footer="708" w:gutter="0"/>
          <w:pgNumType w:start="1"/>
          <w:cols w:space="708"/>
          <w:docGrid w:linePitch="360"/>
        </w:sectPr>
      </w:pPr>
    </w:p>
    <w:p w:rsidR="00CE2E5C" w:rsidRPr="00C2711D" w:rsidRDefault="00D175AC" w:rsidP="00B2357F">
      <w:pPr>
        <w:pStyle w:val="Heading1"/>
      </w:pPr>
      <w:bookmarkStart w:id="0" w:name="_Toc384209374"/>
      <w:r w:rsidRPr="00C2711D">
        <w:t>Minister’s Message</w:t>
      </w:r>
      <w:bookmarkEnd w:id="0"/>
    </w:p>
    <w:p w:rsidR="009E006C" w:rsidRPr="00C2711D" w:rsidRDefault="00554EAD" w:rsidP="00B2357F">
      <w:r w:rsidRPr="00C2711D">
        <w:t>In 2011 the Victorian Government</w:t>
      </w:r>
      <w:r w:rsidR="009E006C" w:rsidRPr="00C2711D">
        <w:t xml:space="preserve">, through the $17.2 million Regional Centres of the Future </w:t>
      </w:r>
      <w:r w:rsidR="00FF206F">
        <w:t>P</w:t>
      </w:r>
      <w:r w:rsidR="009E006C" w:rsidRPr="00C2711D">
        <w:t>rogram,</w:t>
      </w:r>
      <w:r w:rsidRPr="00C2711D">
        <w:t xml:space="preserve"> advanced work across the state to support councils, communities and government authorities in planning for the future growth of their regions. </w:t>
      </w:r>
    </w:p>
    <w:p w:rsidR="00554EAD" w:rsidRPr="00C2711D" w:rsidRDefault="00554EAD" w:rsidP="00B2357F">
      <w:r w:rsidRPr="00C2711D">
        <w:t xml:space="preserve">The </w:t>
      </w:r>
      <w:r w:rsidR="000A23D2" w:rsidRPr="00C2711D">
        <w:rPr>
          <w:lang w:val="en-AU"/>
        </w:rPr>
        <w:t>Loddon Mallee North</w:t>
      </w:r>
      <w:r w:rsidR="000A23D2" w:rsidRPr="00C2711D">
        <w:t xml:space="preserve"> </w:t>
      </w:r>
      <w:r w:rsidRPr="00C2711D">
        <w:t>Regional Growth Plan is one of eight prepared across the state to help guide a coordinated regional response to population growth and</w:t>
      </w:r>
      <w:r w:rsidR="00AB530C" w:rsidRPr="00C2711D">
        <w:t xml:space="preserve"> regional change over the next 3</w:t>
      </w:r>
      <w:r w:rsidRPr="00C2711D">
        <w:t>0 years.</w:t>
      </w:r>
    </w:p>
    <w:p w:rsidR="003B2AFA" w:rsidRPr="003B2AFA" w:rsidRDefault="003B2AFA" w:rsidP="003B2AFA">
      <w:pPr>
        <w:rPr>
          <w:rFonts w:cstheme="majorHAnsi"/>
          <w:lang w:val="en-AU"/>
        </w:rPr>
      </w:pPr>
      <w:r w:rsidRPr="003B2AFA">
        <w:rPr>
          <w:rFonts w:cstheme="majorHAnsi"/>
          <w:lang w:val="en-AU"/>
        </w:rPr>
        <w:t xml:space="preserve">In the May budget I announced a commitment of $12.3 million for regional Victoria towards the implementation of regional growth plans and continuation of the Rural Council Planning Flying Squad that plays such a valued role in assisting councils with major projects, developments and statutory planning support. </w:t>
      </w:r>
    </w:p>
    <w:p w:rsidR="00777B83" w:rsidRPr="00777B83" w:rsidRDefault="00777B83" w:rsidP="00B2357F">
      <w:pPr>
        <w:rPr>
          <w:rFonts w:cstheme="majorHAnsi"/>
        </w:rPr>
      </w:pPr>
      <w:r w:rsidRPr="00777B83">
        <w:rPr>
          <w:rFonts w:cstheme="majorHAnsi"/>
        </w:rPr>
        <w:t>Victoria’s population has been projected to grow by around three million people between 2011 and 20</w:t>
      </w:r>
      <w:r w:rsidR="008612D2">
        <w:rPr>
          <w:rFonts w:cstheme="majorHAnsi"/>
        </w:rPr>
        <w:t>41</w:t>
      </w:r>
      <w:r w:rsidRPr="00777B83">
        <w:rPr>
          <w:rFonts w:cstheme="majorHAnsi"/>
        </w:rPr>
        <w:t>. It is projected that 20 to 25 per cent of that growth will be in reg</w:t>
      </w:r>
      <w:bookmarkStart w:id="1" w:name="_GoBack"/>
      <w:bookmarkEnd w:id="1"/>
      <w:r w:rsidRPr="00777B83">
        <w:rPr>
          <w:rFonts w:cstheme="majorHAnsi"/>
        </w:rPr>
        <w:t>ional Victoria – more tha</w:t>
      </w:r>
      <w:r w:rsidR="00FF206F">
        <w:rPr>
          <w:rFonts w:cstheme="majorHAnsi"/>
        </w:rPr>
        <w:t>n</w:t>
      </w:r>
      <w:r w:rsidRPr="00777B83">
        <w:rPr>
          <w:rFonts w:cstheme="majorHAnsi"/>
        </w:rPr>
        <w:t xml:space="preserve"> double the amount of growth over the previous 30 years.</w:t>
      </w:r>
    </w:p>
    <w:p w:rsidR="00554EAD" w:rsidRPr="00C2711D" w:rsidRDefault="00554EAD" w:rsidP="00B2357F">
      <w:r w:rsidRPr="00C2711D">
        <w:t>In order to accommodate this growth</w:t>
      </w:r>
      <w:r w:rsidR="00A55586" w:rsidRPr="00C2711D">
        <w:t>, provide lifestyle choice and share job opportunities</w:t>
      </w:r>
      <w:r w:rsidRPr="00C2711D">
        <w:t xml:space="preserve">, we need to become a </w:t>
      </w:r>
      <w:r w:rsidR="009E006C" w:rsidRPr="00C2711D">
        <w:t>‘</w:t>
      </w:r>
      <w:r w:rsidRPr="00C2711D">
        <w:t>state of cities</w:t>
      </w:r>
      <w:r w:rsidR="009E006C" w:rsidRPr="00C2711D">
        <w:t>’</w:t>
      </w:r>
      <w:r w:rsidRPr="00C2711D">
        <w:t>.</w:t>
      </w:r>
    </w:p>
    <w:p w:rsidR="00554EAD" w:rsidRPr="00C2711D" w:rsidRDefault="00554EAD" w:rsidP="00B2357F">
      <w:r w:rsidRPr="00C2711D">
        <w:t xml:space="preserve">In developing these </w:t>
      </w:r>
      <w:r w:rsidR="005758C3" w:rsidRPr="00C2711D">
        <w:t xml:space="preserve">growth </w:t>
      </w:r>
      <w:r w:rsidRPr="00C2711D">
        <w:t xml:space="preserve">plans, councils have worked with their regional </w:t>
      </w:r>
      <w:r w:rsidR="00A55586" w:rsidRPr="00C2711D">
        <w:t>counterparts</w:t>
      </w:r>
      <w:r w:rsidR="00CE2E5C" w:rsidRPr="00C2711D">
        <w:t xml:space="preserve"> and the </w:t>
      </w:r>
      <w:r w:rsidR="008612D2">
        <w:t>S</w:t>
      </w:r>
      <w:r w:rsidR="00CE2E5C" w:rsidRPr="00C2711D">
        <w:t xml:space="preserve">tate </w:t>
      </w:r>
      <w:r w:rsidR="008612D2">
        <w:t>G</w:t>
      </w:r>
      <w:r w:rsidRPr="00C2711D">
        <w:t>overnment to identify key environmental, cultural, recreational, economic, tourism and natural resources of value, which will be preserved, maintained or developed.</w:t>
      </w:r>
    </w:p>
    <w:p w:rsidR="00554EAD" w:rsidRPr="00C2711D" w:rsidRDefault="00554EAD" w:rsidP="00B2357F">
      <w:r w:rsidRPr="00C2711D">
        <w:t>Th</w:t>
      </w:r>
      <w:r w:rsidR="00FF206F">
        <w:t>e</w:t>
      </w:r>
      <w:r w:rsidRPr="00C2711D">
        <w:t xml:space="preserve"> work </w:t>
      </w:r>
      <w:r w:rsidR="00B22E0C" w:rsidRPr="00C2711D">
        <w:t xml:space="preserve">has already assisted </w:t>
      </w:r>
      <w:r w:rsidR="00C0095D" w:rsidRPr="00C2711D">
        <w:t>c</w:t>
      </w:r>
      <w:r w:rsidR="00B22E0C" w:rsidRPr="00C2711D">
        <w:t>ouncils in providing strategic inf</w:t>
      </w:r>
      <w:r w:rsidR="00C65BE6" w:rsidRPr="00C2711D">
        <w:t>ormation and mapping</w:t>
      </w:r>
      <w:r w:rsidR="00B22E0C" w:rsidRPr="00C2711D">
        <w:t xml:space="preserve">. The plans will </w:t>
      </w:r>
      <w:r w:rsidRPr="00C2711D">
        <w:t xml:space="preserve">deliver </w:t>
      </w:r>
      <w:r w:rsidR="00F82528" w:rsidRPr="00C2711D">
        <w:t xml:space="preserve">immediate </w:t>
      </w:r>
      <w:r w:rsidRPr="00C2711D">
        <w:t xml:space="preserve">outcomes, while </w:t>
      </w:r>
      <w:r w:rsidR="005758C3" w:rsidRPr="00C2711D">
        <w:t xml:space="preserve">also </w:t>
      </w:r>
      <w:r w:rsidRPr="00C2711D">
        <w:t>providing a planning framework to assist rural and regional councils to plan for population growth and ensure long-term regional land supply.</w:t>
      </w:r>
    </w:p>
    <w:p w:rsidR="00554EAD" w:rsidRPr="00C2711D" w:rsidRDefault="009E006C" w:rsidP="00B2357F">
      <w:r w:rsidRPr="00C2711D">
        <w:t xml:space="preserve">The </w:t>
      </w:r>
      <w:r w:rsidR="00C0095D" w:rsidRPr="00C2711D">
        <w:t>r</w:t>
      </w:r>
      <w:r w:rsidRPr="00C2711D">
        <w:t xml:space="preserve">egional </w:t>
      </w:r>
      <w:r w:rsidR="00C0095D" w:rsidRPr="00C2711D">
        <w:t>g</w:t>
      </w:r>
      <w:r w:rsidRPr="00C2711D">
        <w:t xml:space="preserve">rowth </w:t>
      </w:r>
      <w:r w:rsidR="00C0095D" w:rsidRPr="00C2711D">
        <w:t>p</w:t>
      </w:r>
      <w:r w:rsidRPr="00C2711D">
        <w:t>lans</w:t>
      </w:r>
      <w:r w:rsidR="00554EAD" w:rsidRPr="00C2711D">
        <w:t xml:space="preserve"> will be key instrument</w:t>
      </w:r>
      <w:r w:rsidR="00F82528" w:rsidRPr="00C2711D">
        <w:t>s</w:t>
      </w:r>
      <w:r w:rsidR="00554EAD" w:rsidRPr="00C2711D">
        <w:t xml:space="preserve"> in </w:t>
      </w:r>
      <w:r w:rsidR="005758C3" w:rsidRPr="00C2711D">
        <w:t xml:space="preserve">helping to </w:t>
      </w:r>
      <w:r w:rsidR="00554EAD" w:rsidRPr="00C2711D">
        <w:t>identif</w:t>
      </w:r>
      <w:r w:rsidR="005758C3" w:rsidRPr="00C2711D">
        <w:t>y</w:t>
      </w:r>
      <w:r w:rsidR="00554EAD" w:rsidRPr="00C2711D">
        <w:t xml:space="preserve"> </w:t>
      </w:r>
      <w:r w:rsidR="009952EF" w:rsidRPr="00C2711D">
        <w:t xml:space="preserve">future </w:t>
      </w:r>
      <w:r w:rsidR="00554EAD" w:rsidRPr="00C2711D">
        <w:t xml:space="preserve">infrastructure investment needs to support local education and health services and employment opportunities. </w:t>
      </w:r>
    </w:p>
    <w:p w:rsidR="003B2AFA" w:rsidRPr="003B2AFA" w:rsidRDefault="003B2AFA" w:rsidP="003B2AFA">
      <w:r w:rsidRPr="003B2AFA">
        <w:rPr>
          <w:lang w:val="en-AU"/>
        </w:rPr>
        <w:t xml:space="preserve">I'd like to thank everyone who has contributed to the development of the </w:t>
      </w:r>
      <w:r w:rsidRPr="003B2AFA">
        <w:rPr>
          <w:bCs/>
          <w:lang w:val="en-AU"/>
        </w:rPr>
        <w:t>Loddon Mallee North</w:t>
      </w:r>
      <w:r w:rsidRPr="003B2AFA">
        <w:rPr>
          <w:lang w:val="en-AU"/>
        </w:rPr>
        <w:t xml:space="preserve"> Regional Growth Plan including our local government partners and the Project Steering Committee that put the plan together. I look forward to the plan helping to shape a more pr</w:t>
      </w:r>
      <w:r w:rsidR="008E4854">
        <w:rPr>
          <w:lang w:val="en-AU"/>
        </w:rPr>
        <w:t>osperous future for the region.</w:t>
      </w:r>
    </w:p>
    <w:p w:rsidR="00565010" w:rsidRPr="00C2711D" w:rsidRDefault="00565010" w:rsidP="00B2357F"/>
    <w:p w:rsidR="009952EF" w:rsidRPr="00C2711D" w:rsidRDefault="009952EF" w:rsidP="00B2357F">
      <w:r w:rsidRPr="00C2711D">
        <w:t>The Hon Matthew Guy MLC</w:t>
      </w:r>
    </w:p>
    <w:p w:rsidR="009952EF" w:rsidRPr="00C2711D" w:rsidRDefault="009952EF" w:rsidP="00B2357F">
      <w:r w:rsidRPr="00C2711D">
        <w:t>Minister for Planning</w:t>
      </w:r>
    </w:p>
    <w:p w:rsidR="00612448" w:rsidRPr="00C2711D" w:rsidRDefault="00612448" w:rsidP="00B2357F">
      <w:pPr>
        <w:sectPr w:rsidR="00612448" w:rsidRPr="00C2711D" w:rsidSect="001D77CB">
          <w:footerReference w:type="default" r:id="rId13"/>
          <w:pgSz w:w="11900" w:h="16840"/>
          <w:pgMar w:top="1440" w:right="1800" w:bottom="1440" w:left="1800" w:header="708" w:footer="708" w:gutter="0"/>
          <w:pgNumType w:fmt="lowerRoman" w:start="1"/>
          <w:cols w:space="708"/>
          <w:docGrid w:linePitch="360"/>
        </w:sectPr>
      </w:pPr>
    </w:p>
    <w:p w:rsidR="00EE53B9" w:rsidRPr="00B2357F" w:rsidRDefault="00EE53B9" w:rsidP="00B2357F">
      <w:pPr>
        <w:pStyle w:val="Heading1"/>
      </w:pPr>
      <w:bookmarkStart w:id="2" w:name="_Toc384209375"/>
      <w:r w:rsidRPr="00C2711D">
        <w:t>WHY WE NEED A PLAN</w:t>
      </w:r>
      <w:bookmarkEnd w:id="2"/>
    </w:p>
    <w:p w:rsidR="0057261D" w:rsidRPr="00C2711D" w:rsidRDefault="0057261D" w:rsidP="00B2357F">
      <w:r w:rsidRPr="00C2711D">
        <w:t xml:space="preserve">The </w:t>
      </w:r>
      <w:r w:rsidR="00542380" w:rsidRPr="00C2711D">
        <w:rPr>
          <w:lang w:val="en-AU"/>
        </w:rPr>
        <w:t>Loddon Mallee North</w:t>
      </w:r>
      <w:r w:rsidR="00542380" w:rsidRPr="00C2711D">
        <w:t xml:space="preserve"> </w:t>
      </w:r>
      <w:r w:rsidRPr="00C2711D">
        <w:t xml:space="preserve">Regional Growth Plan has been developed over two years in partnership </w:t>
      </w:r>
      <w:r w:rsidR="00AB530C" w:rsidRPr="00C2711D">
        <w:t>between local government and state agencies and authorities. The plan covers the municipal</w:t>
      </w:r>
      <w:r w:rsidR="005003DB" w:rsidRPr="00C2711D">
        <w:t xml:space="preserve">ities </w:t>
      </w:r>
      <w:r w:rsidR="00AB530C" w:rsidRPr="00C2711D">
        <w:t>of</w:t>
      </w:r>
      <w:r w:rsidR="00FA4EC6" w:rsidRPr="00C2711D">
        <w:t xml:space="preserve"> Buloke, Campaspe, Gannawarra, Mildura and Swan Hill.</w:t>
      </w:r>
    </w:p>
    <w:p w:rsidR="00636578" w:rsidRPr="00B2357F" w:rsidRDefault="005003DB" w:rsidP="00B2357F">
      <w:pPr>
        <w:rPr>
          <w:lang w:val="en-AU"/>
        </w:rPr>
      </w:pPr>
      <w:r w:rsidRPr="00C2711D">
        <w:rPr>
          <w:lang w:val="en-AU"/>
        </w:rPr>
        <w:t>U</w:t>
      </w:r>
      <w:r w:rsidR="00C22C39" w:rsidRPr="00C2711D">
        <w:rPr>
          <w:lang w:val="en-AU"/>
        </w:rPr>
        <w:t xml:space="preserve">neven growth </w:t>
      </w:r>
      <w:r w:rsidRPr="00C2711D">
        <w:rPr>
          <w:lang w:val="en-AU"/>
        </w:rPr>
        <w:t xml:space="preserve">is forecast </w:t>
      </w:r>
      <w:r w:rsidR="00C22C39" w:rsidRPr="00C2711D">
        <w:rPr>
          <w:lang w:val="en-AU"/>
        </w:rPr>
        <w:t>across the region</w:t>
      </w:r>
      <w:r w:rsidRPr="00C2711D">
        <w:rPr>
          <w:lang w:val="en-AU"/>
        </w:rPr>
        <w:t xml:space="preserve">, mostly centred on </w:t>
      </w:r>
      <w:r w:rsidR="00C22C39" w:rsidRPr="00C2711D">
        <w:rPr>
          <w:lang w:val="en-AU"/>
        </w:rPr>
        <w:t xml:space="preserve">major centres and throughout the Murray River corridor. </w:t>
      </w:r>
      <w:r w:rsidRPr="00C2711D">
        <w:rPr>
          <w:lang w:val="en-AU"/>
        </w:rPr>
        <w:t>G</w:t>
      </w:r>
      <w:r w:rsidR="00C22C39" w:rsidRPr="00C2711D">
        <w:rPr>
          <w:lang w:val="en-AU"/>
        </w:rPr>
        <w:t>rowth and change need to be carefully managed to strengthen the economy, help people thrive and protect the region’s rich natural and cultural heritage.</w:t>
      </w:r>
    </w:p>
    <w:p w:rsidR="00C2711D" w:rsidRPr="00EB11AE" w:rsidRDefault="00C2711D" w:rsidP="00B2357F">
      <w:r w:rsidRPr="00EB11AE">
        <w:rPr>
          <w:lang w:val="en-AU"/>
        </w:rPr>
        <w:t xml:space="preserve">The plan </w:t>
      </w:r>
      <w:r w:rsidRPr="00EB11AE">
        <w:t>considers a range of land uses including agriculture, tourism, environmental assets, commercial and residential. It recommends checks and balances that need to be applied when considering future growth.</w:t>
      </w:r>
    </w:p>
    <w:p w:rsidR="00C2711D" w:rsidRPr="00EB11AE" w:rsidRDefault="00C2711D" w:rsidP="00B2357F">
      <w:r w:rsidRPr="00EB11AE">
        <w:t xml:space="preserve">As areas change over time infrastructure and service needs also change.  Long-term planning is the best way to ensure these needs are met. A regional approach to planning enables coordinated responses across municipal borders. </w:t>
      </w:r>
    </w:p>
    <w:p w:rsidR="005C260A" w:rsidRPr="00B2357F" w:rsidRDefault="00C2711D" w:rsidP="0057261D">
      <w:r w:rsidRPr="00EB11AE">
        <w:t>The plan’s key land use planning directions will be implemented through the state planning system. This will provide a regional context to guide and inform councils in planning for their municipalities and support decision making at a local level.</w:t>
      </w:r>
    </w:p>
    <w:p w:rsidR="002C6A5C" w:rsidRPr="00B2357F" w:rsidRDefault="00526E83" w:rsidP="00B2357F">
      <w:pPr>
        <w:pStyle w:val="Quotation"/>
      </w:pPr>
      <w:r w:rsidRPr="00C2711D">
        <w:t>“The Loddon Mallee North Regional Growth Plan provides a vision for long-term prosperity and sustainable growth.”</w:t>
      </w:r>
    </w:p>
    <w:p w:rsidR="00820A9F" w:rsidRPr="00B2357F" w:rsidRDefault="002C6A5C" w:rsidP="00B2357F">
      <w:pPr>
        <w:pStyle w:val="Heading2"/>
      </w:pPr>
      <w:r w:rsidRPr="00C2711D">
        <w:t>The</w:t>
      </w:r>
      <w:r w:rsidR="00FA4EC6" w:rsidRPr="00C2711D">
        <w:t xml:space="preserve"> Loddon Mallee North</w:t>
      </w:r>
      <w:r w:rsidRPr="00C2711D">
        <w:t xml:space="preserve"> Regional Growth Plan:</w:t>
      </w:r>
    </w:p>
    <w:p w:rsidR="00820A9F" w:rsidRPr="00B2357F" w:rsidRDefault="00820A9F" w:rsidP="00B2357F">
      <w:pPr>
        <w:pStyle w:val="ListParagraph"/>
        <w:numPr>
          <w:ilvl w:val="0"/>
          <w:numId w:val="16"/>
        </w:numPr>
        <w:rPr>
          <w:lang w:val="en-AU"/>
        </w:rPr>
      </w:pPr>
      <w:r w:rsidRPr="00B2357F">
        <w:rPr>
          <w:lang w:val="en-AU"/>
        </w:rPr>
        <w:t>establishes a framework for strategic land use and settlement planning that can sustainably accommodate growth</w:t>
      </w:r>
    </w:p>
    <w:p w:rsidR="00820A9F" w:rsidRPr="00B2357F" w:rsidRDefault="00820A9F" w:rsidP="00B2357F">
      <w:pPr>
        <w:pStyle w:val="ListParagraph"/>
        <w:numPr>
          <w:ilvl w:val="0"/>
          <w:numId w:val="16"/>
        </w:numPr>
        <w:rPr>
          <w:lang w:val="en-AU"/>
        </w:rPr>
      </w:pPr>
      <w:r w:rsidRPr="00B2357F">
        <w:rPr>
          <w:lang w:val="en-AU"/>
        </w:rPr>
        <w:t>identifies important economic, environmental, social and cultural resources to be preserved, maintained or developed</w:t>
      </w:r>
    </w:p>
    <w:p w:rsidR="00820A9F" w:rsidRPr="00B2357F" w:rsidRDefault="00820A9F" w:rsidP="00B2357F">
      <w:pPr>
        <w:pStyle w:val="ListParagraph"/>
        <w:numPr>
          <w:ilvl w:val="0"/>
          <w:numId w:val="16"/>
        </w:numPr>
        <w:rPr>
          <w:lang w:val="en-AU"/>
        </w:rPr>
      </w:pPr>
      <w:r w:rsidRPr="00B2357F">
        <w:rPr>
          <w:lang w:val="en-AU"/>
        </w:rPr>
        <w:t>provides direction for accommodating growth and change including residential, employment, industrial, commercial, agriculture and other rural activities</w:t>
      </w:r>
    </w:p>
    <w:p w:rsidR="00820A9F" w:rsidRPr="00B2357F" w:rsidRDefault="00B85C38" w:rsidP="00B2357F">
      <w:pPr>
        <w:pStyle w:val="ListParagraph"/>
        <w:numPr>
          <w:ilvl w:val="0"/>
          <w:numId w:val="16"/>
        </w:numPr>
        <w:rPr>
          <w:lang w:val="en-AU"/>
        </w:rPr>
      </w:pPr>
      <w:r w:rsidRPr="00B2357F">
        <w:rPr>
          <w:lang w:val="en-AU"/>
        </w:rPr>
        <w:t xml:space="preserve">shows </w:t>
      </w:r>
      <w:r w:rsidR="00820A9F" w:rsidRPr="00B2357F">
        <w:rPr>
          <w:lang w:val="en-AU"/>
        </w:rPr>
        <w:t>which areas of land can accommodate growth and which are to be maintained</w:t>
      </w:r>
      <w:r w:rsidRPr="00B2357F">
        <w:rPr>
          <w:lang w:val="en-AU"/>
        </w:rPr>
        <w:t xml:space="preserve"> for other use</w:t>
      </w:r>
      <w:r w:rsidR="00EC6644" w:rsidRPr="00B2357F">
        <w:rPr>
          <w:lang w:val="en-AU"/>
        </w:rPr>
        <w:t>s</w:t>
      </w:r>
    </w:p>
    <w:p w:rsidR="00554EAD" w:rsidRPr="00B2357F" w:rsidRDefault="00820A9F" w:rsidP="00B2357F">
      <w:pPr>
        <w:pStyle w:val="ListParagraph"/>
        <w:numPr>
          <w:ilvl w:val="0"/>
          <w:numId w:val="16"/>
        </w:numPr>
        <w:rPr>
          <w:lang w:val="en-AU"/>
        </w:rPr>
      </w:pPr>
      <w:r w:rsidRPr="00B2357F">
        <w:rPr>
          <w:lang w:val="en-AU"/>
        </w:rPr>
        <w:t>identifies opportunities for supporting regional level infrastructure, providing an essential contribution to the long-term sustainability of the region.</w:t>
      </w:r>
    </w:p>
    <w:p w:rsidR="00526E83" w:rsidRPr="00B2357F" w:rsidRDefault="00526E83" w:rsidP="00B2357F">
      <w:pPr>
        <w:pStyle w:val="Heading1"/>
        <w:rPr>
          <w:caps/>
        </w:rPr>
      </w:pPr>
      <w:bookmarkStart w:id="3" w:name="_Toc380493682"/>
      <w:bookmarkStart w:id="4" w:name="_Toc380502717"/>
      <w:bookmarkStart w:id="5" w:name="_Toc384209376"/>
      <w:r w:rsidRPr="00C2711D">
        <w:rPr>
          <w:caps/>
        </w:rPr>
        <w:t>State of Cities</w:t>
      </w:r>
      <w:bookmarkEnd w:id="3"/>
      <w:bookmarkEnd w:id="4"/>
      <w:bookmarkEnd w:id="5"/>
    </w:p>
    <w:p w:rsidR="00526E83" w:rsidRPr="00B2357F" w:rsidRDefault="00526E83" w:rsidP="00B2357F">
      <w:pPr>
        <w:pStyle w:val="Quotation"/>
      </w:pPr>
      <w:r w:rsidRPr="00C2711D">
        <w:t>“We will maximise the growth potential of Victoria by developing a state of cities which delivers choice, opportunity and global compet</w:t>
      </w:r>
      <w:r w:rsidR="002B7D54" w:rsidRPr="00C2711D">
        <w:t>it</w:t>
      </w:r>
      <w:r w:rsidRPr="00C2711D">
        <w:t>iveness.”</w:t>
      </w:r>
    </w:p>
    <w:p w:rsidR="00CE2750" w:rsidRPr="00B2357F" w:rsidRDefault="00CE2750" w:rsidP="00B2357F">
      <w:pPr>
        <w:pStyle w:val="Heading2"/>
      </w:pPr>
      <w:r w:rsidRPr="00C2711D">
        <w:t>PLAN</w:t>
      </w:r>
      <w:r w:rsidR="00B2357F">
        <w:t xml:space="preserve"> </w:t>
      </w:r>
      <w:r w:rsidRPr="00C2711D">
        <w:t>MELBOURNE</w:t>
      </w:r>
      <w:r w:rsidR="00B2357F">
        <w:t xml:space="preserve"> </w:t>
      </w:r>
      <w:r w:rsidRPr="00C2711D">
        <w:t>METROPOLITAN PLANNING STRATEGY</w:t>
      </w:r>
    </w:p>
    <w:p w:rsidR="00CE2750" w:rsidRPr="00C2711D" w:rsidRDefault="00CE2750" w:rsidP="00B2357F">
      <w:r w:rsidRPr="00C2711D">
        <w:t xml:space="preserve">The State Government’s </w:t>
      </w:r>
      <w:r w:rsidR="00CD585B" w:rsidRPr="00C2711D">
        <w:t>new metropolitan planning strategy</w:t>
      </w:r>
      <w:r w:rsidRPr="00C2711D">
        <w:t xml:space="preserve">, Plan Melbourne, provides a land use and transport plan to 2050. </w:t>
      </w:r>
    </w:p>
    <w:p w:rsidR="00CE2750" w:rsidRDefault="00CE2750" w:rsidP="00B2357F">
      <w:r w:rsidRPr="00C2711D">
        <w:t xml:space="preserve">The </w:t>
      </w:r>
      <w:r w:rsidR="00CD585B" w:rsidRPr="00C2711D">
        <w:t>regional growth plans</w:t>
      </w:r>
      <w:r w:rsidRPr="00C2711D">
        <w:t xml:space="preserve"> are aligned with Plan Melbourne through the following directions.</w:t>
      </w:r>
    </w:p>
    <w:p w:rsidR="00B2357F" w:rsidRPr="005E77FB" w:rsidRDefault="00B2357F" w:rsidP="00B2357F">
      <w:pPr>
        <w:pStyle w:val="Heading3"/>
      </w:pPr>
      <w:r w:rsidRPr="008C65F7">
        <w:t>Plan Melbourne</w:t>
      </w:r>
      <w:r>
        <w:t xml:space="preserve"> d</w:t>
      </w:r>
      <w:r w:rsidRPr="0076265E">
        <w:t>irections:</w:t>
      </w:r>
    </w:p>
    <w:p w:rsidR="00B2357F" w:rsidRDefault="00B2357F" w:rsidP="00B2357F">
      <w:pPr>
        <w:pStyle w:val="ListParagraph"/>
        <w:numPr>
          <w:ilvl w:val="1"/>
          <w:numId w:val="17"/>
        </w:numPr>
        <w:shd w:val="clear" w:color="auto" w:fill="FFFFFF" w:themeFill="background1"/>
        <w:rPr>
          <w:szCs w:val="22"/>
        </w:rPr>
      </w:pPr>
      <w:r w:rsidRPr="00087BFC">
        <w:rPr>
          <w:szCs w:val="22"/>
        </w:rPr>
        <w:t>Deliver a permanent boundary around Melbourne</w:t>
      </w:r>
    </w:p>
    <w:p w:rsidR="00B2357F" w:rsidRDefault="00B2357F" w:rsidP="00B2357F">
      <w:pPr>
        <w:pStyle w:val="ListParagraph"/>
        <w:numPr>
          <w:ilvl w:val="1"/>
          <w:numId w:val="17"/>
        </w:numPr>
        <w:shd w:val="clear" w:color="auto" w:fill="FFFFFF" w:themeFill="background1"/>
        <w:rPr>
          <w:szCs w:val="22"/>
        </w:rPr>
      </w:pPr>
      <w:r w:rsidRPr="00087BFC">
        <w:rPr>
          <w:szCs w:val="22"/>
        </w:rPr>
        <w:t>Rebalance Victoria’s population growth from Melbourne to rural and regional Victoria over the life of the strategy.</w:t>
      </w:r>
    </w:p>
    <w:p w:rsidR="00B2357F" w:rsidRDefault="00B2357F" w:rsidP="00B2357F">
      <w:pPr>
        <w:pStyle w:val="ListParagraph"/>
        <w:numPr>
          <w:ilvl w:val="1"/>
          <w:numId w:val="17"/>
        </w:numPr>
        <w:shd w:val="clear" w:color="auto" w:fill="FFFFFF" w:themeFill="background1"/>
        <w:rPr>
          <w:szCs w:val="22"/>
        </w:rPr>
      </w:pPr>
      <w:r w:rsidRPr="00087BFC">
        <w:rPr>
          <w:szCs w:val="22"/>
        </w:rPr>
        <w:t>Integrate metropolitan, peri-urban and regional planning implementation</w:t>
      </w:r>
    </w:p>
    <w:p w:rsidR="00526E83" w:rsidRPr="00B2357F" w:rsidRDefault="00B2357F" w:rsidP="00526E83">
      <w:pPr>
        <w:pStyle w:val="ListParagraph"/>
        <w:numPr>
          <w:ilvl w:val="1"/>
          <w:numId w:val="17"/>
        </w:numPr>
        <w:shd w:val="clear" w:color="auto" w:fill="FFFFFF" w:themeFill="background1"/>
        <w:rPr>
          <w:szCs w:val="22"/>
        </w:rPr>
      </w:pPr>
      <w:r w:rsidRPr="00087BFC">
        <w:rPr>
          <w:szCs w:val="22"/>
        </w:rPr>
        <w:t>Improve connections between cities.</w:t>
      </w:r>
    </w:p>
    <w:p w:rsidR="00526E83" w:rsidRPr="00C2711D" w:rsidRDefault="00526E83" w:rsidP="00526E83">
      <w:pPr>
        <w:rPr>
          <w:b/>
          <w:sz w:val="22"/>
          <w:szCs w:val="22"/>
        </w:rPr>
      </w:pPr>
    </w:p>
    <w:p w:rsidR="00526E83" w:rsidRPr="00C2711D" w:rsidRDefault="00526E83" w:rsidP="00526E83">
      <w:pPr>
        <w:rPr>
          <w:rFonts w:asciiTheme="majorHAnsi" w:eastAsiaTheme="majorEastAsia" w:hAnsiTheme="majorHAnsi" w:cstheme="majorBidi"/>
          <w:b/>
          <w:bCs/>
          <w:color w:val="365F91" w:themeColor="accent1" w:themeShade="BF"/>
          <w:sz w:val="28"/>
          <w:szCs w:val="28"/>
        </w:rPr>
      </w:pPr>
      <w:r w:rsidRPr="00C2711D">
        <w:br w:type="page"/>
      </w:r>
    </w:p>
    <w:p w:rsidR="005E3D70" w:rsidRPr="00B2357F" w:rsidRDefault="005E3D70" w:rsidP="00B2357F">
      <w:pPr>
        <w:pStyle w:val="Heading1"/>
      </w:pPr>
      <w:bookmarkStart w:id="6" w:name="_Toc384209377"/>
      <w:r w:rsidRPr="00C2711D">
        <w:t xml:space="preserve">SNAPSHOT OF </w:t>
      </w:r>
      <w:bookmarkEnd w:id="6"/>
      <w:r w:rsidR="00E5545E" w:rsidRPr="00E5545E">
        <w:t>LODDON MALLEE NORTH</w:t>
      </w:r>
    </w:p>
    <w:p w:rsidR="00F42C08" w:rsidRPr="00C2711D" w:rsidRDefault="00F42C08" w:rsidP="00B2357F">
      <w:pPr>
        <w:pStyle w:val="Heading2"/>
      </w:pPr>
      <w:r w:rsidRPr="00C2711D">
        <w:t>The region</w:t>
      </w:r>
    </w:p>
    <w:p w:rsidR="00F42C08" w:rsidRPr="00C2711D" w:rsidRDefault="00F42C08" w:rsidP="00B2357F">
      <w:r w:rsidRPr="00C2711D">
        <w:t>45,000 sq km</w:t>
      </w:r>
    </w:p>
    <w:p w:rsidR="00F42C08" w:rsidRPr="00C2711D" w:rsidRDefault="00B2357F" w:rsidP="00B2357F">
      <w:r>
        <w:t>C</w:t>
      </w:r>
      <w:r w:rsidR="00CD585B" w:rsidRPr="00C2711D">
        <w:t>overs</w:t>
      </w:r>
      <w:r w:rsidR="00F42C08" w:rsidRPr="00C2711D">
        <w:t xml:space="preserve"> 17% of Victoria</w:t>
      </w:r>
    </w:p>
    <w:p w:rsidR="00F42C08" w:rsidRPr="00C2711D" w:rsidRDefault="00B2357F" w:rsidP="00B2357F">
      <w:r>
        <w:t>L</w:t>
      </w:r>
      <w:r w:rsidR="00CD585B" w:rsidRPr="00C2711D">
        <w:t>ocated</w:t>
      </w:r>
      <w:r w:rsidR="00F42C08" w:rsidRPr="00C2711D">
        <w:t xml:space="preserve"> along the Murray River in north-western Victoria</w:t>
      </w:r>
    </w:p>
    <w:p w:rsidR="00F42C08" w:rsidRPr="00B2357F" w:rsidRDefault="00B2357F" w:rsidP="00F42C08">
      <w:r>
        <w:t>I</w:t>
      </w:r>
      <w:r w:rsidR="00CD585B" w:rsidRPr="00C2711D">
        <w:t>nclude</w:t>
      </w:r>
      <w:r w:rsidR="00F42C08" w:rsidRPr="00C2711D">
        <w:t>s the lower catchments of the Av</w:t>
      </w:r>
      <w:r w:rsidR="00777B83">
        <w:t>oca, Loddon and Campaspe rivers</w:t>
      </w:r>
    </w:p>
    <w:p w:rsidR="00F42C08" w:rsidRPr="00C2711D" w:rsidRDefault="00F42C08" w:rsidP="00B2357F">
      <w:pPr>
        <w:pStyle w:val="Heading2"/>
      </w:pPr>
      <w:r w:rsidRPr="00C2711D">
        <w:t>Employment – Top 5</w:t>
      </w:r>
    </w:p>
    <w:p w:rsidR="00F42C08" w:rsidRPr="00C2711D" w:rsidRDefault="00F42C08" w:rsidP="00B2357F">
      <w:pPr>
        <w:pStyle w:val="ListParagraph"/>
        <w:numPr>
          <w:ilvl w:val="0"/>
          <w:numId w:val="18"/>
        </w:numPr>
      </w:pPr>
      <w:r w:rsidRPr="00C2711D">
        <w:t>18% - Agriculture, Forestry and Fishing</w:t>
      </w:r>
    </w:p>
    <w:p w:rsidR="00F42C08" w:rsidRPr="00C2711D" w:rsidRDefault="00F42C08" w:rsidP="00B2357F">
      <w:pPr>
        <w:pStyle w:val="ListParagraph"/>
        <w:numPr>
          <w:ilvl w:val="0"/>
          <w:numId w:val="18"/>
        </w:numPr>
      </w:pPr>
      <w:r w:rsidRPr="00C2711D">
        <w:t>13% - Retail Trade</w:t>
      </w:r>
    </w:p>
    <w:p w:rsidR="00F42C08" w:rsidRPr="00C2711D" w:rsidRDefault="00F42C08" w:rsidP="00B2357F">
      <w:pPr>
        <w:pStyle w:val="ListParagraph"/>
        <w:numPr>
          <w:ilvl w:val="0"/>
          <w:numId w:val="18"/>
        </w:numPr>
      </w:pPr>
      <w:r w:rsidRPr="00C2711D">
        <w:t>11% - Health Care and Social Assistance</w:t>
      </w:r>
    </w:p>
    <w:p w:rsidR="00F42C08" w:rsidRPr="00C2711D" w:rsidRDefault="00F42C08" w:rsidP="00B2357F">
      <w:pPr>
        <w:pStyle w:val="ListParagraph"/>
        <w:numPr>
          <w:ilvl w:val="0"/>
          <w:numId w:val="18"/>
        </w:numPr>
      </w:pPr>
      <w:r w:rsidRPr="00C2711D">
        <w:t>10% - Manufacturing</w:t>
      </w:r>
    </w:p>
    <w:p w:rsidR="00F42C08" w:rsidRPr="00B2357F" w:rsidRDefault="00F42C08" w:rsidP="00F42C08">
      <w:pPr>
        <w:pStyle w:val="ListParagraph"/>
        <w:numPr>
          <w:ilvl w:val="0"/>
          <w:numId w:val="18"/>
        </w:numPr>
      </w:pPr>
      <w:r w:rsidRPr="00C2711D">
        <w:t>10% - Construction</w:t>
      </w:r>
    </w:p>
    <w:p w:rsidR="00F42C08" w:rsidRPr="00C2711D" w:rsidRDefault="00F42C08" w:rsidP="00B2357F">
      <w:pPr>
        <w:pStyle w:val="Heading2"/>
      </w:pPr>
      <w:r w:rsidRPr="00C2711D">
        <w:t>Employment</w:t>
      </w:r>
    </w:p>
    <w:p w:rsidR="00F42C08" w:rsidRPr="00C2711D" w:rsidRDefault="00F42C08" w:rsidP="00B2357F">
      <w:r w:rsidRPr="00C2711D">
        <w:t>Just over 49,000 jobs in the region</w:t>
      </w:r>
      <w:r w:rsidR="00B2357F">
        <w:t>.</w:t>
      </w:r>
    </w:p>
    <w:p w:rsidR="00F42C08" w:rsidRPr="00B2357F" w:rsidRDefault="00F42C08" w:rsidP="00F42C08">
      <w:r w:rsidRPr="00C2711D">
        <w:t>Just over 19,000 jobs i</w:t>
      </w:r>
      <w:r w:rsidR="00777B83">
        <w:t>n Mildura Rural City and over 2</w:t>
      </w:r>
      <w:r w:rsidRPr="00C2711D">
        <w:t>400 businesses</w:t>
      </w:r>
      <w:r w:rsidR="00B2357F">
        <w:t>.</w:t>
      </w:r>
    </w:p>
    <w:p w:rsidR="00F42C08" w:rsidRPr="00C2711D" w:rsidRDefault="00F42C08" w:rsidP="00B2357F">
      <w:pPr>
        <w:pStyle w:val="Heading2"/>
      </w:pPr>
      <w:r w:rsidRPr="00C2711D">
        <w:t>Living in the region</w:t>
      </w:r>
    </w:p>
    <w:p w:rsidR="00F42C08" w:rsidRPr="00C2711D" w:rsidRDefault="00F42C08" w:rsidP="00B2357F">
      <w:r w:rsidRPr="00C2711D">
        <w:t>Around 134,000 people live in the region.</w:t>
      </w:r>
    </w:p>
    <w:p w:rsidR="00F42C08" w:rsidRPr="00C2711D" w:rsidRDefault="00F42C08" w:rsidP="00B2357F">
      <w:r w:rsidRPr="00C2711D">
        <w:t>Almost 48,000 people live in Mildura including Irymple, Merbein and Red Cliffs.</w:t>
      </w:r>
    </w:p>
    <w:p w:rsidR="00F42C08" w:rsidRPr="00C2711D" w:rsidRDefault="00F42C08" w:rsidP="00B2357F">
      <w:r w:rsidRPr="00C2711D">
        <w:t>158,681 people are expected to live in the region by 2041</w:t>
      </w:r>
      <w:r w:rsidR="00B2357F">
        <w:t>.</w:t>
      </w:r>
    </w:p>
    <w:p w:rsidR="00F42C08" w:rsidRPr="00B2357F" w:rsidRDefault="00FC0487" w:rsidP="00F42C08">
      <w:r>
        <w:t xml:space="preserve">Swan Hill and Echuca are other major centres. </w:t>
      </w:r>
      <w:r w:rsidR="00F42C08" w:rsidRPr="00C2711D">
        <w:t>The region has a relatively diverse population, with a strong Aboriginal community, many people with Mediterranean heritage, and more recent immigrants from Polynesia and the Middle-East.</w:t>
      </w:r>
    </w:p>
    <w:p w:rsidR="00F42C08" w:rsidRPr="00C2711D" w:rsidRDefault="00F42C08" w:rsidP="00B2357F">
      <w:pPr>
        <w:pStyle w:val="Heading2"/>
      </w:pPr>
      <w:r w:rsidRPr="00C2711D">
        <w:t>Quiz questions</w:t>
      </w:r>
    </w:p>
    <w:p w:rsidR="00F42C08" w:rsidRPr="00C2711D" w:rsidRDefault="00F42C08" w:rsidP="00B2357F">
      <w:pPr>
        <w:pStyle w:val="ListParagraph"/>
        <w:numPr>
          <w:ilvl w:val="0"/>
          <w:numId w:val="19"/>
        </w:numPr>
      </w:pPr>
      <w:r w:rsidRPr="00C2711D">
        <w:t xml:space="preserve">Which Murray River town was Australia’s largest inland port during the late </w:t>
      </w:r>
      <w:r w:rsidR="00CD585B" w:rsidRPr="00C2711D">
        <w:t>1800s and</w:t>
      </w:r>
      <w:r w:rsidRPr="00C2711D">
        <w:t xml:space="preserve"> is known as the ‘paddlesteamer capital of Australia’?</w:t>
      </w:r>
    </w:p>
    <w:p w:rsidR="00F42C08" w:rsidRPr="00B2357F" w:rsidRDefault="00F42C08" w:rsidP="00F42C08">
      <w:pPr>
        <w:pStyle w:val="ListParagraph"/>
        <w:numPr>
          <w:ilvl w:val="0"/>
          <w:numId w:val="19"/>
        </w:numPr>
      </w:pPr>
      <w:r w:rsidRPr="00C2711D">
        <w:t>Where is Victoria’s only inland lifesaving club located?</w:t>
      </w:r>
    </w:p>
    <w:p w:rsidR="00F42C08" w:rsidRPr="00C2711D" w:rsidRDefault="00F42C08" w:rsidP="00B2357F">
      <w:pPr>
        <w:pStyle w:val="Heading2"/>
      </w:pPr>
      <w:r w:rsidRPr="00C2711D">
        <w:t>Quiz answers</w:t>
      </w:r>
    </w:p>
    <w:p w:rsidR="00F42C08" w:rsidRPr="00C2711D" w:rsidRDefault="00CD585B" w:rsidP="00B2357F">
      <w:pPr>
        <w:pStyle w:val="ListParagraph"/>
        <w:numPr>
          <w:ilvl w:val="0"/>
          <w:numId w:val="20"/>
        </w:numPr>
      </w:pPr>
      <w:r w:rsidRPr="00C2711D">
        <w:t xml:space="preserve">Echuca </w:t>
      </w:r>
    </w:p>
    <w:p w:rsidR="00F42C08" w:rsidRPr="00B2357F" w:rsidRDefault="00F42C08" w:rsidP="00F42C08">
      <w:pPr>
        <w:pStyle w:val="ListParagraph"/>
        <w:numPr>
          <w:ilvl w:val="0"/>
          <w:numId w:val="20"/>
        </w:numPr>
      </w:pPr>
      <w:r w:rsidRPr="00C2711D">
        <w:t>Mildura – Apex Beach on the Murray River.</w:t>
      </w:r>
    </w:p>
    <w:p w:rsidR="00F42C08" w:rsidRPr="00C2711D" w:rsidRDefault="00F42C08" w:rsidP="00F42C08">
      <w:pPr>
        <w:shd w:val="clear" w:color="auto" w:fill="FFFFFF"/>
        <w:rPr>
          <w:sz w:val="22"/>
          <w:szCs w:val="22"/>
        </w:rPr>
      </w:pPr>
    </w:p>
    <w:p w:rsidR="00F42C08" w:rsidRPr="00C2711D" w:rsidRDefault="00F42C08" w:rsidP="00B2357F">
      <w:pPr>
        <w:pStyle w:val="Heading2"/>
      </w:pPr>
      <w:r w:rsidRPr="00C2711D">
        <w:t>Amazing fact</w:t>
      </w:r>
    </w:p>
    <w:p w:rsidR="00F42C08" w:rsidRPr="00C2711D" w:rsidRDefault="00F42C08" w:rsidP="00B2357F">
      <w:r w:rsidRPr="00C2711D">
        <w:t>The Murray is the third longest navigable river in the world, after the Amazon and Nile. Its t</w:t>
      </w:r>
      <w:hyperlink r:id="rId14" w:history="1">
        <w:r w:rsidRPr="00C2711D">
          <w:t xml:space="preserve">otal length is </w:t>
        </w:r>
      </w:hyperlink>
      <w:r w:rsidRPr="00C2711D">
        <w:t xml:space="preserve">2520 km from its source in the </w:t>
      </w:r>
      <w:hyperlink r:id="rId15" w:history="1">
        <w:r w:rsidRPr="00C2711D">
          <w:t>Upper Murray</w:t>
        </w:r>
      </w:hyperlink>
      <w:r w:rsidRPr="00C2711D">
        <w:t xml:space="preserve"> and the </w:t>
      </w:r>
      <w:hyperlink r:id="rId16" w:history="1">
        <w:r w:rsidRPr="00C2711D">
          <w:t>Kosciusko National Park</w:t>
        </w:r>
      </w:hyperlink>
      <w:r w:rsidRPr="00C2711D">
        <w:t xml:space="preserve">. It spans three states - Victoria, New South Wales and South Australia. Along with its tributaries, the Murray is part of the third largest water </w:t>
      </w:r>
      <w:hyperlink r:id="rId17" w:history="1">
        <w:r w:rsidRPr="00C2711D">
          <w:t>catchment</w:t>
        </w:r>
      </w:hyperlink>
      <w:r w:rsidRPr="00C2711D">
        <w:t xml:space="preserve"> on earth.</w:t>
      </w:r>
    </w:p>
    <w:p w:rsidR="00F42C08" w:rsidRPr="00C2711D" w:rsidRDefault="00F42C08" w:rsidP="00B2357F">
      <w:pPr>
        <w:pStyle w:val="Heading2"/>
      </w:pPr>
      <w:r w:rsidRPr="00C2711D">
        <w:t>Amazing fact</w:t>
      </w:r>
    </w:p>
    <w:p w:rsidR="00F42C08" w:rsidRPr="00B2357F" w:rsidRDefault="00CD585B" w:rsidP="00F42C08">
      <w:r w:rsidRPr="00C2711D">
        <w:t>Murray-Sunset</w:t>
      </w:r>
      <w:r w:rsidR="00F42C08" w:rsidRPr="00C2711D">
        <w:t xml:space="preserve"> National Park is Victoria's second largest national park and contains four designated wilderness zones. The park is one of the few remaining semi-arid regions in the world where the environment is relatively untouched and is home to Victoria's largest flower, the Murray Lily, and Australia's rarest bird, the Black-Eared Miner. </w:t>
      </w:r>
    </w:p>
    <w:p w:rsidR="00F42C08" w:rsidRPr="00C2711D" w:rsidRDefault="00F42C08" w:rsidP="00B2357F">
      <w:pPr>
        <w:pStyle w:val="Heading2"/>
      </w:pPr>
      <w:r w:rsidRPr="00C2711D">
        <w:t>Environment</w:t>
      </w:r>
    </w:p>
    <w:p w:rsidR="00F42C08" w:rsidRPr="00C2711D" w:rsidRDefault="00CD585B" w:rsidP="00B2357F">
      <w:r w:rsidRPr="00C2711D">
        <w:t>3</w:t>
      </w:r>
      <w:r w:rsidR="00F42C08" w:rsidRPr="00C2711D">
        <w:t xml:space="preserve"> internationally recognised wetland complexes </w:t>
      </w:r>
      <w:r w:rsidR="00E61172" w:rsidRPr="00C2711D">
        <w:t>Hattah-Kulkyne</w:t>
      </w:r>
      <w:r w:rsidR="00F42C08" w:rsidRPr="00C2711D">
        <w:t xml:space="preserve"> Lakes, Kerang Wetlands and Gunbower Forest Ramsar sites</w:t>
      </w:r>
      <w:r w:rsidR="00B2357F">
        <w:t>.</w:t>
      </w:r>
    </w:p>
    <w:p w:rsidR="00F42C08" w:rsidRPr="00C2711D" w:rsidRDefault="00F42C08" w:rsidP="00B2357F">
      <w:pPr>
        <w:pStyle w:val="Heading2"/>
      </w:pPr>
      <w:r w:rsidRPr="00C2711D">
        <w:t>Tourism</w:t>
      </w:r>
    </w:p>
    <w:p w:rsidR="00F42C08" w:rsidRPr="00C2711D" w:rsidRDefault="00F42C08" w:rsidP="00B2357F">
      <w:r w:rsidRPr="00C2711D">
        <w:t>The Murray River is a great destination for a water-based holiday. Popular activities include houseboats, paddle steamer cruises, fishing, canoeing, swimming and water skiing.</w:t>
      </w:r>
    </w:p>
    <w:p w:rsidR="00F42C08" w:rsidRPr="00C2711D" w:rsidRDefault="00F42C08" w:rsidP="00B2357F">
      <w:pPr>
        <w:pStyle w:val="Heading2"/>
      </w:pPr>
      <w:r w:rsidRPr="00C2711D">
        <w:t>Transport</w:t>
      </w:r>
    </w:p>
    <w:p w:rsidR="00F42C08" w:rsidRPr="00C2711D" w:rsidRDefault="00F42C08" w:rsidP="00B2357F">
      <w:r w:rsidRPr="00C2711D">
        <w:t>There are 6 major highway corridors within the region:</w:t>
      </w:r>
    </w:p>
    <w:p w:rsidR="00F42C08" w:rsidRPr="00C2711D" w:rsidRDefault="00F42C08" w:rsidP="00B2357F">
      <w:pPr>
        <w:pStyle w:val="ListParagraph"/>
        <w:numPr>
          <w:ilvl w:val="0"/>
          <w:numId w:val="21"/>
        </w:numPr>
      </w:pPr>
      <w:r w:rsidRPr="00C2711D">
        <w:t>Calder</w:t>
      </w:r>
    </w:p>
    <w:p w:rsidR="00F42C08" w:rsidRPr="00C2711D" w:rsidRDefault="00F42C08" w:rsidP="00B2357F">
      <w:pPr>
        <w:pStyle w:val="ListParagraph"/>
        <w:numPr>
          <w:ilvl w:val="0"/>
          <w:numId w:val="21"/>
        </w:numPr>
      </w:pPr>
      <w:r w:rsidRPr="00C2711D">
        <w:t>Sturt</w:t>
      </w:r>
    </w:p>
    <w:p w:rsidR="00F42C08" w:rsidRPr="00C2711D" w:rsidRDefault="00F42C08" w:rsidP="00B2357F">
      <w:pPr>
        <w:pStyle w:val="ListParagraph"/>
        <w:numPr>
          <w:ilvl w:val="0"/>
          <w:numId w:val="21"/>
        </w:numPr>
      </w:pPr>
      <w:r w:rsidRPr="00C2711D">
        <w:t>Mallee</w:t>
      </w:r>
    </w:p>
    <w:p w:rsidR="00F42C08" w:rsidRPr="00C2711D" w:rsidRDefault="00F42C08" w:rsidP="00B2357F">
      <w:pPr>
        <w:pStyle w:val="ListParagraph"/>
        <w:numPr>
          <w:ilvl w:val="0"/>
          <w:numId w:val="21"/>
        </w:numPr>
      </w:pPr>
      <w:r w:rsidRPr="00C2711D">
        <w:t>Murray Valley</w:t>
      </w:r>
    </w:p>
    <w:p w:rsidR="00F42C08" w:rsidRPr="00C2711D" w:rsidRDefault="00F42C08" w:rsidP="00B2357F">
      <w:pPr>
        <w:pStyle w:val="ListParagraph"/>
        <w:numPr>
          <w:ilvl w:val="0"/>
          <w:numId w:val="21"/>
        </w:numPr>
      </w:pPr>
      <w:r w:rsidRPr="00C2711D">
        <w:t xml:space="preserve">Sunraysia </w:t>
      </w:r>
    </w:p>
    <w:p w:rsidR="00F42C08" w:rsidRPr="00C2711D" w:rsidRDefault="00F42C08" w:rsidP="00B2357F">
      <w:pPr>
        <w:pStyle w:val="ListParagraph"/>
        <w:numPr>
          <w:ilvl w:val="0"/>
          <w:numId w:val="21"/>
        </w:numPr>
      </w:pPr>
      <w:r w:rsidRPr="00C2711D">
        <w:t>Henty</w:t>
      </w:r>
    </w:p>
    <w:p w:rsidR="00F42C08" w:rsidRPr="00C2711D" w:rsidRDefault="00F42C08" w:rsidP="00B2357F">
      <w:r w:rsidRPr="00C2711D">
        <w:t>Six rail corridors connect the region to Melbourne, Ballarat, Bendigo, Shepparton and South Australia.</w:t>
      </w:r>
    </w:p>
    <w:p w:rsidR="00F42C08" w:rsidRPr="00B2357F" w:rsidRDefault="00F42C08" w:rsidP="00F42C08">
      <w:r w:rsidRPr="00C2711D">
        <w:t>Mildura Airport is the third busiest passenger airport in Victoria.</w:t>
      </w:r>
    </w:p>
    <w:p w:rsidR="00F42C08" w:rsidRPr="00C2711D" w:rsidRDefault="00F42C08" w:rsidP="00B2357F">
      <w:pPr>
        <w:pStyle w:val="Heading2"/>
      </w:pPr>
      <w:r w:rsidRPr="00C2711D">
        <w:t>Industry and Business</w:t>
      </w:r>
    </w:p>
    <w:p w:rsidR="00F42C08" w:rsidRPr="00B2357F" w:rsidRDefault="00F42C08" w:rsidP="00B2357F">
      <w:r w:rsidRPr="00B2357F">
        <w:rPr>
          <w:rStyle w:val="Strong"/>
        </w:rPr>
        <w:t>$1.9 billion</w:t>
      </w:r>
      <w:r w:rsidR="00B2357F">
        <w:t xml:space="preserve"> – </w:t>
      </w:r>
      <w:r w:rsidRPr="00C2711D">
        <w:t>The gross value of agricultural production in 2012 - the highest value production of any region in Victoria</w:t>
      </w:r>
      <w:r w:rsidR="00B2357F">
        <w:t>.</w:t>
      </w:r>
    </w:p>
    <w:p w:rsidR="00F42C08" w:rsidRPr="00C2711D" w:rsidRDefault="00F42C08" w:rsidP="00B2357F">
      <w:r w:rsidRPr="00B2357F">
        <w:rPr>
          <w:rStyle w:val="Strong"/>
        </w:rPr>
        <w:t>Grain</w:t>
      </w:r>
      <w:r w:rsidRPr="00C2711D">
        <w:t xml:space="preserve"> </w:t>
      </w:r>
      <w:r w:rsidR="00B2357F">
        <w:t xml:space="preserve">– </w:t>
      </w:r>
      <w:r w:rsidRPr="00C2711D">
        <w:t xml:space="preserve">30% of the state’s production </w:t>
      </w:r>
      <w:r w:rsidR="00B2357F">
        <w:t>–</w:t>
      </w:r>
      <w:r w:rsidRPr="00C2711D">
        <w:t xml:space="preserve"> mainly in the Buloke and Gannawarra shires and Swan Hill Rural City</w:t>
      </w:r>
      <w:r w:rsidR="00B2357F">
        <w:t>.</w:t>
      </w:r>
    </w:p>
    <w:p w:rsidR="00F42C08" w:rsidRPr="00C2711D" w:rsidRDefault="00F42C08" w:rsidP="00B2357F">
      <w:r w:rsidRPr="00B2357F">
        <w:rPr>
          <w:rStyle w:val="Strong"/>
        </w:rPr>
        <w:t>Fruit</w:t>
      </w:r>
      <w:r w:rsidRPr="00C2711D">
        <w:t xml:space="preserve"> </w:t>
      </w:r>
      <w:r w:rsidR="00B2357F">
        <w:t xml:space="preserve">– </w:t>
      </w:r>
      <w:r w:rsidRPr="00C2711D">
        <w:t>40% of Victoria’s fruit is produced in the region</w:t>
      </w:r>
      <w:r w:rsidR="00B2357F">
        <w:t>.</w:t>
      </w:r>
    </w:p>
    <w:p w:rsidR="00F42C08" w:rsidRPr="00C2711D" w:rsidRDefault="00CD585B" w:rsidP="00B2357F">
      <w:r w:rsidRPr="00B2357F">
        <w:rPr>
          <w:rStyle w:val="Strong"/>
        </w:rPr>
        <w:t>Wine grapes</w:t>
      </w:r>
      <w:r w:rsidR="00B2357F">
        <w:t xml:space="preserve"> – </w:t>
      </w:r>
      <w:r w:rsidR="00F42C08" w:rsidRPr="00C2711D">
        <w:t>80% of the state’s wine grapes are grown in irrigation districts along the Murray River.</w:t>
      </w:r>
    </w:p>
    <w:p w:rsidR="00F42C08" w:rsidRPr="00C2711D" w:rsidRDefault="00F42C08" w:rsidP="00B2357F">
      <w:r w:rsidRPr="00B2357F">
        <w:rPr>
          <w:rStyle w:val="Strong"/>
        </w:rPr>
        <w:t>Mineral sands</w:t>
      </w:r>
      <w:r w:rsidR="00B2357F">
        <w:t xml:space="preserve"> – </w:t>
      </w:r>
      <w:r w:rsidRPr="00C2711D">
        <w:t xml:space="preserve">The Iluka Murray Basin Stage 2 Project is expected to produce about 2.4 million tonnes of dry, </w:t>
      </w:r>
      <w:r w:rsidR="00FF206F" w:rsidRPr="00C2711D">
        <w:t>heavy mineral</w:t>
      </w:r>
      <w:r w:rsidRPr="00C2711D">
        <w:t xml:space="preserve"> concentrate over 7 years, employing approximately 160 people</w:t>
      </w:r>
      <w:r w:rsidR="00B2357F">
        <w:t>.</w:t>
      </w:r>
    </w:p>
    <w:p w:rsidR="00636578" w:rsidRPr="00AD0308" w:rsidRDefault="00CD585B">
      <w:r w:rsidRPr="00B2357F">
        <w:rPr>
          <w:rStyle w:val="Strong"/>
        </w:rPr>
        <w:t>Solar energy</w:t>
      </w:r>
      <w:r w:rsidR="00B2357F">
        <w:t xml:space="preserve"> – </w:t>
      </w:r>
      <w:r w:rsidR="00F42C08" w:rsidRPr="00C2711D">
        <w:t>The region is positioning itself to be the centre of Australia’s solar industry through existing and proposed facilities near Mildura, Swan Hill and Kerang.</w:t>
      </w:r>
    </w:p>
    <w:p w:rsidR="00AD0308" w:rsidRDefault="00AD0308">
      <w:pPr>
        <w:spacing w:after="0" w:line="240" w:lineRule="auto"/>
        <w:rPr>
          <w:rFonts w:asciiTheme="majorHAnsi" w:eastAsiaTheme="majorEastAsia" w:hAnsiTheme="majorHAnsi" w:cstheme="majorBidi"/>
          <w:b/>
          <w:bCs/>
          <w:caps/>
          <w:color w:val="365F91" w:themeColor="accent1" w:themeShade="BF"/>
          <w:sz w:val="28"/>
          <w:szCs w:val="28"/>
        </w:rPr>
      </w:pPr>
      <w:r>
        <w:rPr>
          <w:caps/>
        </w:rPr>
        <w:br w:type="page"/>
      </w:r>
    </w:p>
    <w:p w:rsidR="00526E83" w:rsidRPr="00AD0308" w:rsidRDefault="00526E83" w:rsidP="00AD0308">
      <w:pPr>
        <w:pStyle w:val="Heading1"/>
        <w:rPr>
          <w:caps/>
        </w:rPr>
      </w:pPr>
      <w:bookmarkStart w:id="7" w:name="_Toc384209378"/>
      <w:r w:rsidRPr="00C2711D">
        <w:rPr>
          <w:caps/>
        </w:rPr>
        <w:t xml:space="preserve">Vision for </w:t>
      </w:r>
      <w:bookmarkEnd w:id="7"/>
      <w:r w:rsidR="00E5545E" w:rsidRPr="00E5545E">
        <w:rPr>
          <w:caps/>
        </w:rPr>
        <w:t>LODDON MALLEE NORTH</w:t>
      </w:r>
    </w:p>
    <w:p w:rsidR="002B7D54" w:rsidRPr="00C2711D" w:rsidRDefault="00E35D8E" w:rsidP="00AD0308">
      <w:pPr>
        <w:rPr>
          <w:lang w:val="en-AU"/>
        </w:rPr>
      </w:pPr>
      <w:r>
        <w:rPr>
          <w:lang w:val="en-AU"/>
        </w:rPr>
        <w:t>In 2041</w:t>
      </w:r>
      <w:r w:rsidR="00526E83" w:rsidRPr="00C2711D">
        <w:rPr>
          <w:lang w:val="en-AU"/>
        </w:rPr>
        <w:t xml:space="preserve">, Loddon Mallee North has built on its strengths to become a thriving Australian region. It has cultivated its environmental credentials to emerge as a prosperous place of choice for people to live, work, visit and invest. </w:t>
      </w:r>
    </w:p>
    <w:p w:rsidR="00526E83" w:rsidRPr="00C2711D" w:rsidRDefault="00526E83" w:rsidP="00AD0308">
      <w:pPr>
        <w:rPr>
          <w:lang w:val="en-AU"/>
        </w:rPr>
      </w:pPr>
      <w:r w:rsidRPr="00C2711D">
        <w:rPr>
          <w:lang w:val="en-AU"/>
        </w:rPr>
        <w:t>It has become renowned for:</w:t>
      </w:r>
    </w:p>
    <w:p w:rsidR="00526E83" w:rsidRPr="00AD0308" w:rsidRDefault="00526E83" w:rsidP="00AD0308">
      <w:pPr>
        <w:pStyle w:val="ListParagraph"/>
        <w:numPr>
          <w:ilvl w:val="0"/>
          <w:numId w:val="22"/>
        </w:numPr>
        <w:rPr>
          <w:lang w:val="en-AU"/>
        </w:rPr>
      </w:pPr>
      <w:r w:rsidRPr="00AD0308">
        <w:rPr>
          <w:lang w:val="en-AU"/>
        </w:rPr>
        <w:t>its produce and innovation in areas such as renewable energy</w:t>
      </w:r>
    </w:p>
    <w:p w:rsidR="00526E83" w:rsidRPr="00AD0308" w:rsidRDefault="00526E83" w:rsidP="00AD0308">
      <w:pPr>
        <w:pStyle w:val="ListParagraph"/>
        <w:numPr>
          <w:ilvl w:val="0"/>
          <w:numId w:val="22"/>
        </w:numPr>
        <w:rPr>
          <w:lang w:val="en-AU"/>
        </w:rPr>
      </w:pPr>
      <w:r w:rsidRPr="00AD0308">
        <w:rPr>
          <w:lang w:val="en-AU"/>
        </w:rPr>
        <w:t>custodianship of distinctive environmental and cultural heritage assets</w:t>
      </w:r>
    </w:p>
    <w:p w:rsidR="00526E83" w:rsidRPr="00AD0308" w:rsidRDefault="00526E83" w:rsidP="00526E83">
      <w:pPr>
        <w:pStyle w:val="ListParagraph"/>
        <w:numPr>
          <w:ilvl w:val="0"/>
          <w:numId w:val="22"/>
        </w:numPr>
        <w:rPr>
          <w:lang w:val="en-AU"/>
        </w:rPr>
      </w:pPr>
      <w:r w:rsidRPr="00AD0308">
        <w:rPr>
          <w:lang w:val="en-AU"/>
        </w:rPr>
        <w:t>being a contributor to national pride in a healthy, iconic and celebrated Murray River.</w:t>
      </w:r>
    </w:p>
    <w:p w:rsidR="00526E83" w:rsidRPr="00AD0308" w:rsidRDefault="00526E83" w:rsidP="00AD0308">
      <w:pPr>
        <w:pStyle w:val="Heading2"/>
        <w:rPr>
          <w:color w:val="365F91" w:themeColor="accent1" w:themeShade="BF"/>
          <w:sz w:val="28"/>
          <w:szCs w:val="28"/>
        </w:rPr>
      </w:pPr>
      <w:r w:rsidRPr="00C2711D">
        <w:t>Principles to achieve the vision</w:t>
      </w:r>
      <w:r w:rsidR="00AD0308">
        <w:t>:</w:t>
      </w:r>
    </w:p>
    <w:p w:rsidR="00526E83" w:rsidRPr="00AD0308" w:rsidRDefault="00526E83" w:rsidP="00AD0308">
      <w:pPr>
        <w:pStyle w:val="ListParagraph"/>
        <w:numPr>
          <w:ilvl w:val="0"/>
          <w:numId w:val="23"/>
        </w:numPr>
        <w:rPr>
          <w:lang w:val="en-AU"/>
        </w:rPr>
      </w:pPr>
      <w:r w:rsidRPr="00AD0308">
        <w:rPr>
          <w:lang w:val="en-AU"/>
        </w:rPr>
        <w:t>Align population and economic growth</w:t>
      </w:r>
    </w:p>
    <w:p w:rsidR="00526E83" w:rsidRPr="00AD0308" w:rsidRDefault="00526E83" w:rsidP="00AD0308">
      <w:pPr>
        <w:pStyle w:val="ListParagraph"/>
        <w:numPr>
          <w:ilvl w:val="0"/>
          <w:numId w:val="23"/>
        </w:numPr>
        <w:rPr>
          <w:lang w:val="en-AU"/>
        </w:rPr>
      </w:pPr>
      <w:r w:rsidRPr="00AD0308">
        <w:rPr>
          <w:lang w:val="en-AU"/>
        </w:rPr>
        <w:t>Realise opportunities to strengthen and diversify the regional economy</w:t>
      </w:r>
    </w:p>
    <w:p w:rsidR="00526E83" w:rsidRPr="00AD0308" w:rsidRDefault="00526E83" w:rsidP="00AD0308">
      <w:pPr>
        <w:pStyle w:val="ListParagraph"/>
        <w:numPr>
          <w:ilvl w:val="0"/>
          <w:numId w:val="23"/>
        </w:numPr>
        <w:rPr>
          <w:lang w:val="en-AU"/>
        </w:rPr>
      </w:pPr>
      <w:r w:rsidRPr="00AD0308">
        <w:rPr>
          <w:lang w:val="en-AU"/>
        </w:rPr>
        <w:t>Support and manage our rural landscapes</w:t>
      </w:r>
    </w:p>
    <w:p w:rsidR="00526E83" w:rsidRPr="00AD0308" w:rsidRDefault="00526E83" w:rsidP="00AD0308">
      <w:pPr>
        <w:pStyle w:val="ListParagraph"/>
        <w:numPr>
          <w:ilvl w:val="0"/>
          <w:numId w:val="23"/>
        </w:numPr>
        <w:rPr>
          <w:lang w:val="en-AU"/>
        </w:rPr>
      </w:pPr>
      <w:r w:rsidRPr="00AD0308">
        <w:rPr>
          <w:lang w:val="en-AU"/>
        </w:rPr>
        <w:t>Be custodians of the region’s environmental and cultural heritage assets and minimise its exposure to natural hazards</w:t>
      </w:r>
    </w:p>
    <w:p w:rsidR="00526E83" w:rsidRPr="00AD0308" w:rsidRDefault="00526E83" w:rsidP="00AD0308">
      <w:pPr>
        <w:pStyle w:val="ListParagraph"/>
        <w:numPr>
          <w:ilvl w:val="0"/>
          <w:numId w:val="23"/>
        </w:numPr>
        <w:rPr>
          <w:lang w:val="en-AU"/>
        </w:rPr>
      </w:pPr>
      <w:r w:rsidRPr="00AD0308">
        <w:rPr>
          <w:lang w:val="en-AU"/>
        </w:rPr>
        <w:t>Protect and provide a local sense of place</w:t>
      </w:r>
    </w:p>
    <w:p w:rsidR="00526E83" w:rsidRPr="00AD0308" w:rsidRDefault="00526E83" w:rsidP="00AD0308">
      <w:pPr>
        <w:pStyle w:val="ListParagraph"/>
        <w:numPr>
          <w:ilvl w:val="0"/>
          <w:numId w:val="23"/>
        </w:numPr>
        <w:rPr>
          <w:lang w:val="en-AU"/>
        </w:rPr>
      </w:pPr>
      <w:r w:rsidRPr="00AD0308">
        <w:rPr>
          <w:lang w:val="en-AU"/>
        </w:rPr>
        <w:t>Develop a living network of towns</w:t>
      </w:r>
    </w:p>
    <w:p w:rsidR="00526E83" w:rsidRPr="00AD0308" w:rsidRDefault="00526E83" w:rsidP="00AD0308">
      <w:pPr>
        <w:pStyle w:val="ListParagraph"/>
        <w:numPr>
          <w:ilvl w:val="0"/>
          <w:numId w:val="23"/>
        </w:numPr>
        <w:rPr>
          <w:lang w:val="en-AU"/>
        </w:rPr>
      </w:pPr>
      <w:r w:rsidRPr="00AD0308">
        <w:rPr>
          <w:lang w:val="en-AU"/>
        </w:rPr>
        <w:t>Enable healthy lifestyles</w:t>
      </w:r>
    </w:p>
    <w:p w:rsidR="00526E83" w:rsidRPr="00AD0308" w:rsidRDefault="00526E83" w:rsidP="00AD0308">
      <w:pPr>
        <w:pStyle w:val="ListParagraph"/>
        <w:numPr>
          <w:ilvl w:val="0"/>
          <w:numId w:val="23"/>
        </w:numPr>
        <w:rPr>
          <w:lang w:val="en-AU"/>
        </w:rPr>
      </w:pPr>
      <w:r w:rsidRPr="00AD0308">
        <w:rPr>
          <w:lang w:val="en-AU"/>
        </w:rPr>
        <w:t>Strategically retain, renew and build infrastructure to support growth and enable healthy and supportive communities</w:t>
      </w:r>
    </w:p>
    <w:p w:rsidR="00526E83" w:rsidRPr="00C2711D" w:rsidRDefault="00526E83" w:rsidP="00526E83">
      <w:pPr>
        <w:rPr>
          <w:sz w:val="22"/>
          <w:szCs w:val="22"/>
        </w:rPr>
      </w:pPr>
    </w:p>
    <w:p w:rsidR="00526E83" w:rsidRPr="00C2711D" w:rsidRDefault="00526E83" w:rsidP="00526E83">
      <w:pPr>
        <w:rPr>
          <w:sz w:val="22"/>
          <w:szCs w:val="22"/>
        </w:rPr>
      </w:pPr>
    </w:p>
    <w:p w:rsidR="00526E83" w:rsidRDefault="00526E83" w:rsidP="00526E83">
      <w:pPr>
        <w:rPr>
          <w:sz w:val="22"/>
          <w:szCs w:val="22"/>
        </w:rPr>
      </w:pPr>
    </w:p>
    <w:p w:rsidR="001D77CB" w:rsidRPr="00C2711D" w:rsidRDefault="001D77CB" w:rsidP="00526E83">
      <w:pPr>
        <w:rPr>
          <w:sz w:val="22"/>
          <w:szCs w:val="22"/>
        </w:rPr>
      </w:pPr>
    </w:p>
    <w:p w:rsidR="00526E83" w:rsidRPr="00C2711D" w:rsidRDefault="00526E83" w:rsidP="00526E83">
      <w:pPr>
        <w:rPr>
          <w:sz w:val="22"/>
          <w:szCs w:val="22"/>
        </w:rPr>
      </w:pPr>
    </w:p>
    <w:p w:rsidR="00526E83" w:rsidRPr="00C2711D" w:rsidRDefault="00526E83" w:rsidP="00526E83">
      <w:pPr>
        <w:rPr>
          <w:sz w:val="22"/>
          <w:szCs w:val="22"/>
        </w:rPr>
      </w:pPr>
    </w:p>
    <w:p w:rsidR="00526E83" w:rsidRPr="00C2711D" w:rsidRDefault="00526E83" w:rsidP="00526E83">
      <w:pPr>
        <w:rPr>
          <w:sz w:val="22"/>
          <w:szCs w:val="22"/>
        </w:rPr>
      </w:pPr>
    </w:p>
    <w:p w:rsidR="00526E83" w:rsidRPr="00C2711D" w:rsidRDefault="00526E83">
      <w:pPr>
        <w:rPr>
          <w:rFonts w:asciiTheme="majorHAnsi" w:eastAsiaTheme="majorEastAsia" w:hAnsiTheme="majorHAnsi" w:cstheme="majorBidi"/>
          <w:b/>
          <w:bCs/>
          <w:color w:val="365F91" w:themeColor="accent1" w:themeShade="BF"/>
          <w:sz w:val="28"/>
          <w:szCs w:val="28"/>
        </w:rPr>
      </w:pPr>
      <w:r w:rsidRPr="00C2711D">
        <w:br w:type="page"/>
      </w:r>
    </w:p>
    <w:p w:rsidR="00526E83" w:rsidRPr="00AD0308" w:rsidRDefault="00526E83" w:rsidP="00AD0308">
      <w:pPr>
        <w:pStyle w:val="Heading1"/>
      </w:pPr>
      <w:bookmarkStart w:id="8" w:name="_Toc384209379"/>
      <w:r w:rsidRPr="00C2711D">
        <w:t xml:space="preserve">ABOUT </w:t>
      </w:r>
      <w:bookmarkEnd w:id="8"/>
      <w:r w:rsidR="00E5545E" w:rsidRPr="00E5545E">
        <w:t>LODDON MALLEE NORTH</w:t>
      </w:r>
    </w:p>
    <w:p w:rsidR="00526E83" w:rsidRPr="00C2711D" w:rsidRDefault="00526E83" w:rsidP="00AD0308">
      <w:pPr>
        <w:rPr>
          <w:lang w:val="en-AU"/>
        </w:rPr>
      </w:pPr>
      <w:r w:rsidRPr="00C2711D">
        <w:rPr>
          <w:lang w:val="en-AU"/>
        </w:rPr>
        <w:t xml:space="preserve">Loddon Mallee North is a renowned food bowl for Australia. Rich fertile soils, warm climate and access to irrigation from the iconic Murray River </w:t>
      </w:r>
      <w:r w:rsidR="000D12CC" w:rsidRPr="00C2711D">
        <w:rPr>
          <w:lang w:val="en-AU"/>
        </w:rPr>
        <w:t xml:space="preserve">system </w:t>
      </w:r>
      <w:r w:rsidRPr="00C2711D">
        <w:rPr>
          <w:lang w:val="en-AU"/>
        </w:rPr>
        <w:t>give the region its competitive advantage in food production and manufacturing. Up to one third of the region is made up of public land and contains many areas of cultural, indigenous and heritage significance.</w:t>
      </w:r>
    </w:p>
    <w:p w:rsidR="00526E83" w:rsidRPr="00C2711D" w:rsidRDefault="00526E83" w:rsidP="00AD0308">
      <w:pPr>
        <w:rPr>
          <w:lang w:val="en-AU"/>
        </w:rPr>
      </w:pPr>
      <w:r w:rsidRPr="00C2711D">
        <w:rPr>
          <w:lang w:val="en-AU"/>
        </w:rPr>
        <w:t xml:space="preserve">The main population centres are Mildura, Swan Hill and Echuca, followed by the smaller regional centres of Kerang, Robinvale, Kyabram, Rochester, Donald and Birchip. The three large regional centres are expected to see the bulk of growth over the next 30 years. </w:t>
      </w:r>
    </w:p>
    <w:p w:rsidR="00526E83" w:rsidRPr="00C2711D" w:rsidRDefault="00526E83" w:rsidP="00AD0308">
      <w:pPr>
        <w:rPr>
          <w:lang w:val="en-AU"/>
        </w:rPr>
      </w:pPr>
      <w:r w:rsidRPr="00C2711D">
        <w:rPr>
          <w:lang w:val="en-AU"/>
        </w:rPr>
        <w:t>Water policy reform and climate change, will continue to impact on the region’s economy.  The focus of regional growth planning will be to facilitate land uses that generate sustainable economic growth.</w:t>
      </w:r>
    </w:p>
    <w:p w:rsidR="00526E83" w:rsidRPr="00C2711D" w:rsidRDefault="00526E83" w:rsidP="00AD0308">
      <w:pPr>
        <w:pStyle w:val="Heading2"/>
      </w:pPr>
      <w:r w:rsidRPr="00C2711D">
        <w:t xml:space="preserve">Key features: </w:t>
      </w:r>
    </w:p>
    <w:p w:rsidR="00526E83" w:rsidRPr="00AD0308" w:rsidRDefault="00526E83" w:rsidP="00AD0308">
      <w:pPr>
        <w:pStyle w:val="ListParagraph"/>
        <w:numPr>
          <w:ilvl w:val="0"/>
          <w:numId w:val="24"/>
        </w:numPr>
        <w:rPr>
          <w:lang w:val="en-AU"/>
        </w:rPr>
      </w:pPr>
      <w:r w:rsidRPr="00AD0308">
        <w:rPr>
          <w:lang w:val="en-AU"/>
        </w:rPr>
        <w:t>the region directly borders two states: New South Wales to the north and South Australia to the west and has economic and social links to these adjoining states</w:t>
      </w:r>
    </w:p>
    <w:p w:rsidR="00526E83" w:rsidRPr="00AD0308" w:rsidRDefault="00526E83" w:rsidP="00AD0308">
      <w:pPr>
        <w:pStyle w:val="ListParagraph"/>
        <w:numPr>
          <w:ilvl w:val="0"/>
          <w:numId w:val="24"/>
        </w:numPr>
        <w:rPr>
          <w:lang w:val="en-AU"/>
        </w:rPr>
      </w:pPr>
      <w:r w:rsidRPr="00AD0308">
        <w:rPr>
          <w:lang w:val="en-AU"/>
        </w:rPr>
        <w:t>home to the iconic Murray River corridor known for its Aboriginal cultural heritage, historic heritage and environmental assets and is important to the agricultural industry and communities that it supports</w:t>
      </w:r>
    </w:p>
    <w:p w:rsidR="00526E83" w:rsidRPr="00AD0308" w:rsidRDefault="00526E83" w:rsidP="00AD0308">
      <w:pPr>
        <w:pStyle w:val="ListParagraph"/>
        <w:numPr>
          <w:ilvl w:val="0"/>
          <w:numId w:val="24"/>
        </w:numPr>
        <w:rPr>
          <w:lang w:val="en-AU"/>
        </w:rPr>
      </w:pPr>
      <w:r w:rsidRPr="00AD0308">
        <w:rPr>
          <w:lang w:val="en-AU"/>
        </w:rPr>
        <w:t>major producer of fruit, nuts, wine, vegetables, cereals, meat, wool and dairy products</w:t>
      </w:r>
    </w:p>
    <w:p w:rsidR="00526E83" w:rsidRPr="00AD0308" w:rsidRDefault="00526E83" w:rsidP="00AD0308">
      <w:pPr>
        <w:pStyle w:val="ListParagraph"/>
        <w:numPr>
          <w:ilvl w:val="0"/>
          <w:numId w:val="24"/>
        </w:numPr>
        <w:rPr>
          <w:lang w:val="en-AU"/>
        </w:rPr>
      </w:pPr>
      <w:r w:rsidRPr="00AD0308">
        <w:rPr>
          <w:lang w:val="en-AU"/>
        </w:rPr>
        <w:t>the regional city of Mildura is a strategic place for business, located at the border of Victoria and New South Wales and the intersection of major transport routes</w:t>
      </w:r>
    </w:p>
    <w:p w:rsidR="00526E83" w:rsidRPr="00AD0308" w:rsidRDefault="00526E83" w:rsidP="00AD0308">
      <w:pPr>
        <w:pStyle w:val="ListParagraph"/>
        <w:numPr>
          <w:ilvl w:val="0"/>
          <w:numId w:val="24"/>
        </w:numPr>
        <w:rPr>
          <w:lang w:val="en-AU"/>
        </w:rPr>
      </w:pPr>
      <w:r w:rsidRPr="00AD0308">
        <w:rPr>
          <w:lang w:val="en-AU"/>
        </w:rPr>
        <w:t>strategic assets include significant irrigation infrastructure and natural resources, such as mineral sands deposits, salt deposits, solar reliability and geothermal resources</w:t>
      </w:r>
    </w:p>
    <w:p w:rsidR="00526E83" w:rsidRPr="00C2711D" w:rsidRDefault="00526E83" w:rsidP="00AD0308">
      <w:pPr>
        <w:pStyle w:val="ListParagraph"/>
        <w:numPr>
          <w:ilvl w:val="0"/>
          <w:numId w:val="24"/>
        </w:numPr>
      </w:pPr>
      <w:r w:rsidRPr="00AD0308">
        <w:rPr>
          <w:lang w:val="en-AU"/>
        </w:rPr>
        <w:t>the region has significant national parks, including the Murray-Sunset, Hattah-Kulkyne, Wyperfeld and Gunbower.</w:t>
      </w:r>
    </w:p>
    <w:p w:rsidR="00526E83" w:rsidRPr="00C2711D" w:rsidRDefault="00526E83" w:rsidP="00526E83">
      <w:pPr>
        <w:rPr>
          <w:rFonts w:asciiTheme="majorHAnsi" w:eastAsiaTheme="majorEastAsia" w:hAnsiTheme="majorHAnsi" w:cstheme="majorBidi"/>
          <w:b/>
          <w:bCs/>
          <w:color w:val="365F91" w:themeColor="accent1" w:themeShade="BF"/>
          <w:sz w:val="28"/>
          <w:szCs w:val="28"/>
        </w:rPr>
      </w:pPr>
      <w:r w:rsidRPr="00C2711D">
        <w:rPr>
          <w:sz w:val="22"/>
          <w:szCs w:val="22"/>
        </w:rPr>
        <w:br w:type="page"/>
      </w:r>
    </w:p>
    <w:p w:rsidR="0065494F" w:rsidRPr="00C2711D" w:rsidRDefault="0065494F" w:rsidP="00710CA0">
      <w:pPr>
        <w:pStyle w:val="Heading1"/>
      </w:pPr>
      <w:bookmarkStart w:id="9" w:name="_Toc384209380"/>
      <w:r w:rsidRPr="00C2711D">
        <w:t>THE REGIONAL GROWTH PLAN</w:t>
      </w:r>
      <w:r w:rsidR="00710CA0" w:rsidRPr="00C2711D">
        <w:t xml:space="preserve"> </w:t>
      </w:r>
      <w:bookmarkEnd w:id="9"/>
    </w:p>
    <w:p w:rsidR="0065494F" w:rsidRPr="00AD0308" w:rsidRDefault="00612448" w:rsidP="0065494F">
      <w:r w:rsidRPr="00C2711D">
        <w:t>The regional growth plan map</w:t>
      </w:r>
      <w:r w:rsidR="00DD688A" w:rsidRPr="00C2711D">
        <w:t xml:space="preserve"> illustrates where growth is anticipated to occur in the region and the major transport, economic and social relationships between cities, centres and towns.</w:t>
      </w:r>
      <w:r w:rsidR="00AD0308" w:rsidRPr="00AD0308">
        <w:t xml:space="preserve"> </w:t>
      </w:r>
      <w:r w:rsidR="00AD0308">
        <w:t>Text boxes describe the Plan and Principles.</w:t>
      </w:r>
      <w:r w:rsidR="0065494F" w:rsidRPr="00C2711D">
        <w:rPr>
          <w:sz w:val="22"/>
          <w:szCs w:val="22"/>
        </w:rPr>
        <w:br w:type="page"/>
      </w:r>
    </w:p>
    <w:p w:rsidR="005E3D70" w:rsidRPr="00AD0308" w:rsidRDefault="00ED5E9D" w:rsidP="00AD0308">
      <w:pPr>
        <w:pStyle w:val="Heading1"/>
      </w:pPr>
      <w:bookmarkStart w:id="10" w:name="_Toc384209381"/>
      <w:r w:rsidRPr="00C2711D">
        <w:t>WHAT ARE THE CHALLENGES?</w:t>
      </w:r>
      <w:bookmarkEnd w:id="10"/>
    </w:p>
    <w:p w:rsidR="004C59ED" w:rsidRPr="00C2711D" w:rsidRDefault="004C59ED" w:rsidP="00AD0308">
      <w:r w:rsidRPr="00C2711D">
        <w:t xml:space="preserve">The region is facing a number of challenges and opportunities that will affect the future of the economy, environment and </w:t>
      </w:r>
      <w:r w:rsidR="008442A4" w:rsidRPr="00C2711D">
        <w:t xml:space="preserve">its </w:t>
      </w:r>
      <w:r w:rsidRPr="00C2711D">
        <w:t>communities.</w:t>
      </w:r>
    </w:p>
    <w:p w:rsidR="00DD688A" w:rsidRPr="00C2711D" w:rsidRDefault="005E3D70" w:rsidP="00AD0308">
      <w:pPr>
        <w:pStyle w:val="Heading2"/>
      </w:pPr>
      <w:r w:rsidRPr="00C2711D">
        <w:t>Challenges for growth</w:t>
      </w:r>
    </w:p>
    <w:p w:rsidR="004C59ED" w:rsidRPr="00AD0308" w:rsidRDefault="004C59ED" w:rsidP="00AD0308">
      <w:pPr>
        <w:pStyle w:val="ListParagraph"/>
        <w:numPr>
          <w:ilvl w:val="0"/>
          <w:numId w:val="25"/>
        </w:numPr>
        <w:rPr>
          <w:lang w:val="en-AU"/>
        </w:rPr>
      </w:pPr>
      <w:r w:rsidRPr="00AD0308">
        <w:rPr>
          <w:lang w:val="en-AU"/>
        </w:rPr>
        <w:t>the uneven distribution of both population and economic growth across the region, and the need to support smaller communities</w:t>
      </w:r>
      <w:r w:rsidR="008442A4" w:rsidRPr="00AD0308">
        <w:rPr>
          <w:lang w:val="en-AU"/>
        </w:rPr>
        <w:t xml:space="preserve"> </w:t>
      </w:r>
    </w:p>
    <w:p w:rsidR="004C59ED" w:rsidRPr="00AD0308" w:rsidRDefault="004C59ED" w:rsidP="00AD0308">
      <w:pPr>
        <w:pStyle w:val="ListParagraph"/>
        <w:numPr>
          <w:ilvl w:val="0"/>
          <w:numId w:val="25"/>
        </w:numPr>
        <w:rPr>
          <w:lang w:val="en-AU"/>
        </w:rPr>
      </w:pPr>
      <w:r w:rsidRPr="00AD0308">
        <w:rPr>
          <w:lang w:val="en-AU"/>
        </w:rPr>
        <w:t>ensuring land supply for employment and housing in appropriate locations</w:t>
      </w:r>
    </w:p>
    <w:p w:rsidR="004C59ED" w:rsidRPr="00AD0308" w:rsidRDefault="004C59ED" w:rsidP="00AD0308">
      <w:pPr>
        <w:pStyle w:val="ListParagraph"/>
        <w:numPr>
          <w:ilvl w:val="0"/>
          <w:numId w:val="25"/>
        </w:numPr>
        <w:rPr>
          <w:lang w:val="en-AU"/>
        </w:rPr>
      </w:pPr>
      <w:r w:rsidRPr="00AD0308">
        <w:rPr>
          <w:lang w:val="en-AU"/>
        </w:rPr>
        <w:t>adapting to the potential risks and opportunities associated with climate change</w:t>
      </w:r>
    </w:p>
    <w:p w:rsidR="004C59ED" w:rsidRPr="00AD0308" w:rsidRDefault="004C59ED" w:rsidP="00AD0308">
      <w:pPr>
        <w:pStyle w:val="ListParagraph"/>
        <w:numPr>
          <w:ilvl w:val="0"/>
          <w:numId w:val="25"/>
        </w:numPr>
        <w:rPr>
          <w:lang w:val="en-AU"/>
        </w:rPr>
      </w:pPr>
      <w:r w:rsidRPr="00AD0308">
        <w:rPr>
          <w:lang w:val="en-AU"/>
        </w:rPr>
        <w:t>protecting and enhancing the environmental, cultural heritage, social assets and natural resources of the region to grow the economy</w:t>
      </w:r>
    </w:p>
    <w:p w:rsidR="00A50F7E" w:rsidRPr="00AD0308" w:rsidRDefault="00A50F7E" w:rsidP="00AD0308">
      <w:pPr>
        <w:pStyle w:val="ListParagraph"/>
        <w:numPr>
          <w:ilvl w:val="0"/>
          <w:numId w:val="25"/>
        </w:numPr>
        <w:rPr>
          <w:lang w:val="en-AU"/>
        </w:rPr>
      </w:pPr>
      <w:r w:rsidRPr="00AD0308">
        <w:rPr>
          <w:lang w:val="en-AU"/>
        </w:rPr>
        <w:t>recognition and protection of the environmental values of Ramsar wetlands</w:t>
      </w:r>
    </w:p>
    <w:p w:rsidR="00A50F7E" w:rsidRPr="00AD0308" w:rsidRDefault="00A50F7E" w:rsidP="00AD0308">
      <w:pPr>
        <w:pStyle w:val="ListParagraph"/>
        <w:numPr>
          <w:ilvl w:val="0"/>
          <w:numId w:val="25"/>
        </w:numPr>
        <w:rPr>
          <w:lang w:val="en-AU"/>
        </w:rPr>
      </w:pPr>
      <w:r w:rsidRPr="00AD0308">
        <w:rPr>
          <w:lang w:val="en-AU"/>
        </w:rPr>
        <w:t>ensuring growth is supported where appropriate by sustainable reticulated or independent infrastructure services, such as water, power and waste disposal – recognising the historic diversity, transitioning of the economy and uneven growth distribution</w:t>
      </w:r>
    </w:p>
    <w:p w:rsidR="00A50F7E" w:rsidRPr="00AD0308" w:rsidRDefault="00BE7A9D" w:rsidP="00AD0308">
      <w:pPr>
        <w:pStyle w:val="ListParagraph"/>
        <w:numPr>
          <w:ilvl w:val="0"/>
          <w:numId w:val="25"/>
        </w:numPr>
        <w:rPr>
          <w:lang w:val="en-AU"/>
        </w:rPr>
      </w:pPr>
      <w:r>
        <w:rPr>
          <w:lang w:val="en-AU"/>
        </w:rPr>
        <w:t>encouraging</w:t>
      </w:r>
      <w:r w:rsidR="00A50F7E" w:rsidRPr="00AD0308">
        <w:rPr>
          <w:lang w:val="en-AU"/>
        </w:rPr>
        <w:t xml:space="preserve"> residential and commercial growth in centres throughout the region enabling residents to access employment, education and services, including from dispersed settlements</w:t>
      </w:r>
    </w:p>
    <w:p w:rsidR="00A50F7E" w:rsidRPr="00AD0308" w:rsidRDefault="00A50F7E" w:rsidP="00AD0308">
      <w:pPr>
        <w:pStyle w:val="ListParagraph"/>
        <w:numPr>
          <w:ilvl w:val="0"/>
          <w:numId w:val="25"/>
        </w:numPr>
        <w:rPr>
          <w:lang w:val="en-AU"/>
        </w:rPr>
      </w:pPr>
      <w:r w:rsidRPr="00AD0308">
        <w:rPr>
          <w:lang w:val="en-AU"/>
        </w:rPr>
        <w:t>encouraging and supporting diversification of the economy, including agriculture and overcoming skills shortages</w:t>
      </w:r>
    </w:p>
    <w:p w:rsidR="004C59ED" w:rsidRPr="00AD0308" w:rsidRDefault="00BE7A9D" w:rsidP="00AD0308">
      <w:pPr>
        <w:pStyle w:val="ListParagraph"/>
        <w:numPr>
          <w:ilvl w:val="0"/>
          <w:numId w:val="25"/>
        </w:numPr>
        <w:rPr>
          <w:lang w:val="en-AU"/>
        </w:rPr>
      </w:pPr>
      <w:r>
        <w:rPr>
          <w:lang w:val="en-AU"/>
        </w:rPr>
        <w:t>renewing</w:t>
      </w:r>
      <w:r w:rsidR="004C59ED" w:rsidRPr="00AD0308">
        <w:rPr>
          <w:lang w:val="en-AU"/>
        </w:rPr>
        <w:t xml:space="preserve"> irrigation infrastructure and responding to the associated restructure and social changes </w:t>
      </w:r>
    </w:p>
    <w:p w:rsidR="004C59ED" w:rsidRPr="00AD0308" w:rsidRDefault="004C59ED" w:rsidP="00AD0308">
      <w:pPr>
        <w:pStyle w:val="ListParagraph"/>
        <w:numPr>
          <w:ilvl w:val="0"/>
          <w:numId w:val="25"/>
        </w:numPr>
        <w:rPr>
          <w:lang w:val="en-AU"/>
        </w:rPr>
      </w:pPr>
      <w:r w:rsidRPr="00AD0308">
        <w:rPr>
          <w:lang w:val="en-AU"/>
        </w:rPr>
        <w:t xml:space="preserve">cross-border planning to </w:t>
      </w:r>
      <w:r w:rsidR="00BE7A9D">
        <w:rPr>
          <w:lang w:val="en-AU"/>
        </w:rPr>
        <w:t xml:space="preserve">achieve </w:t>
      </w:r>
      <w:r w:rsidRPr="00AD0308">
        <w:rPr>
          <w:lang w:val="en-AU"/>
        </w:rPr>
        <w:t xml:space="preserve">efficient provision of land and infrastructure for settlements and industry </w:t>
      </w:r>
    </w:p>
    <w:p w:rsidR="004C59ED" w:rsidRPr="00AD0308" w:rsidRDefault="004C59ED" w:rsidP="00AD0308">
      <w:pPr>
        <w:pStyle w:val="ListParagraph"/>
        <w:numPr>
          <w:ilvl w:val="0"/>
          <w:numId w:val="25"/>
        </w:numPr>
        <w:rPr>
          <w:lang w:val="en-AU"/>
        </w:rPr>
      </w:pPr>
      <w:r w:rsidRPr="00AD0308">
        <w:rPr>
          <w:lang w:val="en-AU"/>
        </w:rPr>
        <w:t>safeguarding transport routes to support efficient freight and people movement and economic diversification</w:t>
      </w:r>
    </w:p>
    <w:p w:rsidR="00A50F7E" w:rsidRPr="00AD0308" w:rsidRDefault="00A50F7E" w:rsidP="00AD0308">
      <w:pPr>
        <w:pStyle w:val="ListParagraph"/>
        <w:numPr>
          <w:ilvl w:val="0"/>
          <w:numId w:val="25"/>
        </w:numPr>
        <w:rPr>
          <w:lang w:val="en-AU"/>
        </w:rPr>
      </w:pPr>
      <w:r w:rsidRPr="00AD0308">
        <w:rPr>
          <w:lang w:val="en-AU"/>
        </w:rPr>
        <w:t>maintenance and replacement of ageing infrastructure</w:t>
      </w:r>
    </w:p>
    <w:p w:rsidR="00A50F7E" w:rsidRPr="00AD0308" w:rsidRDefault="00A50F7E" w:rsidP="00AD0308">
      <w:pPr>
        <w:pStyle w:val="ListParagraph"/>
        <w:numPr>
          <w:ilvl w:val="0"/>
          <w:numId w:val="25"/>
        </w:numPr>
        <w:rPr>
          <w:lang w:val="en-AU"/>
        </w:rPr>
      </w:pPr>
      <w:r w:rsidRPr="00AD0308">
        <w:rPr>
          <w:lang w:val="en-AU"/>
        </w:rPr>
        <w:t>meeting the housing needs of a changing demographic profile in the context of low development demand and poor returns on housing investment, and the needs of a mobile and seasonal workforce</w:t>
      </w:r>
    </w:p>
    <w:p w:rsidR="004C59ED" w:rsidRPr="00AD0308" w:rsidRDefault="004C59ED" w:rsidP="00AD0308">
      <w:pPr>
        <w:pStyle w:val="ListParagraph"/>
        <w:numPr>
          <w:ilvl w:val="0"/>
          <w:numId w:val="25"/>
        </w:numPr>
        <w:rPr>
          <w:lang w:val="en-AU"/>
        </w:rPr>
      </w:pPr>
      <w:r w:rsidRPr="00AD0308">
        <w:rPr>
          <w:lang w:val="en-AU"/>
        </w:rPr>
        <w:t>managing the risks to settlements from natural hazards such as flood and bushfire.</w:t>
      </w:r>
    </w:p>
    <w:p w:rsidR="009213B0" w:rsidRPr="00C2711D" w:rsidRDefault="009213B0" w:rsidP="00DD688A">
      <w:pPr>
        <w:rPr>
          <w:sz w:val="22"/>
          <w:szCs w:val="22"/>
        </w:rPr>
      </w:pPr>
    </w:p>
    <w:p w:rsidR="00AB530C" w:rsidRPr="00C2711D" w:rsidRDefault="00AB530C" w:rsidP="00DD688A">
      <w:pPr>
        <w:spacing w:after="60"/>
        <w:rPr>
          <w:b/>
          <w:sz w:val="22"/>
          <w:szCs w:val="22"/>
        </w:rPr>
      </w:pPr>
      <w:r w:rsidRPr="00C2711D">
        <w:rPr>
          <w:b/>
          <w:sz w:val="22"/>
          <w:szCs w:val="22"/>
        </w:rPr>
        <w:br w:type="page"/>
      </w:r>
    </w:p>
    <w:p w:rsidR="00F25118" w:rsidRPr="00AD0308" w:rsidRDefault="00710CA0" w:rsidP="00AD0308">
      <w:pPr>
        <w:pStyle w:val="Heading1"/>
      </w:pPr>
      <w:bookmarkStart w:id="11" w:name="_Toc384209382"/>
      <w:r w:rsidRPr="00C2711D">
        <w:t xml:space="preserve">LIVING IN </w:t>
      </w:r>
      <w:bookmarkEnd w:id="11"/>
      <w:r w:rsidR="00E5545E" w:rsidRPr="00E5545E">
        <w:t>LODDON MALLEE NORTH</w:t>
      </w:r>
    </w:p>
    <w:p w:rsidR="008442A4" w:rsidRPr="00C2711D" w:rsidRDefault="00CD585B" w:rsidP="00AD0308">
      <w:r w:rsidRPr="00C2711D">
        <w:t>Loddon Mallee North is currently home to 134,000 people, with the</w:t>
      </w:r>
      <w:r w:rsidR="008442A4" w:rsidRPr="00C2711D">
        <w:t xml:space="preserve"> majority living in and around Mildura, Echuca and Swan Hill. </w:t>
      </w:r>
    </w:p>
    <w:p w:rsidR="002C23B3" w:rsidRPr="00C2711D" w:rsidRDefault="008442A4" w:rsidP="00AD0308">
      <w:r w:rsidRPr="00C2711D">
        <w:t xml:space="preserve">Growth is uneven across the region with modest </w:t>
      </w:r>
      <w:r w:rsidR="005607C3" w:rsidRPr="00C2711D">
        <w:t xml:space="preserve">increases </w:t>
      </w:r>
      <w:r w:rsidRPr="00C2711D">
        <w:t xml:space="preserve">projected in and around the major centres and throughout the Murray River corridor. </w:t>
      </w:r>
      <w:r w:rsidR="007F0567" w:rsidRPr="00C2711D">
        <w:t>Kerang, Robinvale, Kyabram and Rochester play an important role in providing sub-regional services to surrounding communities.</w:t>
      </w:r>
      <w:r w:rsidR="00F45B7D" w:rsidRPr="00C2711D">
        <w:t xml:space="preserve"> </w:t>
      </w:r>
    </w:p>
    <w:p w:rsidR="002A00C6" w:rsidRPr="00C2711D" w:rsidRDefault="000D12CC" w:rsidP="00AD0308">
      <w:r w:rsidRPr="00C2711D">
        <w:t>Communities located along the Mallee Highway and in Buloke Shire</w:t>
      </w:r>
      <w:r w:rsidR="008442A4" w:rsidRPr="00C2711D">
        <w:t xml:space="preserve"> are separated by long distances from </w:t>
      </w:r>
      <w:r w:rsidR="00AC2D86" w:rsidRPr="00C2711D">
        <w:t>Mildura, Echuca and Swan Hill</w:t>
      </w:r>
      <w:r w:rsidR="005607C3" w:rsidRPr="00C2711D">
        <w:t xml:space="preserve">. </w:t>
      </w:r>
      <w:r w:rsidR="008442A4" w:rsidRPr="00C2711D">
        <w:t xml:space="preserve">Wycheproof, Ouyen, Manangatang and Birchip provide higher level services, including health, education and local government administration than would normally be expected of towns of similar population. </w:t>
      </w:r>
      <w:r w:rsidR="005607C3" w:rsidRPr="00C2711D">
        <w:t xml:space="preserve"> </w:t>
      </w:r>
    </w:p>
    <w:p w:rsidR="00854F9C" w:rsidRPr="00AD0308" w:rsidRDefault="002C23B3" w:rsidP="00854F9C">
      <w:r w:rsidRPr="00C2711D">
        <w:t xml:space="preserve">Bendigo and Shepparton are key cities outside the region that attract people from the southern part of Loddon Mallee North for jobs, services and facilities. </w:t>
      </w:r>
      <w:r w:rsidR="00F45B7D" w:rsidRPr="00C2711D">
        <w:t>P</w:t>
      </w:r>
      <w:r w:rsidR="005607C3" w:rsidRPr="00C2711D">
        <w:t xml:space="preserve">eople in the Mallee </w:t>
      </w:r>
      <w:r w:rsidR="00F45B7D" w:rsidRPr="00C2711D">
        <w:t xml:space="preserve">also </w:t>
      </w:r>
      <w:r w:rsidR="005607C3" w:rsidRPr="00C2711D">
        <w:t xml:space="preserve">travel </w:t>
      </w:r>
      <w:r w:rsidR="00F45B7D" w:rsidRPr="00C2711D">
        <w:t xml:space="preserve">to Adelaide and Melbourne </w:t>
      </w:r>
      <w:r w:rsidR="005607C3" w:rsidRPr="00C2711D">
        <w:t>for higher order services, using air and road transport.</w:t>
      </w:r>
    </w:p>
    <w:p w:rsidR="003312A1" w:rsidRPr="00AD0308" w:rsidRDefault="00FA7D9E" w:rsidP="00AD0308">
      <w:pPr>
        <w:pStyle w:val="Heading2"/>
      </w:pPr>
      <w:r w:rsidRPr="00C2711D">
        <w:t>Future directions</w:t>
      </w:r>
      <w:r w:rsidR="00AD0308">
        <w:t>:</w:t>
      </w:r>
    </w:p>
    <w:p w:rsidR="00666EAA" w:rsidRPr="00AD0308" w:rsidRDefault="002C23B3" w:rsidP="00AD0308">
      <w:pPr>
        <w:pStyle w:val="ListParagraph"/>
        <w:numPr>
          <w:ilvl w:val="0"/>
          <w:numId w:val="26"/>
        </w:numPr>
        <w:rPr>
          <w:lang w:val="en-AU"/>
        </w:rPr>
      </w:pPr>
      <w:r w:rsidRPr="00AD0308">
        <w:rPr>
          <w:lang w:val="en-AU"/>
        </w:rPr>
        <w:t>d</w:t>
      </w:r>
      <w:r w:rsidR="00666EAA" w:rsidRPr="00AD0308">
        <w:rPr>
          <w:lang w:val="en-AU"/>
        </w:rPr>
        <w:t>irect major population and housing growth to existing regional cities and centres where infrastructure and services can be used in the most efficient, cost-effective and sustainable manner</w:t>
      </w:r>
    </w:p>
    <w:p w:rsidR="00666EAA" w:rsidRPr="00AD0308" w:rsidRDefault="002C23B3" w:rsidP="00AD0308">
      <w:pPr>
        <w:pStyle w:val="ListParagraph"/>
        <w:numPr>
          <w:ilvl w:val="0"/>
          <w:numId w:val="26"/>
        </w:numPr>
        <w:rPr>
          <w:lang w:val="en-AU"/>
        </w:rPr>
      </w:pPr>
      <w:r w:rsidRPr="00AD0308">
        <w:rPr>
          <w:lang w:val="en-AU"/>
        </w:rPr>
        <w:t>i</w:t>
      </w:r>
      <w:r w:rsidR="00666EAA" w:rsidRPr="00AD0308">
        <w:rPr>
          <w:lang w:val="en-AU"/>
        </w:rPr>
        <w:t xml:space="preserve">mprove linkages within and between Loddon Mallee North’s </w:t>
      </w:r>
      <w:r w:rsidR="000D12CC" w:rsidRPr="00AD0308">
        <w:rPr>
          <w:lang w:val="en-AU"/>
        </w:rPr>
        <w:t>network of settlements</w:t>
      </w:r>
    </w:p>
    <w:p w:rsidR="00666EAA" w:rsidRPr="00AD0308" w:rsidRDefault="002C23B3" w:rsidP="00AD0308">
      <w:pPr>
        <w:pStyle w:val="ListParagraph"/>
        <w:numPr>
          <w:ilvl w:val="0"/>
          <w:numId w:val="26"/>
        </w:numPr>
        <w:rPr>
          <w:lang w:val="en-AU"/>
        </w:rPr>
      </w:pPr>
      <w:r w:rsidRPr="00AD0308">
        <w:rPr>
          <w:lang w:val="en-AU"/>
        </w:rPr>
        <w:t>a</w:t>
      </w:r>
      <w:r w:rsidR="00666EAA" w:rsidRPr="00AD0308">
        <w:rPr>
          <w:lang w:val="en-AU"/>
        </w:rPr>
        <w:t>nticipate and respond to changing community needs to support growth and demographic change</w:t>
      </w:r>
      <w:r w:rsidRPr="00AD0308">
        <w:rPr>
          <w:lang w:val="en-AU"/>
        </w:rPr>
        <w:t>.</w:t>
      </w:r>
    </w:p>
    <w:p w:rsidR="00A41D80" w:rsidRPr="00C2711D" w:rsidRDefault="00A41D80">
      <w:pPr>
        <w:rPr>
          <w:sz w:val="22"/>
          <w:szCs w:val="22"/>
        </w:rPr>
      </w:pPr>
    </w:p>
    <w:p w:rsidR="009952EF" w:rsidRPr="00C2711D" w:rsidRDefault="009952EF">
      <w:pPr>
        <w:rPr>
          <w:rFonts w:asciiTheme="majorHAnsi" w:eastAsiaTheme="majorEastAsia" w:hAnsiTheme="majorHAnsi" w:cstheme="majorBidi"/>
          <w:b/>
          <w:bCs/>
          <w:color w:val="365F91" w:themeColor="accent1" w:themeShade="BF"/>
          <w:sz w:val="22"/>
          <w:szCs w:val="22"/>
        </w:rPr>
      </w:pPr>
      <w:r w:rsidRPr="00C2711D">
        <w:rPr>
          <w:sz w:val="22"/>
          <w:szCs w:val="22"/>
        </w:rPr>
        <w:br w:type="page"/>
      </w:r>
    </w:p>
    <w:p w:rsidR="00A41D80" w:rsidRPr="00AD0308" w:rsidRDefault="00807561" w:rsidP="00AD0308">
      <w:pPr>
        <w:pStyle w:val="Heading1"/>
      </w:pPr>
      <w:bookmarkStart w:id="12" w:name="_Toc384209383"/>
      <w:r w:rsidRPr="00C2711D">
        <w:t>KEY TOWNS – FUTURE PLANS</w:t>
      </w:r>
      <w:r w:rsidR="00710CA0" w:rsidRPr="00C2711D">
        <w:t xml:space="preserve"> OVER THE NEXT 20-30 YEARS</w:t>
      </w:r>
      <w:bookmarkEnd w:id="12"/>
    </w:p>
    <w:p w:rsidR="003312A1" w:rsidRDefault="00CE2750" w:rsidP="00AD0308">
      <w:pPr>
        <w:pStyle w:val="Heading2"/>
        <w:rPr>
          <w:lang w:val="en-AU"/>
        </w:rPr>
      </w:pPr>
      <w:r w:rsidRPr="00C2711D">
        <w:rPr>
          <w:lang w:val="en-AU"/>
        </w:rPr>
        <w:t xml:space="preserve">Rural City of Mildura </w:t>
      </w:r>
    </w:p>
    <w:p w:rsidR="002F4123" w:rsidRPr="00AD0308" w:rsidRDefault="002F4123" w:rsidP="002F4123">
      <w:pPr>
        <w:pStyle w:val="ListParagraph"/>
        <w:numPr>
          <w:ilvl w:val="0"/>
          <w:numId w:val="27"/>
        </w:numPr>
        <w:rPr>
          <w:lang w:val="en-AU"/>
        </w:rPr>
      </w:pPr>
      <w:r w:rsidRPr="00AD0308">
        <w:rPr>
          <w:rStyle w:val="Strong"/>
        </w:rPr>
        <w:t>Year</w:t>
      </w:r>
      <w:r w:rsidRPr="00AD0308">
        <w:rPr>
          <w:lang w:val="en-AU"/>
        </w:rPr>
        <w:t xml:space="preserve"> – </w:t>
      </w:r>
      <w:r w:rsidRPr="00C2711D">
        <w:t>2011</w:t>
      </w:r>
    </w:p>
    <w:p w:rsidR="002F4123" w:rsidRDefault="002F4123" w:rsidP="002F4123">
      <w:pPr>
        <w:pStyle w:val="ListParagraph"/>
        <w:numPr>
          <w:ilvl w:val="1"/>
          <w:numId w:val="27"/>
        </w:numPr>
        <w:rPr>
          <w:lang w:val="en-AU"/>
        </w:rPr>
      </w:pPr>
      <w:r w:rsidRPr="00AD0308">
        <w:rPr>
          <w:rStyle w:val="Strong"/>
        </w:rPr>
        <w:t>Population</w:t>
      </w:r>
      <w:r w:rsidRPr="00AD0308">
        <w:rPr>
          <w:lang w:val="en-AU"/>
        </w:rPr>
        <w:t xml:space="preserve"> – </w:t>
      </w:r>
      <w:r w:rsidRPr="00C2711D">
        <w:t>54,666</w:t>
      </w:r>
    </w:p>
    <w:p w:rsidR="002F4123" w:rsidRPr="00AD0308" w:rsidRDefault="002F4123" w:rsidP="002F4123">
      <w:pPr>
        <w:pStyle w:val="ListParagraph"/>
        <w:numPr>
          <w:ilvl w:val="0"/>
          <w:numId w:val="27"/>
        </w:numPr>
        <w:rPr>
          <w:lang w:val="en-AU"/>
        </w:rPr>
      </w:pPr>
      <w:r w:rsidRPr="00AD0308">
        <w:rPr>
          <w:rStyle w:val="Strong"/>
        </w:rPr>
        <w:t>Year</w:t>
      </w:r>
      <w:r w:rsidRPr="00AD0308">
        <w:rPr>
          <w:lang w:val="en-AU"/>
        </w:rPr>
        <w:t xml:space="preserve"> – </w:t>
      </w:r>
      <w:r w:rsidRPr="00C2711D">
        <w:t>2021</w:t>
      </w:r>
    </w:p>
    <w:p w:rsidR="002F4123" w:rsidRPr="00AD0308" w:rsidRDefault="002F4123" w:rsidP="002F4123">
      <w:pPr>
        <w:pStyle w:val="ListParagraph"/>
        <w:numPr>
          <w:ilvl w:val="1"/>
          <w:numId w:val="27"/>
        </w:numPr>
        <w:rPr>
          <w:lang w:val="en-AU"/>
        </w:rPr>
      </w:pPr>
      <w:r w:rsidRPr="00AD0308">
        <w:rPr>
          <w:rStyle w:val="Strong"/>
        </w:rPr>
        <w:t>Population</w:t>
      </w:r>
      <w:r w:rsidRPr="00AD0308">
        <w:rPr>
          <w:lang w:val="en-AU"/>
        </w:rPr>
        <w:t xml:space="preserve"> – </w:t>
      </w:r>
      <w:r w:rsidRPr="00C2711D">
        <w:t>60,325</w:t>
      </w:r>
    </w:p>
    <w:p w:rsidR="002F4123" w:rsidRPr="00AD0308" w:rsidRDefault="002F4123" w:rsidP="002F4123">
      <w:pPr>
        <w:pStyle w:val="ListParagraph"/>
        <w:numPr>
          <w:ilvl w:val="0"/>
          <w:numId w:val="27"/>
        </w:numPr>
        <w:rPr>
          <w:lang w:val="en-AU"/>
        </w:rPr>
      </w:pPr>
      <w:r w:rsidRPr="00AD0308">
        <w:rPr>
          <w:rStyle w:val="Strong"/>
        </w:rPr>
        <w:t>Year</w:t>
      </w:r>
      <w:r w:rsidRPr="00AD0308">
        <w:rPr>
          <w:lang w:val="en-AU"/>
        </w:rPr>
        <w:t xml:space="preserve"> – </w:t>
      </w:r>
      <w:r w:rsidRPr="00C2711D">
        <w:t>2031</w:t>
      </w:r>
    </w:p>
    <w:p w:rsidR="002F4123" w:rsidRPr="002F4123" w:rsidRDefault="002F4123" w:rsidP="002F4123">
      <w:pPr>
        <w:pStyle w:val="ListParagraph"/>
        <w:numPr>
          <w:ilvl w:val="1"/>
          <w:numId w:val="27"/>
        </w:numPr>
        <w:rPr>
          <w:lang w:val="en-AU"/>
        </w:rPr>
      </w:pPr>
      <w:r w:rsidRPr="00AD0308">
        <w:rPr>
          <w:rStyle w:val="Strong"/>
        </w:rPr>
        <w:t>Population</w:t>
      </w:r>
      <w:r w:rsidRPr="00AD0308">
        <w:rPr>
          <w:lang w:val="en-AU"/>
        </w:rPr>
        <w:t xml:space="preserve"> – </w:t>
      </w:r>
      <w:r w:rsidRPr="00C2711D">
        <w:t>64,288</w:t>
      </w:r>
    </w:p>
    <w:p w:rsidR="006A0904" w:rsidRPr="00C2711D" w:rsidRDefault="006023D5" w:rsidP="00AD0308">
      <w:pPr>
        <w:pStyle w:val="Heading3"/>
        <w:rPr>
          <w:lang w:val="en-AU"/>
        </w:rPr>
      </w:pPr>
      <w:r w:rsidRPr="00C2711D">
        <w:rPr>
          <w:lang w:val="en-AU"/>
        </w:rPr>
        <w:t>Mildura</w:t>
      </w:r>
    </w:p>
    <w:p w:rsidR="006A0904" w:rsidRPr="00AD0308" w:rsidRDefault="006A0904" w:rsidP="006023D5">
      <w:pPr>
        <w:rPr>
          <w:rStyle w:val="Emphasis"/>
        </w:rPr>
      </w:pPr>
      <w:r w:rsidRPr="00AD0308">
        <w:rPr>
          <w:rStyle w:val="Emphasis"/>
        </w:rPr>
        <w:t>Regional City</w:t>
      </w:r>
    </w:p>
    <w:p w:rsidR="006023D5" w:rsidRPr="00C2711D" w:rsidRDefault="006A0904" w:rsidP="00AD0308">
      <w:pPr>
        <w:rPr>
          <w:lang w:val="en-AU"/>
        </w:rPr>
      </w:pPr>
      <w:r w:rsidRPr="00AD0308">
        <w:rPr>
          <w:rStyle w:val="Strong"/>
        </w:rPr>
        <w:t>Promote Growth</w:t>
      </w:r>
      <w:r w:rsidRPr="00AD0308">
        <w:rPr>
          <w:lang w:val="en-AU"/>
        </w:rPr>
        <w:t xml:space="preserve"> </w:t>
      </w:r>
      <w:r w:rsidR="00AD0308" w:rsidRPr="00AD0308">
        <w:rPr>
          <w:lang w:val="en-AU"/>
        </w:rPr>
        <w:t>–</w:t>
      </w:r>
      <w:r w:rsidRPr="00C2711D">
        <w:rPr>
          <w:lang w:val="en-AU"/>
        </w:rPr>
        <w:t xml:space="preserve"> </w:t>
      </w:r>
      <w:r w:rsidR="006023D5" w:rsidRPr="00C2711D">
        <w:rPr>
          <w:lang w:val="en-AU"/>
        </w:rPr>
        <w:t xml:space="preserve">As the regional city for Loddon Mallee North, Mildura will have an expanded role as a major service provider, recreation centre and tourism destination. </w:t>
      </w:r>
      <w:r w:rsidR="00E97524" w:rsidRPr="00C2711D">
        <w:rPr>
          <w:lang w:val="en-AU"/>
        </w:rPr>
        <w:t>E</w:t>
      </w:r>
      <w:r w:rsidR="006023D5" w:rsidRPr="00C2711D">
        <w:rPr>
          <w:lang w:val="en-AU"/>
        </w:rPr>
        <w:t xml:space="preserve">xpansion of the city’s health and education sectors will be encouraged, and attracting new businesses and employment into the area will also be important. The city will see industrial and residential growth, as </w:t>
      </w:r>
      <w:r w:rsidR="00E97524" w:rsidRPr="00C2711D">
        <w:rPr>
          <w:lang w:val="en-AU"/>
        </w:rPr>
        <w:t xml:space="preserve">will </w:t>
      </w:r>
      <w:r w:rsidR="006023D5" w:rsidRPr="00C2711D">
        <w:rPr>
          <w:lang w:val="en-AU"/>
        </w:rPr>
        <w:t>nearby Irymple, Merbein and Red Cliffs. Through Mildura’s continued growth</w:t>
      </w:r>
      <w:r w:rsidR="002C23B3" w:rsidRPr="00C2711D">
        <w:rPr>
          <w:lang w:val="en-AU"/>
        </w:rPr>
        <w:t xml:space="preserve">, </w:t>
      </w:r>
      <w:r w:rsidR="006023D5" w:rsidRPr="00C2711D">
        <w:rPr>
          <w:lang w:val="en-AU"/>
        </w:rPr>
        <w:t>Ouyen</w:t>
      </w:r>
      <w:r w:rsidR="00E97524" w:rsidRPr="00C2711D">
        <w:rPr>
          <w:lang w:val="en-AU"/>
        </w:rPr>
        <w:t xml:space="preserve">’s role </w:t>
      </w:r>
      <w:r w:rsidR="006023D5" w:rsidRPr="00C2711D">
        <w:rPr>
          <w:lang w:val="en-AU"/>
        </w:rPr>
        <w:t>as a service</w:t>
      </w:r>
      <w:r w:rsidR="00EC6644" w:rsidRPr="00C2711D">
        <w:rPr>
          <w:lang w:val="en-AU"/>
        </w:rPr>
        <w:t xml:space="preserve"> </w:t>
      </w:r>
      <w:r w:rsidR="006023D5" w:rsidRPr="00C2711D">
        <w:rPr>
          <w:lang w:val="en-AU"/>
        </w:rPr>
        <w:t xml:space="preserve">provider for rural industries and remote settlements </w:t>
      </w:r>
      <w:r w:rsidR="00E97524" w:rsidRPr="00C2711D">
        <w:rPr>
          <w:lang w:val="en-AU"/>
        </w:rPr>
        <w:t>will be reinforced</w:t>
      </w:r>
      <w:r w:rsidR="006023D5" w:rsidRPr="00C2711D">
        <w:rPr>
          <w:lang w:val="en-AU"/>
        </w:rPr>
        <w:t>.</w:t>
      </w:r>
    </w:p>
    <w:p w:rsidR="006A0904" w:rsidRDefault="00CE2750" w:rsidP="00AD0308">
      <w:pPr>
        <w:pStyle w:val="Heading2"/>
        <w:rPr>
          <w:lang w:val="en-AU"/>
        </w:rPr>
      </w:pPr>
      <w:r w:rsidRPr="00C2711D">
        <w:rPr>
          <w:lang w:val="en-AU"/>
        </w:rPr>
        <w:t>Campaspe Shire</w:t>
      </w:r>
    </w:p>
    <w:p w:rsidR="002F4123" w:rsidRPr="00AD0308" w:rsidRDefault="002F4123" w:rsidP="002F4123">
      <w:pPr>
        <w:pStyle w:val="ListParagraph"/>
        <w:numPr>
          <w:ilvl w:val="0"/>
          <w:numId w:val="27"/>
        </w:numPr>
        <w:rPr>
          <w:lang w:val="en-AU"/>
        </w:rPr>
      </w:pPr>
      <w:r w:rsidRPr="00AD0308">
        <w:rPr>
          <w:rStyle w:val="Strong"/>
        </w:rPr>
        <w:t>Year</w:t>
      </w:r>
      <w:r w:rsidRPr="00AD0308">
        <w:rPr>
          <w:lang w:val="en-AU"/>
        </w:rPr>
        <w:t xml:space="preserve"> – </w:t>
      </w:r>
      <w:r w:rsidRPr="00C2711D">
        <w:t>2011</w:t>
      </w:r>
    </w:p>
    <w:p w:rsidR="002F4123" w:rsidRPr="00AD0308" w:rsidRDefault="002F4123" w:rsidP="002F4123">
      <w:pPr>
        <w:pStyle w:val="ListParagraph"/>
        <w:numPr>
          <w:ilvl w:val="1"/>
          <w:numId w:val="27"/>
        </w:numPr>
        <w:rPr>
          <w:lang w:val="en-AU"/>
        </w:rPr>
      </w:pPr>
      <w:r w:rsidRPr="00AD0308">
        <w:rPr>
          <w:rStyle w:val="Strong"/>
        </w:rPr>
        <w:t>Population</w:t>
      </w:r>
      <w:r w:rsidRPr="00AD0308">
        <w:rPr>
          <w:lang w:val="en-AU"/>
        </w:rPr>
        <w:t xml:space="preserve"> – </w:t>
      </w:r>
      <w:r w:rsidRPr="00C2711D">
        <w:t>38,981</w:t>
      </w:r>
    </w:p>
    <w:p w:rsidR="002F4123" w:rsidRPr="00AD0308" w:rsidRDefault="002F4123" w:rsidP="002F4123">
      <w:pPr>
        <w:pStyle w:val="ListParagraph"/>
        <w:numPr>
          <w:ilvl w:val="0"/>
          <w:numId w:val="27"/>
        </w:numPr>
        <w:rPr>
          <w:lang w:val="en-AU"/>
        </w:rPr>
      </w:pPr>
      <w:r w:rsidRPr="00AD0308">
        <w:rPr>
          <w:rStyle w:val="Strong"/>
        </w:rPr>
        <w:t>Year</w:t>
      </w:r>
      <w:r w:rsidRPr="00AD0308">
        <w:rPr>
          <w:lang w:val="en-AU"/>
        </w:rPr>
        <w:t xml:space="preserve"> – </w:t>
      </w:r>
      <w:r w:rsidRPr="00C2711D">
        <w:t>2021</w:t>
      </w:r>
    </w:p>
    <w:p w:rsidR="002F4123" w:rsidRPr="00AD0308" w:rsidRDefault="002F4123" w:rsidP="002F4123">
      <w:pPr>
        <w:pStyle w:val="ListParagraph"/>
        <w:numPr>
          <w:ilvl w:val="1"/>
          <w:numId w:val="27"/>
        </w:numPr>
        <w:rPr>
          <w:lang w:val="en-AU"/>
        </w:rPr>
      </w:pPr>
      <w:r w:rsidRPr="00AD0308">
        <w:rPr>
          <w:rStyle w:val="Strong"/>
        </w:rPr>
        <w:t>Population</w:t>
      </w:r>
      <w:r w:rsidRPr="00AD0308">
        <w:rPr>
          <w:lang w:val="en-AU"/>
        </w:rPr>
        <w:t xml:space="preserve"> – </w:t>
      </w:r>
      <w:r w:rsidRPr="00C2711D">
        <w:t>40,305</w:t>
      </w:r>
    </w:p>
    <w:p w:rsidR="002F4123" w:rsidRPr="00AD0308" w:rsidRDefault="002F4123" w:rsidP="002F4123">
      <w:pPr>
        <w:pStyle w:val="ListParagraph"/>
        <w:numPr>
          <w:ilvl w:val="0"/>
          <w:numId w:val="27"/>
        </w:numPr>
        <w:rPr>
          <w:lang w:val="en-AU"/>
        </w:rPr>
      </w:pPr>
      <w:r w:rsidRPr="00AD0308">
        <w:rPr>
          <w:rStyle w:val="Strong"/>
        </w:rPr>
        <w:t>Year</w:t>
      </w:r>
      <w:r w:rsidRPr="00AD0308">
        <w:rPr>
          <w:lang w:val="en-AU"/>
        </w:rPr>
        <w:t xml:space="preserve"> – </w:t>
      </w:r>
      <w:r w:rsidRPr="00C2711D">
        <w:t>2031</w:t>
      </w:r>
    </w:p>
    <w:p w:rsidR="002F4123" w:rsidRPr="002F4123" w:rsidRDefault="002F4123" w:rsidP="002F4123">
      <w:pPr>
        <w:pStyle w:val="ListParagraph"/>
        <w:numPr>
          <w:ilvl w:val="1"/>
          <w:numId w:val="27"/>
        </w:numPr>
        <w:rPr>
          <w:lang w:val="en-AU"/>
        </w:rPr>
      </w:pPr>
      <w:r w:rsidRPr="00AD0308">
        <w:rPr>
          <w:rStyle w:val="Strong"/>
        </w:rPr>
        <w:t>Population</w:t>
      </w:r>
      <w:r w:rsidRPr="00AD0308">
        <w:rPr>
          <w:lang w:val="en-AU"/>
        </w:rPr>
        <w:t xml:space="preserve"> – </w:t>
      </w:r>
      <w:r w:rsidRPr="00C2711D">
        <w:t>45,541</w:t>
      </w:r>
    </w:p>
    <w:p w:rsidR="006A0904" w:rsidRPr="00C2711D" w:rsidRDefault="006023D5" w:rsidP="00AD0308">
      <w:pPr>
        <w:pStyle w:val="Heading3"/>
        <w:rPr>
          <w:lang w:val="en-AU"/>
        </w:rPr>
      </w:pPr>
      <w:r w:rsidRPr="00C2711D">
        <w:rPr>
          <w:lang w:val="en-AU"/>
        </w:rPr>
        <w:t>Echuca</w:t>
      </w:r>
    </w:p>
    <w:p w:rsidR="006A0904" w:rsidRPr="00AD0308" w:rsidRDefault="00D45C17" w:rsidP="006023D5">
      <w:pPr>
        <w:rPr>
          <w:rStyle w:val="Emphasis"/>
        </w:rPr>
      </w:pPr>
      <w:r w:rsidRPr="00AD0308">
        <w:rPr>
          <w:rStyle w:val="Emphasis"/>
        </w:rPr>
        <w:t>Regional Centre</w:t>
      </w:r>
    </w:p>
    <w:p w:rsidR="00643D09" w:rsidRPr="00AD0308" w:rsidRDefault="006A0904" w:rsidP="006023D5">
      <w:pPr>
        <w:rPr>
          <w:lang w:val="en-AU"/>
        </w:rPr>
      </w:pPr>
      <w:r w:rsidRPr="00AD0308">
        <w:rPr>
          <w:rStyle w:val="Strong"/>
        </w:rPr>
        <w:t>Promote Growth</w:t>
      </w:r>
      <w:r w:rsidRPr="00AD0308">
        <w:rPr>
          <w:lang w:val="en-AU"/>
        </w:rPr>
        <w:t xml:space="preserve"> –</w:t>
      </w:r>
      <w:r w:rsidRPr="00C2711D">
        <w:rPr>
          <w:lang w:val="en-AU"/>
        </w:rPr>
        <w:t xml:space="preserve"> </w:t>
      </w:r>
      <w:r w:rsidR="006023D5" w:rsidRPr="00C2711D">
        <w:rPr>
          <w:lang w:val="en-AU"/>
        </w:rPr>
        <w:t xml:space="preserve">Major urban, industrial and commercial growth in the Campaspe region will be focused in </w:t>
      </w:r>
      <w:r w:rsidR="00A50F7E" w:rsidRPr="00C2711D">
        <w:rPr>
          <w:lang w:val="en-AU"/>
        </w:rPr>
        <w:t xml:space="preserve">the regional centre of </w:t>
      </w:r>
      <w:r w:rsidR="006023D5" w:rsidRPr="00C2711D">
        <w:rPr>
          <w:lang w:val="en-AU"/>
        </w:rPr>
        <w:t>Echuca. Future growth will be accommodated by infill development and new residential land releases through the expansion of Echuca West. The local economy will continue to rel</w:t>
      </w:r>
      <w:r w:rsidR="00E97524" w:rsidRPr="00C2711D">
        <w:rPr>
          <w:lang w:val="en-AU"/>
        </w:rPr>
        <w:t>y</w:t>
      </w:r>
      <w:r w:rsidR="006023D5" w:rsidRPr="00C2711D">
        <w:rPr>
          <w:lang w:val="en-AU"/>
        </w:rPr>
        <w:t xml:space="preserve"> on agriculture, related manufacturing, food processing and services. </w:t>
      </w:r>
      <w:r w:rsidR="00C65BE6" w:rsidRPr="00C2711D">
        <w:rPr>
          <w:lang w:val="en-AU"/>
        </w:rPr>
        <w:t xml:space="preserve"> G</w:t>
      </w:r>
      <w:r w:rsidR="006023D5" w:rsidRPr="00C2711D">
        <w:rPr>
          <w:lang w:val="en-AU"/>
        </w:rPr>
        <w:t>rowth in transport, health services and tourism will be critical for the town’s future as a regional centre.</w:t>
      </w:r>
    </w:p>
    <w:p w:rsidR="00643D09" w:rsidRPr="00C2711D" w:rsidRDefault="00643D09" w:rsidP="00AD0308">
      <w:pPr>
        <w:pStyle w:val="Heading3"/>
        <w:rPr>
          <w:lang w:val="en-AU"/>
        </w:rPr>
      </w:pPr>
      <w:r w:rsidRPr="00C2711D">
        <w:rPr>
          <w:lang w:val="en-AU"/>
        </w:rPr>
        <w:t>Kyabram and Rochester</w:t>
      </w:r>
    </w:p>
    <w:p w:rsidR="00643D09" w:rsidRPr="00AD0308" w:rsidRDefault="00643D09" w:rsidP="00643D09">
      <w:pPr>
        <w:rPr>
          <w:rStyle w:val="Emphasis"/>
        </w:rPr>
      </w:pPr>
      <w:r w:rsidRPr="00AD0308">
        <w:rPr>
          <w:rStyle w:val="Emphasis"/>
        </w:rPr>
        <w:t>Towns</w:t>
      </w:r>
    </w:p>
    <w:p w:rsidR="00643D09" w:rsidRPr="00C2711D" w:rsidRDefault="00643D09" w:rsidP="00AD0308">
      <w:pPr>
        <w:rPr>
          <w:lang w:val="en-AU"/>
        </w:rPr>
      </w:pPr>
      <w:r w:rsidRPr="00C2711D">
        <w:rPr>
          <w:lang w:val="en-AU"/>
        </w:rPr>
        <w:t xml:space="preserve">Kyabram and Rochester, along with Tongala and Rushworth, will accommodate some growth in the future and will continue to provide services to surrounding rural settlements. These towns will also offer affordable living opportunities for commuters to Bendigo, Shepparton and Echuca. </w:t>
      </w:r>
    </w:p>
    <w:p w:rsidR="006A0904" w:rsidRDefault="006A0904" w:rsidP="00AD0308">
      <w:pPr>
        <w:pStyle w:val="Heading2"/>
        <w:rPr>
          <w:lang w:val="en-AU"/>
        </w:rPr>
      </w:pPr>
      <w:r w:rsidRPr="00C2711D">
        <w:rPr>
          <w:lang w:val="en-AU"/>
        </w:rPr>
        <w:t>Swan Hill (Rural City)</w:t>
      </w:r>
    </w:p>
    <w:p w:rsidR="002F4123" w:rsidRPr="00AD0308" w:rsidRDefault="002F4123" w:rsidP="002F4123">
      <w:pPr>
        <w:pStyle w:val="ListParagraph"/>
        <w:numPr>
          <w:ilvl w:val="0"/>
          <w:numId w:val="27"/>
        </w:numPr>
        <w:rPr>
          <w:lang w:val="en-AU"/>
        </w:rPr>
      </w:pPr>
      <w:r w:rsidRPr="00AD0308">
        <w:rPr>
          <w:rStyle w:val="Strong"/>
        </w:rPr>
        <w:t>Year</w:t>
      </w:r>
      <w:r w:rsidRPr="00AD0308">
        <w:rPr>
          <w:lang w:val="en-AU"/>
        </w:rPr>
        <w:t xml:space="preserve"> – </w:t>
      </w:r>
      <w:r w:rsidRPr="00C2711D">
        <w:t>2011</w:t>
      </w:r>
    </w:p>
    <w:p w:rsidR="002F4123" w:rsidRPr="00AD0308" w:rsidRDefault="002F4123" w:rsidP="002F4123">
      <w:pPr>
        <w:pStyle w:val="ListParagraph"/>
        <w:numPr>
          <w:ilvl w:val="1"/>
          <w:numId w:val="27"/>
        </w:numPr>
        <w:rPr>
          <w:lang w:val="en-AU"/>
        </w:rPr>
      </w:pPr>
      <w:r w:rsidRPr="00AD0308">
        <w:rPr>
          <w:rStyle w:val="Strong"/>
        </w:rPr>
        <w:t>Population</w:t>
      </w:r>
      <w:r w:rsidRPr="00AD0308">
        <w:rPr>
          <w:lang w:val="en-AU"/>
        </w:rPr>
        <w:t xml:space="preserve"> – </w:t>
      </w:r>
      <w:r w:rsidRPr="00C2711D">
        <w:t>22,275</w:t>
      </w:r>
    </w:p>
    <w:p w:rsidR="002F4123" w:rsidRPr="00AD0308" w:rsidRDefault="002F4123" w:rsidP="002F4123">
      <w:pPr>
        <w:pStyle w:val="ListParagraph"/>
        <w:numPr>
          <w:ilvl w:val="0"/>
          <w:numId w:val="27"/>
        </w:numPr>
        <w:rPr>
          <w:lang w:val="en-AU"/>
        </w:rPr>
      </w:pPr>
      <w:r w:rsidRPr="00AD0308">
        <w:rPr>
          <w:rStyle w:val="Strong"/>
        </w:rPr>
        <w:t>Year</w:t>
      </w:r>
      <w:r w:rsidRPr="00AD0308">
        <w:rPr>
          <w:lang w:val="en-AU"/>
        </w:rPr>
        <w:t xml:space="preserve"> – </w:t>
      </w:r>
      <w:r w:rsidRPr="00C2711D">
        <w:t>2021</w:t>
      </w:r>
    </w:p>
    <w:p w:rsidR="002F4123" w:rsidRPr="00AD0308" w:rsidRDefault="002F4123" w:rsidP="002F4123">
      <w:pPr>
        <w:pStyle w:val="ListParagraph"/>
        <w:numPr>
          <w:ilvl w:val="1"/>
          <w:numId w:val="27"/>
        </w:numPr>
        <w:rPr>
          <w:lang w:val="en-AU"/>
        </w:rPr>
      </w:pPr>
      <w:r w:rsidRPr="00AD0308">
        <w:rPr>
          <w:rStyle w:val="Strong"/>
        </w:rPr>
        <w:t>Population</w:t>
      </w:r>
      <w:r w:rsidRPr="00AD0308">
        <w:rPr>
          <w:lang w:val="en-AU"/>
        </w:rPr>
        <w:t xml:space="preserve"> – </w:t>
      </w:r>
      <w:r w:rsidRPr="00C2711D">
        <w:t>23,524</w:t>
      </w:r>
    </w:p>
    <w:p w:rsidR="002F4123" w:rsidRPr="00AD0308" w:rsidRDefault="002F4123" w:rsidP="002F4123">
      <w:pPr>
        <w:pStyle w:val="ListParagraph"/>
        <w:numPr>
          <w:ilvl w:val="0"/>
          <w:numId w:val="27"/>
        </w:numPr>
        <w:rPr>
          <w:lang w:val="en-AU"/>
        </w:rPr>
      </w:pPr>
      <w:r w:rsidRPr="00AD0308">
        <w:rPr>
          <w:rStyle w:val="Strong"/>
        </w:rPr>
        <w:t>Year</w:t>
      </w:r>
      <w:r w:rsidRPr="00AD0308">
        <w:rPr>
          <w:lang w:val="en-AU"/>
        </w:rPr>
        <w:t xml:space="preserve"> – </w:t>
      </w:r>
      <w:r w:rsidRPr="00C2711D">
        <w:t>2031</w:t>
      </w:r>
    </w:p>
    <w:p w:rsidR="002F4123" w:rsidRPr="002F4123" w:rsidRDefault="002F4123" w:rsidP="002F4123">
      <w:pPr>
        <w:pStyle w:val="ListParagraph"/>
        <w:numPr>
          <w:ilvl w:val="1"/>
          <w:numId w:val="27"/>
        </w:numPr>
        <w:rPr>
          <w:lang w:val="en-AU"/>
        </w:rPr>
      </w:pPr>
      <w:r w:rsidRPr="00AD0308">
        <w:rPr>
          <w:rStyle w:val="Strong"/>
        </w:rPr>
        <w:t>Population</w:t>
      </w:r>
      <w:r w:rsidRPr="00AD0308">
        <w:rPr>
          <w:lang w:val="en-AU"/>
        </w:rPr>
        <w:t xml:space="preserve"> – </w:t>
      </w:r>
      <w:r w:rsidRPr="00C2711D">
        <w:t>24,448</w:t>
      </w:r>
    </w:p>
    <w:p w:rsidR="006A0904" w:rsidRPr="00C2711D" w:rsidRDefault="00A50F7E" w:rsidP="00AD0308">
      <w:pPr>
        <w:pStyle w:val="Heading3"/>
        <w:rPr>
          <w:lang w:val="en-AU"/>
        </w:rPr>
      </w:pPr>
      <w:r w:rsidRPr="00C2711D">
        <w:rPr>
          <w:lang w:val="en-AU"/>
        </w:rPr>
        <w:t>Swan Hill</w:t>
      </w:r>
    </w:p>
    <w:p w:rsidR="00D45C17" w:rsidRPr="00AD0308" w:rsidRDefault="00D45C17" w:rsidP="00A50F7E">
      <w:pPr>
        <w:rPr>
          <w:rStyle w:val="Emphasis"/>
        </w:rPr>
      </w:pPr>
      <w:r w:rsidRPr="00AD0308">
        <w:rPr>
          <w:rStyle w:val="Emphasis"/>
        </w:rPr>
        <w:t>Regional Centre</w:t>
      </w:r>
    </w:p>
    <w:p w:rsidR="00A50F7E" w:rsidRPr="00C2711D" w:rsidRDefault="006A0904" w:rsidP="00AD0308">
      <w:pPr>
        <w:rPr>
          <w:lang w:val="en-AU"/>
        </w:rPr>
      </w:pPr>
      <w:r w:rsidRPr="00AD0308">
        <w:rPr>
          <w:rStyle w:val="Strong"/>
        </w:rPr>
        <w:t>Promote Growth</w:t>
      </w:r>
      <w:r w:rsidRPr="00C2711D">
        <w:rPr>
          <w:b/>
          <w:lang w:val="en-AU"/>
        </w:rPr>
        <w:t xml:space="preserve"> </w:t>
      </w:r>
      <w:r w:rsidR="00AD0308" w:rsidRPr="00AD0308">
        <w:rPr>
          <w:lang w:val="en-AU"/>
        </w:rPr>
        <w:t>–</w:t>
      </w:r>
      <w:r w:rsidRPr="00C2711D">
        <w:rPr>
          <w:b/>
          <w:lang w:val="en-AU"/>
        </w:rPr>
        <w:t xml:space="preserve"> </w:t>
      </w:r>
      <w:r w:rsidR="00A50F7E" w:rsidRPr="00C2711D">
        <w:rPr>
          <w:lang w:val="en-AU"/>
        </w:rPr>
        <w:t xml:space="preserve">Swan Hill, as a regional centre, will see future infill and new residential development to accommodate its growth. </w:t>
      </w:r>
      <w:r w:rsidR="00E97524" w:rsidRPr="00C2711D">
        <w:rPr>
          <w:lang w:val="en-AU"/>
        </w:rPr>
        <w:t>N</w:t>
      </w:r>
      <w:r w:rsidR="00A50F7E" w:rsidRPr="00C2711D">
        <w:rPr>
          <w:lang w:val="en-AU"/>
        </w:rPr>
        <w:t>earby commuter towns Nyah</w:t>
      </w:r>
      <w:r w:rsidR="00C65BE6" w:rsidRPr="00C2711D">
        <w:rPr>
          <w:lang w:val="en-AU"/>
        </w:rPr>
        <w:t xml:space="preserve">, </w:t>
      </w:r>
      <w:r w:rsidR="00A50F7E" w:rsidRPr="00C2711D">
        <w:rPr>
          <w:lang w:val="en-AU"/>
        </w:rPr>
        <w:t>Nyah</w:t>
      </w:r>
      <w:r w:rsidR="00C65BE6" w:rsidRPr="00C2711D">
        <w:rPr>
          <w:lang w:val="en-AU"/>
        </w:rPr>
        <w:t>-</w:t>
      </w:r>
      <w:r w:rsidR="00A50F7E" w:rsidRPr="00C2711D">
        <w:rPr>
          <w:lang w:val="en-AU"/>
        </w:rPr>
        <w:t xml:space="preserve">West, Woorinen South and Lake Boga will offer further housing choices and diversity in the area. </w:t>
      </w:r>
      <w:r w:rsidR="00E97524" w:rsidRPr="00C2711D">
        <w:rPr>
          <w:lang w:val="en-AU"/>
        </w:rPr>
        <w:t>A</w:t>
      </w:r>
      <w:r w:rsidR="00A50F7E" w:rsidRPr="00C2711D">
        <w:rPr>
          <w:lang w:val="en-AU"/>
        </w:rPr>
        <w:t>griculture and related services and manufacturing</w:t>
      </w:r>
      <w:r w:rsidR="00E97524" w:rsidRPr="00C2711D">
        <w:rPr>
          <w:lang w:val="en-AU"/>
        </w:rPr>
        <w:t xml:space="preserve"> will continue to drive the local economy. F</w:t>
      </w:r>
      <w:r w:rsidR="00A50F7E" w:rsidRPr="00C2711D">
        <w:rPr>
          <w:lang w:val="en-AU"/>
        </w:rPr>
        <w:t>uture planning will encourage further diversification into health services, transport logistics and tourism.</w:t>
      </w:r>
    </w:p>
    <w:p w:rsidR="00871199" w:rsidRPr="00C2711D" w:rsidRDefault="00871199" w:rsidP="00AD0308">
      <w:pPr>
        <w:pStyle w:val="Heading3"/>
        <w:rPr>
          <w:lang w:val="en-AU"/>
        </w:rPr>
      </w:pPr>
      <w:r w:rsidRPr="00C2711D">
        <w:rPr>
          <w:lang w:val="en-AU"/>
        </w:rPr>
        <w:t>Robinvale</w:t>
      </w:r>
    </w:p>
    <w:p w:rsidR="00871199" w:rsidRPr="00AD0308" w:rsidRDefault="00871199" w:rsidP="00871199">
      <w:pPr>
        <w:rPr>
          <w:rStyle w:val="Emphasis"/>
        </w:rPr>
      </w:pPr>
      <w:r w:rsidRPr="00AD0308">
        <w:rPr>
          <w:rStyle w:val="Emphasis"/>
        </w:rPr>
        <w:t>Town</w:t>
      </w:r>
    </w:p>
    <w:p w:rsidR="00643D09" w:rsidRPr="00C2711D" w:rsidRDefault="00871199" w:rsidP="00AD0308">
      <w:pPr>
        <w:rPr>
          <w:lang w:val="en-AU"/>
        </w:rPr>
      </w:pPr>
      <w:r w:rsidRPr="00AD0308">
        <w:rPr>
          <w:rStyle w:val="Strong"/>
        </w:rPr>
        <w:t>Support Growth</w:t>
      </w:r>
      <w:r w:rsidRPr="00C2711D">
        <w:rPr>
          <w:b/>
          <w:lang w:val="en-AU"/>
        </w:rPr>
        <w:t xml:space="preserve"> </w:t>
      </w:r>
      <w:r w:rsidR="00AD0308" w:rsidRPr="00AD0308">
        <w:rPr>
          <w:lang w:val="en-AU"/>
        </w:rPr>
        <w:t>–</w:t>
      </w:r>
      <w:r w:rsidRPr="00C2711D">
        <w:rPr>
          <w:lang w:val="en-AU"/>
        </w:rPr>
        <w:t xml:space="preserve"> Robinvale will continue to service a large catchment, housing growth along the northern part of the Murray River corridor. Education, health, retail, medical and recreation services will continue to support nearby agricultural and horticultural districts. Employment opportunities in horticulture, tourism, renewable energy and food processing will be encouraged.  </w:t>
      </w:r>
    </w:p>
    <w:p w:rsidR="00871199" w:rsidRDefault="00266C3C" w:rsidP="00AD0308">
      <w:pPr>
        <w:pStyle w:val="Heading2"/>
        <w:rPr>
          <w:lang w:val="en-AU"/>
        </w:rPr>
      </w:pPr>
      <w:r w:rsidRPr="00C2711D">
        <w:rPr>
          <w:lang w:val="en-AU"/>
        </w:rPr>
        <w:t>Gannawarra Shire</w:t>
      </w:r>
    </w:p>
    <w:p w:rsidR="002F4123" w:rsidRPr="00AD0308" w:rsidRDefault="002F4123" w:rsidP="002F4123">
      <w:pPr>
        <w:pStyle w:val="ListParagraph"/>
        <w:numPr>
          <w:ilvl w:val="0"/>
          <w:numId w:val="27"/>
        </w:numPr>
        <w:rPr>
          <w:lang w:val="en-AU"/>
        </w:rPr>
      </w:pPr>
      <w:r w:rsidRPr="00AD0308">
        <w:rPr>
          <w:rStyle w:val="Strong"/>
        </w:rPr>
        <w:t>Year</w:t>
      </w:r>
      <w:r w:rsidRPr="00AD0308">
        <w:rPr>
          <w:lang w:val="en-AU"/>
        </w:rPr>
        <w:t xml:space="preserve"> – </w:t>
      </w:r>
      <w:r w:rsidRPr="00C2711D">
        <w:t>2011</w:t>
      </w:r>
    </w:p>
    <w:p w:rsidR="002F4123" w:rsidRPr="00AD0308" w:rsidRDefault="002F4123" w:rsidP="002F4123">
      <w:pPr>
        <w:pStyle w:val="ListParagraph"/>
        <w:numPr>
          <w:ilvl w:val="1"/>
          <w:numId w:val="27"/>
        </w:numPr>
        <w:rPr>
          <w:lang w:val="en-AU"/>
        </w:rPr>
      </w:pPr>
      <w:r w:rsidRPr="00AD0308">
        <w:rPr>
          <w:rStyle w:val="Strong"/>
        </w:rPr>
        <w:t>Population</w:t>
      </w:r>
      <w:r w:rsidRPr="00AD0308">
        <w:rPr>
          <w:lang w:val="en-AU"/>
        </w:rPr>
        <w:t xml:space="preserve"> – </w:t>
      </w:r>
      <w:r w:rsidRPr="00C2711D">
        <w:t>11,467</w:t>
      </w:r>
    </w:p>
    <w:p w:rsidR="002F4123" w:rsidRPr="00AD0308" w:rsidRDefault="002F4123" w:rsidP="002F4123">
      <w:pPr>
        <w:pStyle w:val="ListParagraph"/>
        <w:numPr>
          <w:ilvl w:val="0"/>
          <w:numId w:val="27"/>
        </w:numPr>
        <w:rPr>
          <w:lang w:val="en-AU"/>
        </w:rPr>
      </w:pPr>
      <w:r w:rsidRPr="00AD0308">
        <w:rPr>
          <w:rStyle w:val="Strong"/>
        </w:rPr>
        <w:t>Year</w:t>
      </w:r>
      <w:r w:rsidRPr="00AD0308">
        <w:rPr>
          <w:lang w:val="en-AU"/>
        </w:rPr>
        <w:t xml:space="preserve"> – </w:t>
      </w:r>
      <w:r w:rsidRPr="00C2711D">
        <w:t>2021</w:t>
      </w:r>
    </w:p>
    <w:p w:rsidR="002F4123" w:rsidRPr="00AD0308" w:rsidRDefault="002F4123" w:rsidP="002F4123">
      <w:pPr>
        <w:pStyle w:val="ListParagraph"/>
        <w:numPr>
          <w:ilvl w:val="1"/>
          <w:numId w:val="27"/>
        </w:numPr>
        <w:rPr>
          <w:lang w:val="en-AU"/>
        </w:rPr>
      </w:pPr>
      <w:r w:rsidRPr="00AD0308">
        <w:rPr>
          <w:rStyle w:val="Strong"/>
        </w:rPr>
        <w:t>Population</w:t>
      </w:r>
      <w:r w:rsidRPr="00AD0308">
        <w:rPr>
          <w:lang w:val="en-AU"/>
        </w:rPr>
        <w:t xml:space="preserve"> – </w:t>
      </w:r>
      <w:r w:rsidRPr="00C2711D">
        <w:t>11,479</w:t>
      </w:r>
    </w:p>
    <w:p w:rsidR="002F4123" w:rsidRPr="00AD0308" w:rsidRDefault="002F4123" w:rsidP="002F4123">
      <w:pPr>
        <w:pStyle w:val="ListParagraph"/>
        <w:numPr>
          <w:ilvl w:val="0"/>
          <w:numId w:val="27"/>
        </w:numPr>
        <w:rPr>
          <w:lang w:val="en-AU"/>
        </w:rPr>
      </w:pPr>
      <w:r w:rsidRPr="00AD0308">
        <w:rPr>
          <w:rStyle w:val="Strong"/>
        </w:rPr>
        <w:t>Year</w:t>
      </w:r>
      <w:r w:rsidRPr="00AD0308">
        <w:rPr>
          <w:lang w:val="en-AU"/>
        </w:rPr>
        <w:t xml:space="preserve"> – </w:t>
      </w:r>
      <w:r w:rsidRPr="00C2711D">
        <w:t>2031</w:t>
      </w:r>
    </w:p>
    <w:p w:rsidR="002F4123" w:rsidRPr="002F4123" w:rsidRDefault="002F4123" w:rsidP="002F4123">
      <w:pPr>
        <w:pStyle w:val="ListParagraph"/>
        <w:numPr>
          <w:ilvl w:val="1"/>
          <w:numId w:val="27"/>
        </w:numPr>
        <w:rPr>
          <w:lang w:val="en-AU"/>
        </w:rPr>
      </w:pPr>
      <w:r w:rsidRPr="00AD0308">
        <w:rPr>
          <w:rStyle w:val="Strong"/>
        </w:rPr>
        <w:t>Population</w:t>
      </w:r>
      <w:r w:rsidRPr="00AD0308">
        <w:rPr>
          <w:lang w:val="en-AU"/>
        </w:rPr>
        <w:t xml:space="preserve"> – </w:t>
      </w:r>
      <w:r w:rsidRPr="00C2711D">
        <w:t>11,288</w:t>
      </w:r>
    </w:p>
    <w:p w:rsidR="00871199" w:rsidRPr="00C2711D" w:rsidRDefault="006023D5" w:rsidP="00AD0308">
      <w:pPr>
        <w:pStyle w:val="Heading3"/>
        <w:rPr>
          <w:lang w:val="en-AU"/>
        </w:rPr>
      </w:pPr>
      <w:r w:rsidRPr="00C2711D">
        <w:rPr>
          <w:lang w:val="en-AU"/>
        </w:rPr>
        <w:t>Kerang</w:t>
      </w:r>
    </w:p>
    <w:p w:rsidR="00871199" w:rsidRPr="00AD0308" w:rsidRDefault="00871199" w:rsidP="006023D5">
      <w:pPr>
        <w:rPr>
          <w:rStyle w:val="Emphasis"/>
        </w:rPr>
      </w:pPr>
      <w:r w:rsidRPr="00AD0308">
        <w:rPr>
          <w:rStyle w:val="Emphasis"/>
        </w:rPr>
        <w:t>Town</w:t>
      </w:r>
    </w:p>
    <w:p w:rsidR="00871199" w:rsidRPr="00AD0308" w:rsidRDefault="00871199" w:rsidP="006023D5">
      <w:pPr>
        <w:rPr>
          <w:lang w:val="en-AU"/>
        </w:rPr>
      </w:pPr>
      <w:r w:rsidRPr="00AD0308">
        <w:rPr>
          <w:rStyle w:val="Strong"/>
        </w:rPr>
        <w:t>Support Growth</w:t>
      </w:r>
      <w:r w:rsidRPr="00C2711D">
        <w:rPr>
          <w:b/>
          <w:lang w:val="en-AU"/>
        </w:rPr>
        <w:t xml:space="preserve"> </w:t>
      </w:r>
      <w:r w:rsidR="00AD0308" w:rsidRPr="00AD0308">
        <w:rPr>
          <w:lang w:val="en-AU"/>
        </w:rPr>
        <w:t>–</w:t>
      </w:r>
      <w:r w:rsidRPr="00C2711D">
        <w:rPr>
          <w:lang w:val="en-AU"/>
        </w:rPr>
        <w:t xml:space="preserve"> </w:t>
      </w:r>
      <w:r w:rsidR="006023D5" w:rsidRPr="00C2711D">
        <w:rPr>
          <w:lang w:val="en-AU"/>
        </w:rPr>
        <w:t xml:space="preserve">Kerang </w:t>
      </w:r>
      <w:r w:rsidR="00E97524" w:rsidRPr="00C2711D">
        <w:rPr>
          <w:lang w:val="en-AU"/>
        </w:rPr>
        <w:t xml:space="preserve">is a vital </w:t>
      </w:r>
      <w:r w:rsidR="006023D5" w:rsidRPr="00C2711D">
        <w:rPr>
          <w:lang w:val="en-AU"/>
        </w:rPr>
        <w:t xml:space="preserve">centre for retail, employment, health and business services. There </w:t>
      </w:r>
      <w:r w:rsidR="008D1EEF" w:rsidRPr="00C2711D">
        <w:rPr>
          <w:lang w:val="en-AU"/>
        </w:rPr>
        <w:t>is</w:t>
      </w:r>
      <w:r w:rsidR="006023D5" w:rsidRPr="00C2711D">
        <w:rPr>
          <w:lang w:val="en-AU"/>
        </w:rPr>
        <w:t xml:space="preserve"> sufficient land to accommodate future growth and provide divers</w:t>
      </w:r>
      <w:r w:rsidR="008D1EEF" w:rsidRPr="00C2711D">
        <w:rPr>
          <w:lang w:val="en-AU"/>
        </w:rPr>
        <w:t>e</w:t>
      </w:r>
      <w:r w:rsidR="00DB16A6" w:rsidRPr="00C2711D">
        <w:rPr>
          <w:lang w:val="en-AU"/>
        </w:rPr>
        <w:t xml:space="preserve"> </w:t>
      </w:r>
      <w:r w:rsidR="006023D5" w:rsidRPr="00C2711D">
        <w:rPr>
          <w:lang w:val="en-AU"/>
        </w:rPr>
        <w:t xml:space="preserve">housing </w:t>
      </w:r>
      <w:r w:rsidR="008D1EEF" w:rsidRPr="00C2711D">
        <w:rPr>
          <w:lang w:val="en-AU"/>
        </w:rPr>
        <w:t xml:space="preserve">for the area’s </w:t>
      </w:r>
      <w:r w:rsidR="006023D5" w:rsidRPr="00C2711D">
        <w:rPr>
          <w:lang w:val="en-AU"/>
        </w:rPr>
        <w:t xml:space="preserve">ageing population. Agriculture and manufacturing will continue to drive the local economy with the maintenance and upgrade of transport networks. </w:t>
      </w:r>
      <w:r w:rsidR="0014048B" w:rsidRPr="00C2711D">
        <w:rPr>
          <w:lang w:val="en-AU"/>
        </w:rPr>
        <w:t>N</w:t>
      </w:r>
      <w:r w:rsidR="006023D5" w:rsidRPr="00C2711D">
        <w:rPr>
          <w:lang w:val="en-AU"/>
        </w:rPr>
        <w:t xml:space="preserve">ature-based tourism and solar </w:t>
      </w:r>
      <w:r w:rsidR="00121C6D" w:rsidRPr="00C2711D">
        <w:rPr>
          <w:lang w:val="en-AU"/>
        </w:rPr>
        <w:t xml:space="preserve">energy </w:t>
      </w:r>
      <w:r w:rsidR="006023D5" w:rsidRPr="00C2711D">
        <w:rPr>
          <w:lang w:val="en-AU"/>
        </w:rPr>
        <w:t>ha</w:t>
      </w:r>
      <w:r w:rsidR="00121C6D" w:rsidRPr="00C2711D">
        <w:rPr>
          <w:lang w:val="en-AU"/>
        </w:rPr>
        <w:t>ve</w:t>
      </w:r>
      <w:r w:rsidR="006023D5" w:rsidRPr="00C2711D">
        <w:rPr>
          <w:lang w:val="en-AU"/>
        </w:rPr>
        <w:t xml:space="preserve"> </w:t>
      </w:r>
      <w:r w:rsidR="00CD585B" w:rsidRPr="00C2711D">
        <w:rPr>
          <w:lang w:val="en-AU"/>
        </w:rPr>
        <w:t>been identified</w:t>
      </w:r>
      <w:r w:rsidR="006023D5" w:rsidRPr="00C2711D">
        <w:rPr>
          <w:lang w:val="en-AU"/>
        </w:rPr>
        <w:t xml:space="preserve"> as opportunities </w:t>
      </w:r>
      <w:r w:rsidR="008D1EEF" w:rsidRPr="00C2711D">
        <w:rPr>
          <w:lang w:val="en-AU"/>
        </w:rPr>
        <w:t xml:space="preserve">to diversify the </w:t>
      </w:r>
      <w:r w:rsidR="006023D5" w:rsidRPr="00C2711D">
        <w:rPr>
          <w:lang w:val="en-AU"/>
        </w:rPr>
        <w:t>econom</w:t>
      </w:r>
      <w:r w:rsidR="008D1EEF" w:rsidRPr="00C2711D">
        <w:rPr>
          <w:lang w:val="en-AU"/>
        </w:rPr>
        <w:t>y</w:t>
      </w:r>
      <w:r w:rsidR="006023D5" w:rsidRPr="00C2711D">
        <w:rPr>
          <w:lang w:val="en-AU"/>
        </w:rPr>
        <w:t>.</w:t>
      </w:r>
    </w:p>
    <w:p w:rsidR="00871199" w:rsidRPr="00C2711D" w:rsidRDefault="00871199" w:rsidP="00AD0308">
      <w:pPr>
        <w:pStyle w:val="Heading3"/>
        <w:rPr>
          <w:lang w:val="en-AU"/>
        </w:rPr>
      </w:pPr>
      <w:r w:rsidRPr="00C2711D">
        <w:rPr>
          <w:lang w:val="en-AU"/>
        </w:rPr>
        <w:t>Cohuna</w:t>
      </w:r>
    </w:p>
    <w:p w:rsidR="00871199" w:rsidRPr="00AD0308" w:rsidRDefault="00871199" w:rsidP="00871199">
      <w:pPr>
        <w:rPr>
          <w:rStyle w:val="Emphasis"/>
        </w:rPr>
      </w:pPr>
      <w:r w:rsidRPr="00AD0308">
        <w:rPr>
          <w:rStyle w:val="Emphasis"/>
        </w:rPr>
        <w:t>Town</w:t>
      </w:r>
    </w:p>
    <w:p w:rsidR="00871199" w:rsidRPr="00C2711D" w:rsidRDefault="00871199" w:rsidP="00AD0308">
      <w:pPr>
        <w:rPr>
          <w:lang w:val="en-AU"/>
        </w:rPr>
      </w:pPr>
      <w:r w:rsidRPr="00C2711D">
        <w:rPr>
          <w:lang w:val="en-AU"/>
        </w:rPr>
        <w:t xml:space="preserve">Cohuna will </w:t>
      </w:r>
      <w:r w:rsidR="00FC0487">
        <w:rPr>
          <w:lang w:val="en-AU"/>
        </w:rPr>
        <w:t>grow</w:t>
      </w:r>
      <w:r w:rsidRPr="00C2711D">
        <w:rPr>
          <w:lang w:val="en-AU"/>
        </w:rPr>
        <w:t xml:space="preserve"> through development close to existing services and utilities. The area will also offer high quality semi-rural settings in areas like Gunbower Creek. The local service, agriculture and manufacturing industries will continue to be the focus for the local economy and fulfil the town’s role as a service centre for surrounding rural communities.</w:t>
      </w:r>
    </w:p>
    <w:p w:rsidR="006A0904" w:rsidRDefault="00266C3C" w:rsidP="00AD0308">
      <w:pPr>
        <w:pStyle w:val="Heading2"/>
        <w:rPr>
          <w:lang w:val="en-AU"/>
        </w:rPr>
      </w:pPr>
      <w:r w:rsidRPr="00C2711D">
        <w:rPr>
          <w:lang w:val="en-AU"/>
        </w:rPr>
        <w:t>Buloke Shire</w:t>
      </w:r>
    </w:p>
    <w:p w:rsidR="002F4123" w:rsidRPr="00AD0308" w:rsidRDefault="002F4123" w:rsidP="002F4123">
      <w:pPr>
        <w:pStyle w:val="ListParagraph"/>
        <w:numPr>
          <w:ilvl w:val="0"/>
          <w:numId w:val="27"/>
        </w:numPr>
        <w:rPr>
          <w:lang w:val="en-AU"/>
        </w:rPr>
      </w:pPr>
      <w:r w:rsidRPr="00AD0308">
        <w:rPr>
          <w:rStyle w:val="Strong"/>
        </w:rPr>
        <w:t>Year</w:t>
      </w:r>
      <w:r w:rsidRPr="00AD0308">
        <w:rPr>
          <w:lang w:val="en-AU"/>
        </w:rPr>
        <w:t xml:space="preserve"> – </w:t>
      </w:r>
      <w:r w:rsidRPr="00C2711D">
        <w:t>2011</w:t>
      </w:r>
    </w:p>
    <w:p w:rsidR="002F4123" w:rsidRPr="00AD0308" w:rsidRDefault="002F4123" w:rsidP="002F4123">
      <w:pPr>
        <w:pStyle w:val="ListParagraph"/>
        <w:numPr>
          <w:ilvl w:val="1"/>
          <w:numId w:val="27"/>
        </w:numPr>
        <w:rPr>
          <w:lang w:val="en-AU"/>
        </w:rPr>
      </w:pPr>
      <w:r w:rsidRPr="00AD0308">
        <w:rPr>
          <w:rStyle w:val="Strong"/>
        </w:rPr>
        <w:t>Population</w:t>
      </w:r>
      <w:r w:rsidRPr="00AD0308">
        <w:rPr>
          <w:lang w:val="en-AU"/>
        </w:rPr>
        <w:t xml:space="preserve"> – </w:t>
      </w:r>
      <w:r w:rsidRPr="00C2711D">
        <w:t>6925</w:t>
      </w:r>
    </w:p>
    <w:p w:rsidR="002F4123" w:rsidRPr="00AD0308" w:rsidRDefault="002F4123" w:rsidP="002F4123">
      <w:pPr>
        <w:pStyle w:val="ListParagraph"/>
        <w:numPr>
          <w:ilvl w:val="0"/>
          <w:numId w:val="27"/>
        </w:numPr>
        <w:rPr>
          <w:lang w:val="en-AU"/>
        </w:rPr>
      </w:pPr>
      <w:r w:rsidRPr="00AD0308">
        <w:rPr>
          <w:rStyle w:val="Strong"/>
        </w:rPr>
        <w:t>Year</w:t>
      </w:r>
      <w:r w:rsidRPr="00AD0308">
        <w:rPr>
          <w:lang w:val="en-AU"/>
        </w:rPr>
        <w:t xml:space="preserve"> – </w:t>
      </w:r>
      <w:r w:rsidRPr="00C2711D">
        <w:t>2021</w:t>
      </w:r>
    </w:p>
    <w:p w:rsidR="002F4123" w:rsidRPr="00AD0308" w:rsidRDefault="002F4123" w:rsidP="002F4123">
      <w:pPr>
        <w:pStyle w:val="ListParagraph"/>
        <w:numPr>
          <w:ilvl w:val="1"/>
          <w:numId w:val="27"/>
        </w:numPr>
        <w:rPr>
          <w:lang w:val="en-AU"/>
        </w:rPr>
      </w:pPr>
      <w:r w:rsidRPr="00AD0308">
        <w:rPr>
          <w:rStyle w:val="Strong"/>
        </w:rPr>
        <w:t>Population</w:t>
      </w:r>
      <w:r w:rsidRPr="00AD0308">
        <w:rPr>
          <w:lang w:val="en-AU"/>
        </w:rPr>
        <w:t xml:space="preserve"> – </w:t>
      </w:r>
      <w:r w:rsidRPr="00C2711D">
        <w:t>6779</w:t>
      </w:r>
    </w:p>
    <w:p w:rsidR="002F4123" w:rsidRPr="00AD0308" w:rsidRDefault="002F4123" w:rsidP="002F4123">
      <w:pPr>
        <w:pStyle w:val="ListParagraph"/>
        <w:numPr>
          <w:ilvl w:val="0"/>
          <w:numId w:val="27"/>
        </w:numPr>
        <w:rPr>
          <w:lang w:val="en-AU"/>
        </w:rPr>
      </w:pPr>
      <w:r w:rsidRPr="00AD0308">
        <w:rPr>
          <w:rStyle w:val="Strong"/>
        </w:rPr>
        <w:t>Year</w:t>
      </w:r>
      <w:r w:rsidRPr="00AD0308">
        <w:rPr>
          <w:lang w:val="en-AU"/>
        </w:rPr>
        <w:t xml:space="preserve"> – </w:t>
      </w:r>
      <w:r w:rsidRPr="00C2711D">
        <w:t>2031</w:t>
      </w:r>
    </w:p>
    <w:p w:rsidR="002F4123" w:rsidRPr="002F4123" w:rsidRDefault="002F4123" w:rsidP="002F4123">
      <w:pPr>
        <w:pStyle w:val="ListParagraph"/>
        <w:numPr>
          <w:ilvl w:val="1"/>
          <w:numId w:val="27"/>
        </w:numPr>
        <w:rPr>
          <w:lang w:val="en-AU"/>
        </w:rPr>
      </w:pPr>
      <w:r w:rsidRPr="00AD0308">
        <w:rPr>
          <w:rStyle w:val="Strong"/>
        </w:rPr>
        <w:t>Population</w:t>
      </w:r>
      <w:r w:rsidRPr="00AD0308">
        <w:rPr>
          <w:lang w:val="en-AU"/>
        </w:rPr>
        <w:t xml:space="preserve"> – </w:t>
      </w:r>
      <w:r w:rsidRPr="00C2711D">
        <w:t>6519</w:t>
      </w:r>
    </w:p>
    <w:p w:rsidR="006A0904" w:rsidRPr="00C2711D" w:rsidRDefault="00595481" w:rsidP="00AD0308">
      <w:pPr>
        <w:pStyle w:val="Heading3"/>
        <w:rPr>
          <w:lang w:val="en-AU"/>
        </w:rPr>
      </w:pPr>
      <w:r w:rsidRPr="00C2711D">
        <w:rPr>
          <w:lang w:val="en-AU"/>
        </w:rPr>
        <w:t xml:space="preserve">Birchip, </w:t>
      </w:r>
      <w:r w:rsidR="006023D5" w:rsidRPr="00C2711D">
        <w:rPr>
          <w:lang w:val="en-AU"/>
        </w:rPr>
        <w:t xml:space="preserve">Charlton, </w:t>
      </w:r>
      <w:r w:rsidRPr="00C2711D">
        <w:rPr>
          <w:lang w:val="en-AU"/>
        </w:rPr>
        <w:t>Donald</w:t>
      </w:r>
      <w:r w:rsidR="00FC0487">
        <w:rPr>
          <w:lang w:val="en-AU"/>
        </w:rPr>
        <w:t>, Sea Lake</w:t>
      </w:r>
      <w:r w:rsidRPr="00C2711D">
        <w:rPr>
          <w:lang w:val="en-AU"/>
        </w:rPr>
        <w:t xml:space="preserve"> </w:t>
      </w:r>
      <w:r w:rsidR="006023D5" w:rsidRPr="00C2711D">
        <w:rPr>
          <w:lang w:val="en-AU"/>
        </w:rPr>
        <w:t>and Wycheproof</w:t>
      </w:r>
    </w:p>
    <w:p w:rsidR="00871199" w:rsidRPr="00AD0308" w:rsidRDefault="00871199" w:rsidP="006023D5">
      <w:pPr>
        <w:rPr>
          <w:rStyle w:val="Emphasis"/>
        </w:rPr>
      </w:pPr>
      <w:r w:rsidRPr="00AD0308">
        <w:rPr>
          <w:rStyle w:val="Emphasis"/>
        </w:rPr>
        <w:t>Towns</w:t>
      </w:r>
    </w:p>
    <w:p w:rsidR="006023D5" w:rsidRPr="00C2711D" w:rsidRDefault="006023D5" w:rsidP="00AD0308">
      <w:pPr>
        <w:rPr>
          <w:lang w:val="en-AU"/>
        </w:rPr>
      </w:pPr>
      <w:r w:rsidRPr="00C2711D">
        <w:rPr>
          <w:lang w:val="en-AU"/>
        </w:rPr>
        <w:t xml:space="preserve">The Buloke </w:t>
      </w:r>
      <w:r w:rsidR="00DB16A6" w:rsidRPr="00C2711D">
        <w:rPr>
          <w:lang w:val="en-AU"/>
        </w:rPr>
        <w:t xml:space="preserve">Shire </w:t>
      </w:r>
      <w:r w:rsidRPr="00C2711D">
        <w:rPr>
          <w:lang w:val="en-AU"/>
        </w:rPr>
        <w:t>community consists of a network of towns and smaller rural settlements. The region has innovat</w:t>
      </w:r>
      <w:r w:rsidR="00FE1CEC" w:rsidRPr="00C2711D">
        <w:rPr>
          <w:lang w:val="en-AU"/>
        </w:rPr>
        <w:t>ed</w:t>
      </w:r>
      <w:r w:rsidRPr="00C2711D">
        <w:rPr>
          <w:lang w:val="en-AU"/>
        </w:rPr>
        <w:t xml:space="preserve"> and adapt</w:t>
      </w:r>
      <w:r w:rsidR="00FE1CEC" w:rsidRPr="00C2711D">
        <w:rPr>
          <w:lang w:val="en-AU"/>
        </w:rPr>
        <w:t>ed,</w:t>
      </w:r>
      <w:r w:rsidRPr="00C2711D">
        <w:rPr>
          <w:lang w:val="en-AU"/>
        </w:rPr>
        <w:t xml:space="preserve"> with </w:t>
      </w:r>
      <w:r w:rsidR="00197153" w:rsidRPr="00C2711D">
        <w:rPr>
          <w:lang w:val="en-AU"/>
        </w:rPr>
        <w:t>a strong</w:t>
      </w:r>
      <w:r w:rsidRPr="00C2711D">
        <w:rPr>
          <w:lang w:val="en-AU"/>
        </w:rPr>
        <w:t xml:space="preserve"> economy based on agriculture, research and significant manufacturing. </w:t>
      </w:r>
      <w:r w:rsidR="00FE1CEC" w:rsidRPr="00C2711D">
        <w:rPr>
          <w:lang w:val="en-AU"/>
        </w:rPr>
        <w:t>A</w:t>
      </w:r>
      <w:r w:rsidRPr="00C2711D">
        <w:rPr>
          <w:lang w:val="en-AU"/>
        </w:rPr>
        <w:t>ddress</w:t>
      </w:r>
      <w:r w:rsidR="00FE1CEC" w:rsidRPr="00C2711D">
        <w:rPr>
          <w:lang w:val="en-AU"/>
        </w:rPr>
        <w:t>ing</w:t>
      </w:r>
      <w:r w:rsidRPr="00C2711D">
        <w:rPr>
          <w:lang w:val="en-AU"/>
        </w:rPr>
        <w:t xml:space="preserve"> the region’s falling</w:t>
      </w:r>
      <w:r w:rsidR="00197153" w:rsidRPr="00C2711D">
        <w:rPr>
          <w:lang w:val="en-AU"/>
        </w:rPr>
        <w:t xml:space="preserve"> total</w:t>
      </w:r>
      <w:r w:rsidRPr="00C2711D">
        <w:rPr>
          <w:lang w:val="en-AU"/>
        </w:rPr>
        <w:t xml:space="preserve"> population</w:t>
      </w:r>
      <w:r w:rsidR="00FE1CEC" w:rsidRPr="00C2711D">
        <w:rPr>
          <w:lang w:val="en-AU"/>
        </w:rPr>
        <w:t xml:space="preserve"> will be a planning focus</w:t>
      </w:r>
      <w:r w:rsidR="00197153" w:rsidRPr="00C2711D">
        <w:rPr>
          <w:lang w:val="en-AU"/>
        </w:rPr>
        <w:t xml:space="preserve">. </w:t>
      </w:r>
      <w:r w:rsidR="00595481" w:rsidRPr="00C2711D">
        <w:rPr>
          <w:lang w:val="en-AU"/>
        </w:rPr>
        <w:t>Birchip, Charlton, Donald</w:t>
      </w:r>
      <w:r w:rsidR="00FC0487">
        <w:rPr>
          <w:lang w:val="en-AU"/>
        </w:rPr>
        <w:t>, Sea Lake</w:t>
      </w:r>
      <w:r w:rsidR="00595481" w:rsidRPr="00C2711D">
        <w:rPr>
          <w:lang w:val="en-AU"/>
        </w:rPr>
        <w:t xml:space="preserve"> and Wycheproof </w:t>
      </w:r>
      <w:r w:rsidRPr="00C2711D">
        <w:rPr>
          <w:lang w:val="en-AU"/>
        </w:rPr>
        <w:t>will remain key service centres for the surrounding smaller rural settlements.</w:t>
      </w:r>
    </w:p>
    <w:p w:rsidR="00266C3C" w:rsidRPr="00C2711D" w:rsidRDefault="00266C3C" w:rsidP="00AD0308">
      <w:pPr>
        <w:rPr>
          <w:lang w:val="en-AU"/>
        </w:rPr>
      </w:pPr>
      <w:r w:rsidRPr="00AD0308">
        <w:rPr>
          <w:rStyle w:val="Strong"/>
        </w:rPr>
        <w:t>Promote Growth</w:t>
      </w:r>
      <w:r w:rsidRPr="00C2711D">
        <w:rPr>
          <w:b/>
          <w:lang w:val="en-AU"/>
        </w:rPr>
        <w:t xml:space="preserve"> </w:t>
      </w:r>
      <w:r w:rsidRPr="00AD0308">
        <w:rPr>
          <w:lang w:val="en-AU"/>
        </w:rPr>
        <w:t>–</w:t>
      </w:r>
      <w:r w:rsidRPr="00C2711D">
        <w:rPr>
          <w:lang w:val="en-AU"/>
        </w:rPr>
        <w:t xml:space="preserve"> means the cities and towns with the greatest capacity to accommodate growth, in terms of land supply, infrastructure and services, e.g. the regional cities like Geelong, Ballarat, Bendigo, Latrobe City, Wodonga and Mildura</w:t>
      </w:r>
    </w:p>
    <w:p w:rsidR="00A543E2" w:rsidRPr="00C2711D" w:rsidRDefault="00266C3C">
      <w:pPr>
        <w:rPr>
          <w:sz w:val="22"/>
          <w:szCs w:val="22"/>
        </w:rPr>
      </w:pPr>
      <w:r w:rsidRPr="00AD0308">
        <w:rPr>
          <w:rStyle w:val="Strong"/>
        </w:rPr>
        <w:t>Support Growth</w:t>
      </w:r>
      <w:r w:rsidRPr="00C2711D">
        <w:rPr>
          <w:b/>
          <w:lang w:val="en-AU"/>
        </w:rPr>
        <w:t xml:space="preserve"> </w:t>
      </w:r>
      <w:r w:rsidRPr="00AD0308">
        <w:rPr>
          <w:lang w:val="en-AU"/>
        </w:rPr>
        <w:t>–</w:t>
      </w:r>
      <w:r w:rsidRPr="00C2711D">
        <w:rPr>
          <w:lang w:val="en-AU"/>
        </w:rPr>
        <w:t xml:space="preserve"> means the cities and towns that have the infrastructure and services that can support additional growth subject to addressing planning constraints such as bushfire and flood hazard</w:t>
      </w:r>
    </w:p>
    <w:p w:rsidR="001D77CB" w:rsidRDefault="001D77CB">
      <w:pPr>
        <w:spacing w:after="0" w:line="240" w:lineRule="auto"/>
        <w:rPr>
          <w:rFonts w:asciiTheme="majorHAnsi" w:eastAsiaTheme="majorEastAsia" w:hAnsiTheme="majorHAnsi" w:cstheme="majorBidi"/>
          <w:b/>
          <w:bCs/>
          <w:color w:val="365F91" w:themeColor="accent1" w:themeShade="BF"/>
          <w:sz w:val="28"/>
          <w:szCs w:val="28"/>
        </w:rPr>
      </w:pPr>
      <w:r>
        <w:br w:type="page"/>
      </w:r>
    </w:p>
    <w:p w:rsidR="00F25118" w:rsidRPr="00AD0308" w:rsidRDefault="00710CA0" w:rsidP="00AD0308">
      <w:pPr>
        <w:pStyle w:val="Heading1"/>
      </w:pPr>
      <w:bookmarkStart w:id="13" w:name="_Toc384209384"/>
      <w:r w:rsidRPr="00C2711D">
        <w:t>REGIONAL ECONOMY</w:t>
      </w:r>
      <w:bookmarkEnd w:id="13"/>
    </w:p>
    <w:p w:rsidR="008442A4" w:rsidRPr="00C2711D" w:rsidRDefault="008442A4" w:rsidP="00AD0308">
      <w:r w:rsidRPr="00C2711D">
        <w:t>The region’s economy is driven by its competitive advantage in agriculture, the needs of a changing population and its strategic location on national freight routes</w:t>
      </w:r>
      <w:r w:rsidR="00FE1CEC" w:rsidRPr="00C2711D">
        <w:t xml:space="preserve"> </w:t>
      </w:r>
      <w:r w:rsidRPr="00C2711D">
        <w:t>link</w:t>
      </w:r>
      <w:r w:rsidR="00FE1CEC" w:rsidRPr="00C2711D">
        <w:t>ing</w:t>
      </w:r>
      <w:r w:rsidRPr="00C2711D">
        <w:t xml:space="preserve"> the capital cities of south-eastern Australia.</w:t>
      </w:r>
    </w:p>
    <w:p w:rsidR="00FE1CEC" w:rsidRPr="00C2711D" w:rsidRDefault="008442A4" w:rsidP="00AD0308">
      <w:r w:rsidRPr="00C2711D">
        <w:t xml:space="preserve">The agricultural industry has demonstrated resilience and capacity to adapt </w:t>
      </w:r>
      <w:r w:rsidR="00FE1CEC" w:rsidRPr="00C2711D">
        <w:t xml:space="preserve">to </w:t>
      </w:r>
      <w:r w:rsidRPr="00C2711D">
        <w:t xml:space="preserve">climatic, economic and policy challenges. </w:t>
      </w:r>
      <w:r w:rsidR="00FE1CEC" w:rsidRPr="00C2711D">
        <w:t>I</w:t>
      </w:r>
      <w:r w:rsidRPr="00C2711D">
        <w:t>rrigation infrastructure renewal and modernisation</w:t>
      </w:r>
      <w:r w:rsidR="00197153" w:rsidRPr="00C2711D">
        <w:t xml:space="preserve"> </w:t>
      </w:r>
      <w:r w:rsidR="00FE1CEC" w:rsidRPr="00C2711D">
        <w:t>have been completed and t</w:t>
      </w:r>
      <w:r w:rsidR="00197153" w:rsidRPr="00C2711D">
        <w:t xml:space="preserve">he region has sought to </w:t>
      </w:r>
      <w:r w:rsidRPr="00C2711D">
        <w:t>increas</w:t>
      </w:r>
      <w:r w:rsidR="00197153" w:rsidRPr="00C2711D">
        <w:t>e agricultural</w:t>
      </w:r>
      <w:r w:rsidRPr="00C2711D">
        <w:t xml:space="preserve"> productivity</w:t>
      </w:r>
      <w:r w:rsidR="00197153" w:rsidRPr="00C2711D">
        <w:t xml:space="preserve"> while</w:t>
      </w:r>
      <w:r w:rsidRPr="00C2711D">
        <w:t xml:space="preserve"> enhancing environmental sustainability</w:t>
      </w:r>
      <w:r w:rsidR="00AF7450" w:rsidRPr="00C2711D">
        <w:t xml:space="preserve">. </w:t>
      </w:r>
    </w:p>
    <w:p w:rsidR="005607C3" w:rsidRPr="00C2711D" w:rsidRDefault="007F0567" w:rsidP="00AD0308">
      <w:r w:rsidRPr="00C2711D">
        <w:t>W</w:t>
      </w:r>
      <w:r w:rsidR="008442A4" w:rsidRPr="00C2711D">
        <w:t xml:space="preserve">hile agriculture continues to be the backbone of the region’s economy, </w:t>
      </w:r>
      <w:r w:rsidR="00AF7450" w:rsidRPr="00C2711D">
        <w:t>new technologies ha</w:t>
      </w:r>
      <w:r w:rsidR="00FE1CEC" w:rsidRPr="00C2711D">
        <w:t>ve</w:t>
      </w:r>
      <w:r w:rsidR="00AF7450" w:rsidRPr="00C2711D">
        <w:t xml:space="preserve"> reduced jobs in th</w:t>
      </w:r>
      <w:r w:rsidR="00FE1CEC" w:rsidRPr="00C2711D">
        <w:t>e</w:t>
      </w:r>
      <w:r w:rsidR="00AF7450" w:rsidRPr="00C2711D">
        <w:t xml:space="preserve"> sector. </w:t>
      </w:r>
      <w:r w:rsidR="008442A4" w:rsidRPr="00C2711D">
        <w:t xml:space="preserve"> Local jobs need to come from the growth of labour-intensive sectors and economic diversification.  </w:t>
      </w:r>
    </w:p>
    <w:p w:rsidR="007A54C7" w:rsidRPr="00AD0308" w:rsidRDefault="00A11DD1" w:rsidP="00A12C38">
      <w:r w:rsidRPr="00C2711D">
        <w:t>T</w:t>
      </w:r>
      <w:r w:rsidR="0015711E" w:rsidRPr="00C2711D">
        <w:t>he major Calder, Mallee, Murray Valley</w:t>
      </w:r>
      <w:r w:rsidR="00A50F7E" w:rsidRPr="00C2711D">
        <w:t>, Henty</w:t>
      </w:r>
      <w:r w:rsidR="0015711E" w:rsidRPr="00C2711D">
        <w:t xml:space="preserve"> and Sturt transport corridors</w:t>
      </w:r>
      <w:r w:rsidRPr="00C2711D">
        <w:t xml:space="preserve"> offer opportunities in transport logistics and freight</w:t>
      </w:r>
      <w:r w:rsidR="0015711E" w:rsidRPr="00C2711D">
        <w:t xml:space="preserve">. </w:t>
      </w:r>
      <w:r w:rsidRPr="00C2711D">
        <w:t>U</w:t>
      </w:r>
      <w:r w:rsidR="0015711E" w:rsidRPr="00C2711D">
        <w:t>pgrad</w:t>
      </w:r>
      <w:r w:rsidRPr="00C2711D">
        <w:t>ing</w:t>
      </w:r>
      <w:r w:rsidR="0015711E" w:rsidRPr="00C2711D">
        <w:t xml:space="preserve"> freight and transport infrastructure </w:t>
      </w:r>
      <w:r w:rsidRPr="00C2711D">
        <w:t xml:space="preserve">can </w:t>
      </w:r>
      <w:r w:rsidR="0015711E" w:rsidRPr="00C2711D">
        <w:t>enhance primary production, including agriculture and mining. T</w:t>
      </w:r>
      <w:r w:rsidR="008442A4" w:rsidRPr="00C2711D">
        <w:t xml:space="preserve">he region currently has skills shortages in the health, education, manufacturing, agriculture and construction sectors. An ageing population will see growing demand for </w:t>
      </w:r>
      <w:r w:rsidR="00AF7450" w:rsidRPr="00C2711D">
        <w:t xml:space="preserve">service and </w:t>
      </w:r>
      <w:r w:rsidR="008442A4" w:rsidRPr="00C2711D">
        <w:t xml:space="preserve">health professionals. </w:t>
      </w:r>
    </w:p>
    <w:p w:rsidR="0033627A" w:rsidRPr="00C2711D" w:rsidRDefault="0033627A" w:rsidP="00AD0308">
      <w:pPr>
        <w:pStyle w:val="Heading2"/>
      </w:pPr>
      <w:r w:rsidRPr="00C2711D">
        <w:t>Future directions</w:t>
      </w:r>
      <w:r w:rsidR="00AD0308">
        <w:t>:</w:t>
      </w:r>
    </w:p>
    <w:p w:rsidR="00666EAA" w:rsidRPr="00AD0308" w:rsidRDefault="002B7D54" w:rsidP="00AD0308">
      <w:pPr>
        <w:pStyle w:val="ListParagraph"/>
        <w:numPr>
          <w:ilvl w:val="0"/>
          <w:numId w:val="28"/>
        </w:numPr>
        <w:rPr>
          <w:lang w:val="en-AU"/>
        </w:rPr>
      </w:pPr>
      <w:r w:rsidRPr="00AD0308">
        <w:rPr>
          <w:lang w:val="en-AU"/>
        </w:rPr>
        <w:t>f</w:t>
      </w:r>
      <w:r w:rsidR="00666EAA" w:rsidRPr="00AD0308">
        <w:rPr>
          <w:lang w:val="en-AU"/>
        </w:rPr>
        <w:t>acilitate vibrant and prosperous commercial centres and industrial hubs in the region’s major urban centres that respond to changing population and markets</w:t>
      </w:r>
    </w:p>
    <w:p w:rsidR="00666EAA" w:rsidRPr="00AD0308" w:rsidRDefault="002B7D54" w:rsidP="00AD0308">
      <w:pPr>
        <w:pStyle w:val="ListParagraph"/>
        <w:numPr>
          <w:ilvl w:val="0"/>
          <w:numId w:val="28"/>
        </w:numPr>
        <w:rPr>
          <w:lang w:val="en-AU"/>
        </w:rPr>
      </w:pPr>
      <w:r w:rsidRPr="00AD0308">
        <w:rPr>
          <w:lang w:val="en-AU"/>
        </w:rPr>
        <w:t>f</w:t>
      </w:r>
      <w:r w:rsidR="00666EAA" w:rsidRPr="00AD0308">
        <w:rPr>
          <w:lang w:val="en-AU"/>
        </w:rPr>
        <w:t>urther diversify the primary production, service, manufacturing and tourism industries to support job creation and investment and value add to local products</w:t>
      </w:r>
    </w:p>
    <w:p w:rsidR="00666EAA" w:rsidRPr="00AD0308" w:rsidRDefault="002B7D54" w:rsidP="00AD0308">
      <w:pPr>
        <w:pStyle w:val="ListParagraph"/>
        <w:numPr>
          <w:ilvl w:val="0"/>
          <w:numId w:val="28"/>
        </w:numPr>
        <w:rPr>
          <w:lang w:val="en-AU"/>
        </w:rPr>
      </w:pPr>
      <w:r w:rsidRPr="00AD0308">
        <w:rPr>
          <w:lang w:val="en-AU"/>
        </w:rPr>
        <w:t>p</w:t>
      </w:r>
      <w:r w:rsidR="00666EAA" w:rsidRPr="00AD0308">
        <w:rPr>
          <w:lang w:val="en-AU"/>
        </w:rPr>
        <w:t>rotect key regional assets to ensure future prosperity, including that arising from strategically important rural land uses</w:t>
      </w:r>
    </w:p>
    <w:p w:rsidR="00666EAA" w:rsidRPr="00AD0308" w:rsidRDefault="002B7D54" w:rsidP="00AD0308">
      <w:pPr>
        <w:pStyle w:val="ListParagraph"/>
        <w:numPr>
          <w:ilvl w:val="0"/>
          <w:numId w:val="28"/>
        </w:numPr>
        <w:rPr>
          <w:lang w:val="en-AU"/>
        </w:rPr>
      </w:pPr>
      <w:r w:rsidRPr="00AD0308">
        <w:rPr>
          <w:lang w:val="en-AU"/>
        </w:rPr>
        <w:t>m</w:t>
      </w:r>
      <w:r w:rsidR="00666EAA" w:rsidRPr="00AD0308">
        <w:rPr>
          <w:lang w:val="en-AU"/>
        </w:rPr>
        <w:t>aximise the local and regional benefits of emerging economic opportunities associated with future growth in mining, food production, energy and tourism</w:t>
      </w:r>
      <w:r w:rsidR="0025067E" w:rsidRPr="00AD0308">
        <w:rPr>
          <w:lang w:val="en-AU"/>
        </w:rPr>
        <w:t>.</w:t>
      </w:r>
    </w:p>
    <w:p w:rsidR="0033627A" w:rsidRPr="00C2711D" w:rsidRDefault="0033627A" w:rsidP="00F25118">
      <w:pPr>
        <w:rPr>
          <w:sz w:val="22"/>
          <w:szCs w:val="22"/>
        </w:rPr>
      </w:pPr>
    </w:p>
    <w:p w:rsidR="00F25118" w:rsidRPr="00C2711D" w:rsidRDefault="00F25118">
      <w:pPr>
        <w:rPr>
          <w:sz w:val="22"/>
          <w:szCs w:val="22"/>
        </w:rPr>
      </w:pPr>
      <w:r w:rsidRPr="00C2711D">
        <w:rPr>
          <w:sz w:val="22"/>
          <w:szCs w:val="22"/>
        </w:rPr>
        <w:br w:type="page"/>
      </w:r>
    </w:p>
    <w:p w:rsidR="00F25118" w:rsidRPr="00AD0308" w:rsidRDefault="00710CA0" w:rsidP="00AD0308">
      <w:pPr>
        <w:pStyle w:val="Heading1"/>
      </w:pPr>
      <w:bookmarkStart w:id="14" w:name="_Toc384209385"/>
      <w:r w:rsidRPr="00C2711D">
        <w:t>ENVIRONMENT AND HERITAGE</w:t>
      </w:r>
      <w:bookmarkEnd w:id="14"/>
    </w:p>
    <w:p w:rsidR="008442A4" w:rsidRPr="00C2711D" w:rsidRDefault="008442A4" w:rsidP="00AD0308">
      <w:r w:rsidRPr="00C2711D">
        <w:t>Loddon Mallee North is well known for its environmental assets and has a rich cultural heritage</w:t>
      </w:r>
      <w:r w:rsidR="00FE1F6B" w:rsidRPr="00C2711D">
        <w:t xml:space="preserve">. </w:t>
      </w:r>
      <w:r w:rsidRPr="00C2711D">
        <w:t xml:space="preserve"> </w:t>
      </w:r>
      <w:r w:rsidR="00D46E34" w:rsidRPr="00C2711D">
        <w:t xml:space="preserve">The regional growth plan </w:t>
      </w:r>
      <w:r w:rsidRPr="00C2711D">
        <w:t>aims to enhance the environmental and cultural heritage assets of the region, retain healthy waterways and floodplains, achieve sustainable, water</w:t>
      </w:r>
      <w:r w:rsidR="00A11DD1" w:rsidRPr="00C2711D">
        <w:t>-</w:t>
      </w:r>
      <w:r w:rsidRPr="00C2711D">
        <w:t>efficient farming, and develop a diverse and robust economy broadening its strong agricultural base. The plan recognises that the Murray River is the lifeblood of the region.</w:t>
      </w:r>
    </w:p>
    <w:p w:rsidR="00013345" w:rsidRPr="00C2711D" w:rsidRDefault="008442A4" w:rsidP="00AD0308">
      <w:r w:rsidRPr="00C2711D">
        <w:t xml:space="preserve">Environmental assets underpin the economic strengths of the region and present opportunities for tourism and other economic diversification, such as carbon farming. Balancing growth with the protection of the environment and cultural heritage is a key challenge for this plan, as is managing the risks from natural hazards </w:t>
      </w:r>
      <w:r w:rsidR="00D46E34" w:rsidRPr="00C2711D">
        <w:t>in</w:t>
      </w:r>
      <w:r w:rsidRPr="00C2711D">
        <w:t xml:space="preserve"> some areas.</w:t>
      </w:r>
    </w:p>
    <w:p w:rsidR="00654644" w:rsidRPr="00AD0308" w:rsidRDefault="00AD0308" w:rsidP="00AD0308">
      <w:pPr>
        <w:pStyle w:val="Heading2"/>
      </w:pPr>
      <w:r>
        <w:t>Future directions:</w:t>
      </w:r>
    </w:p>
    <w:p w:rsidR="00666EAA" w:rsidRPr="00AD0308" w:rsidRDefault="002B7D54" w:rsidP="00AD0308">
      <w:pPr>
        <w:pStyle w:val="ListParagraph"/>
        <w:numPr>
          <w:ilvl w:val="0"/>
          <w:numId w:val="29"/>
        </w:numPr>
        <w:rPr>
          <w:lang w:val="en-AU"/>
        </w:rPr>
      </w:pPr>
      <w:r w:rsidRPr="00AD0308">
        <w:rPr>
          <w:lang w:val="en-AU"/>
        </w:rPr>
        <w:t>m</w:t>
      </w:r>
      <w:r w:rsidR="00666EAA" w:rsidRPr="00AD0308">
        <w:rPr>
          <w:lang w:val="en-AU"/>
        </w:rPr>
        <w:t>anage risks to the Loddon Mallee North region’s community and economy from natural hazards</w:t>
      </w:r>
    </w:p>
    <w:p w:rsidR="00666EAA" w:rsidRPr="00AD0308" w:rsidRDefault="002B7D54" w:rsidP="00AD0308">
      <w:pPr>
        <w:pStyle w:val="ListParagraph"/>
        <w:numPr>
          <w:ilvl w:val="0"/>
          <w:numId w:val="29"/>
        </w:numPr>
        <w:rPr>
          <w:lang w:val="en-AU"/>
        </w:rPr>
      </w:pPr>
      <w:r w:rsidRPr="00AD0308">
        <w:rPr>
          <w:lang w:val="en-AU"/>
        </w:rPr>
        <w:t>p</w:t>
      </w:r>
      <w:r w:rsidR="00666EAA" w:rsidRPr="00AD0308">
        <w:rPr>
          <w:lang w:val="en-AU"/>
        </w:rPr>
        <w:t>rotect and improve the condition of the region’s environmental and cultural heritage assets to achieve the best outcome for the region’s environment, economy and community</w:t>
      </w:r>
    </w:p>
    <w:p w:rsidR="00666EAA" w:rsidRPr="00AD0308" w:rsidRDefault="002B7D54" w:rsidP="00AD0308">
      <w:pPr>
        <w:pStyle w:val="ListParagraph"/>
        <w:numPr>
          <w:ilvl w:val="0"/>
          <w:numId w:val="29"/>
        </w:numPr>
        <w:rPr>
          <w:lang w:val="en-AU"/>
        </w:rPr>
      </w:pPr>
      <w:r w:rsidRPr="00AD0308">
        <w:rPr>
          <w:lang w:val="en-AU"/>
        </w:rPr>
        <w:t>p</w:t>
      </w:r>
      <w:r w:rsidR="00666EAA" w:rsidRPr="00AD0308">
        <w:rPr>
          <w:lang w:val="en-AU"/>
        </w:rPr>
        <w:t>lan for and manage potential risks and opportunities arising from climate change and initiatives that support national and global action to reduce greenhouse gas emissions</w:t>
      </w:r>
      <w:r w:rsidR="0025067E" w:rsidRPr="00AD0308">
        <w:rPr>
          <w:lang w:val="en-AU"/>
        </w:rPr>
        <w:t>.</w:t>
      </w:r>
    </w:p>
    <w:p w:rsidR="00F25118" w:rsidRPr="00C2711D" w:rsidRDefault="00F25118" w:rsidP="00F25118">
      <w:pPr>
        <w:rPr>
          <w:sz w:val="22"/>
          <w:szCs w:val="22"/>
        </w:rPr>
      </w:pPr>
    </w:p>
    <w:p w:rsidR="00F25118" w:rsidRPr="00C2711D" w:rsidRDefault="00F25118">
      <w:pPr>
        <w:rPr>
          <w:sz w:val="22"/>
          <w:szCs w:val="22"/>
        </w:rPr>
      </w:pPr>
      <w:r w:rsidRPr="00C2711D">
        <w:rPr>
          <w:sz w:val="22"/>
          <w:szCs w:val="22"/>
        </w:rPr>
        <w:br w:type="page"/>
      </w:r>
    </w:p>
    <w:p w:rsidR="00F25118" w:rsidRPr="00AD0308" w:rsidRDefault="00710CA0" w:rsidP="00AD0308">
      <w:pPr>
        <w:pStyle w:val="Heading1"/>
      </w:pPr>
      <w:bookmarkStart w:id="15" w:name="_Toc384209386"/>
      <w:r w:rsidRPr="00C2711D">
        <w:t>REGIONAL INFRASTRUCTURE</w:t>
      </w:r>
      <w:bookmarkEnd w:id="15"/>
    </w:p>
    <w:p w:rsidR="008442A4" w:rsidRPr="00C2711D" w:rsidRDefault="008442A4" w:rsidP="00AD0308">
      <w:r w:rsidRPr="00C2711D">
        <w:t xml:space="preserve">The transport network and other infrastructure will be critical in catering for projected growth and population change. </w:t>
      </w:r>
      <w:r w:rsidR="00D203ED" w:rsidRPr="00C2711D">
        <w:t>F</w:t>
      </w:r>
      <w:r w:rsidRPr="00C2711D">
        <w:t xml:space="preserve">reight </w:t>
      </w:r>
      <w:r w:rsidR="00D203ED" w:rsidRPr="00C2711D">
        <w:t xml:space="preserve">movement </w:t>
      </w:r>
      <w:r w:rsidRPr="00C2711D">
        <w:t>supporting agriculture, particularly grain growing, food processing, mineral sands extraction and other industries</w:t>
      </w:r>
      <w:r w:rsidR="00D203ED" w:rsidRPr="00C2711D">
        <w:t xml:space="preserve"> will be vital</w:t>
      </w:r>
      <w:r w:rsidRPr="00C2711D">
        <w:t>.</w:t>
      </w:r>
    </w:p>
    <w:p w:rsidR="008442A4" w:rsidRPr="00C2711D" w:rsidRDefault="008442A4" w:rsidP="00AD0308">
      <w:r w:rsidRPr="00C2711D">
        <w:t xml:space="preserve">Social infrastructure includes community and cultural facilities, services and networks. </w:t>
      </w:r>
      <w:r w:rsidR="00D203ED" w:rsidRPr="00C2711D">
        <w:t>H</w:t>
      </w:r>
      <w:r w:rsidRPr="00C2711D">
        <w:t>igh quality social facilities and living environments that meet education, healthcare and lifestyle needs will support communities and tourism.</w:t>
      </w:r>
    </w:p>
    <w:p w:rsidR="00FA7D9E" w:rsidRPr="00AD0308" w:rsidRDefault="008442A4" w:rsidP="00F25118">
      <w:r w:rsidRPr="00C2711D">
        <w:t>Growth of the</w:t>
      </w:r>
      <w:r w:rsidR="00A50F7E" w:rsidRPr="00C2711D">
        <w:t xml:space="preserve"> </w:t>
      </w:r>
      <w:r w:rsidR="00D203ED" w:rsidRPr="00C2711D">
        <w:t xml:space="preserve">region’s </w:t>
      </w:r>
      <w:r w:rsidR="00A50F7E" w:rsidRPr="00C2711D">
        <w:t>cities and</w:t>
      </w:r>
      <w:r w:rsidRPr="00C2711D">
        <w:t xml:space="preserve"> towns will </w:t>
      </w:r>
      <w:r w:rsidR="00D203ED" w:rsidRPr="00C2711D">
        <w:t xml:space="preserve">increase </w:t>
      </w:r>
      <w:r w:rsidRPr="00C2711D">
        <w:t xml:space="preserve">demand for water, energy and utility infrastructure. </w:t>
      </w:r>
      <w:r w:rsidR="00DE6F0D" w:rsidRPr="00C2711D">
        <w:t>I</w:t>
      </w:r>
      <w:r w:rsidRPr="00C2711D">
        <w:t xml:space="preserve">rrigation infrastructure underpins the success of many agricultural activities in the region, including horticulture and dairying, and is critical to the ongoing success of the region’s </w:t>
      </w:r>
      <w:r w:rsidR="00DE6F0D" w:rsidRPr="00C2711D">
        <w:t xml:space="preserve">economy and its </w:t>
      </w:r>
      <w:r w:rsidRPr="00C2711D">
        <w:t>contribution to Victoria’s food bowl</w:t>
      </w:r>
      <w:r w:rsidR="00DE6F0D" w:rsidRPr="00C2711D">
        <w:t xml:space="preserve"> production</w:t>
      </w:r>
      <w:r w:rsidRPr="00C2711D">
        <w:t xml:space="preserve">. </w:t>
      </w:r>
    </w:p>
    <w:p w:rsidR="00654644" w:rsidRPr="00C2711D" w:rsidRDefault="00FA7D9E" w:rsidP="00AD0308">
      <w:pPr>
        <w:pStyle w:val="Heading2"/>
      </w:pPr>
      <w:r w:rsidRPr="00C2711D">
        <w:t>Future directions</w:t>
      </w:r>
      <w:r w:rsidR="00AD0308">
        <w:t>:</w:t>
      </w:r>
    </w:p>
    <w:p w:rsidR="00666EAA" w:rsidRPr="00AD0308" w:rsidRDefault="002B7D54" w:rsidP="00AD0308">
      <w:pPr>
        <w:pStyle w:val="ListParagraph"/>
        <w:numPr>
          <w:ilvl w:val="0"/>
          <w:numId w:val="30"/>
        </w:numPr>
        <w:rPr>
          <w:lang w:val="en-AU"/>
        </w:rPr>
      </w:pPr>
      <w:r w:rsidRPr="00AD0308">
        <w:rPr>
          <w:lang w:val="en-AU"/>
        </w:rPr>
        <w:t>s</w:t>
      </w:r>
      <w:r w:rsidR="00666EAA" w:rsidRPr="00AD0308">
        <w:rPr>
          <w:lang w:val="en-AU"/>
        </w:rPr>
        <w:t>upport health, education, cultural and sporting facilities to meet local needs and promote social inclusion and community cohesion</w:t>
      </w:r>
    </w:p>
    <w:p w:rsidR="00666EAA" w:rsidRPr="00AD0308" w:rsidRDefault="002B7D54" w:rsidP="00AD0308">
      <w:pPr>
        <w:pStyle w:val="ListParagraph"/>
        <w:numPr>
          <w:ilvl w:val="0"/>
          <w:numId w:val="30"/>
        </w:numPr>
        <w:rPr>
          <w:lang w:val="en-AU"/>
        </w:rPr>
      </w:pPr>
      <w:r w:rsidRPr="00AD0308">
        <w:rPr>
          <w:lang w:val="en-AU"/>
        </w:rPr>
        <w:t>w</w:t>
      </w:r>
      <w:r w:rsidR="00666EAA" w:rsidRPr="00AD0308">
        <w:rPr>
          <w:lang w:val="en-AU"/>
        </w:rPr>
        <w:t>ork with utility and service agencies to optimise access to gas, electricity, drainage, water, waste, sewerage and telecommunications to cater for the population and economic needs of the region</w:t>
      </w:r>
    </w:p>
    <w:p w:rsidR="00666EAA" w:rsidRPr="00AD0308" w:rsidRDefault="002B7D54" w:rsidP="00AD0308">
      <w:pPr>
        <w:pStyle w:val="ListParagraph"/>
        <w:numPr>
          <w:ilvl w:val="0"/>
          <w:numId w:val="30"/>
        </w:numPr>
        <w:rPr>
          <w:lang w:val="en-AU"/>
        </w:rPr>
      </w:pPr>
      <w:r w:rsidRPr="00AD0308">
        <w:rPr>
          <w:lang w:val="en-AU"/>
        </w:rPr>
        <w:t>s</w:t>
      </w:r>
      <w:r w:rsidR="00666EAA" w:rsidRPr="00AD0308">
        <w:rPr>
          <w:lang w:val="en-AU"/>
        </w:rPr>
        <w:t>upport road, rail and logistics improvements to support economic growth and accessibility</w:t>
      </w:r>
      <w:r w:rsidR="0025067E" w:rsidRPr="00AD0308">
        <w:rPr>
          <w:lang w:val="en-AU"/>
        </w:rPr>
        <w:t>.</w:t>
      </w:r>
    </w:p>
    <w:p w:rsidR="0065494F" w:rsidRPr="00C2711D" w:rsidRDefault="0065494F" w:rsidP="0065494F">
      <w:pPr>
        <w:rPr>
          <w:sz w:val="22"/>
          <w:szCs w:val="22"/>
          <w:lang w:val="en-AU"/>
        </w:rPr>
      </w:pPr>
    </w:p>
    <w:p w:rsidR="0065494F" w:rsidRPr="00C2711D" w:rsidRDefault="0065494F">
      <w:pPr>
        <w:rPr>
          <w:b/>
          <w:sz w:val="22"/>
          <w:szCs w:val="22"/>
        </w:rPr>
      </w:pPr>
      <w:r w:rsidRPr="00C2711D">
        <w:rPr>
          <w:b/>
          <w:sz w:val="22"/>
          <w:szCs w:val="22"/>
        </w:rPr>
        <w:br w:type="page"/>
      </w:r>
    </w:p>
    <w:p w:rsidR="007A54C7" w:rsidRPr="00AD0308" w:rsidRDefault="00BA45D5" w:rsidP="00AD0308">
      <w:pPr>
        <w:pStyle w:val="Heading1"/>
      </w:pPr>
      <w:bookmarkStart w:id="16" w:name="_Toc384209387"/>
      <w:r w:rsidRPr="00C2711D">
        <w:t>DELIVERING REGIONAL GROWTH</w:t>
      </w:r>
      <w:bookmarkEnd w:id="16"/>
      <w:r w:rsidR="00710CA0" w:rsidRPr="00C2711D">
        <w:t xml:space="preserve"> </w:t>
      </w:r>
    </w:p>
    <w:p w:rsidR="006023D5" w:rsidRPr="00C2711D" w:rsidRDefault="006023D5" w:rsidP="00AD0308">
      <w:pPr>
        <w:rPr>
          <w:lang w:val="en-AU"/>
        </w:rPr>
      </w:pPr>
      <w:r w:rsidRPr="00C2711D">
        <w:rPr>
          <w:lang w:val="en-AU"/>
        </w:rPr>
        <w:t xml:space="preserve">The Loddon Mallee North Regional Growth Plan has identified a range of actions that, over the next 30 years, will </w:t>
      </w:r>
      <w:r w:rsidR="00A50F7E" w:rsidRPr="00C2711D">
        <w:rPr>
          <w:lang w:val="en-AU"/>
        </w:rPr>
        <w:t>help realise the vision</w:t>
      </w:r>
      <w:r w:rsidRPr="00C2711D">
        <w:rPr>
          <w:lang w:val="en-AU"/>
        </w:rPr>
        <w:t xml:space="preserve"> for the region. Some of these things will happen almost immediately, others will evolve over time.</w:t>
      </w:r>
    </w:p>
    <w:p w:rsidR="006023D5" w:rsidRPr="00C2711D" w:rsidRDefault="006023D5" w:rsidP="00AD0308">
      <w:pPr>
        <w:rPr>
          <w:lang w:val="en-AU"/>
        </w:rPr>
      </w:pPr>
      <w:r w:rsidRPr="00C2711D">
        <w:rPr>
          <w:lang w:val="en-AU"/>
        </w:rPr>
        <w:t>In general those living and working in the region will start to see:</w:t>
      </w:r>
    </w:p>
    <w:p w:rsidR="00581335" w:rsidRPr="00AD0308" w:rsidRDefault="00A50F7E" w:rsidP="00AD0308">
      <w:pPr>
        <w:pStyle w:val="ListParagraph"/>
        <w:numPr>
          <w:ilvl w:val="0"/>
          <w:numId w:val="31"/>
        </w:numPr>
        <w:rPr>
          <w:lang w:val="en-AU"/>
        </w:rPr>
      </w:pPr>
      <w:r w:rsidRPr="00AD0308">
        <w:rPr>
          <w:lang w:val="en-AU"/>
        </w:rPr>
        <w:t>t</w:t>
      </w:r>
      <w:r w:rsidR="006023D5" w:rsidRPr="00AD0308">
        <w:rPr>
          <w:lang w:val="en-AU"/>
        </w:rPr>
        <w:t>he development of Mildura as a regional city, through planned development incorporating nearby settlements of Red Cliffs, Irymple and Merbein</w:t>
      </w:r>
    </w:p>
    <w:p w:rsidR="00664C8F" w:rsidRPr="00AD0308" w:rsidRDefault="00D46D41" w:rsidP="00AD0308">
      <w:pPr>
        <w:pStyle w:val="ListParagraph"/>
        <w:numPr>
          <w:ilvl w:val="0"/>
          <w:numId w:val="31"/>
        </w:numPr>
        <w:rPr>
          <w:lang w:val="en-AU"/>
        </w:rPr>
      </w:pPr>
      <w:r w:rsidRPr="00AD0308">
        <w:rPr>
          <w:lang w:val="en-AU"/>
        </w:rPr>
        <w:t>Echuca and Swan Hill providing</w:t>
      </w:r>
      <w:r w:rsidR="004F0FDE" w:rsidRPr="00AD0308">
        <w:rPr>
          <w:lang w:val="en-AU"/>
        </w:rPr>
        <w:t xml:space="preserve"> </w:t>
      </w:r>
      <w:r w:rsidR="00664C8F" w:rsidRPr="00AD0308">
        <w:rPr>
          <w:lang w:val="en-AU"/>
        </w:rPr>
        <w:t xml:space="preserve">higher order services and </w:t>
      </w:r>
      <w:r w:rsidR="004F0FDE" w:rsidRPr="00AD0308">
        <w:rPr>
          <w:lang w:val="en-AU"/>
        </w:rPr>
        <w:t xml:space="preserve">strong support to </w:t>
      </w:r>
      <w:r w:rsidR="00664C8F" w:rsidRPr="00AD0308">
        <w:rPr>
          <w:lang w:val="en-AU"/>
        </w:rPr>
        <w:t xml:space="preserve">surrounding regional </w:t>
      </w:r>
      <w:r w:rsidR="004F0FDE" w:rsidRPr="00AD0308">
        <w:rPr>
          <w:lang w:val="en-AU"/>
        </w:rPr>
        <w:t xml:space="preserve">communities </w:t>
      </w:r>
    </w:p>
    <w:p w:rsidR="00581335" w:rsidRPr="00AD0308" w:rsidRDefault="00581335" w:rsidP="00AD0308">
      <w:pPr>
        <w:pStyle w:val="ListParagraph"/>
        <w:numPr>
          <w:ilvl w:val="0"/>
          <w:numId w:val="31"/>
        </w:numPr>
        <w:rPr>
          <w:lang w:val="en-AU"/>
        </w:rPr>
      </w:pPr>
      <w:r w:rsidRPr="00AD0308">
        <w:rPr>
          <w:lang w:val="en-AU"/>
        </w:rPr>
        <w:t>improved linkages with and between Lod</w:t>
      </w:r>
      <w:r w:rsidR="00664C8F" w:rsidRPr="00AD0308">
        <w:rPr>
          <w:lang w:val="en-AU"/>
        </w:rPr>
        <w:t>do</w:t>
      </w:r>
      <w:r w:rsidRPr="00AD0308">
        <w:rPr>
          <w:lang w:val="en-AU"/>
        </w:rPr>
        <w:t>n Mallee</w:t>
      </w:r>
      <w:r w:rsidR="00BE7A9D">
        <w:rPr>
          <w:lang w:val="en-AU"/>
        </w:rPr>
        <w:t xml:space="preserve"> North</w:t>
      </w:r>
      <w:r w:rsidRPr="00AD0308">
        <w:rPr>
          <w:lang w:val="en-AU"/>
        </w:rPr>
        <w:t>’s five communities of interest</w:t>
      </w:r>
    </w:p>
    <w:p w:rsidR="00581335" w:rsidRPr="00AD0308" w:rsidRDefault="00581335" w:rsidP="00AD0308">
      <w:pPr>
        <w:pStyle w:val="ListParagraph"/>
        <w:numPr>
          <w:ilvl w:val="0"/>
          <w:numId w:val="31"/>
        </w:numPr>
        <w:rPr>
          <w:lang w:val="en-AU"/>
        </w:rPr>
      </w:pPr>
      <w:r w:rsidRPr="00AD0308">
        <w:rPr>
          <w:lang w:val="en-AU"/>
        </w:rPr>
        <w:t>well planned growth in and around major urban centres to ensure access to services and infrastructure</w:t>
      </w:r>
    </w:p>
    <w:p w:rsidR="006023D5" w:rsidRPr="00AD0308" w:rsidRDefault="00581335" w:rsidP="00AD0308">
      <w:pPr>
        <w:pStyle w:val="ListParagraph"/>
        <w:numPr>
          <w:ilvl w:val="0"/>
          <w:numId w:val="31"/>
        </w:numPr>
        <w:rPr>
          <w:lang w:val="en-AU"/>
        </w:rPr>
      </w:pPr>
      <w:r w:rsidRPr="00AD0308">
        <w:rPr>
          <w:lang w:val="en-AU"/>
        </w:rPr>
        <w:t>accessible health, education, cultural and sporting facilities that meet local need</w:t>
      </w:r>
      <w:r w:rsidR="00664C8F" w:rsidRPr="00AD0308">
        <w:rPr>
          <w:lang w:val="en-AU"/>
        </w:rPr>
        <w:t>s</w:t>
      </w:r>
    </w:p>
    <w:p w:rsidR="006023D5" w:rsidRPr="00AD0308" w:rsidRDefault="00A50F7E" w:rsidP="00AD0308">
      <w:pPr>
        <w:pStyle w:val="ListParagraph"/>
        <w:numPr>
          <w:ilvl w:val="0"/>
          <w:numId w:val="31"/>
        </w:numPr>
        <w:rPr>
          <w:lang w:val="en-AU"/>
        </w:rPr>
      </w:pPr>
      <w:r w:rsidRPr="00AD0308">
        <w:rPr>
          <w:lang w:val="en-AU"/>
        </w:rPr>
        <w:t>m</w:t>
      </w:r>
      <w:r w:rsidR="006023D5" w:rsidRPr="00AD0308">
        <w:rPr>
          <w:lang w:val="en-AU"/>
        </w:rPr>
        <w:t xml:space="preserve">ore diversity in primary production, service and manufacturing industries </w:t>
      </w:r>
    </w:p>
    <w:p w:rsidR="006023D5" w:rsidRPr="00AD0308" w:rsidRDefault="00A50F7E" w:rsidP="00AD0308">
      <w:pPr>
        <w:pStyle w:val="ListParagraph"/>
        <w:numPr>
          <w:ilvl w:val="0"/>
          <w:numId w:val="31"/>
        </w:numPr>
        <w:rPr>
          <w:lang w:val="en-AU"/>
        </w:rPr>
      </w:pPr>
      <w:r w:rsidRPr="00AD0308">
        <w:rPr>
          <w:lang w:val="en-AU"/>
        </w:rPr>
        <w:t>a</w:t>
      </w:r>
      <w:r w:rsidR="006023D5" w:rsidRPr="00AD0308">
        <w:rPr>
          <w:lang w:val="en-AU"/>
        </w:rPr>
        <w:t>dvanced innovation in food production, with a focus on export markets and local food processing</w:t>
      </w:r>
    </w:p>
    <w:p w:rsidR="00BB5AB3" w:rsidRPr="00AD0308" w:rsidRDefault="00A50F7E" w:rsidP="00AD0308">
      <w:pPr>
        <w:pStyle w:val="ListParagraph"/>
        <w:numPr>
          <w:ilvl w:val="0"/>
          <w:numId w:val="31"/>
        </w:numPr>
        <w:rPr>
          <w:lang w:val="en-AU"/>
        </w:rPr>
      </w:pPr>
      <w:r w:rsidRPr="00AD0308">
        <w:rPr>
          <w:lang w:val="en-AU"/>
        </w:rPr>
        <w:t>b</w:t>
      </w:r>
      <w:r w:rsidR="006023D5" w:rsidRPr="00AD0308">
        <w:rPr>
          <w:lang w:val="en-AU"/>
        </w:rPr>
        <w:t>usinesses and communities that are well-prepared and protected from natural hazards and climate change</w:t>
      </w:r>
    </w:p>
    <w:p w:rsidR="00633EB1" w:rsidRPr="00AD0308" w:rsidRDefault="00633EB1" w:rsidP="00AD0308">
      <w:pPr>
        <w:pStyle w:val="ListParagraph"/>
        <w:numPr>
          <w:ilvl w:val="0"/>
          <w:numId w:val="31"/>
        </w:numPr>
        <w:rPr>
          <w:lang w:val="en-AU"/>
        </w:rPr>
      </w:pPr>
      <w:r w:rsidRPr="00AD0308">
        <w:rPr>
          <w:lang w:val="en-AU"/>
        </w:rPr>
        <w:t>improved cross border and inter-regional relationships which have harnessed emerging economic development opportunities</w:t>
      </w:r>
    </w:p>
    <w:p w:rsidR="00633EB1" w:rsidRPr="00AD0308" w:rsidRDefault="00633EB1" w:rsidP="00AD0308">
      <w:pPr>
        <w:pStyle w:val="ListParagraph"/>
        <w:numPr>
          <w:ilvl w:val="0"/>
          <w:numId w:val="31"/>
        </w:numPr>
        <w:rPr>
          <w:lang w:val="en-AU"/>
        </w:rPr>
      </w:pPr>
      <w:r w:rsidRPr="00AD0308">
        <w:rPr>
          <w:lang w:val="en-AU"/>
        </w:rPr>
        <w:t>accessible infrastructure that meets the region’s growing needs for transport, utilities and community services</w:t>
      </w:r>
    </w:p>
    <w:p w:rsidR="004F0FDE" w:rsidRPr="00AD0308" w:rsidRDefault="004F0FDE" w:rsidP="00AD0308">
      <w:pPr>
        <w:pStyle w:val="ListParagraph"/>
        <w:numPr>
          <w:ilvl w:val="0"/>
          <w:numId w:val="31"/>
        </w:numPr>
        <w:rPr>
          <w:lang w:val="en-AU"/>
        </w:rPr>
      </w:pPr>
      <w:r w:rsidRPr="00AD0308">
        <w:rPr>
          <w:lang w:val="en-AU"/>
        </w:rPr>
        <w:t xml:space="preserve">road and rail upgrades that support efficient transport and access to markets </w:t>
      </w:r>
    </w:p>
    <w:p w:rsidR="00BB5AB3" w:rsidRPr="00AD0308" w:rsidRDefault="004F0FDE" w:rsidP="00AD0308">
      <w:pPr>
        <w:pStyle w:val="ListParagraph"/>
        <w:numPr>
          <w:ilvl w:val="0"/>
          <w:numId w:val="31"/>
        </w:numPr>
        <w:rPr>
          <w:lang w:val="en-AU"/>
        </w:rPr>
      </w:pPr>
      <w:r w:rsidRPr="00AD0308">
        <w:rPr>
          <w:lang w:val="en-AU"/>
        </w:rPr>
        <w:t>a range of commercial and industrial precincts located within the regional city, regional centres and towns which recognise each settlement’s role in supporting and servicing their community of interest</w:t>
      </w:r>
    </w:p>
    <w:p w:rsidR="0086595F" w:rsidRPr="00AD0308" w:rsidRDefault="00A50F7E" w:rsidP="006023D5">
      <w:pPr>
        <w:pStyle w:val="ListParagraph"/>
        <w:numPr>
          <w:ilvl w:val="0"/>
          <w:numId w:val="31"/>
        </w:numPr>
        <w:rPr>
          <w:lang w:val="en-AU"/>
        </w:rPr>
      </w:pPr>
      <w:r w:rsidRPr="00AD0308">
        <w:rPr>
          <w:lang w:val="en-AU"/>
        </w:rPr>
        <w:t>w</w:t>
      </w:r>
      <w:r w:rsidR="006023D5" w:rsidRPr="00AD0308">
        <w:rPr>
          <w:lang w:val="en-AU"/>
        </w:rPr>
        <w:t>ell managed environmental, cultural and heritage assets that are adding</w:t>
      </w:r>
      <w:r w:rsidR="00EC6644" w:rsidRPr="00AD0308">
        <w:rPr>
          <w:lang w:val="en-AU"/>
        </w:rPr>
        <w:t xml:space="preserve"> to</w:t>
      </w:r>
      <w:r w:rsidR="006023D5" w:rsidRPr="00AD0308">
        <w:rPr>
          <w:lang w:val="en-AU"/>
        </w:rPr>
        <w:t xml:space="preserve"> the region’s environment, economy and communit</w:t>
      </w:r>
      <w:r w:rsidR="002E5D66" w:rsidRPr="00AD0308">
        <w:rPr>
          <w:lang w:val="en-AU"/>
        </w:rPr>
        <w:t>y</w:t>
      </w:r>
      <w:r w:rsidR="0025067E" w:rsidRPr="00AD0308">
        <w:rPr>
          <w:lang w:val="en-AU"/>
        </w:rPr>
        <w:t>.</w:t>
      </w:r>
    </w:p>
    <w:p w:rsidR="006023D5" w:rsidRPr="00C2711D" w:rsidRDefault="006023D5" w:rsidP="006023D5">
      <w:pPr>
        <w:rPr>
          <w:sz w:val="22"/>
          <w:szCs w:val="22"/>
          <w:lang w:val="en-AU"/>
        </w:rPr>
      </w:pPr>
    </w:p>
    <w:p w:rsidR="006023D5" w:rsidRPr="00C2711D" w:rsidRDefault="006023D5" w:rsidP="006023D5">
      <w:pPr>
        <w:rPr>
          <w:sz w:val="22"/>
          <w:szCs w:val="22"/>
          <w:lang w:val="en-AU"/>
        </w:rPr>
      </w:pPr>
    </w:p>
    <w:p w:rsidR="00654644" w:rsidRPr="00C2711D" w:rsidRDefault="00654644">
      <w:pPr>
        <w:rPr>
          <w:sz w:val="22"/>
          <w:szCs w:val="22"/>
        </w:rPr>
      </w:pPr>
      <w:r w:rsidRPr="00C2711D">
        <w:rPr>
          <w:b/>
          <w:sz w:val="22"/>
          <w:szCs w:val="22"/>
        </w:rPr>
        <w:br w:type="page"/>
      </w:r>
    </w:p>
    <w:p w:rsidR="00654644" w:rsidRPr="00AD0308" w:rsidRDefault="00654644" w:rsidP="00AD0308">
      <w:pPr>
        <w:pStyle w:val="Heading1"/>
      </w:pPr>
      <w:bookmarkStart w:id="17" w:name="_Toc384209388"/>
      <w:r w:rsidRPr="00C2711D">
        <w:t>FURTHER READING AND INFORMATION</w:t>
      </w:r>
      <w:bookmarkEnd w:id="17"/>
    </w:p>
    <w:p w:rsidR="00654644" w:rsidRPr="00CC199B" w:rsidRDefault="001E7135" w:rsidP="00CC199B">
      <w:hyperlink r:id="rId18" w:history="1">
        <w:r w:rsidR="00654644" w:rsidRPr="00CC199B">
          <w:rPr>
            <w:rStyle w:val="Hyperlink"/>
          </w:rPr>
          <w:t>www.dtpli.vic.gov.au/regionalgrowthplans</w:t>
        </w:r>
      </w:hyperlink>
    </w:p>
    <w:p w:rsidR="00654644" w:rsidRPr="00C2711D" w:rsidRDefault="00654644" w:rsidP="00CC199B">
      <w:r w:rsidRPr="00C2711D">
        <w:t>Loddon Mallee North Regional Growth Plan</w:t>
      </w:r>
    </w:p>
    <w:p w:rsidR="00654644" w:rsidRPr="00C2711D" w:rsidRDefault="00654644" w:rsidP="00CC199B">
      <w:r w:rsidRPr="00C2711D">
        <w:t xml:space="preserve">Loddon Mallee North Regional Growth Plan Background </w:t>
      </w:r>
      <w:r w:rsidR="00661BC3">
        <w:t>report</w:t>
      </w:r>
    </w:p>
    <w:p w:rsidR="00240B2B" w:rsidRPr="00DB16A6" w:rsidRDefault="00654644" w:rsidP="00CC199B">
      <w:r w:rsidRPr="00C2711D">
        <w:t>Loddon Mallee Regional Strategic Plan – Northern Region</w:t>
      </w:r>
      <w:r w:rsidR="000D12CC" w:rsidRPr="00C2711D">
        <w:t xml:space="preserve"> (201</w:t>
      </w:r>
      <w:r w:rsidR="00AD0308">
        <w:t>0</w:t>
      </w:r>
      <w:r w:rsidR="00CC199B">
        <w:t>)</w:t>
      </w:r>
    </w:p>
    <w:sectPr w:rsidR="00240B2B" w:rsidRPr="00DB16A6" w:rsidSect="00554EAD">
      <w:footerReference w:type="default" r:id="rId19"/>
      <w:pgSz w:w="11900" w:h="16840"/>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DE2" w:rsidRDefault="009F6DE2" w:rsidP="00554EAD">
      <w:r>
        <w:separator/>
      </w:r>
    </w:p>
  </w:endnote>
  <w:endnote w:type="continuationSeparator" w:id="0">
    <w:p w:rsidR="009F6DE2" w:rsidRDefault="009F6DE2" w:rsidP="00554E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592" w:rsidRDefault="009E6592" w:rsidP="00612448">
    <w:pPr>
      <w:pStyle w:val="Footer"/>
      <w:tabs>
        <w:tab w:val="clear" w:pos="9026"/>
        <w:tab w:val="right" w:pos="8222"/>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592" w:rsidRDefault="009E6592" w:rsidP="00612448">
    <w:pPr>
      <w:pStyle w:val="Footer"/>
      <w:tabs>
        <w:tab w:val="clear" w:pos="9026"/>
        <w:tab w:val="right" w:pos="8222"/>
      </w:tabs>
    </w:pPr>
    <w:r w:rsidRPr="00612448">
      <w:rPr>
        <w:sz w:val="20"/>
        <w:szCs w:val="20"/>
      </w:rPr>
      <w:t xml:space="preserve">Loddon Mallee North Regional Growth Plan Summary </w:t>
    </w:r>
    <w:sdt>
      <w:sdtPr>
        <w:rPr>
          <w:sz w:val="20"/>
          <w:szCs w:val="20"/>
        </w:rPr>
        <w:id w:val="2372529"/>
        <w:docPartObj>
          <w:docPartGallery w:val="Page Numbers (Bottom of Page)"/>
          <w:docPartUnique/>
        </w:docPartObj>
      </w:sdtPr>
      <w:sdtContent>
        <w:r>
          <w:rPr>
            <w:sz w:val="20"/>
            <w:szCs w:val="20"/>
          </w:rPr>
          <w:tab/>
        </w:r>
        <w:r w:rsidR="001E7135">
          <w:rPr>
            <w:sz w:val="20"/>
            <w:szCs w:val="20"/>
          </w:rPr>
          <w:fldChar w:fldCharType="begin"/>
        </w:r>
        <w:r>
          <w:rPr>
            <w:sz w:val="20"/>
            <w:szCs w:val="20"/>
          </w:rPr>
          <w:instrText xml:space="preserve"> PAGE  \* roman  \* MERGEFORMAT </w:instrText>
        </w:r>
        <w:r w:rsidR="001E7135">
          <w:rPr>
            <w:sz w:val="20"/>
            <w:szCs w:val="20"/>
          </w:rPr>
          <w:fldChar w:fldCharType="separate"/>
        </w:r>
        <w:r w:rsidR="002F4123">
          <w:rPr>
            <w:noProof/>
            <w:sz w:val="20"/>
            <w:szCs w:val="20"/>
          </w:rPr>
          <w:t>ii</w:t>
        </w:r>
        <w:r w:rsidR="001E7135">
          <w:rPr>
            <w:sz w:val="20"/>
            <w:szCs w:val="20"/>
          </w:rPr>
          <w:fldChar w:fldCharType="end"/>
        </w:r>
      </w:sdtContent>
    </w:sdt>
  </w:p>
  <w:p w:rsidR="009E6592" w:rsidRDefault="009E6592" w:rsidP="00612448">
    <w:pPr>
      <w:pStyle w:val="Footer"/>
      <w:tabs>
        <w:tab w:val="clear" w:pos="9026"/>
        <w:tab w:val="right" w:pos="8222"/>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9B" w:rsidRDefault="00CC199B" w:rsidP="00CC199B">
    <w:pPr>
      <w:pStyle w:val="Footer"/>
    </w:pPr>
    <w:r w:rsidRPr="00612448">
      <w:rPr>
        <w:sz w:val="20"/>
        <w:szCs w:val="20"/>
      </w:rPr>
      <w:t xml:space="preserve">Loddon Mallee North Regional Growth Plan Summary </w:t>
    </w:r>
    <w:sdt>
      <w:sdtPr>
        <w:id w:val="155738585"/>
        <w:docPartObj>
          <w:docPartGallery w:val="Page Numbers (Bottom of Page)"/>
          <w:docPartUnique/>
        </w:docPartObj>
      </w:sdtPr>
      <w:sdtEndPr>
        <w:rPr>
          <w:noProof/>
        </w:rPr>
      </w:sdtEndPr>
      <w:sdtContent>
        <w:r>
          <w:tab/>
        </w:r>
        <w:r w:rsidR="001E7135" w:rsidRPr="00CC199B">
          <w:rPr>
            <w:sz w:val="20"/>
            <w:szCs w:val="20"/>
          </w:rPr>
          <w:fldChar w:fldCharType="begin"/>
        </w:r>
        <w:r w:rsidRPr="00CC199B">
          <w:rPr>
            <w:sz w:val="20"/>
            <w:szCs w:val="20"/>
          </w:rPr>
          <w:instrText xml:space="preserve"> PAGE   \* MERGEFORMAT </w:instrText>
        </w:r>
        <w:r w:rsidR="001E7135" w:rsidRPr="00CC199B">
          <w:rPr>
            <w:sz w:val="20"/>
            <w:szCs w:val="20"/>
          </w:rPr>
          <w:fldChar w:fldCharType="separate"/>
        </w:r>
        <w:r w:rsidR="002F4123">
          <w:rPr>
            <w:noProof/>
            <w:sz w:val="20"/>
            <w:szCs w:val="20"/>
          </w:rPr>
          <w:t>13</w:t>
        </w:r>
        <w:r w:rsidR="001E7135" w:rsidRPr="00CC199B">
          <w:rPr>
            <w:noProof/>
            <w:sz w:val="20"/>
            <w:szCs w:val="20"/>
          </w:rPr>
          <w:fldChar w:fldCharType="end"/>
        </w:r>
      </w:sdtContent>
    </w:sdt>
  </w:p>
  <w:p w:rsidR="009E6592" w:rsidRDefault="009E6592" w:rsidP="00612448">
    <w:pPr>
      <w:pStyle w:val="Footer"/>
      <w:tabs>
        <w:tab w:val="clear" w:pos="9026"/>
        <w:tab w:val="right" w:pos="822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DE2" w:rsidRDefault="009F6DE2" w:rsidP="00554EAD">
      <w:r>
        <w:separator/>
      </w:r>
    </w:p>
  </w:footnote>
  <w:footnote w:type="continuationSeparator" w:id="0">
    <w:p w:rsidR="009F6DE2" w:rsidRDefault="009F6DE2" w:rsidP="00554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592" w:rsidRPr="00554EAD" w:rsidRDefault="009E6592" w:rsidP="00612448">
    <w:pPr>
      <w:pStyle w:val="Header"/>
      <w:rPr>
        <w:rFonts w:ascii="Tahoma" w:hAnsi="Tahoma" w:cs="Tahoma"/>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A2007A8"/>
    <w:lvl w:ilvl="0">
      <w:start w:val="1"/>
      <w:numFmt w:val="bullet"/>
      <w:pStyle w:val="ListNumber"/>
      <w:lvlText w:val=""/>
      <w:lvlJc w:val="left"/>
      <w:pPr>
        <w:tabs>
          <w:tab w:val="num" w:pos="851"/>
        </w:tabs>
        <w:ind w:left="851" w:hanging="397"/>
      </w:pPr>
      <w:rPr>
        <w:rFonts w:ascii="Symbol" w:hAnsi="Symbol" w:hint="default"/>
        <w:color w:val="auto"/>
      </w:rPr>
    </w:lvl>
  </w:abstractNum>
  <w:abstractNum w:abstractNumId="1">
    <w:nsid w:val="03994531"/>
    <w:multiLevelType w:val="hybridMultilevel"/>
    <w:tmpl w:val="52889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DC28BC"/>
    <w:multiLevelType w:val="hybridMultilevel"/>
    <w:tmpl w:val="69124658"/>
    <w:lvl w:ilvl="0" w:tplc="C4DA61D6">
      <w:start w:val="1"/>
      <w:numFmt w:val="bullet"/>
      <w:pStyle w:val="bt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7A4D65"/>
    <w:multiLevelType w:val="hybridMultilevel"/>
    <w:tmpl w:val="E05CA2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0B335D3"/>
    <w:multiLevelType w:val="hybridMultilevel"/>
    <w:tmpl w:val="4656D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0F0509B"/>
    <w:multiLevelType w:val="hybridMultilevel"/>
    <w:tmpl w:val="1BCCC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992939"/>
    <w:multiLevelType w:val="hybridMultilevel"/>
    <w:tmpl w:val="9DCE8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364C19"/>
    <w:multiLevelType w:val="hybridMultilevel"/>
    <w:tmpl w:val="43F44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1E1FF3"/>
    <w:multiLevelType w:val="hybridMultilevel"/>
    <w:tmpl w:val="EB70C6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DCB7283"/>
    <w:multiLevelType w:val="hybridMultilevel"/>
    <w:tmpl w:val="04F207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DFE2037"/>
    <w:multiLevelType w:val="hybridMultilevel"/>
    <w:tmpl w:val="4BFA3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733A2C"/>
    <w:multiLevelType w:val="hybridMultilevel"/>
    <w:tmpl w:val="DE84F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8CE423D"/>
    <w:multiLevelType w:val="hybridMultilevel"/>
    <w:tmpl w:val="9BA2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93A0AF4"/>
    <w:multiLevelType w:val="hybridMultilevel"/>
    <w:tmpl w:val="28A255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B5E2228"/>
    <w:multiLevelType w:val="hybridMultilevel"/>
    <w:tmpl w:val="10AE3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24F72E2"/>
    <w:multiLevelType w:val="multilevel"/>
    <w:tmpl w:val="4BE85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4F21BBA"/>
    <w:multiLevelType w:val="hybridMultilevel"/>
    <w:tmpl w:val="B514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461346"/>
    <w:multiLevelType w:val="hybridMultilevel"/>
    <w:tmpl w:val="25DEF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E73424"/>
    <w:multiLevelType w:val="hybridMultilevel"/>
    <w:tmpl w:val="FF006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F16389"/>
    <w:multiLevelType w:val="hybridMultilevel"/>
    <w:tmpl w:val="B2A4D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C73766C"/>
    <w:multiLevelType w:val="hybridMultilevel"/>
    <w:tmpl w:val="999434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DD334C9"/>
    <w:multiLevelType w:val="hybridMultilevel"/>
    <w:tmpl w:val="A4E21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275FB3"/>
    <w:multiLevelType w:val="hybridMultilevel"/>
    <w:tmpl w:val="1CE8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1C03DF5"/>
    <w:multiLevelType w:val="hybridMultilevel"/>
    <w:tmpl w:val="5DC815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5FD6CE8"/>
    <w:multiLevelType w:val="hybridMultilevel"/>
    <w:tmpl w:val="52D87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6547342"/>
    <w:multiLevelType w:val="hybridMultilevel"/>
    <w:tmpl w:val="EEE8D3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6D9630B"/>
    <w:multiLevelType w:val="hybridMultilevel"/>
    <w:tmpl w:val="3C5613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978740F"/>
    <w:multiLevelType w:val="hybridMultilevel"/>
    <w:tmpl w:val="4DC28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FFD169F"/>
    <w:multiLevelType w:val="hybridMultilevel"/>
    <w:tmpl w:val="1EFAD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3D20382"/>
    <w:multiLevelType w:val="hybridMultilevel"/>
    <w:tmpl w:val="8EDC3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7900ECA"/>
    <w:multiLevelType w:val="hybridMultilevel"/>
    <w:tmpl w:val="1DA6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24"/>
  </w:num>
  <w:num w:numId="4">
    <w:abstractNumId w:val="0"/>
  </w:num>
  <w:num w:numId="5">
    <w:abstractNumId w:val="18"/>
  </w:num>
  <w:num w:numId="6">
    <w:abstractNumId w:val="21"/>
  </w:num>
  <w:num w:numId="7">
    <w:abstractNumId w:val="17"/>
  </w:num>
  <w:num w:numId="8">
    <w:abstractNumId w:val="2"/>
  </w:num>
  <w:num w:numId="9">
    <w:abstractNumId w:val="14"/>
  </w:num>
  <w:num w:numId="10">
    <w:abstractNumId w:val="6"/>
  </w:num>
  <w:num w:numId="11">
    <w:abstractNumId w:val="26"/>
  </w:num>
  <w:num w:numId="12">
    <w:abstractNumId w:val="10"/>
  </w:num>
  <w:num w:numId="13">
    <w:abstractNumId w:val="13"/>
  </w:num>
  <w:num w:numId="14">
    <w:abstractNumId w:val="3"/>
  </w:num>
  <w:num w:numId="15">
    <w:abstractNumId w:val="9"/>
  </w:num>
  <w:num w:numId="16">
    <w:abstractNumId w:val="19"/>
  </w:num>
  <w:num w:numId="17">
    <w:abstractNumId w:val="15"/>
  </w:num>
  <w:num w:numId="18">
    <w:abstractNumId w:val="25"/>
  </w:num>
  <w:num w:numId="19">
    <w:abstractNumId w:val="8"/>
  </w:num>
  <w:num w:numId="20">
    <w:abstractNumId w:val="23"/>
  </w:num>
  <w:num w:numId="21">
    <w:abstractNumId w:val="5"/>
  </w:num>
  <w:num w:numId="22">
    <w:abstractNumId w:val="11"/>
  </w:num>
  <w:num w:numId="23">
    <w:abstractNumId w:val="27"/>
  </w:num>
  <w:num w:numId="24">
    <w:abstractNumId w:val="28"/>
  </w:num>
  <w:num w:numId="25">
    <w:abstractNumId w:val="29"/>
  </w:num>
  <w:num w:numId="26">
    <w:abstractNumId w:val="22"/>
  </w:num>
  <w:num w:numId="27">
    <w:abstractNumId w:val="20"/>
  </w:num>
  <w:num w:numId="28">
    <w:abstractNumId w:val="4"/>
  </w:num>
  <w:num w:numId="29">
    <w:abstractNumId w:val="7"/>
  </w:num>
  <w:num w:numId="30">
    <w:abstractNumId w:val="1"/>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
  <w:rsids>
    <w:rsidRoot w:val="00565010"/>
    <w:rsid w:val="00013345"/>
    <w:rsid w:val="00023BA4"/>
    <w:rsid w:val="00032A19"/>
    <w:rsid w:val="00052ED3"/>
    <w:rsid w:val="000553D8"/>
    <w:rsid w:val="000673A4"/>
    <w:rsid w:val="00076BE3"/>
    <w:rsid w:val="000862E1"/>
    <w:rsid w:val="000970FB"/>
    <w:rsid w:val="000A23D2"/>
    <w:rsid w:val="000D12CC"/>
    <w:rsid w:val="000D1B98"/>
    <w:rsid w:val="00103DA8"/>
    <w:rsid w:val="00105C02"/>
    <w:rsid w:val="001205CB"/>
    <w:rsid w:val="00121C6D"/>
    <w:rsid w:val="00130892"/>
    <w:rsid w:val="00131EFA"/>
    <w:rsid w:val="00131F1E"/>
    <w:rsid w:val="0014048B"/>
    <w:rsid w:val="00142BAC"/>
    <w:rsid w:val="0015711E"/>
    <w:rsid w:val="001737C7"/>
    <w:rsid w:val="00190123"/>
    <w:rsid w:val="00197153"/>
    <w:rsid w:val="001A1C78"/>
    <w:rsid w:val="001A5C66"/>
    <w:rsid w:val="001B490A"/>
    <w:rsid w:val="001C0E68"/>
    <w:rsid w:val="001C338C"/>
    <w:rsid w:val="001D77CB"/>
    <w:rsid w:val="001E6471"/>
    <w:rsid w:val="001E7135"/>
    <w:rsid w:val="001F3DAD"/>
    <w:rsid w:val="00214B58"/>
    <w:rsid w:val="00215562"/>
    <w:rsid w:val="00231C2A"/>
    <w:rsid w:val="00240B2B"/>
    <w:rsid w:val="0025067E"/>
    <w:rsid w:val="00255FD1"/>
    <w:rsid w:val="00266549"/>
    <w:rsid w:val="0026678C"/>
    <w:rsid w:val="00266C3C"/>
    <w:rsid w:val="00274B63"/>
    <w:rsid w:val="00293769"/>
    <w:rsid w:val="0029446E"/>
    <w:rsid w:val="002A00C6"/>
    <w:rsid w:val="002B7D54"/>
    <w:rsid w:val="002C23B3"/>
    <w:rsid w:val="002C6A5C"/>
    <w:rsid w:val="002D38D3"/>
    <w:rsid w:val="002E573E"/>
    <w:rsid w:val="002E5D66"/>
    <w:rsid w:val="002F2495"/>
    <w:rsid w:val="002F2D11"/>
    <w:rsid w:val="002F4123"/>
    <w:rsid w:val="003051CE"/>
    <w:rsid w:val="00305942"/>
    <w:rsid w:val="00310CA3"/>
    <w:rsid w:val="00311751"/>
    <w:rsid w:val="00323D56"/>
    <w:rsid w:val="0032423D"/>
    <w:rsid w:val="003312A1"/>
    <w:rsid w:val="003331C4"/>
    <w:rsid w:val="00333A1F"/>
    <w:rsid w:val="00334745"/>
    <w:rsid w:val="0033520D"/>
    <w:rsid w:val="0033627A"/>
    <w:rsid w:val="003372EF"/>
    <w:rsid w:val="00341974"/>
    <w:rsid w:val="00391181"/>
    <w:rsid w:val="003B2AFA"/>
    <w:rsid w:val="003C2745"/>
    <w:rsid w:val="003E2B0D"/>
    <w:rsid w:val="003E6C6E"/>
    <w:rsid w:val="003E78EE"/>
    <w:rsid w:val="003F1DDC"/>
    <w:rsid w:val="003F57F8"/>
    <w:rsid w:val="004139D4"/>
    <w:rsid w:val="00422415"/>
    <w:rsid w:val="00423F5C"/>
    <w:rsid w:val="004303B9"/>
    <w:rsid w:val="0044397A"/>
    <w:rsid w:val="00467198"/>
    <w:rsid w:val="00490650"/>
    <w:rsid w:val="004A1587"/>
    <w:rsid w:val="004A608E"/>
    <w:rsid w:val="004B7931"/>
    <w:rsid w:val="004C59ED"/>
    <w:rsid w:val="004C7494"/>
    <w:rsid w:val="004D28F5"/>
    <w:rsid w:val="004F0FDE"/>
    <w:rsid w:val="005003DB"/>
    <w:rsid w:val="00502855"/>
    <w:rsid w:val="00503CFF"/>
    <w:rsid w:val="00516CBC"/>
    <w:rsid w:val="00517C95"/>
    <w:rsid w:val="00522462"/>
    <w:rsid w:val="00522514"/>
    <w:rsid w:val="00526E83"/>
    <w:rsid w:val="00542380"/>
    <w:rsid w:val="00554EAD"/>
    <w:rsid w:val="005607C3"/>
    <w:rsid w:val="00565010"/>
    <w:rsid w:val="00565173"/>
    <w:rsid w:val="005722A4"/>
    <w:rsid w:val="0057261D"/>
    <w:rsid w:val="005758C3"/>
    <w:rsid w:val="00581335"/>
    <w:rsid w:val="005848E2"/>
    <w:rsid w:val="0059502B"/>
    <w:rsid w:val="00595481"/>
    <w:rsid w:val="005A0353"/>
    <w:rsid w:val="005A107C"/>
    <w:rsid w:val="005B10CB"/>
    <w:rsid w:val="005C260A"/>
    <w:rsid w:val="005C3848"/>
    <w:rsid w:val="005D439E"/>
    <w:rsid w:val="005E3483"/>
    <w:rsid w:val="005E3D70"/>
    <w:rsid w:val="006023D5"/>
    <w:rsid w:val="00612448"/>
    <w:rsid w:val="006159CF"/>
    <w:rsid w:val="00633EB1"/>
    <w:rsid w:val="00636578"/>
    <w:rsid w:val="00643127"/>
    <w:rsid w:val="00643D09"/>
    <w:rsid w:val="00654644"/>
    <w:rsid w:val="0065494F"/>
    <w:rsid w:val="00661BC3"/>
    <w:rsid w:val="00664C8F"/>
    <w:rsid w:val="00666EAA"/>
    <w:rsid w:val="006779B9"/>
    <w:rsid w:val="00690ED2"/>
    <w:rsid w:val="00692F37"/>
    <w:rsid w:val="006A0904"/>
    <w:rsid w:val="006A2B7C"/>
    <w:rsid w:val="006A465A"/>
    <w:rsid w:val="006B3C9C"/>
    <w:rsid w:val="006D2AA6"/>
    <w:rsid w:val="006D4788"/>
    <w:rsid w:val="006D48F4"/>
    <w:rsid w:val="006D5D25"/>
    <w:rsid w:val="006D63AB"/>
    <w:rsid w:val="006E10F0"/>
    <w:rsid w:val="006E5CAC"/>
    <w:rsid w:val="00710CA0"/>
    <w:rsid w:val="00724C27"/>
    <w:rsid w:val="007273FD"/>
    <w:rsid w:val="007750FD"/>
    <w:rsid w:val="00777B83"/>
    <w:rsid w:val="00794983"/>
    <w:rsid w:val="007A0AB8"/>
    <w:rsid w:val="007A54C7"/>
    <w:rsid w:val="007B68D5"/>
    <w:rsid w:val="007C1639"/>
    <w:rsid w:val="007C6A9D"/>
    <w:rsid w:val="007D1EAA"/>
    <w:rsid w:val="007E4940"/>
    <w:rsid w:val="007F0061"/>
    <w:rsid w:val="007F0567"/>
    <w:rsid w:val="00802F77"/>
    <w:rsid w:val="00807561"/>
    <w:rsid w:val="00820A9F"/>
    <w:rsid w:val="00837692"/>
    <w:rsid w:val="008442A4"/>
    <w:rsid w:val="00850A78"/>
    <w:rsid w:val="00851AEC"/>
    <w:rsid w:val="00853CAD"/>
    <w:rsid w:val="00854F9C"/>
    <w:rsid w:val="00860DAA"/>
    <w:rsid w:val="008612D2"/>
    <w:rsid w:val="00862982"/>
    <w:rsid w:val="0086595F"/>
    <w:rsid w:val="00871199"/>
    <w:rsid w:val="00876834"/>
    <w:rsid w:val="008A4951"/>
    <w:rsid w:val="008B450E"/>
    <w:rsid w:val="008C268C"/>
    <w:rsid w:val="008D1EEF"/>
    <w:rsid w:val="008E4854"/>
    <w:rsid w:val="008E5453"/>
    <w:rsid w:val="008E7EF6"/>
    <w:rsid w:val="00910F58"/>
    <w:rsid w:val="0091403D"/>
    <w:rsid w:val="00917B48"/>
    <w:rsid w:val="009213B0"/>
    <w:rsid w:val="00933BAE"/>
    <w:rsid w:val="00934FF2"/>
    <w:rsid w:val="009403CA"/>
    <w:rsid w:val="00947FAE"/>
    <w:rsid w:val="00950D8B"/>
    <w:rsid w:val="009719BE"/>
    <w:rsid w:val="00984477"/>
    <w:rsid w:val="009952EF"/>
    <w:rsid w:val="009A4C1A"/>
    <w:rsid w:val="009E006C"/>
    <w:rsid w:val="009E6592"/>
    <w:rsid w:val="009F2EE2"/>
    <w:rsid w:val="009F44F5"/>
    <w:rsid w:val="009F6DE2"/>
    <w:rsid w:val="00A11DD1"/>
    <w:rsid w:val="00A12C38"/>
    <w:rsid w:val="00A15B5A"/>
    <w:rsid w:val="00A41D80"/>
    <w:rsid w:val="00A47DA6"/>
    <w:rsid w:val="00A50F7E"/>
    <w:rsid w:val="00A543E2"/>
    <w:rsid w:val="00A55586"/>
    <w:rsid w:val="00A934FF"/>
    <w:rsid w:val="00AB27A5"/>
    <w:rsid w:val="00AB2956"/>
    <w:rsid w:val="00AB530C"/>
    <w:rsid w:val="00AC2D86"/>
    <w:rsid w:val="00AD0308"/>
    <w:rsid w:val="00AD4081"/>
    <w:rsid w:val="00AD7B71"/>
    <w:rsid w:val="00AE394C"/>
    <w:rsid w:val="00AF7450"/>
    <w:rsid w:val="00B07453"/>
    <w:rsid w:val="00B22E0C"/>
    <w:rsid w:val="00B2357F"/>
    <w:rsid w:val="00B26C5E"/>
    <w:rsid w:val="00B3084A"/>
    <w:rsid w:val="00B5095A"/>
    <w:rsid w:val="00B54BAE"/>
    <w:rsid w:val="00B60C71"/>
    <w:rsid w:val="00B766C9"/>
    <w:rsid w:val="00B84BFA"/>
    <w:rsid w:val="00B85C38"/>
    <w:rsid w:val="00B96B73"/>
    <w:rsid w:val="00BA2A71"/>
    <w:rsid w:val="00BA3761"/>
    <w:rsid w:val="00BA45D5"/>
    <w:rsid w:val="00BB5AB3"/>
    <w:rsid w:val="00BD6A1F"/>
    <w:rsid w:val="00BE1CAC"/>
    <w:rsid w:val="00BE36F9"/>
    <w:rsid w:val="00BE7A9D"/>
    <w:rsid w:val="00BF01C0"/>
    <w:rsid w:val="00C0095D"/>
    <w:rsid w:val="00C13DA3"/>
    <w:rsid w:val="00C22C39"/>
    <w:rsid w:val="00C2711D"/>
    <w:rsid w:val="00C33FDC"/>
    <w:rsid w:val="00C43108"/>
    <w:rsid w:val="00C4465F"/>
    <w:rsid w:val="00C44C5B"/>
    <w:rsid w:val="00C54DCD"/>
    <w:rsid w:val="00C65BE6"/>
    <w:rsid w:val="00C672FD"/>
    <w:rsid w:val="00C72BFB"/>
    <w:rsid w:val="00C85865"/>
    <w:rsid w:val="00C9285D"/>
    <w:rsid w:val="00C94439"/>
    <w:rsid w:val="00C96267"/>
    <w:rsid w:val="00C9711E"/>
    <w:rsid w:val="00CA274E"/>
    <w:rsid w:val="00CA2DFC"/>
    <w:rsid w:val="00CA6856"/>
    <w:rsid w:val="00CB337D"/>
    <w:rsid w:val="00CC199B"/>
    <w:rsid w:val="00CD079E"/>
    <w:rsid w:val="00CD585B"/>
    <w:rsid w:val="00CE2750"/>
    <w:rsid w:val="00CE2E5C"/>
    <w:rsid w:val="00CE5D2D"/>
    <w:rsid w:val="00CF3BDB"/>
    <w:rsid w:val="00D10228"/>
    <w:rsid w:val="00D1070F"/>
    <w:rsid w:val="00D16756"/>
    <w:rsid w:val="00D175AC"/>
    <w:rsid w:val="00D203ED"/>
    <w:rsid w:val="00D2310A"/>
    <w:rsid w:val="00D328E0"/>
    <w:rsid w:val="00D45C17"/>
    <w:rsid w:val="00D46D41"/>
    <w:rsid w:val="00D46E34"/>
    <w:rsid w:val="00D90659"/>
    <w:rsid w:val="00D9548F"/>
    <w:rsid w:val="00DB0089"/>
    <w:rsid w:val="00DB16A6"/>
    <w:rsid w:val="00DC2824"/>
    <w:rsid w:val="00DC66B8"/>
    <w:rsid w:val="00DD4C98"/>
    <w:rsid w:val="00DD688A"/>
    <w:rsid w:val="00DE5822"/>
    <w:rsid w:val="00DE6F0D"/>
    <w:rsid w:val="00DF1387"/>
    <w:rsid w:val="00DF35EF"/>
    <w:rsid w:val="00DF3B5B"/>
    <w:rsid w:val="00DF4420"/>
    <w:rsid w:val="00DF708C"/>
    <w:rsid w:val="00E105C2"/>
    <w:rsid w:val="00E13037"/>
    <w:rsid w:val="00E13EFF"/>
    <w:rsid w:val="00E147B5"/>
    <w:rsid w:val="00E259E5"/>
    <w:rsid w:val="00E3119A"/>
    <w:rsid w:val="00E35D8E"/>
    <w:rsid w:val="00E45CDE"/>
    <w:rsid w:val="00E534FC"/>
    <w:rsid w:val="00E5545E"/>
    <w:rsid w:val="00E61172"/>
    <w:rsid w:val="00E65A4E"/>
    <w:rsid w:val="00E662C1"/>
    <w:rsid w:val="00E83983"/>
    <w:rsid w:val="00E905CC"/>
    <w:rsid w:val="00E917A1"/>
    <w:rsid w:val="00E9599E"/>
    <w:rsid w:val="00E97524"/>
    <w:rsid w:val="00E97554"/>
    <w:rsid w:val="00EA295D"/>
    <w:rsid w:val="00EA72AB"/>
    <w:rsid w:val="00EB2E91"/>
    <w:rsid w:val="00EC1A2B"/>
    <w:rsid w:val="00EC2017"/>
    <w:rsid w:val="00EC58B1"/>
    <w:rsid w:val="00EC6644"/>
    <w:rsid w:val="00ED5158"/>
    <w:rsid w:val="00ED59A1"/>
    <w:rsid w:val="00ED5E9D"/>
    <w:rsid w:val="00EE2D64"/>
    <w:rsid w:val="00EE3CEC"/>
    <w:rsid w:val="00EE53B9"/>
    <w:rsid w:val="00EF4277"/>
    <w:rsid w:val="00F02143"/>
    <w:rsid w:val="00F21FDB"/>
    <w:rsid w:val="00F25118"/>
    <w:rsid w:val="00F42C08"/>
    <w:rsid w:val="00F4485C"/>
    <w:rsid w:val="00F45B7D"/>
    <w:rsid w:val="00F468F2"/>
    <w:rsid w:val="00F4761C"/>
    <w:rsid w:val="00F513BD"/>
    <w:rsid w:val="00F53E53"/>
    <w:rsid w:val="00F57C45"/>
    <w:rsid w:val="00F602F3"/>
    <w:rsid w:val="00F614EC"/>
    <w:rsid w:val="00F6335D"/>
    <w:rsid w:val="00F6402F"/>
    <w:rsid w:val="00F742C9"/>
    <w:rsid w:val="00F77394"/>
    <w:rsid w:val="00F82528"/>
    <w:rsid w:val="00F85317"/>
    <w:rsid w:val="00F8678E"/>
    <w:rsid w:val="00F97912"/>
    <w:rsid w:val="00FA4EC6"/>
    <w:rsid w:val="00FA7D9E"/>
    <w:rsid w:val="00FB4911"/>
    <w:rsid w:val="00FC016B"/>
    <w:rsid w:val="00FC0487"/>
    <w:rsid w:val="00FC4499"/>
    <w:rsid w:val="00FD4792"/>
    <w:rsid w:val="00FD5C34"/>
    <w:rsid w:val="00FE1CEC"/>
    <w:rsid w:val="00FE1F6B"/>
    <w:rsid w:val="00FE4239"/>
    <w:rsid w:val="00FE7B4D"/>
    <w:rsid w:val="00FF206F"/>
    <w:rsid w:val="00FF2EBE"/>
    <w:rsid w:val="00FF6BC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81"/>
    <w:pPr>
      <w:spacing w:after="200" w:line="276" w:lineRule="auto"/>
    </w:pPr>
  </w:style>
  <w:style w:type="paragraph" w:styleId="Heading1">
    <w:name w:val="heading 1"/>
    <w:basedOn w:val="Normal"/>
    <w:next w:val="Normal"/>
    <w:link w:val="Heading1Char"/>
    <w:uiPriority w:val="9"/>
    <w:qFormat/>
    <w:rsid w:val="00710C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0C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35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3627A"/>
    <w:pPr>
      <w:spacing w:before="360" w:after="120"/>
      <w:outlineLvl w:val="3"/>
    </w:pPr>
    <w:rPr>
      <w:rFonts w:ascii="Calibri" w:eastAsia="Calibri" w:hAnsi="Calibri" w:cstheme="minorHAnsi"/>
      <w:b/>
      <w:bCs/>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228"/>
    <w:pPr>
      <w:ind w:left="720"/>
      <w:contextualSpacing/>
    </w:pPr>
  </w:style>
  <w:style w:type="paragraph" w:styleId="BalloonText">
    <w:name w:val="Balloon Text"/>
    <w:basedOn w:val="Normal"/>
    <w:link w:val="BalloonTextChar"/>
    <w:uiPriority w:val="99"/>
    <w:semiHidden/>
    <w:unhideWhenUsed/>
    <w:rsid w:val="00F21FDB"/>
    <w:rPr>
      <w:rFonts w:ascii="Tahoma" w:hAnsi="Tahoma" w:cs="Tahoma"/>
      <w:sz w:val="16"/>
      <w:szCs w:val="16"/>
    </w:rPr>
  </w:style>
  <w:style w:type="character" w:customStyle="1" w:styleId="BalloonTextChar">
    <w:name w:val="Balloon Text Char"/>
    <w:basedOn w:val="DefaultParagraphFont"/>
    <w:link w:val="BalloonText"/>
    <w:uiPriority w:val="99"/>
    <w:semiHidden/>
    <w:rsid w:val="00F21FDB"/>
    <w:rPr>
      <w:rFonts w:ascii="Tahoma" w:hAnsi="Tahoma" w:cs="Tahoma"/>
      <w:sz w:val="16"/>
      <w:szCs w:val="16"/>
    </w:rPr>
  </w:style>
  <w:style w:type="paragraph" w:styleId="Header">
    <w:name w:val="header"/>
    <w:basedOn w:val="Normal"/>
    <w:link w:val="HeaderChar"/>
    <w:uiPriority w:val="99"/>
    <w:unhideWhenUsed/>
    <w:rsid w:val="00554EAD"/>
    <w:pPr>
      <w:tabs>
        <w:tab w:val="center" w:pos="4513"/>
        <w:tab w:val="right" w:pos="9026"/>
      </w:tabs>
    </w:pPr>
  </w:style>
  <w:style w:type="character" w:customStyle="1" w:styleId="HeaderChar">
    <w:name w:val="Header Char"/>
    <w:basedOn w:val="DefaultParagraphFont"/>
    <w:link w:val="Header"/>
    <w:uiPriority w:val="99"/>
    <w:rsid w:val="00554EAD"/>
  </w:style>
  <w:style w:type="paragraph" w:styleId="Footer">
    <w:name w:val="footer"/>
    <w:basedOn w:val="Normal"/>
    <w:link w:val="FooterChar"/>
    <w:uiPriority w:val="99"/>
    <w:unhideWhenUsed/>
    <w:rsid w:val="00554EAD"/>
    <w:pPr>
      <w:tabs>
        <w:tab w:val="center" w:pos="4513"/>
        <w:tab w:val="right" w:pos="9026"/>
      </w:tabs>
    </w:pPr>
  </w:style>
  <w:style w:type="character" w:customStyle="1" w:styleId="FooterChar">
    <w:name w:val="Footer Char"/>
    <w:basedOn w:val="DefaultParagraphFont"/>
    <w:link w:val="Footer"/>
    <w:uiPriority w:val="99"/>
    <w:rsid w:val="00554EAD"/>
  </w:style>
  <w:style w:type="character" w:customStyle="1" w:styleId="Heading4Char">
    <w:name w:val="Heading 4 Char"/>
    <w:basedOn w:val="DefaultParagraphFont"/>
    <w:link w:val="Heading4"/>
    <w:rsid w:val="0033627A"/>
    <w:rPr>
      <w:rFonts w:ascii="Calibri" w:eastAsia="Calibri" w:hAnsi="Calibri" w:cstheme="minorHAnsi"/>
      <w:b/>
      <w:bCs/>
      <w:sz w:val="22"/>
      <w:szCs w:val="22"/>
      <w:lang w:val="en-AU" w:eastAsia="en-AU"/>
    </w:rPr>
  </w:style>
  <w:style w:type="character" w:styleId="Strong">
    <w:name w:val="Strong"/>
    <w:basedOn w:val="DefaultParagraphFont"/>
    <w:qFormat/>
    <w:rsid w:val="0033627A"/>
    <w:rPr>
      <w:b/>
      <w:bCs/>
    </w:rPr>
  </w:style>
  <w:style w:type="paragraph" w:styleId="ListNumber">
    <w:name w:val="List Number"/>
    <w:basedOn w:val="Normal"/>
    <w:uiPriority w:val="99"/>
    <w:qFormat/>
    <w:rsid w:val="0033627A"/>
    <w:pPr>
      <w:numPr>
        <w:numId w:val="4"/>
      </w:numPr>
      <w:tabs>
        <w:tab w:val="num" w:pos="1209"/>
      </w:tabs>
      <w:spacing w:before="180" w:after="240" w:line="270" w:lineRule="exact"/>
      <w:ind w:hanging="284"/>
    </w:pPr>
    <w:rPr>
      <w:rFonts w:ascii="Calibri" w:eastAsia="Calibri" w:hAnsi="Calibri" w:cs="Calibri"/>
      <w:sz w:val="20"/>
      <w:szCs w:val="20"/>
      <w:lang w:val="en-AU" w:eastAsia="en-AU"/>
    </w:rPr>
  </w:style>
  <w:style w:type="paragraph" w:customStyle="1" w:styleId="bt">
    <w:name w:val="bt"/>
    <w:link w:val="btChar"/>
    <w:qFormat/>
    <w:rsid w:val="002C6A5C"/>
    <w:pPr>
      <w:spacing w:before="180" w:after="240" w:line="270" w:lineRule="exact"/>
    </w:pPr>
    <w:rPr>
      <w:rFonts w:ascii="Calibri" w:eastAsia="Calibri" w:hAnsi="Calibri" w:cs="Calibri"/>
      <w:sz w:val="20"/>
      <w:szCs w:val="20"/>
      <w:lang w:val="en-AU" w:eastAsia="en-AU"/>
    </w:rPr>
  </w:style>
  <w:style w:type="character" w:customStyle="1" w:styleId="btChar">
    <w:name w:val="bt Char"/>
    <w:basedOn w:val="DefaultParagraphFont"/>
    <w:link w:val="bt"/>
    <w:locked/>
    <w:rsid w:val="002C6A5C"/>
    <w:rPr>
      <w:rFonts w:ascii="Calibri" w:eastAsia="Calibri" w:hAnsi="Calibri" w:cs="Calibri"/>
      <w:sz w:val="20"/>
      <w:szCs w:val="20"/>
      <w:lang w:val="en-AU" w:eastAsia="en-AU"/>
    </w:rPr>
  </w:style>
  <w:style w:type="paragraph" w:styleId="FootnoteText">
    <w:name w:val="footnote text"/>
    <w:basedOn w:val="Normal"/>
    <w:link w:val="FootnoteTextChar"/>
    <w:uiPriority w:val="99"/>
    <w:semiHidden/>
    <w:unhideWhenUsed/>
    <w:rsid w:val="00013345"/>
  </w:style>
  <w:style w:type="character" w:customStyle="1" w:styleId="FootnoteTextChar">
    <w:name w:val="Footnote Text Char"/>
    <w:basedOn w:val="DefaultParagraphFont"/>
    <w:link w:val="FootnoteText"/>
    <w:uiPriority w:val="99"/>
    <w:semiHidden/>
    <w:rsid w:val="00013345"/>
  </w:style>
  <w:style w:type="character" w:styleId="FootnoteReference">
    <w:name w:val="footnote reference"/>
    <w:basedOn w:val="DefaultParagraphFont"/>
    <w:semiHidden/>
    <w:rsid w:val="00013345"/>
    <w:rPr>
      <w:rFonts w:cs="Times New Roman"/>
      <w:vertAlign w:val="superscript"/>
    </w:rPr>
  </w:style>
  <w:style w:type="character" w:customStyle="1" w:styleId="Heading1Char">
    <w:name w:val="Heading 1 Char"/>
    <w:basedOn w:val="DefaultParagraphFont"/>
    <w:link w:val="Heading1"/>
    <w:uiPriority w:val="9"/>
    <w:rsid w:val="00710C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0CA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710CA0"/>
    <w:pPr>
      <w:outlineLvl w:val="9"/>
    </w:pPr>
  </w:style>
  <w:style w:type="paragraph" w:styleId="TOC1">
    <w:name w:val="toc 1"/>
    <w:basedOn w:val="Normal"/>
    <w:next w:val="Normal"/>
    <w:autoRedefine/>
    <w:uiPriority w:val="39"/>
    <w:unhideWhenUsed/>
    <w:rsid w:val="00710CA0"/>
    <w:pPr>
      <w:spacing w:after="100"/>
    </w:pPr>
  </w:style>
  <w:style w:type="character" w:styleId="Hyperlink">
    <w:name w:val="Hyperlink"/>
    <w:basedOn w:val="DefaultParagraphFont"/>
    <w:uiPriority w:val="99"/>
    <w:unhideWhenUsed/>
    <w:rsid w:val="00710CA0"/>
    <w:rPr>
      <w:color w:val="0000FF" w:themeColor="hyperlink"/>
      <w:u w:val="single"/>
    </w:rPr>
  </w:style>
  <w:style w:type="character" w:styleId="CommentReference">
    <w:name w:val="annotation reference"/>
    <w:basedOn w:val="DefaultParagraphFont"/>
    <w:uiPriority w:val="99"/>
    <w:semiHidden/>
    <w:unhideWhenUsed/>
    <w:rsid w:val="007E4940"/>
    <w:rPr>
      <w:sz w:val="16"/>
      <w:szCs w:val="16"/>
    </w:rPr>
  </w:style>
  <w:style w:type="paragraph" w:styleId="CommentText">
    <w:name w:val="annotation text"/>
    <w:basedOn w:val="Normal"/>
    <w:link w:val="CommentTextChar"/>
    <w:uiPriority w:val="99"/>
    <w:semiHidden/>
    <w:unhideWhenUsed/>
    <w:rsid w:val="007E4940"/>
    <w:rPr>
      <w:sz w:val="20"/>
      <w:szCs w:val="20"/>
    </w:rPr>
  </w:style>
  <w:style w:type="character" w:customStyle="1" w:styleId="CommentTextChar">
    <w:name w:val="Comment Text Char"/>
    <w:basedOn w:val="DefaultParagraphFont"/>
    <w:link w:val="CommentText"/>
    <w:uiPriority w:val="99"/>
    <w:semiHidden/>
    <w:rsid w:val="007E4940"/>
    <w:rPr>
      <w:sz w:val="20"/>
      <w:szCs w:val="20"/>
    </w:rPr>
  </w:style>
  <w:style w:type="paragraph" w:styleId="CommentSubject">
    <w:name w:val="annotation subject"/>
    <w:basedOn w:val="CommentText"/>
    <w:next w:val="CommentText"/>
    <w:link w:val="CommentSubjectChar"/>
    <w:uiPriority w:val="99"/>
    <w:semiHidden/>
    <w:unhideWhenUsed/>
    <w:rsid w:val="007E4940"/>
    <w:rPr>
      <w:b/>
      <w:bCs/>
    </w:rPr>
  </w:style>
  <w:style w:type="character" w:customStyle="1" w:styleId="CommentSubjectChar">
    <w:name w:val="Comment Subject Char"/>
    <w:basedOn w:val="CommentTextChar"/>
    <w:link w:val="CommentSubject"/>
    <w:uiPriority w:val="99"/>
    <w:semiHidden/>
    <w:rsid w:val="007E4940"/>
    <w:rPr>
      <w:b/>
      <w:bCs/>
      <w:sz w:val="20"/>
      <w:szCs w:val="20"/>
    </w:rPr>
  </w:style>
  <w:style w:type="paragraph" w:customStyle="1" w:styleId="btbullet">
    <w:name w:val="bt_bullet"/>
    <w:basedOn w:val="bt"/>
    <w:qFormat/>
    <w:rsid w:val="00FA4EC6"/>
    <w:pPr>
      <w:numPr>
        <w:numId w:val="8"/>
      </w:numPr>
      <w:spacing w:before="60" w:after="60" w:line="264" w:lineRule="auto"/>
    </w:pPr>
    <w:rPr>
      <w:rFonts w:eastAsia="Times New Roman" w:cs="Times New Roman"/>
      <w:szCs w:val="24"/>
      <w:lang w:val="en-US"/>
    </w:rPr>
  </w:style>
  <w:style w:type="table" w:styleId="TableGrid">
    <w:name w:val="Table Grid"/>
    <w:basedOn w:val="TableNormal"/>
    <w:uiPriority w:val="59"/>
    <w:rsid w:val="00CE2750"/>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D12CC"/>
  </w:style>
  <w:style w:type="paragraph" w:styleId="Title">
    <w:name w:val="Title"/>
    <w:basedOn w:val="Normal"/>
    <w:next w:val="Normal"/>
    <w:link w:val="TitleChar"/>
    <w:uiPriority w:val="10"/>
    <w:qFormat/>
    <w:rsid w:val="003911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1181"/>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B2357F"/>
    <w:rPr>
      <w:i/>
      <w:iCs/>
    </w:rPr>
  </w:style>
  <w:style w:type="paragraph" w:customStyle="1" w:styleId="Quotation">
    <w:name w:val="Quotation"/>
    <w:basedOn w:val="Normal"/>
    <w:link w:val="QuotationChar"/>
    <w:qFormat/>
    <w:rsid w:val="00B2357F"/>
    <w:rPr>
      <w:sz w:val="28"/>
      <w:szCs w:val="28"/>
    </w:rPr>
  </w:style>
  <w:style w:type="character" w:customStyle="1" w:styleId="Heading3Char">
    <w:name w:val="Heading 3 Char"/>
    <w:basedOn w:val="DefaultParagraphFont"/>
    <w:link w:val="Heading3"/>
    <w:uiPriority w:val="9"/>
    <w:rsid w:val="00B2357F"/>
    <w:rPr>
      <w:rFonts w:asciiTheme="majorHAnsi" w:eastAsiaTheme="majorEastAsia" w:hAnsiTheme="majorHAnsi" w:cstheme="majorBidi"/>
      <w:b/>
      <w:bCs/>
      <w:color w:val="4F81BD" w:themeColor="accent1"/>
    </w:rPr>
  </w:style>
  <w:style w:type="character" w:customStyle="1" w:styleId="QuotationChar">
    <w:name w:val="Quotation Char"/>
    <w:basedOn w:val="DefaultParagraphFont"/>
    <w:link w:val="Quotation"/>
    <w:rsid w:val="00B2357F"/>
    <w:rPr>
      <w:sz w:val="28"/>
      <w:szCs w:val="28"/>
    </w:rPr>
  </w:style>
  <w:style w:type="paragraph" w:styleId="NoSpacing">
    <w:name w:val="No Spacing"/>
    <w:uiPriority w:val="1"/>
    <w:qFormat/>
    <w:rsid w:val="00AD0308"/>
  </w:style>
  <w:style w:type="character" w:styleId="SubtleEmphasis">
    <w:name w:val="Subtle Emphasis"/>
    <w:basedOn w:val="DefaultParagraphFont"/>
    <w:uiPriority w:val="19"/>
    <w:qFormat/>
    <w:rsid w:val="00AD0308"/>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181"/>
    <w:pPr>
      <w:spacing w:after="200" w:line="276" w:lineRule="auto"/>
    </w:pPr>
  </w:style>
  <w:style w:type="paragraph" w:styleId="Heading1">
    <w:name w:val="heading 1"/>
    <w:basedOn w:val="Normal"/>
    <w:next w:val="Normal"/>
    <w:link w:val="Heading1Char"/>
    <w:uiPriority w:val="9"/>
    <w:qFormat/>
    <w:rsid w:val="00710C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0C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235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3627A"/>
    <w:pPr>
      <w:spacing w:before="360" w:after="120"/>
      <w:outlineLvl w:val="3"/>
    </w:pPr>
    <w:rPr>
      <w:rFonts w:ascii="Calibri" w:eastAsia="Calibri" w:hAnsi="Calibri" w:cstheme="minorHAnsi"/>
      <w:b/>
      <w:bCs/>
      <w:sz w:val="22"/>
      <w:szCs w:val="22"/>
      <w:lang w:val="en-AU"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228"/>
    <w:pPr>
      <w:ind w:left="720"/>
      <w:contextualSpacing/>
    </w:pPr>
  </w:style>
  <w:style w:type="paragraph" w:styleId="BalloonText">
    <w:name w:val="Balloon Text"/>
    <w:basedOn w:val="Normal"/>
    <w:link w:val="BalloonTextChar"/>
    <w:uiPriority w:val="99"/>
    <w:semiHidden/>
    <w:unhideWhenUsed/>
    <w:rsid w:val="00F21FDB"/>
    <w:rPr>
      <w:rFonts w:ascii="Tahoma" w:hAnsi="Tahoma" w:cs="Tahoma"/>
      <w:sz w:val="16"/>
      <w:szCs w:val="16"/>
    </w:rPr>
  </w:style>
  <w:style w:type="character" w:customStyle="1" w:styleId="BalloonTextChar">
    <w:name w:val="Balloon Text Char"/>
    <w:basedOn w:val="DefaultParagraphFont"/>
    <w:link w:val="BalloonText"/>
    <w:uiPriority w:val="99"/>
    <w:semiHidden/>
    <w:rsid w:val="00F21FDB"/>
    <w:rPr>
      <w:rFonts w:ascii="Tahoma" w:hAnsi="Tahoma" w:cs="Tahoma"/>
      <w:sz w:val="16"/>
      <w:szCs w:val="16"/>
    </w:rPr>
  </w:style>
  <w:style w:type="paragraph" w:styleId="Header">
    <w:name w:val="header"/>
    <w:basedOn w:val="Normal"/>
    <w:link w:val="HeaderChar"/>
    <w:uiPriority w:val="99"/>
    <w:unhideWhenUsed/>
    <w:rsid w:val="00554EAD"/>
    <w:pPr>
      <w:tabs>
        <w:tab w:val="center" w:pos="4513"/>
        <w:tab w:val="right" w:pos="9026"/>
      </w:tabs>
    </w:pPr>
  </w:style>
  <w:style w:type="character" w:customStyle="1" w:styleId="HeaderChar">
    <w:name w:val="Header Char"/>
    <w:basedOn w:val="DefaultParagraphFont"/>
    <w:link w:val="Header"/>
    <w:uiPriority w:val="99"/>
    <w:rsid w:val="00554EAD"/>
  </w:style>
  <w:style w:type="paragraph" w:styleId="Footer">
    <w:name w:val="footer"/>
    <w:basedOn w:val="Normal"/>
    <w:link w:val="FooterChar"/>
    <w:uiPriority w:val="99"/>
    <w:unhideWhenUsed/>
    <w:rsid w:val="00554EAD"/>
    <w:pPr>
      <w:tabs>
        <w:tab w:val="center" w:pos="4513"/>
        <w:tab w:val="right" w:pos="9026"/>
      </w:tabs>
    </w:pPr>
  </w:style>
  <w:style w:type="character" w:customStyle="1" w:styleId="FooterChar">
    <w:name w:val="Footer Char"/>
    <w:basedOn w:val="DefaultParagraphFont"/>
    <w:link w:val="Footer"/>
    <w:uiPriority w:val="99"/>
    <w:rsid w:val="00554EAD"/>
  </w:style>
  <w:style w:type="character" w:customStyle="1" w:styleId="Heading4Char">
    <w:name w:val="Heading 4 Char"/>
    <w:basedOn w:val="DefaultParagraphFont"/>
    <w:link w:val="Heading4"/>
    <w:rsid w:val="0033627A"/>
    <w:rPr>
      <w:rFonts w:ascii="Calibri" w:eastAsia="Calibri" w:hAnsi="Calibri" w:cstheme="minorHAnsi"/>
      <w:b/>
      <w:bCs/>
      <w:sz w:val="22"/>
      <w:szCs w:val="22"/>
      <w:lang w:val="en-AU" w:eastAsia="en-AU"/>
    </w:rPr>
  </w:style>
  <w:style w:type="character" w:styleId="Strong">
    <w:name w:val="Strong"/>
    <w:basedOn w:val="DefaultParagraphFont"/>
    <w:qFormat/>
    <w:rsid w:val="0033627A"/>
    <w:rPr>
      <w:b/>
      <w:bCs/>
    </w:rPr>
  </w:style>
  <w:style w:type="paragraph" w:styleId="ListNumber">
    <w:name w:val="List Number"/>
    <w:basedOn w:val="Normal"/>
    <w:uiPriority w:val="99"/>
    <w:qFormat/>
    <w:rsid w:val="0033627A"/>
    <w:pPr>
      <w:numPr>
        <w:numId w:val="4"/>
      </w:numPr>
      <w:tabs>
        <w:tab w:val="num" w:pos="1209"/>
      </w:tabs>
      <w:spacing w:before="180" w:after="240" w:line="270" w:lineRule="exact"/>
      <w:ind w:hanging="284"/>
    </w:pPr>
    <w:rPr>
      <w:rFonts w:ascii="Calibri" w:eastAsia="Calibri" w:hAnsi="Calibri" w:cs="Calibri"/>
      <w:sz w:val="20"/>
      <w:szCs w:val="20"/>
      <w:lang w:val="en-AU" w:eastAsia="en-AU"/>
    </w:rPr>
  </w:style>
  <w:style w:type="paragraph" w:customStyle="1" w:styleId="bt">
    <w:name w:val="bt"/>
    <w:link w:val="btChar"/>
    <w:qFormat/>
    <w:rsid w:val="002C6A5C"/>
    <w:pPr>
      <w:spacing w:before="180" w:after="240" w:line="270" w:lineRule="exact"/>
    </w:pPr>
    <w:rPr>
      <w:rFonts w:ascii="Calibri" w:eastAsia="Calibri" w:hAnsi="Calibri" w:cs="Calibri"/>
      <w:sz w:val="20"/>
      <w:szCs w:val="20"/>
      <w:lang w:val="en-AU" w:eastAsia="en-AU"/>
    </w:rPr>
  </w:style>
  <w:style w:type="character" w:customStyle="1" w:styleId="btChar">
    <w:name w:val="bt Char"/>
    <w:basedOn w:val="DefaultParagraphFont"/>
    <w:link w:val="bt"/>
    <w:locked/>
    <w:rsid w:val="002C6A5C"/>
    <w:rPr>
      <w:rFonts w:ascii="Calibri" w:eastAsia="Calibri" w:hAnsi="Calibri" w:cs="Calibri"/>
      <w:sz w:val="20"/>
      <w:szCs w:val="20"/>
      <w:lang w:val="en-AU" w:eastAsia="en-AU"/>
    </w:rPr>
  </w:style>
  <w:style w:type="paragraph" w:styleId="FootnoteText">
    <w:name w:val="footnote text"/>
    <w:basedOn w:val="Normal"/>
    <w:link w:val="FootnoteTextChar"/>
    <w:uiPriority w:val="99"/>
    <w:semiHidden/>
    <w:unhideWhenUsed/>
    <w:rsid w:val="00013345"/>
  </w:style>
  <w:style w:type="character" w:customStyle="1" w:styleId="FootnoteTextChar">
    <w:name w:val="Footnote Text Char"/>
    <w:basedOn w:val="DefaultParagraphFont"/>
    <w:link w:val="FootnoteText"/>
    <w:uiPriority w:val="99"/>
    <w:semiHidden/>
    <w:rsid w:val="00013345"/>
  </w:style>
  <w:style w:type="character" w:styleId="FootnoteReference">
    <w:name w:val="footnote reference"/>
    <w:basedOn w:val="DefaultParagraphFont"/>
    <w:semiHidden/>
    <w:rsid w:val="00013345"/>
    <w:rPr>
      <w:rFonts w:cs="Times New Roman"/>
      <w:vertAlign w:val="superscript"/>
    </w:rPr>
  </w:style>
  <w:style w:type="character" w:customStyle="1" w:styleId="Heading1Char">
    <w:name w:val="Heading 1 Char"/>
    <w:basedOn w:val="DefaultParagraphFont"/>
    <w:link w:val="Heading1"/>
    <w:uiPriority w:val="9"/>
    <w:rsid w:val="00710C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0CA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710CA0"/>
    <w:pPr>
      <w:outlineLvl w:val="9"/>
    </w:pPr>
  </w:style>
  <w:style w:type="paragraph" w:styleId="TOC1">
    <w:name w:val="toc 1"/>
    <w:basedOn w:val="Normal"/>
    <w:next w:val="Normal"/>
    <w:autoRedefine/>
    <w:uiPriority w:val="39"/>
    <w:unhideWhenUsed/>
    <w:rsid w:val="00710CA0"/>
    <w:pPr>
      <w:spacing w:after="100"/>
    </w:pPr>
  </w:style>
  <w:style w:type="character" w:styleId="Hyperlink">
    <w:name w:val="Hyperlink"/>
    <w:basedOn w:val="DefaultParagraphFont"/>
    <w:uiPriority w:val="99"/>
    <w:unhideWhenUsed/>
    <w:rsid w:val="00710CA0"/>
    <w:rPr>
      <w:color w:val="0000FF" w:themeColor="hyperlink"/>
      <w:u w:val="single"/>
    </w:rPr>
  </w:style>
  <w:style w:type="character" w:styleId="CommentReference">
    <w:name w:val="annotation reference"/>
    <w:basedOn w:val="DefaultParagraphFont"/>
    <w:uiPriority w:val="99"/>
    <w:semiHidden/>
    <w:unhideWhenUsed/>
    <w:rsid w:val="007E4940"/>
    <w:rPr>
      <w:sz w:val="16"/>
      <w:szCs w:val="16"/>
    </w:rPr>
  </w:style>
  <w:style w:type="paragraph" w:styleId="CommentText">
    <w:name w:val="annotation text"/>
    <w:basedOn w:val="Normal"/>
    <w:link w:val="CommentTextChar"/>
    <w:uiPriority w:val="99"/>
    <w:semiHidden/>
    <w:unhideWhenUsed/>
    <w:rsid w:val="007E4940"/>
    <w:rPr>
      <w:sz w:val="20"/>
      <w:szCs w:val="20"/>
    </w:rPr>
  </w:style>
  <w:style w:type="character" w:customStyle="1" w:styleId="CommentTextChar">
    <w:name w:val="Comment Text Char"/>
    <w:basedOn w:val="DefaultParagraphFont"/>
    <w:link w:val="CommentText"/>
    <w:uiPriority w:val="99"/>
    <w:semiHidden/>
    <w:rsid w:val="007E4940"/>
    <w:rPr>
      <w:sz w:val="20"/>
      <w:szCs w:val="20"/>
    </w:rPr>
  </w:style>
  <w:style w:type="paragraph" w:styleId="CommentSubject">
    <w:name w:val="annotation subject"/>
    <w:basedOn w:val="CommentText"/>
    <w:next w:val="CommentText"/>
    <w:link w:val="CommentSubjectChar"/>
    <w:uiPriority w:val="99"/>
    <w:semiHidden/>
    <w:unhideWhenUsed/>
    <w:rsid w:val="007E4940"/>
    <w:rPr>
      <w:b/>
      <w:bCs/>
    </w:rPr>
  </w:style>
  <w:style w:type="character" w:customStyle="1" w:styleId="CommentSubjectChar">
    <w:name w:val="Comment Subject Char"/>
    <w:basedOn w:val="CommentTextChar"/>
    <w:link w:val="CommentSubject"/>
    <w:uiPriority w:val="99"/>
    <w:semiHidden/>
    <w:rsid w:val="007E4940"/>
    <w:rPr>
      <w:b/>
      <w:bCs/>
      <w:sz w:val="20"/>
      <w:szCs w:val="20"/>
    </w:rPr>
  </w:style>
  <w:style w:type="paragraph" w:customStyle="1" w:styleId="btbullet">
    <w:name w:val="bt_bullet"/>
    <w:basedOn w:val="bt"/>
    <w:qFormat/>
    <w:rsid w:val="00FA4EC6"/>
    <w:pPr>
      <w:numPr>
        <w:numId w:val="8"/>
      </w:numPr>
      <w:spacing w:before="60" w:after="60" w:line="264" w:lineRule="auto"/>
    </w:pPr>
    <w:rPr>
      <w:rFonts w:eastAsia="Times New Roman" w:cs="Times New Roman"/>
      <w:szCs w:val="24"/>
      <w:lang w:val="en-US"/>
    </w:rPr>
  </w:style>
  <w:style w:type="table" w:styleId="TableGrid">
    <w:name w:val="Table Grid"/>
    <w:basedOn w:val="TableNormal"/>
    <w:uiPriority w:val="59"/>
    <w:rsid w:val="00CE2750"/>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D12CC"/>
  </w:style>
  <w:style w:type="paragraph" w:styleId="Title">
    <w:name w:val="Title"/>
    <w:basedOn w:val="Normal"/>
    <w:next w:val="Normal"/>
    <w:link w:val="TitleChar"/>
    <w:uiPriority w:val="10"/>
    <w:qFormat/>
    <w:rsid w:val="003911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1181"/>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B2357F"/>
    <w:rPr>
      <w:i/>
      <w:iCs/>
    </w:rPr>
  </w:style>
  <w:style w:type="paragraph" w:customStyle="1" w:styleId="Quotation">
    <w:name w:val="Quotation"/>
    <w:basedOn w:val="Normal"/>
    <w:link w:val="QuotationChar"/>
    <w:qFormat/>
    <w:rsid w:val="00B2357F"/>
    <w:rPr>
      <w:sz w:val="28"/>
      <w:szCs w:val="28"/>
    </w:rPr>
  </w:style>
  <w:style w:type="character" w:customStyle="1" w:styleId="Heading3Char">
    <w:name w:val="Heading 3 Char"/>
    <w:basedOn w:val="DefaultParagraphFont"/>
    <w:link w:val="Heading3"/>
    <w:uiPriority w:val="9"/>
    <w:rsid w:val="00B2357F"/>
    <w:rPr>
      <w:rFonts w:asciiTheme="majorHAnsi" w:eastAsiaTheme="majorEastAsia" w:hAnsiTheme="majorHAnsi" w:cstheme="majorBidi"/>
      <w:b/>
      <w:bCs/>
      <w:color w:val="4F81BD" w:themeColor="accent1"/>
    </w:rPr>
  </w:style>
  <w:style w:type="character" w:customStyle="1" w:styleId="QuotationChar">
    <w:name w:val="Quotation Char"/>
    <w:basedOn w:val="DefaultParagraphFont"/>
    <w:link w:val="Quotation"/>
    <w:rsid w:val="00B2357F"/>
    <w:rPr>
      <w:sz w:val="28"/>
      <w:szCs w:val="28"/>
    </w:rPr>
  </w:style>
  <w:style w:type="paragraph" w:styleId="NoSpacing">
    <w:name w:val="No Spacing"/>
    <w:uiPriority w:val="1"/>
    <w:qFormat/>
    <w:rsid w:val="00AD0308"/>
  </w:style>
  <w:style w:type="character" w:styleId="SubtleEmphasis">
    <w:name w:val="Subtle Emphasis"/>
    <w:basedOn w:val="DefaultParagraphFont"/>
    <w:uiPriority w:val="19"/>
    <w:qFormat/>
    <w:rsid w:val="00AD0308"/>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tpli.vic.gov.au/regionalgrowthplans" TargetMode="External"/><Relationship Id="rId13" Type="http://schemas.openxmlformats.org/officeDocument/2006/relationships/footer" Target="footer2.xml"/><Relationship Id="rId18" Type="http://schemas.openxmlformats.org/officeDocument/2006/relationships/hyperlink" Target="http://www.dtpli.vic.gov.au/regionalgrowthplan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urrayriver.com.au/html/about_the_murray/murray_darling_basin.html" TargetMode="External"/><Relationship Id="rId2" Type="http://schemas.openxmlformats.org/officeDocument/2006/relationships/numbering" Target="numbering.xml"/><Relationship Id="rId16" Type="http://schemas.openxmlformats.org/officeDocument/2006/relationships/hyperlink" Target="http://www.murrayriver.com.au/parks/kosciusko-national-pa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urrayriver.com.au/about-the-murray/upper-murray/" TargetMode="External"/><Relationship Id="rId10" Type="http://schemas.openxmlformats.org/officeDocument/2006/relationships/hyperlink" Target="http://www.creativecommons.org/licences/by/3.0/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dtpli.vic.gov.au/regionalgrowthplans" TargetMode="External"/><Relationship Id="rId14" Type="http://schemas.openxmlformats.org/officeDocument/2006/relationships/hyperlink" Target="http://www.murrayriver.com.au/about-the-murray/murray-river-length/"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7325F-F99A-4FD8-8581-F4148C16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4328</Words>
  <Characters>24671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28942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Hando</dc:creator>
  <cp:lastModifiedBy>am</cp:lastModifiedBy>
  <cp:revision>8</cp:revision>
  <cp:lastPrinted>2014-03-11T08:07:00Z</cp:lastPrinted>
  <dcterms:created xsi:type="dcterms:W3CDTF">2014-05-25T23:36:00Z</dcterms:created>
  <dcterms:modified xsi:type="dcterms:W3CDTF">2014-08-04T01:12:00Z</dcterms:modified>
</cp:coreProperties>
</file>