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BE01" w14:textId="12340E76" w:rsidR="009F0229" w:rsidRDefault="00907BCE" w:rsidP="00883CE7">
      <w:pPr>
        <w:pStyle w:val="ParaHeading"/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CBC04" wp14:editId="4765D5C1">
                <wp:simplePos x="0" y="0"/>
                <wp:positionH relativeFrom="margin">
                  <wp:align>left</wp:align>
                </wp:positionH>
                <wp:positionV relativeFrom="paragraph">
                  <wp:posOffset>372431</wp:posOffset>
                </wp:positionV>
                <wp:extent cx="6741042" cy="8184325"/>
                <wp:effectExtent l="19050" t="57150" r="117475" b="838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818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98E4" id="Rectangle 13" o:spid="_x0000_s1026" style="position:absolute;margin-left:0;margin-top:29.35pt;width:530.8pt;height:644.4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" filled="f" strokecolor="#5a5a5a [2109]" strokeweight="1pt">
                <v:shadow on="t" color="black" opacity="39321f" origin="-.5" offset="3pt,0"/>
                <w10:wrap anchorx="margin"/>
              </v:rect>
            </w:pict>
          </mc:Fallback>
        </mc:AlternateContent>
      </w:r>
      <w:r w:rsidR="00F94AAA">
        <w:t>Example schedule</w:t>
      </w:r>
    </w:p>
    <w:p w14:paraId="1E7555C5" w14:textId="77777777" w:rsidR="00F94AAA" w:rsidRPr="00D75304" w:rsidRDefault="00F94AAA" w:rsidP="006E55FC">
      <w:pPr>
        <w:pStyle w:val="ExampleClauseHeader"/>
        <w:rPr>
          <w:sz w:val="22"/>
          <w:szCs w:val="22"/>
        </w:rPr>
      </w:pPr>
      <w:r w:rsidRPr="00D75304">
        <w:rPr>
          <w:sz w:val="22"/>
          <w:szCs w:val="22"/>
        </w:rPr>
        <w:t>SCHEDULE 1 TO THE URBAN GROWTH ZONE</w:t>
      </w:r>
    </w:p>
    <w:p w14:paraId="166837CB" w14:textId="77777777" w:rsidR="00F94AAA" w:rsidRPr="0036103D" w:rsidRDefault="00F94AAA" w:rsidP="00917E85">
      <w:pPr>
        <w:pStyle w:val="Examplecaption"/>
      </w:pPr>
      <w:r w:rsidRPr="0036103D">
        <w:t xml:space="preserve">A schedule </w:t>
      </w:r>
      <w:r w:rsidRPr="00BC0131">
        <w:t>number</w:t>
      </w:r>
      <w:r w:rsidRPr="0036103D">
        <w:t xml:space="preserve"> should be inserted if more than one schedule is included in the zone.</w:t>
      </w:r>
      <w:r w:rsidRPr="0036103D">
        <w:tab/>
      </w:r>
    </w:p>
    <w:p w14:paraId="37311654" w14:textId="4C50CAFA" w:rsidR="00F94AAA" w:rsidRDefault="00F94AAA" w:rsidP="00EF7FD9">
      <w:pPr>
        <w:pStyle w:val="ExampleParaText"/>
        <w:rPr>
          <w:b/>
          <w:bCs/>
        </w:rPr>
      </w:pPr>
      <w:r w:rsidRPr="009918E7">
        <w:t xml:space="preserve">Shown on the planning scheme map as </w:t>
      </w:r>
      <w:r w:rsidRPr="00EA0998">
        <w:rPr>
          <w:b/>
          <w:bCs/>
        </w:rPr>
        <w:t>UGZ1</w:t>
      </w:r>
      <w:r w:rsidR="002C1087" w:rsidRPr="00D80428">
        <w:t>.</w:t>
      </w:r>
    </w:p>
    <w:p w14:paraId="7132551A" w14:textId="77777777" w:rsidR="00F94AAA" w:rsidRPr="00D75304" w:rsidRDefault="00F94AAA" w:rsidP="006E55FC">
      <w:pPr>
        <w:pStyle w:val="ExampleClauseHeader"/>
        <w:rPr>
          <w:sz w:val="22"/>
          <w:szCs w:val="22"/>
        </w:rPr>
      </w:pPr>
      <w:r w:rsidRPr="00D75304">
        <w:rPr>
          <w:sz w:val="22"/>
          <w:szCs w:val="22"/>
        </w:rPr>
        <w:t>GUMNUT VALLEY PRECINCT STRUCTURE PLAN</w:t>
      </w:r>
    </w:p>
    <w:p w14:paraId="6419FC3E" w14:textId="35FFE064" w:rsidR="00F94AAA" w:rsidRPr="00BC0131" w:rsidRDefault="00F94AAA" w:rsidP="00917E85">
      <w:pPr>
        <w:pStyle w:val="Examplecaption"/>
      </w:pPr>
      <w:r w:rsidRPr="00BC0131">
        <w:t>The precinct structure plan is an incorporated document</w:t>
      </w:r>
      <w:r w:rsidR="005C245C">
        <w:t xml:space="preserve"> – also </w:t>
      </w:r>
      <w:r w:rsidRPr="00BC0131">
        <w:t xml:space="preserve">include reference to the plan in the schedule to </w:t>
      </w:r>
      <w:r w:rsidR="00296ACB">
        <w:t>C</w:t>
      </w:r>
      <w:r w:rsidRPr="00BC0131">
        <w:t>lause 72.04.</w:t>
      </w:r>
    </w:p>
    <w:p w14:paraId="53EEC6EA" w14:textId="34502529" w:rsidR="00F94AAA" w:rsidRPr="00917E85" w:rsidRDefault="00F94AAA" w:rsidP="006E55FC">
      <w:pPr>
        <w:pStyle w:val="ExampleClauseHeader"/>
      </w:pPr>
      <w:r w:rsidRPr="00790865">
        <w:t>1.0</w:t>
      </w:r>
      <w:r>
        <w:t xml:space="preserve"> </w:t>
      </w:r>
      <w:r w:rsidRPr="00790865">
        <w:t xml:space="preserve">The </w:t>
      </w:r>
      <w:r w:rsidR="00296ACB">
        <w:t>p</w:t>
      </w:r>
      <w:r w:rsidRPr="00790865">
        <w:t>lan</w:t>
      </w:r>
    </w:p>
    <w:p w14:paraId="039F2FFD" w14:textId="4593D0FA" w:rsidR="00F94AAA" w:rsidRPr="00BC0131" w:rsidRDefault="00F94AAA" w:rsidP="00917E85">
      <w:pPr>
        <w:pStyle w:val="Examplecaption"/>
      </w:pPr>
      <w:r>
        <w:t>A</w:t>
      </w:r>
      <w:r w:rsidRPr="00BC0131">
        <w:t xml:space="preserve"> plan showing the future overall layout of land use and development should be inserted in the schedule.</w:t>
      </w:r>
    </w:p>
    <w:p w14:paraId="0D00A274" w14:textId="5C1E1CB5" w:rsidR="00F94AAA" w:rsidRPr="00EF7FD9" w:rsidRDefault="00195F95" w:rsidP="00EF7FD9">
      <w:pPr>
        <w:pStyle w:val="ExampleParaText"/>
      </w:pPr>
      <w:r>
        <w:t>Map</w:t>
      </w:r>
      <w:r w:rsidR="00F94AAA" w:rsidRPr="00EF7FD9">
        <w:t xml:space="preserve"> 1 shows the future urban structure proposed in the </w:t>
      </w:r>
      <w:r w:rsidR="00F94AAA" w:rsidRPr="00972499">
        <w:rPr>
          <w:i/>
          <w:iCs/>
        </w:rPr>
        <w:t>Gumnut Valley Precinct Structure Plan</w:t>
      </w:r>
      <w:r w:rsidR="00F94AAA" w:rsidRPr="00EF7FD9">
        <w:t>.</w:t>
      </w:r>
    </w:p>
    <w:p w14:paraId="6C64EFB0" w14:textId="77777777" w:rsidR="00F94AAA" w:rsidRPr="00917E85" w:rsidRDefault="00F94AAA" w:rsidP="006E55FC">
      <w:pPr>
        <w:pStyle w:val="ExampleClauseHeader"/>
      </w:pPr>
      <w:r w:rsidRPr="00790865">
        <w:t>2.0</w:t>
      </w:r>
      <w:r>
        <w:t xml:space="preserve"> </w:t>
      </w:r>
      <w:r w:rsidRPr="00790865">
        <w:t>Use and development</w:t>
      </w:r>
    </w:p>
    <w:p w14:paraId="774C31F0" w14:textId="01AE5EA7" w:rsidR="00F94AAA" w:rsidRPr="00917E85" w:rsidRDefault="00F94AAA" w:rsidP="006E55FC">
      <w:pPr>
        <w:pStyle w:val="ExampleClauseHeader"/>
      </w:pPr>
      <w:r w:rsidRPr="00790865">
        <w:t>2.1</w:t>
      </w:r>
      <w:r>
        <w:t xml:space="preserve"> </w:t>
      </w:r>
      <w:r w:rsidRPr="00790865">
        <w:t xml:space="preserve">The </w:t>
      </w:r>
      <w:r w:rsidR="00296ACB">
        <w:t>l</w:t>
      </w:r>
      <w:r w:rsidRPr="00790865">
        <w:t>and</w:t>
      </w:r>
    </w:p>
    <w:p w14:paraId="4124BFE5" w14:textId="77777777" w:rsidR="00F94AAA" w:rsidRPr="003D0AC5" w:rsidRDefault="00F94AAA" w:rsidP="00EF7FD9">
      <w:pPr>
        <w:pStyle w:val="ExampleParaText"/>
      </w:pPr>
      <w:r w:rsidRPr="003D0AC5">
        <w:t>The use and development provisions specified in this schedule apply to land as shown in Map 1 of this schedule.</w:t>
      </w:r>
    </w:p>
    <w:p w14:paraId="39E289D6" w14:textId="77777777" w:rsidR="00F94AAA" w:rsidRPr="00917E85" w:rsidRDefault="00F94AAA" w:rsidP="006E55FC">
      <w:pPr>
        <w:pStyle w:val="ExampleClauseHeader"/>
      </w:pPr>
      <w:r w:rsidRPr="00790865">
        <w:t>2.2</w:t>
      </w:r>
      <w:r>
        <w:t xml:space="preserve"> </w:t>
      </w:r>
      <w:r w:rsidRPr="00790865">
        <w:t>Applied zone provisions</w:t>
      </w:r>
    </w:p>
    <w:p w14:paraId="42CEA1D2" w14:textId="77777777" w:rsidR="00F94AAA" w:rsidRPr="00BC0131" w:rsidRDefault="00F94AAA" w:rsidP="00917E85">
      <w:pPr>
        <w:pStyle w:val="Examplecaption"/>
      </w:pPr>
      <w:r w:rsidRPr="00B915BC">
        <w:t xml:space="preserve">The </w:t>
      </w:r>
      <w:r w:rsidRPr="00BC0131">
        <w:t>zone requires the schedule to specify requirements for land use and buildings and works. If a planning authority applies zones, these must be specified here.</w:t>
      </w:r>
    </w:p>
    <w:p w14:paraId="0C22CF48" w14:textId="77777777" w:rsidR="00F94AAA" w:rsidRPr="003D0AC5" w:rsidRDefault="00F94AAA" w:rsidP="00EF7FD9">
      <w:pPr>
        <w:pStyle w:val="ExampleParaText"/>
      </w:pPr>
      <w:r w:rsidRPr="003D0AC5">
        <w:t>The provisions of the following zones in this scheme apply to the use and subdivision of land, construction of a building, and construction and carrying out of works, by reference to Map 1 of this schedule.</w:t>
      </w:r>
    </w:p>
    <w:p w14:paraId="2E76B667" w14:textId="77777777" w:rsidR="00F94AAA" w:rsidRPr="00917E85" w:rsidRDefault="00F94AAA" w:rsidP="006E55FC">
      <w:pPr>
        <w:pStyle w:val="ExampleClauseHeader"/>
      </w:pPr>
      <w:r w:rsidRPr="00790865">
        <w:t>Table 1: Applied zone provisions</w:t>
      </w:r>
    </w:p>
    <w:tbl>
      <w:tblPr>
        <w:tblW w:w="9120" w:type="dxa"/>
        <w:tblInd w:w="68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F94AAA" w:rsidRPr="003D0AC5" w14:paraId="23F75E61" w14:textId="77777777" w:rsidTr="00B435B0">
        <w:trPr>
          <w:trHeight w:val="227"/>
        </w:trPr>
        <w:tc>
          <w:tcPr>
            <w:tcW w:w="467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5E91" w14:textId="77777777" w:rsidR="00F94AAA" w:rsidRPr="00523B97" w:rsidRDefault="00F94AAA" w:rsidP="002C7537">
            <w:pPr>
              <w:pStyle w:val="TableTextBold"/>
              <w:spacing w:before="40" w:after="40"/>
              <w:ind w:right="543"/>
              <w:rPr>
                <w:rFonts w:cs="Arial"/>
              </w:rPr>
            </w:pPr>
            <w:r w:rsidRPr="00523B97">
              <w:rPr>
                <w:rFonts w:cs="Arial"/>
              </w:rPr>
              <w:t>LAND SHOWN ON MAP 1 OF THIS SCHEDULE</w:t>
            </w:r>
          </w:p>
        </w:tc>
        <w:tc>
          <w:tcPr>
            <w:tcW w:w="44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AFA7" w14:textId="77777777" w:rsidR="00F94AAA" w:rsidRPr="00523B97" w:rsidRDefault="00F94AAA" w:rsidP="002C7537">
            <w:pPr>
              <w:pStyle w:val="TableTextBold"/>
              <w:spacing w:before="40" w:after="40"/>
              <w:ind w:right="543"/>
              <w:rPr>
                <w:rFonts w:cs="Arial"/>
              </w:rPr>
            </w:pPr>
            <w:r w:rsidRPr="00523B97">
              <w:rPr>
                <w:rFonts w:cs="Arial"/>
              </w:rPr>
              <w:t>APPLIED ZONE PROVISIONS</w:t>
            </w:r>
          </w:p>
        </w:tc>
      </w:tr>
      <w:tr w:rsidR="00F94AAA" w:rsidRPr="003D0AC5" w14:paraId="0655B3F7" w14:textId="77777777" w:rsidTr="00B435B0">
        <w:trPr>
          <w:trHeight w:val="227"/>
        </w:trPr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785E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Residential</w:t>
            </w:r>
          </w:p>
        </w:tc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92C8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Clause 32.08 – General Residential 1 Zone</w:t>
            </w:r>
          </w:p>
        </w:tc>
      </w:tr>
      <w:tr w:rsidR="00F94AAA" w:rsidRPr="003D0AC5" w14:paraId="45F760B5" w14:textId="77777777" w:rsidTr="00B435B0">
        <w:trPr>
          <w:trHeight w:val="227"/>
        </w:trPr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ABC7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Mixed use</w:t>
            </w:r>
          </w:p>
        </w:tc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BFBC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Clause 32.04 – Mixed Use Zone</w:t>
            </w:r>
          </w:p>
        </w:tc>
      </w:tr>
      <w:tr w:rsidR="00F94AAA" w:rsidRPr="003D0AC5" w14:paraId="16F3F28A" w14:textId="77777777" w:rsidTr="00B435B0">
        <w:trPr>
          <w:trHeight w:val="227"/>
        </w:trPr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D3F0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Industrial</w:t>
            </w:r>
          </w:p>
        </w:tc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679F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Clause 33.01 – Industrial 1 Zone</w:t>
            </w:r>
          </w:p>
        </w:tc>
      </w:tr>
      <w:tr w:rsidR="00F94AAA" w:rsidRPr="003D0AC5" w14:paraId="6FA8DF9A" w14:textId="77777777" w:rsidTr="00B435B0">
        <w:trPr>
          <w:trHeight w:val="227"/>
        </w:trPr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5F51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Business 1</w:t>
            </w:r>
          </w:p>
        </w:tc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6F55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Clause 34.01 – Commercial 1 Zone</w:t>
            </w:r>
          </w:p>
        </w:tc>
      </w:tr>
      <w:tr w:rsidR="00F94AAA" w:rsidRPr="003D0AC5" w14:paraId="007E20B2" w14:textId="77777777" w:rsidTr="00B435B0">
        <w:trPr>
          <w:trHeight w:val="227"/>
        </w:trPr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FAFA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Business 2</w:t>
            </w:r>
          </w:p>
        </w:tc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0F2F" w14:textId="77777777" w:rsidR="00F94AAA" w:rsidRPr="00523B97" w:rsidRDefault="00F94AAA" w:rsidP="002C7537">
            <w:pPr>
              <w:pStyle w:val="Tabletext"/>
              <w:ind w:right="543"/>
              <w:rPr>
                <w:rFonts w:ascii="Arial" w:hAnsi="Arial" w:cs="Arial"/>
              </w:rPr>
            </w:pPr>
            <w:r w:rsidRPr="00523B97">
              <w:rPr>
                <w:rFonts w:ascii="Arial" w:hAnsi="Arial" w:cs="Arial"/>
              </w:rPr>
              <w:t>Clause 34.02 – Commercial 2 Zone</w:t>
            </w:r>
          </w:p>
        </w:tc>
      </w:tr>
    </w:tbl>
    <w:p w14:paraId="30CE7C2F" w14:textId="77777777" w:rsidR="00F94AAA" w:rsidRPr="00917E85" w:rsidRDefault="00F94AAA" w:rsidP="006E55FC">
      <w:pPr>
        <w:pStyle w:val="ExampleClauseHeader"/>
      </w:pPr>
      <w:r w:rsidRPr="00790865">
        <w:t>2.3</w:t>
      </w:r>
      <w:r>
        <w:t xml:space="preserve"> </w:t>
      </w:r>
      <w:r w:rsidRPr="00790865">
        <w:t>Specific provisions – Use of land</w:t>
      </w:r>
    </w:p>
    <w:p w14:paraId="7C7EE93A" w14:textId="03BD79C1" w:rsidR="00F94AAA" w:rsidRPr="00BC0131" w:rsidRDefault="00F94AAA" w:rsidP="00917E85">
      <w:pPr>
        <w:pStyle w:val="Examplecaption"/>
      </w:pPr>
      <w:r w:rsidRPr="00BC0131">
        <w:t xml:space="preserve">If a planning authority decides not to apply the use provisions of a zone, but apply specific requirements instead, the specific requirements should be presented in a table of uses in the format used </w:t>
      </w:r>
      <w:r>
        <w:t>for</w:t>
      </w:r>
      <w:r w:rsidRPr="00BC0131">
        <w:t xml:space="preserve"> state standard zones and should follow the drafting conventions set out in Chapter 6.5 of the </w:t>
      </w:r>
      <w:r w:rsidRPr="00917E85">
        <w:rPr>
          <w:i/>
          <w:iCs/>
        </w:rPr>
        <w:t>Practitioner’s Guide to Victoria's Planning Schemes</w:t>
      </w:r>
      <w:r w:rsidRPr="00BC0131">
        <w:t>.</w:t>
      </w:r>
    </w:p>
    <w:p w14:paraId="2BC658EF" w14:textId="77777777" w:rsidR="00F94AAA" w:rsidRPr="00BC0131" w:rsidRDefault="00F94AAA" w:rsidP="00917E85">
      <w:pPr>
        <w:pStyle w:val="Examplecaption"/>
      </w:pPr>
      <w:r w:rsidRPr="00BC0131">
        <w:t>The table of uses can specify conditions that a Section 1 use or Section 2 use must comply with. If the planning authority requires a use to be generally in accordance with the precinct structure plan, a condition to this effect will need to be included in the table (opposite the relevant use).</w:t>
      </w:r>
    </w:p>
    <w:p w14:paraId="734E989F" w14:textId="77777777" w:rsidR="00F94AAA" w:rsidRPr="00BC0131" w:rsidRDefault="00F94AAA" w:rsidP="00917E85">
      <w:pPr>
        <w:pStyle w:val="Examplecaption"/>
      </w:pPr>
      <w:r w:rsidRPr="00BC0131">
        <w:t>If a planning authority decides to apply the use provisions of a zone, but needs to specify additional use requirements, these requirements could also be presented in a table</w:t>
      </w:r>
      <w:r>
        <w:t>,</w:t>
      </w:r>
      <w:r w:rsidRPr="00BC0131">
        <w:t xml:space="preserve"> as shown in the example below. </w:t>
      </w:r>
    </w:p>
    <w:p w14:paraId="45DF4CFE" w14:textId="4E726383" w:rsidR="00C03F83" w:rsidRDefault="00C03F83" w:rsidP="00883CE7">
      <w:pPr>
        <w:pStyle w:val="3rdlevelleading"/>
        <w:ind w:left="0"/>
        <w:rPr>
          <w:rFonts w:ascii="Times New Roman" w:hAnsi="Times New Roman"/>
          <w:szCs w:val="24"/>
        </w:rPr>
      </w:pPr>
    </w:p>
    <w:p w14:paraId="2941F6C3" w14:textId="198755EA" w:rsidR="00F94AAA" w:rsidRPr="003D0AC5" w:rsidRDefault="00C03F83" w:rsidP="00EF7FD9">
      <w:pPr>
        <w:pStyle w:val="ExamplePara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5E030" wp14:editId="0474928A">
                <wp:simplePos x="0" y="0"/>
                <wp:positionH relativeFrom="margin">
                  <wp:align>left</wp:align>
                </wp:positionH>
                <wp:positionV relativeFrom="paragraph">
                  <wp:posOffset>-132319</wp:posOffset>
                </wp:positionV>
                <wp:extent cx="6740525" cy="9013008"/>
                <wp:effectExtent l="19050" t="57150" r="117475" b="742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9013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C81B" id="Rectangle 16" o:spid="_x0000_s1026" style="position:absolute;margin-left:0;margin-top:-10.4pt;width:530.75pt;height:709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" filled="f" strokecolor="#5a5a5a [2109]" strokeweight="1pt">
                <v:shadow on="t" color="black" opacity="39321f" origin="-.5" offset="3pt,0"/>
                <w10:wrap anchorx="margin"/>
              </v:rect>
            </w:pict>
          </mc:Fallback>
        </mc:AlternateContent>
      </w:r>
      <w:r w:rsidR="00F94AAA" w:rsidRPr="003D0AC5">
        <w:t>The following provisions apply to the use of land.</w:t>
      </w:r>
    </w:p>
    <w:p w14:paraId="62A45900" w14:textId="7707DCE5" w:rsidR="00F94AAA" w:rsidRPr="00917E85" w:rsidRDefault="00F94AAA" w:rsidP="006E55FC">
      <w:pPr>
        <w:pStyle w:val="ExampleClauseHeader"/>
      </w:pPr>
      <w:r w:rsidRPr="00790865">
        <w:t>Table 2: Use</w:t>
      </w:r>
    </w:p>
    <w:tbl>
      <w:tblPr>
        <w:tblW w:w="0" w:type="auto"/>
        <w:tblInd w:w="7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283"/>
        <w:gridCol w:w="5109"/>
      </w:tblGrid>
      <w:tr w:rsidR="00F94AAA" w:rsidRPr="002F5407" w14:paraId="30A25EED" w14:textId="77777777" w:rsidTr="00F43F7E">
        <w:trPr>
          <w:trHeight w:val="397"/>
        </w:trPr>
        <w:tc>
          <w:tcPr>
            <w:tcW w:w="3963" w:type="dxa"/>
            <w:gridSpan w:val="2"/>
            <w:shd w:val="clear" w:color="auto" w:fill="000000"/>
          </w:tcPr>
          <w:p w14:paraId="55F73DC0" w14:textId="77777777" w:rsidR="00F94AAA" w:rsidRPr="001526BC" w:rsidRDefault="00F94AAA" w:rsidP="002C7537">
            <w:pPr>
              <w:pStyle w:val="TableTextBold"/>
              <w:spacing w:before="80" w:after="40"/>
              <w:ind w:right="543"/>
              <w:rPr>
                <w:szCs w:val="18"/>
              </w:rPr>
            </w:pPr>
            <w:r w:rsidRPr="001526BC">
              <w:rPr>
                <w:szCs w:val="18"/>
              </w:rPr>
              <w:t>USE</w:t>
            </w:r>
          </w:p>
        </w:tc>
        <w:tc>
          <w:tcPr>
            <w:tcW w:w="5109" w:type="dxa"/>
            <w:shd w:val="clear" w:color="auto" w:fill="000000"/>
          </w:tcPr>
          <w:p w14:paraId="0908C60C" w14:textId="77777777" w:rsidR="00F94AAA" w:rsidRPr="001526BC" w:rsidRDefault="00F94AAA" w:rsidP="002C7537">
            <w:pPr>
              <w:pStyle w:val="TableTextBold"/>
              <w:spacing w:before="80" w:after="40"/>
              <w:ind w:right="543"/>
              <w:rPr>
                <w:szCs w:val="18"/>
              </w:rPr>
            </w:pPr>
            <w:r w:rsidRPr="001526BC">
              <w:rPr>
                <w:szCs w:val="18"/>
              </w:rPr>
              <w:t>REQUIREMENT</w:t>
            </w:r>
          </w:p>
        </w:tc>
      </w:tr>
      <w:tr w:rsidR="00F94AAA" w:rsidRPr="002F5407" w14:paraId="2E38386E" w14:textId="77777777" w:rsidTr="00F43F7E">
        <w:trPr>
          <w:trHeight w:val="397"/>
        </w:trPr>
        <w:tc>
          <w:tcPr>
            <w:tcW w:w="3680" w:type="dxa"/>
            <w:shd w:val="clear" w:color="auto" w:fill="auto"/>
          </w:tcPr>
          <w:p w14:paraId="60207626" w14:textId="77777777" w:rsidR="00F94AAA" w:rsidRPr="001526BC" w:rsidRDefault="00F94AAA" w:rsidP="00F43F7E">
            <w:pPr>
              <w:pStyle w:val="BodyText1"/>
              <w:spacing w:before="40" w:after="40"/>
              <w:rPr>
                <w:b/>
                <w:bCs/>
                <w:sz w:val="18"/>
                <w:szCs w:val="18"/>
              </w:rPr>
            </w:pPr>
            <w:r w:rsidRPr="001526BC">
              <w:rPr>
                <w:sz w:val="18"/>
                <w:szCs w:val="18"/>
              </w:rPr>
              <w:t>Shop (other than an Adult sex bookshop)</w:t>
            </w:r>
          </w:p>
        </w:tc>
        <w:tc>
          <w:tcPr>
            <w:tcW w:w="5392" w:type="dxa"/>
            <w:gridSpan w:val="2"/>
            <w:shd w:val="clear" w:color="auto" w:fill="auto"/>
          </w:tcPr>
          <w:p w14:paraId="586177A7" w14:textId="77777777" w:rsidR="00F94AAA" w:rsidRPr="001526BC" w:rsidRDefault="00F94AAA" w:rsidP="00F43F7E">
            <w:pPr>
              <w:pStyle w:val="BodyText1"/>
              <w:spacing w:before="40" w:after="40"/>
              <w:rPr>
                <w:b/>
                <w:bCs/>
                <w:sz w:val="18"/>
                <w:szCs w:val="18"/>
              </w:rPr>
            </w:pPr>
            <w:r w:rsidRPr="001526BC">
              <w:rPr>
                <w:sz w:val="18"/>
                <w:szCs w:val="18"/>
              </w:rPr>
              <w:t>If the land is shown as Commercial 1 on Map 1 of this schedule, a permit is required to use land for a Shop if the combined leasable floor area for all shops exceeds 20,000 square metres.</w:t>
            </w:r>
          </w:p>
        </w:tc>
      </w:tr>
    </w:tbl>
    <w:p w14:paraId="625AC9BD" w14:textId="4E65269E" w:rsidR="00F94AAA" w:rsidRPr="00917E85" w:rsidRDefault="00F94AAA" w:rsidP="006E55FC">
      <w:pPr>
        <w:pStyle w:val="ExampleClauseHeader"/>
      </w:pPr>
      <w:r w:rsidRPr="00790865">
        <w:t>2.4</w:t>
      </w:r>
      <w:r>
        <w:t xml:space="preserve"> </w:t>
      </w:r>
      <w:r w:rsidRPr="00790865">
        <w:t xml:space="preserve">Specific provisions </w:t>
      </w:r>
      <w:r>
        <w:t>–</w:t>
      </w:r>
      <w:r w:rsidRPr="00790865">
        <w:t xml:space="preserve"> </w:t>
      </w:r>
      <w:r>
        <w:t>Subdivision</w:t>
      </w:r>
    </w:p>
    <w:p w14:paraId="4FFA4368" w14:textId="77777777" w:rsidR="00F94AAA" w:rsidRPr="00BC0131" w:rsidRDefault="00F94AAA" w:rsidP="00917E85">
      <w:pPr>
        <w:pStyle w:val="Examplecaption"/>
      </w:pPr>
      <w:r w:rsidRPr="00BC0131">
        <w:t>A permit is required to subdivide land under the parent provisions of the zone. The schedule cannot alter this. However, the schedule can specify requirements that a subdivision must meet.</w:t>
      </w:r>
    </w:p>
    <w:p w14:paraId="4EF8CE43" w14:textId="77777777" w:rsidR="00F94AAA" w:rsidRPr="00A75D28" w:rsidRDefault="00F94AAA" w:rsidP="00EF7FD9">
      <w:pPr>
        <w:pStyle w:val="ExampleParaText"/>
      </w:pPr>
      <w:r w:rsidRPr="00A75D28">
        <w:t>None specified</w:t>
      </w:r>
      <w:r>
        <w:t>.</w:t>
      </w:r>
    </w:p>
    <w:p w14:paraId="3A0DC63E" w14:textId="7469ED21" w:rsidR="00F94AAA" w:rsidRPr="00917E85" w:rsidRDefault="00F94AAA" w:rsidP="006E55FC">
      <w:pPr>
        <w:pStyle w:val="ExampleClauseHeader"/>
      </w:pPr>
      <w:r>
        <w:t xml:space="preserve">2.5 </w:t>
      </w:r>
      <w:r w:rsidRPr="00790865">
        <w:t xml:space="preserve">Specific provisions </w:t>
      </w:r>
      <w:r w:rsidR="00483519">
        <w:t>–</w:t>
      </w:r>
      <w:r w:rsidRPr="00790865">
        <w:t xml:space="preserve"> Buildings and works</w:t>
      </w:r>
    </w:p>
    <w:p w14:paraId="3D7B1390" w14:textId="77777777" w:rsidR="00F94AAA" w:rsidRPr="00BC0131" w:rsidRDefault="00F94AAA" w:rsidP="00917E85">
      <w:pPr>
        <w:pStyle w:val="Examplecaption"/>
      </w:pPr>
      <w:r w:rsidRPr="00BC0131">
        <w:t>Any requirements for buildings and works must be specified in the schedule. The schedule may specify that a permit is not required to construct a building or construct or carry out works (subject to any conditions), or that a permit is required.</w:t>
      </w:r>
    </w:p>
    <w:p w14:paraId="35AA4964" w14:textId="48B88025" w:rsidR="00F94AAA" w:rsidRPr="00B915BC" w:rsidRDefault="00F94AAA" w:rsidP="00EF7FD9">
      <w:pPr>
        <w:pStyle w:val="ExampleParaText"/>
      </w:pPr>
      <w:r>
        <w:t>A permit is not required to construct or exten</w:t>
      </w:r>
      <w:r w:rsidR="009551DF">
        <w:t>d</w:t>
      </w:r>
      <w:r>
        <w:t xml:space="preserve"> one dwelling on a lot with an area less than 300 square metres where a site is identified as a lot to be assessed against the Small Lot Housing Code via a restriction on title, and it complies with the Small Lot Housing Code incorporated </w:t>
      </w:r>
      <w:r w:rsidR="009551DF">
        <w:t>in accordance with</w:t>
      </w:r>
      <w:r>
        <w:t xml:space="preserve"> </w:t>
      </w:r>
      <w:r w:rsidR="009551DF">
        <w:t>C</w:t>
      </w:r>
      <w:r>
        <w:t>lause 72.04 of the Gumnut Planning Scheme.</w:t>
      </w:r>
    </w:p>
    <w:p w14:paraId="635942A9" w14:textId="77777777" w:rsidR="00F94AAA" w:rsidRPr="00917E85" w:rsidRDefault="00F94AAA" w:rsidP="006E55FC">
      <w:pPr>
        <w:pStyle w:val="ExampleClauseHeader"/>
      </w:pPr>
      <w:r w:rsidRPr="00AC4002">
        <w:t>3.0 Application requirements</w:t>
      </w:r>
    </w:p>
    <w:p w14:paraId="725F2D86" w14:textId="77777777" w:rsidR="00F94AAA" w:rsidRPr="00BC0131" w:rsidRDefault="00F94AAA" w:rsidP="00917E85">
      <w:pPr>
        <w:pStyle w:val="Examplecaption"/>
      </w:pPr>
      <w:r w:rsidRPr="00D50AC8">
        <w:t>The schedule can include information requirements for applications</w:t>
      </w:r>
      <w:r w:rsidRPr="00BC0131">
        <w:t xml:space="preserve">. If the requirements relate only to </w:t>
      </w:r>
      <w:r>
        <w:t xml:space="preserve">a </w:t>
      </w:r>
      <w:r w:rsidRPr="00BC0131">
        <w:t>certain class of application, the schedule should be drafted to make this clear.</w:t>
      </w:r>
    </w:p>
    <w:p w14:paraId="48626F9B" w14:textId="77777777" w:rsidR="00F94AAA" w:rsidRPr="00A75D28" w:rsidRDefault="00F94AAA" w:rsidP="00EF7FD9">
      <w:pPr>
        <w:pStyle w:val="ExampleParaText"/>
      </w:pPr>
      <w:r w:rsidRPr="00A75D28">
        <w:t>None specified</w:t>
      </w:r>
      <w:r>
        <w:t>.</w:t>
      </w:r>
    </w:p>
    <w:p w14:paraId="036065F4" w14:textId="77777777" w:rsidR="00F94AAA" w:rsidRPr="00917E85" w:rsidRDefault="00F94AAA" w:rsidP="006E55FC">
      <w:pPr>
        <w:pStyle w:val="ExampleClauseHeader"/>
      </w:pPr>
      <w:r>
        <w:t>4</w:t>
      </w:r>
      <w:r w:rsidRPr="00790865">
        <w:t>.0</w:t>
      </w:r>
      <w:r>
        <w:t xml:space="preserve"> </w:t>
      </w:r>
      <w:r w:rsidRPr="00790865">
        <w:t>Conditions and requirements for permits</w:t>
      </w:r>
    </w:p>
    <w:p w14:paraId="4F31EC19" w14:textId="1834FED2" w:rsidR="00F94AAA" w:rsidRPr="00BC0131" w:rsidRDefault="00F94AAA" w:rsidP="00917E85">
      <w:pPr>
        <w:pStyle w:val="Examplecaption"/>
      </w:pPr>
      <w:r w:rsidRPr="00BC0131">
        <w:t xml:space="preserve">The zone enables the schedule to specify conditions or requirements that </w:t>
      </w:r>
      <w:r w:rsidR="003F13E7">
        <w:t>must be included on any</w:t>
      </w:r>
      <w:r w:rsidR="003F13E7" w:rsidRPr="00BC0131">
        <w:t xml:space="preserve"> </w:t>
      </w:r>
      <w:r w:rsidRPr="00BC0131">
        <w:t>permit granted.</w:t>
      </w:r>
      <w:r w:rsidR="00912B13">
        <w:t xml:space="preserve"> </w:t>
      </w:r>
      <w:r w:rsidRPr="00BC0131">
        <w:t xml:space="preserve">If the conditions or requirements relate only to a certain part of the precinct or a certain type of use, building or works, the schedule should be drafted to </w:t>
      </w:r>
      <w:r w:rsidR="006824F2">
        <w:t>make this</w:t>
      </w:r>
      <w:r w:rsidR="006824F2" w:rsidRPr="00BC0131">
        <w:t xml:space="preserve"> </w:t>
      </w:r>
      <w:r w:rsidRPr="00BC0131">
        <w:t>clear</w:t>
      </w:r>
      <w:r w:rsidR="006824F2">
        <w:t>.</w:t>
      </w:r>
    </w:p>
    <w:p w14:paraId="493B58D1" w14:textId="77777777" w:rsidR="00F94AAA" w:rsidRPr="003D0AC5" w:rsidRDefault="00F94AAA" w:rsidP="00EF7FD9">
      <w:pPr>
        <w:pStyle w:val="ExampleParaText"/>
      </w:pPr>
      <w:r w:rsidRPr="003D0AC5">
        <w:t>All permits to construct a building or construct or carry out works on land adjacent to Gumnut Road must provide for a setback of 20 metres from the front boundary of the lot to enable the future widening of Gumnut Road.</w:t>
      </w:r>
    </w:p>
    <w:p w14:paraId="04CB2CAF" w14:textId="77777777" w:rsidR="00F94AAA" w:rsidRPr="00917E85" w:rsidRDefault="00F94AAA" w:rsidP="006E55FC">
      <w:pPr>
        <w:pStyle w:val="ExampleClauseHeader"/>
      </w:pPr>
      <w:r w:rsidRPr="00AC4002">
        <w:t>5.0 Exemption from notice and review</w:t>
      </w:r>
    </w:p>
    <w:p w14:paraId="017DF87D" w14:textId="77777777" w:rsidR="00F94AAA" w:rsidRPr="000A7FC7" w:rsidRDefault="00F94AAA" w:rsidP="00917E85">
      <w:pPr>
        <w:pStyle w:val="Examplecaption"/>
      </w:pPr>
      <w:r w:rsidRPr="00693A49">
        <w:t xml:space="preserve">An application is exempt from most notice requirements and third-party review rights if it generally conforms with the precinct structure plan. </w:t>
      </w:r>
      <w:r w:rsidRPr="000A7FC7">
        <w:t>The zone enables the schedule to</w:t>
      </w:r>
      <w:r>
        <w:t xml:space="preserve"> change or </w:t>
      </w:r>
      <w:r w:rsidRPr="00693A49">
        <w:t xml:space="preserve">remove such exemptions, if </w:t>
      </w:r>
      <w:r>
        <w:t>warranted</w:t>
      </w:r>
      <w:r w:rsidRPr="000A7FC7">
        <w:t>.</w:t>
      </w:r>
    </w:p>
    <w:p w14:paraId="58B28EC1" w14:textId="77777777" w:rsidR="00F94AAA" w:rsidRPr="00A75D28" w:rsidRDefault="00F94AAA" w:rsidP="00EF7FD9">
      <w:pPr>
        <w:pStyle w:val="ExampleParaText"/>
      </w:pPr>
      <w:r w:rsidRPr="00A75D28">
        <w:t>None specified</w:t>
      </w:r>
      <w:r>
        <w:t>.</w:t>
      </w:r>
    </w:p>
    <w:p w14:paraId="551B568F" w14:textId="77777777" w:rsidR="00F94AAA" w:rsidRPr="00917E85" w:rsidRDefault="00F94AAA" w:rsidP="006E55FC">
      <w:pPr>
        <w:pStyle w:val="ExampleClauseHeader"/>
      </w:pPr>
      <w:r>
        <w:t>6</w:t>
      </w:r>
      <w:r w:rsidRPr="00AC4002">
        <w:t>.0 Decision guidelines</w:t>
      </w:r>
    </w:p>
    <w:p w14:paraId="14D48617" w14:textId="77777777" w:rsidR="00F94AAA" w:rsidRPr="00BC0131" w:rsidRDefault="00F94AAA" w:rsidP="00917E85">
      <w:pPr>
        <w:pStyle w:val="Examplecaption"/>
      </w:pPr>
      <w:bookmarkStart w:id="0" w:name="_Hlk116557244"/>
      <w:r w:rsidRPr="00BC0131">
        <w:t xml:space="preserve">The zone enables the schedule to introduce additional decision guidelines </w:t>
      </w:r>
      <w:r w:rsidRPr="000A7FC7">
        <w:t>as necessary to address any unique local circumstances</w:t>
      </w:r>
      <w:r w:rsidRPr="00BC0131">
        <w:t>. Any decision guidelines specified here should not duplicate the decision guidelines in Clause 37.07-14.</w:t>
      </w:r>
    </w:p>
    <w:bookmarkEnd w:id="0"/>
    <w:p w14:paraId="3828E78A" w14:textId="77777777" w:rsidR="00F94AAA" w:rsidRPr="00A75D28" w:rsidRDefault="00F94AAA" w:rsidP="00EF7FD9">
      <w:pPr>
        <w:pStyle w:val="ExampleParaText"/>
      </w:pPr>
      <w:r w:rsidRPr="00A75D28">
        <w:t>None specified</w:t>
      </w:r>
      <w:r>
        <w:t>.</w:t>
      </w:r>
    </w:p>
    <w:p w14:paraId="1447620B" w14:textId="77777777" w:rsidR="00F94AAA" w:rsidRPr="00790865" w:rsidRDefault="00F94AAA" w:rsidP="006E55FC">
      <w:pPr>
        <w:pStyle w:val="ExampleClauseHeader"/>
      </w:pPr>
      <w:r>
        <w:t>7</w:t>
      </w:r>
      <w:r w:rsidRPr="00790865">
        <w:t>.0</w:t>
      </w:r>
      <w:r>
        <w:t xml:space="preserve"> S</w:t>
      </w:r>
      <w:r w:rsidRPr="00790865">
        <w:t>igns</w:t>
      </w:r>
    </w:p>
    <w:p w14:paraId="1188E95C" w14:textId="44207237" w:rsidR="00F94AAA" w:rsidRPr="00BC0131" w:rsidRDefault="00F94AAA" w:rsidP="00917E85">
      <w:pPr>
        <w:pStyle w:val="Examplecaption"/>
      </w:pPr>
      <w:r w:rsidRPr="00BC0131">
        <w:t xml:space="preserve">The schedule can vary the sign requirements in </w:t>
      </w:r>
      <w:r w:rsidR="000A67D8">
        <w:t>C</w:t>
      </w:r>
      <w:r w:rsidRPr="00BC0131">
        <w:t>lause 37.07-16.</w:t>
      </w:r>
    </w:p>
    <w:p w14:paraId="1215F8C1" w14:textId="642D30A5" w:rsidR="00220115" w:rsidRDefault="00F94AAA" w:rsidP="00883CE7">
      <w:pPr>
        <w:pStyle w:val="ExampleParaText"/>
      </w:pPr>
      <w:r w:rsidRPr="003D0AC5">
        <w:t>All land shown on Map 1 is in Category 2.</w:t>
      </w:r>
      <w:r w:rsidRPr="0036103D">
        <w:rPr>
          <w:rFonts w:ascii="Arial Narrow" w:hAnsi="Arial Narrow"/>
          <w:sz w:val="18"/>
          <w:szCs w:val="18"/>
        </w:rPr>
        <w:t xml:space="preserve"> </w:t>
      </w:r>
    </w:p>
    <w:sectPr w:rsidR="00220115" w:rsidSect="00883C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720" w:bottom="284" w:left="720" w:header="708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D256" w14:textId="77777777" w:rsidR="00C27352" w:rsidRDefault="00C27352" w:rsidP="003D2C8C">
      <w:pPr>
        <w:spacing w:before="0"/>
      </w:pPr>
      <w:r>
        <w:separator/>
      </w:r>
    </w:p>
  </w:endnote>
  <w:endnote w:type="continuationSeparator" w:id="0">
    <w:p w14:paraId="7F1D02C2" w14:textId="77777777" w:rsidR="00C27352" w:rsidRDefault="00C27352" w:rsidP="003D2C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21F" w14:textId="77777777" w:rsidR="00883CE7" w:rsidRDefault="0088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82B" w14:textId="72D9AA3B" w:rsidR="00883CE7" w:rsidRDefault="00883C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47FF0" wp14:editId="2F100C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5" name="MSIPCM4bfa4e22aeb112f084e2a01c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3A45B" w14:textId="178B94AE" w:rsidR="00883CE7" w:rsidRPr="00883CE7" w:rsidRDefault="00883CE7" w:rsidP="00883CE7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83CE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47FF0" id="_x0000_t202" coordsize="21600,21600" o:spt="202" path="m,l,21600r21600,l21600,xe">
              <v:stroke joinstyle="miter"/>
              <v:path gradientshapeok="t" o:connecttype="rect"/>
            </v:shapetype>
            <v:shape id="MSIPCM4bfa4e22aeb112f084e2a01c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483A45B" w14:textId="178B94AE" w:rsidR="00883CE7" w:rsidRPr="00883CE7" w:rsidRDefault="00883CE7" w:rsidP="00883CE7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83CE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3E7" w14:textId="14C24177" w:rsidR="00737D67" w:rsidRDefault="00883CE7" w:rsidP="005D33A1">
    <w:pPr>
      <w:pStyle w:val="Footer"/>
      <w:tabs>
        <w:tab w:val="clear" w:pos="4513"/>
        <w:tab w:val="clear" w:pos="9026"/>
        <w:tab w:val="left" w:pos="1880"/>
      </w:tabs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628ED" wp14:editId="46C180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6" name="MSIPCMfb2445b18123783acb9b325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D925C" w14:textId="12143B6C" w:rsidR="00883CE7" w:rsidRPr="00883CE7" w:rsidRDefault="00883CE7" w:rsidP="00883CE7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83CE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628ED" id="_x0000_t202" coordsize="21600,21600" o:spt="202" path="m,l,21600r21600,l21600,xe">
              <v:stroke joinstyle="miter"/>
              <v:path gradientshapeok="t" o:connecttype="rect"/>
            </v:shapetype>
            <v:shape id="MSIPCMfb2445b18123783acb9b3256" o:spid="_x0000_s1027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72D925C" w14:textId="12143B6C" w:rsidR="00883CE7" w:rsidRPr="00883CE7" w:rsidRDefault="00883CE7" w:rsidP="00883CE7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83CE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36D9" w14:textId="77777777" w:rsidR="00C27352" w:rsidRDefault="00C27352" w:rsidP="003D2C8C">
      <w:pPr>
        <w:spacing w:before="0"/>
      </w:pPr>
      <w:r>
        <w:separator/>
      </w:r>
    </w:p>
  </w:footnote>
  <w:footnote w:type="continuationSeparator" w:id="0">
    <w:p w14:paraId="7EBA9F7F" w14:textId="77777777" w:rsidR="00C27352" w:rsidRDefault="00C27352" w:rsidP="003D2C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0175" w14:textId="77777777" w:rsidR="00883CE7" w:rsidRDefault="0088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3E4D" w14:textId="77777777" w:rsidR="00883CE7" w:rsidRDefault="00883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CDA8" w14:textId="77777777" w:rsidR="00883CE7" w:rsidRDefault="0088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7BF"/>
    <w:multiLevelType w:val="hybridMultilevel"/>
    <w:tmpl w:val="3F228A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0DFA"/>
    <w:multiLevelType w:val="hybridMultilevel"/>
    <w:tmpl w:val="DFC29984"/>
    <w:lvl w:ilvl="0" w:tplc="48B22876">
      <w:start w:val="1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153"/>
    <w:multiLevelType w:val="hybridMultilevel"/>
    <w:tmpl w:val="FE129EE8"/>
    <w:lvl w:ilvl="0" w:tplc="DD185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154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F5B57"/>
    <w:multiLevelType w:val="hybridMultilevel"/>
    <w:tmpl w:val="F4BA190E"/>
    <w:lvl w:ilvl="0" w:tplc="ABC06D6E">
      <w:start w:val="1"/>
      <w:numFmt w:val="bullet"/>
      <w:pStyle w:val="Bullets1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A62B6D4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56A6AC9E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A78EA78E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6E0A0AD8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61C07258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2F74F762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11B81442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92788DF6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D754BF0"/>
    <w:multiLevelType w:val="hybridMultilevel"/>
    <w:tmpl w:val="D168075E"/>
    <w:lvl w:ilvl="0" w:tplc="1C96EC40">
      <w:start w:val="16"/>
      <w:numFmt w:val="bullet"/>
      <w:pStyle w:val="Bullettext"/>
      <w:lvlText w:val=""/>
      <w:lvlJc w:val="left"/>
      <w:pPr>
        <w:ind w:left="473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2DD156C"/>
    <w:multiLevelType w:val="hybridMultilevel"/>
    <w:tmpl w:val="D6EE01FA"/>
    <w:lvl w:ilvl="0" w:tplc="4C26B09E">
      <w:start w:val="1"/>
      <w:numFmt w:val="bullet"/>
      <w:pStyle w:val="Bullets2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B232A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8F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E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F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82C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69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D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CA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55E7"/>
    <w:multiLevelType w:val="hybridMultilevel"/>
    <w:tmpl w:val="6A640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40FA4"/>
    <w:multiLevelType w:val="hybridMultilevel"/>
    <w:tmpl w:val="63DEBDFA"/>
    <w:lvl w:ilvl="0" w:tplc="DD185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154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F2E04"/>
    <w:multiLevelType w:val="hybridMultilevel"/>
    <w:tmpl w:val="47FAA198"/>
    <w:lvl w:ilvl="0" w:tplc="9904B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A4551"/>
    <w:multiLevelType w:val="hybridMultilevel"/>
    <w:tmpl w:val="E4B47D8E"/>
    <w:lvl w:ilvl="0" w:tplc="060A082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160D5"/>
    <w:multiLevelType w:val="hybridMultilevel"/>
    <w:tmpl w:val="296ED4DC"/>
    <w:lvl w:ilvl="0" w:tplc="060A082C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Calibri Light" w:hAnsi="Calibri Ligh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41B8A"/>
    <w:multiLevelType w:val="hybridMultilevel"/>
    <w:tmpl w:val="6FD84E48"/>
    <w:lvl w:ilvl="0" w:tplc="9904B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F7EA2"/>
    <w:multiLevelType w:val="hybridMultilevel"/>
    <w:tmpl w:val="CFCC5ADA"/>
    <w:lvl w:ilvl="0" w:tplc="060A082C">
      <w:start w:val="1"/>
      <w:numFmt w:val="bullet"/>
      <w:lvlText w:val="-"/>
      <w:lvlJc w:val="left"/>
      <w:pPr>
        <w:ind w:left="862" w:hanging="360"/>
      </w:pPr>
      <w:rPr>
        <w:rFonts w:ascii="Calibri Light" w:hAnsi="Calibri Light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ED3C8C"/>
    <w:multiLevelType w:val="hybridMultilevel"/>
    <w:tmpl w:val="12B067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0A3F5C"/>
    <w:multiLevelType w:val="hybridMultilevel"/>
    <w:tmpl w:val="EB4A1C58"/>
    <w:lvl w:ilvl="0" w:tplc="060A082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27AF"/>
    <w:multiLevelType w:val="hybridMultilevel"/>
    <w:tmpl w:val="30103522"/>
    <w:lvl w:ilvl="0" w:tplc="9904B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7799E"/>
    <w:multiLevelType w:val="hybridMultilevel"/>
    <w:tmpl w:val="DB46C86E"/>
    <w:lvl w:ilvl="0" w:tplc="DD185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154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84A8F"/>
    <w:multiLevelType w:val="hybridMultilevel"/>
    <w:tmpl w:val="34A4C8AA"/>
    <w:lvl w:ilvl="0" w:tplc="B218CCD4">
      <w:start w:val="16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78170">
    <w:abstractNumId w:val="1"/>
  </w:num>
  <w:num w:numId="2" w16cid:durableId="918441673">
    <w:abstractNumId w:val="17"/>
  </w:num>
  <w:num w:numId="3" w16cid:durableId="2080127051">
    <w:abstractNumId w:val="4"/>
  </w:num>
  <w:num w:numId="4" w16cid:durableId="690952795">
    <w:abstractNumId w:val="4"/>
  </w:num>
  <w:num w:numId="5" w16cid:durableId="1041327397">
    <w:abstractNumId w:val="8"/>
  </w:num>
  <w:num w:numId="6" w16cid:durableId="1967075968">
    <w:abstractNumId w:val="15"/>
  </w:num>
  <w:num w:numId="7" w16cid:durableId="997030580">
    <w:abstractNumId w:val="11"/>
  </w:num>
  <w:num w:numId="8" w16cid:durableId="2084640431">
    <w:abstractNumId w:val="3"/>
  </w:num>
  <w:num w:numId="9" w16cid:durableId="1885605462">
    <w:abstractNumId w:val="0"/>
  </w:num>
  <w:num w:numId="10" w16cid:durableId="781537048">
    <w:abstractNumId w:val="5"/>
  </w:num>
  <w:num w:numId="11" w16cid:durableId="632753608">
    <w:abstractNumId w:val="2"/>
  </w:num>
  <w:num w:numId="12" w16cid:durableId="1325738129">
    <w:abstractNumId w:val="14"/>
  </w:num>
  <w:num w:numId="13" w16cid:durableId="797991427">
    <w:abstractNumId w:val="7"/>
  </w:num>
  <w:num w:numId="14" w16cid:durableId="1884096806">
    <w:abstractNumId w:val="16"/>
  </w:num>
  <w:num w:numId="15" w16cid:durableId="5642624">
    <w:abstractNumId w:val="10"/>
  </w:num>
  <w:num w:numId="16" w16cid:durableId="89663112">
    <w:abstractNumId w:val="4"/>
  </w:num>
  <w:num w:numId="17" w16cid:durableId="1894925230">
    <w:abstractNumId w:val="4"/>
  </w:num>
  <w:num w:numId="18" w16cid:durableId="1679229830">
    <w:abstractNumId w:val="4"/>
  </w:num>
  <w:num w:numId="19" w16cid:durableId="394545201">
    <w:abstractNumId w:val="4"/>
  </w:num>
  <w:num w:numId="20" w16cid:durableId="678972560">
    <w:abstractNumId w:val="4"/>
  </w:num>
  <w:num w:numId="21" w16cid:durableId="774640310">
    <w:abstractNumId w:val="4"/>
  </w:num>
  <w:num w:numId="22" w16cid:durableId="1548032744">
    <w:abstractNumId w:val="4"/>
  </w:num>
  <w:num w:numId="23" w16cid:durableId="266892277">
    <w:abstractNumId w:val="4"/>
  </w:num>
  <w:num w:numId="24" w16cid:durableId="465903072">
    <w:abstractNumId w:val="4"/>
  </w:num>
  <w:num w:numId="25" w16cid:durableId="1100564745">
    <w:abstractNumId w:val="12"/>
  </w:num>
  <w:num w:numId="26" w16cid:durableId="1322197035">
    <w:abstractNumId w:val="4"/>
  </w:num>
  <w:num w:numId="27" w16cid:durableId="975725177">
    <w:abstractNumId w:val="4"/>
  </w:num>
  <w:num w:numId="28" w16cid:durableId="972445648">
    <w:abstractNumId w:val="4"/>
  </w:num>
  <w:num w:numId="29" w16cid:durableId="1274899565">
    <w:abstractNumId w:val="4"/>
  </w:num>
  <w:num w:numId="30" w16cid:durableId="1655182445">
    <w:abstractNumId w:val="4"/>
  </w:num>
  <w:num w:numId="31" w16cid:durableId="916211605">
    <w:abstractNumId w:val="4"/>
  </w:num>
  <w:num w:numId="32" w16cid:durableId="1981575647">
    <w:abstractNumId w:val="4"/>
  </w:num>
  <w:num w:numId="33" w16cid:durableId="171916549">
    <w:abstractNumId w:val="9"/>
  </w:num>
  <w:num w:numId="34" w16cid:durableId="2005088556">
    <w:abstractNumId w:val="6"/>
  </w:num>
  <w:num w:numId="35" w16cid:durableId="63266362">
    <w:abstractNumId w:val="4"/>
  </w:num>
  <w:num w:numId="36" w16cid:durableId="577635478">
    <w:abstractNumId w:val="4"/>
  </w:num>
  <w:num w:numId="37" w16cid:durableId="1982341931">
    <w:abstractNumId w:val="4"/>
  </w:num>
  <w:num w:numId="38" w16cid:durableId="642661211">
    <w:abstractNumId w:val="4"/>
  </w:num>
  <w:num w:numId="39" w16cid:durableId="463819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C"/>
    <w:rsid w:val="00003A12"/>
    <w:rsid w:val="000052CE"/>
    <w:rsid w:val="00012500"/>
    <w:rsid w:val="0001260F"/>
    <w:rsid w:val="00015337"/>
    <w:rsid w:val="0003591F"/>
    <w:rsid w:val="0004396C"/>
    <w:rsid w:val="000473A1"/>
    <w:rsid w:val="0004792E"/>
    <w:rsid w:val="000516B8"/>
    <w:rsid w:val="00057816"/>
    <w:rsid w:val="00071985"/>
    <w:rsid w:val="000719D5"/>
    <w:rsid w:val="00073CEA"/>
    <w:rsid w:val="00075D6F"/>
    <w:rsid w:val="00087152"/>
    <w:rsid w:val="000927A5"/>
    <w:rsid w:val="00094971"/>
    <w:rsid w:val="00094AA8"/>
    <w:rsid w:val="000A67D8"/>
    <w:rsid w:val="000E57FA"/>
    <w:rsid w:val="000E7AB5"/>
    <w:rsid w:val="000F3021"/>
    <w:rsid w:val="000F424E"/>
    <w:rsid w:val="001047F1"/>
    <w:rsid w:val="00106E07"/>
    <w:rsid w:val="00107200"/>
    <w:rsid w:val="001105D5"/>
    <w:rsid w:val="00114CEA"/>
    <w:rsid w:val="001218C6"/>
    <w:rsid w:val="00124CE2"/>
    <w:rsid w:val="00124D85"/>
    <w:rsid w:val="001266D1"/>
    <w:rsid w:val="00131A14"/>
    <w:rsid w:val="00140DC0"/>
    <w:rsid w:val="00146555"/>
    <w:rsid w:val="00151FB4"/>
    <w:rsid w:val="001526BC"/>
    <w:rsid w:val="001552A8"/>
    <w:rsid w:val="001634DA"/>
    <w:rsid w:val="00165442"/>
    <w:rsid w:val="00193AD7"/>
    <w:rsid w:val="00194D1F"/>
    <w:rsid w:val="00195F95"/>
    <w:rsid w:val="001A045C"/>
    <w:rsid w:val="001A3DF3"/>
    <w:rsid w:val="001E2D76"/>
    <w:rsid w:val="00220115"/>
    <w:rsid w:val="00220717"/>
    <w:rsid w:val="0022580D"/>
    <w:rsid w:val="0023087C"/>
    <w:rsid w:val="00230947"/>
    <w:rsid w:val="00264078"/>
    <w:rsid w:val="00290E51"/>
    <w:rsid w:val="00291BD8"/>
    <w:rsid w:val="0029375F"/>
    <w:rsid w:val="00295506"/>
    <w:rsid w:val="00296ACB"/>
    <w:rsid w:val="002A79DF"/>
    <w:rsid w:val="002B216F"/>
    <w:rsid w:val="002C1087"/>
    <w:rsid w:val="002C7537"/>
    <w:rsid w:val="002D0A76"/>
    <w:rsid w:val="002E4C37"/>
    <w:rsid w:val="002F12CB"/>
    <w:rsid w:val="002F2D6B"/>
    <w:rsid w:val="003056A2"/>
    <w:rsid w:val="00311CC7"/>
    <w:rsid w:val="00320C4C"/>
    <w:rsid w:val="00323C50"/>
    <w:rsid w:val="003253B8"/>
    <w:rsid w:val="00365889"/>
    <w:rsid w:val="00365FBA"/>
    <w:rsid w:val="00366B8D"/>
    <w:rsid w:val="003A2025"/>
    <w:rsid w:val="003A3B57"/>
    <w:rsid w:val="003A45BD"/>
    <w:rsid w:val="003B2C7F"/>
    <w:rsid w:val="003B7097"/>
    <w:rsid w:val="003C2B51"/>
    <w:rsid w:val="003C3BEF"/>
    <w:rsid w:val="003C4E0B"/>
    <w:rsid w:val="003D2C8C"/>
    <w:rsid w:val="003D781C"/>
    <w:rsid w:val="003F13E7"/>
    <w:rsid w:val="003F7BEC"/>
    <w:rsid w:val="00406664"/>
    <w:rsid w:val="00407042"/>
    <w:rsid w:val="0040783A"/>
    <w:rsid w:val="00407DFE"/>
    <w:rsid w:val="00412688"/>
    <w:rsid w:val="00414EF1"/>
    <w:rsid w:val="00420F3B"/>
    <w:rsid w:val="00431A92"/>
    <w:rsid w:val="00450661"/>
    <w:rsid w:val="00453A96"/>
    <w:rsid w:val="004544A8"/>
    <w:rsid w:val="00456C1B"/>
    <w:rsid w:val="00457B6F"/>
    <w:rsid w:val="00457D71"/>
    <w:rsid w:val="0046200F"/>
    <w:rsid w:val="00472517"/>
    <w:rsid w:val="00477CD4"/>
    <w:rsid w:val="00480EAF"/>
    <w:rsid w:val="00483519"/>
    <w:rsid w:val="00485F01"/>
    <w:rsid w:val="0049486C"/>
    <w:rsid w:val="0049591C"/>
    <w:rsid w:val="00495C4D"/>
    <w:rsid w:val="004A0E27"/>
    <w:rsid w:val="004A5421"/>
    <w:rsid w:val="004B57C1"/>
    <w:rsid w:val="004C3E80"/>
    <w:rsid w:val="004C457E"/>
    <w:rsid w:val="004D6CDE"/>
    <w:rsid w:val="004E4610"/>
    <w:rsid w:val="004F719F"/>
    <w:rsid w:val="00503B29"/>
    <w:rsid w:val="00510588"/>
    <w:rsid w:val="0051316A"/>
    <w:rsid w:val="00523B97"/>
    <w:rsid w:val="005304C8"/>
    <w:rsid w:val="00540DB0"/>
    <w:rsid w:val="0054264C"/>
    <w:rsid w:val="00544ED2"/>
    <w:rsid w:val="00560897"/>
    <w:rsid w:val="00560FA5"/>
    <w:rsid w:val="00566249"/>
    <w:rsid w:val="00581A2D"/>
    <w:rsid w:val="00594C5F"/>
    <w:rsid w:val="005A5293"/>
    <w:rsid w:val="005A665B"/>
    <w:rsid w:val="005B5594"/>
    <w:rsid w:val="005C245C"/>
    <w:rsid w:val="005C34C2"/>
    <w:rsid w:val="005C483F"/>
    <w:rsid w:val="005D33A1"/>
    <w:rsid w:val="005D6596"/>
    <w:rsid w:val="005D7C40"/>
    <w:rsid w:val="005E0600"/>
    <w:rsid w:val="005E302A"/>
    <w:rsid w:val="005F561F"/>
    <w:rsid w:val="005F648D"/>
    <w:rsid w:val="00605078"/>
    <w:rsid w:val="006125B2"/>
    <w:rsid w:val="006169EF"/>
    <w:rsid w:val="006219F8"/>
    <w:rsid w:val="00633015"/>
    <w:rsid w:val="0063502F"/>
    <w:rsid w:val="00637530"/>
    <w:rsid w:val="00640A63"/>
    <w:rsid w:val="006466FC"/>
    <w:rsid w:val="006509B6"/>
    <w:rsid w:val="00653D2C"/>
    <w:rsid w:val="00670210"/>
    <w:rsid w:val="00671808"/>
    <w:rsid w:val="00674F25"/>
    <w:rsid w:val="006824F2"/>
    <w:rsid w:val="006A44BA"/>
    <w:rsid w:val="006C0C94"/>
    <w:rsid w:val="006C50B0"/>
    <w:rsid w:val="006D48B4"/>
    <w:rsid w:val="006E55FC"/>
    <w:rsid w:val="006F4C11"/>
    <w:rsid w:val="006F4E59"/>
    <w:rsid w:val="006F5E01"/>
    <w:rsid w:val="006F635A"/>
    <w:rsid w:val="007023CE"/>
    <w:rsid w:val="00707092"/>
    <w:rsid w:val="00707C23"/>
    <w:rsid w:val="00721649"/>
    <w:rsid w:val="007225AE"/>
    <w:rsid w:val="007235D1"/>
    <w:rsid w:val="00737D67"/>
    <w:rsid w:val="0074718B"/>
    <w:rsid w:val="00751EB6"/>
    <w:rsid w:val="007540E0"/>
    <w:rsid w:val="007649F5"/>
    <w:rsid w:val="007759F5"/>
    <w:rsid w:val="007873AC"/>
    <w:rsid w:val="00787910"/>
    <w:rsid w:val="007C221A"/>
    <w:rsid w:val="007C58AD"/>
    <w:rsid w:val="007D2BED"/>
    <w:rsid w:val="007D393C"/>
    <w:rsid w:val="007D53BE"/>
    <w:rsid w:val="007D6A1F"/>
    <w:rsid w:val="007F4EC9"/>
    <w:rsid w:val="00800201"/>
    <w:rsid w:val="00800F20"/>
    <w:rsid w:val="0080167F"/>
    <w:rsid w:val="008024B4"/>
    <w:rsid w:val="00803507"/>
    <w:rsid w:val="00807551"/>
    <w:rsid w:val="00817A7C"/>
    <w:rsid w:val="0083301A"/>
    <w:rsid w:val="00842254"/>
    <w:rsid w:val="00843101"/>
    <w:rsid w:val="00845097"/>
    <w:rsid w:val="00850868"/>
    <w:rsid w:val="008541CA"/>
    <w:rsid w:val="00866AC9"/>
    <w:rsid w:val="00876533"/>
    <w:rsid w:val="00883CE7"/>
    <w:rsid w:val="00887527"/>
    <w:rsid w:val="008878B2"/>
    <w:rsid w:val="00896B5E"/>
    <w:rsid w:val="008A02F2"/>
    <w:rsid w:val="008A3A77"/>
    <w:rsid w:val="008B1FA7"/>
    <w:rsid w:val="008B5AA1"/>
    <w:rsid w:val="008C0338"/>
    <w:rsid w:val="008D027E"/>
    <w:rsid w:val="008D0345"/>
    <w:rsid w:val="008D77E2"/>
    <w:rsid w:val="008E34F0"/>
    <w:rsid w:val="008F4D9E"/>
    <w:rsid w:val="008F65BA"/>
    <w:rsid w:val="009071B3"/>
    <w:rsid w:val="00907BCE"/>
    <w:rsid w:val="00912B13"/>
    <w:rsid w:val="0091698E"/>
    <w:rsid w:val="00917E85"/>
    <w:rsid w:val="00926C09"/>
    <w:rsid w:val="00934AAC"/>
    <w:rsid w:val="0095133C"/>
    <w:rsid w:val="0095184A"/>
    <w:rsid w:val="00953F67"/>
    <w:rsid w:val="009545E1"/>
    <w:rsid w:val="009551DF"/>
    <w:rsid w:val="00972499"/>
    <w:rsid w:val="009733F5"/>
    <w:rsid w:val="00975D7A"/>
    <w:rsid w:val="00981CFD"/>
    <w:rsid w:val="009A160C"/>
    <w:rsid w:val="009A19DE"/>
    <w:rsid w:val="009A4A6A"/>
    <w:rsid w:val="009A5094"/>
    <w:rsid w:val="009B3A3B"/>
    <w:rsid w:val="009B53ED"/>
    <w:rsid w:val="009C194B"/>
    <w:rsid w:val="009C2305"/>
    <w:rsid w:val="009C3D0E"/>
    <w:rsid w:val="009C6C69"/>
    <w:rsid w:val="009D1226"/>
    <w:rsid w:val="009D5770"/>
    <w:rsid w:val="009E41A0"/>
    <w:rsid w:val="009E60C7"/>
    <w:rsid w:val="009F0229"/>
    <w:rsid w:val="009F0C8D"/>
    <w:rsid w:val="00A241E5"/>
    <w:rsid w:val="00A24AFE"/>
    <w:rsid w:val="00A32128"/>
    <w:rsid w:val="00A3312E"/>
    <w:rsid w:val="00A34A9C"/>
    <w:rsid w:val="00A36EA8"/>
    <w:rsid w:val="00A420D9"/>
    <w:rsid w:val="00A43C1E"/>
    <w:rsid w:val="00A445BA"/>
    <w:rsid w:val="00A50C53"/>
    <w:rsid w:val="00A7408E"/>
    <w:rsid w:val="00A773C4"/>
    <w:rsid w:val="00A800BA"/>
    <w:rsid w:val="00A80647"/>
    <w:rsid w:val="00A90043"/>
    <w:rsid w:val="00A900CE"/>
    <w:rsid w:val="00A96090"/>
    <w:rsid w:val="00AA1E37"/>
    <w:rsid w:val="00AB3884"/>
    <w:rsid w:val="00AC2E47"/>
    <w:rsid w:val="00AD274D"/>
    <w:rsid w:val="00AD5CEC"/>
    <w:rsid w:val="00AD5D9B"/>
    <w:rsid w:val="00AE2DF7"/>
    <w:rsid w:val="00B045CC"/>
    <w:rsid w:val="00B123CD"/>
    <w:rsid w:val="00B1480C"/>
    <w:rsid w:val="00B231D5"/>
    <w:rsid w:val="00B34D26"/>
    <w:rsid w:val="00B408F1"/>
    <w:rsid w:val="00B435B0"/>
    <w:rsid w:val="00B43C44"/>
    <w:rsid w:val="00B548E7"/>
    <w:rsid w:val="00B6202B"/>
    <w:rsid w:val="00B66F2E"/>
    <w:rsid w:val="00B70C1B"/>
    <w:rsid w:val="00B71AD8"/>
    <w:rsid w:val="00B8044B"/>
    <w:rsid w:val="00B867E3"/>
    <w:rsid w:val="00B873F9"/>
    <w:rsid w:val="00B92588"/>
    <w:rsid w:val="00B972DA"/>
    <w:rsid w:val="00BA08F6"/>
    <w:rsid w:val="00BA20B1"/>
    <w:rsid w:val="00BA2292"/>
    <w:rsid w:val="00BA7C35"/>
    <w:rsid w:val="00BB76A3"/>
    <w:rsid w:val="00BB7D41"/>
    <w:rsid w:val="00BC0BF1"/>
    <w:rsid w:val="00BC5156"/>
    <w:rsid w:val="00BD55E5"/>
    <w:rsid w:val="00BE4D2F"/>
    <w:rsid w:val="00BE619A"/>
    <w:rsid w:val="00BE7B67"/>
    <w:rsid w:val="00BF52B2"/>
    <w:rsid w:val="00C03F83"/>
    <w:rsid w:val="00C063E3"/>
    <w:rsid w:val="00C10D9B"/>
    <w:rsid w:val="00C126CA"/>
    <w:rsid w:val="00C12DAE"/>
    <w:rsid w:val="00C27352"/>
    <w:rsid w:val="00C30D94"/>
    <w:rsid w:val="00C366E1"/>
    <w:rsid w:val="00C62657"/>
    <w:rsid w:val="00C64B91"/>
    <w:rsid w:val="00C715D2"/>
    <w:rsid w:val="00C77F3B"/>
    <w:rsid w:val="00C81C2C"/>
    <w:rsid w:val="00C87621"/>
    <w:rsid w:val="00C91DBF"/>
    <w:rsid w:val="00C9394B"/>
    <w:rsid w:val="00CA11C6"/>
    <w:rsid w:val="00CB02C3"/>
    <w:rsid w:val="00CB5F36"/>
    <w:rsid w:val="00CB61B1"/>
    <w:rsid w:val="00CD2622"/>
    <w:rsid w:val="00CF4AB1"/>
    <w:rsid w:val="00CF5033"/>
    <w:rsid w:val="00CF738F"/>
    <w:rsid w:val="00D01125"/>
    <w:rsid w:val="00D03E51"/>
    <w:rsid w:val="00D1794A"/>
    <w:rsid w:val="00D219D0"/>
    <w:rsid w:val="00D252F9"/>
    <w:rsid w:val="00D35425"/>
    <w:rsid w:val="00D411EB"/>
    <w:rsid w:val="00D432A8"/>
    <w:rsid w:val="00D43D86"/>
    <w:rsid w:val="00D56235"/>
    <w:rsid w:val="00D6192A"/>
    <w:rsid w:val="00D74CBD"/>
    <w:rsid w:val="00D75304"/>
    <w:rsid w:val="00D80428"/>
    <w:rsid w:val="00D877CC"/>
    <w:rsid w:val="00D925A6"/>
    <w:rsid w:val="00D936C9"/>
    <w:rsid w:val="00DA3C23"/>
    <w:rsid w:val="00DC2D63"/>
    <w:rsid w:val="00DC4277"/>
    <w:rsid w:val="00DD1F54"/>
    <w:rsid w:val="00DD214E"/>
    <w:rsid w:val="00DD3400"/>
    <w:rsid w:val="00DD3B3F"/>
    <w:rsid w:val="00DD70AE"/>
    <w:rsid w:val="00DD76C6"/>
    <w:rsid w:val="00DE0B5D"/>
    <w:rsid w:val="00DE1A93"/>
    <w:rsid w:val="00DE45DC"/>
    <w:rsid w:val="00E26F84"/>
    <w:rsid w:val="00E35C36"/>
    <w:rsid w:val="00E46564"/>
    <w:rsid w:val="00E47177"/>
    <w:rsid w:val="00E51427"/>
    <w:rsid w:val="00E671B9"/>
    <w:rsid w:val="00E76182"/>
    <w:rsid w:val="00E90BDA"/>
    <w:rsid w:val="00EA773F"/>
    <w:rsid w:val="00ED3E48"/>
    <w:rsid w:val="00EE68A7"/>
    <w:rsid w:val="00EF5D22"/>
    <w:rsid w:val="00EF7FD9"/>
    <w:rsid w:val="00F06E64"/>
    <w:rsid w:val="00F10D4E"/>
    <w:rsid w:val="00F12B53"/>
    <w:rsid w:val="00F20EED"/>
    <w:rsid w:val="00F24F17"/>
    <w:rsid w:val="00F43F7E"/>
    <w:rsid w:val="00F47E9E"/>
    <w:rsid w:val="00F5216D"/>
    <w:rsid w:val="00F53ED5"/>
    <w:rsid w:val="00F5591D"/>
    <w:rsid w:val="00F5594E"/>
    <w:rsid w:val="00F6747F"/>
    <w:rsid w:val="00F7518B"/>
    <w:rsid w:val="00F8689C"/>
    <w:rsid w:val="00F94AAA"/>
    <w:rsid w:val="00FA357C"/>
    <w:rsid w:val="00FA3959"/>
    <w:rsid w:val="00FB2A0F"/>
    <w:rsid w:val="00FB6211"/>
    <w:rsid w:val="00FC20A7"/>
    <w:rsid w:val="00FE33E5"/>
    <w:rsid w:val="00FE62A6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74DA"/>
  <w15:chartTrackingRefBased/>
  <w15:docId w15:val="{B164298E-C063-491B-8B03-385EFA4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DBF"/>
    <w:pPr>
      <w:numPr>
        <w:ilvl w:val="1"/>
      </w:numPr>
      <w:spacing w:before="0" w:line="320" w:lineRule="exact"/>
      <w:jc w:val="right"/>
      <w:outlineLvl w:val="0"/>
    </w:pPr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DBF"/>
    <w:pPr>
      <w:numPr>
        <w:ilvl w:val="1"/>
      </w:numPr>
      <w:spacing w:before="0" w:line="320" w:lineRule="exact"/>
      <w:jc w:val="right"/>
      <w:outlineLvl w:val="1"/>
    </w:pPr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A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D2C8C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642667"/>
        <w:bottom w:val="single" w:sz="8" w:space="0" w:color="642667"/>
        <w:insideH w:val="single" w:sz="8" w:space="0" w:color="642667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642667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/>
      </w:tcPr>
    </w:tblStylePr>
    <w:tblStylePr w:type="nw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3D2C8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2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D2C8C"/>
  </w:style>
  <w:style w:type="paragraph" w:styleId="Footer">
    <w:name w:val="footer"/>
    <w:basedOn w:val="Normal"/>
    <w:link w:val="Foot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D2C8C"/>
  </w:style>
  <w:style w:type="paragraph" w:customStyle="1" w:styleId="xWeb">
    <w:name w:val="xWeb"/>
    <w:basedOn w:val="Normal"/>
    <w:rsid w:val="00BE619A"/>
    <w:pPr>
      <w:spacing w:before="0"/>
    </w:pPr>
    <w:rPr>
      <w:rFonts w:eastAsia="Times New Roman" w:cs="Arial"/>
      <w:b/>
      <w:color w:val="00A9B2"/>
      <w:spacing w:val="-4"/>
      <w:sz w:val="25"/>
      <w:szCs w:val="42"/>
      <w:lang w:eastAsia="en-AU"/>
    </w:rPr>
  </w:style>
  <w:style w:type="paragraph" w:customStyle="1" w:styleId="SmallBodyText">
    <w:name w:val="Small Body Text"/>
    <w:basedOn w:val="Normal"/>
    <w:rsid w:val="003C2B51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rsid w:val="003C2B51"/>
    <w:pPr>
      <w:spacing w:before="6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3C2B51"/>
    <w:pPr>
      <w:spacing w:before="0" w:line="276" w:lineRule="exact"/>
    </w:pPr>
    <w:rPr>
      <w:rFonts w:eastAsia="Times New Roman" w:cs="Arial"/>
      <w:color w:val="000000" w:themeColor="text1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3C2B51"/>
    <w:pPr>
      <w:spacing w:before="0" w:line="300" w:lineRule="exact"/>
    </w:pPr>
    <w:rPr>
      <w:rFonts w:eastAsia="Times New Roman" w:cs="Arial"/>
      <w:b/>
      <w:color w:val="000000" w:themeColor="text1"/>
      <w:szCs w:val="20"/>
      <w:lang w:eastAsia="en-AU"/>
    </w:rPr>
  </w:style>
  <w:style w:type="paragraph" w:customStyle="1" w:styleId="ParaHeading">
    <w:name w:val="Para Heading"/>
    <w:basedOn w:val="Normal"/>
    <w:link w:val="ParaHeadingChar"/>
    <w:qFormat/>
    <w:rsid w:val="000E7AB5"/>
    <w:pPr>
      <w:widowControl w:val="0"/>
      <w:spacing w:before="240" w:after="60" w:line="220" w:lineRule="atLeast"/>
      <w:ind w:left="113" w:right="113"/>
    </w:pPr>
    <w:rPr>
      <w:rFonts w:ascii="VIC" w:eastAsia="Times New Roman" w:hAnsi="VIC" w:cs="Times New Roman"/>
      <w:b/>
      <w:bCs/>
      <w:iCs/>
      <w:color w:val="201547"/>
      <w:kern w:val="20"/>
      <w:sz w:val="24"/>
      <w:szCs w:val="24"/>
      <w:lang w:eastAsia="en-AU"/>
    </w:rPr>
  </w:style>
  <w:style w:type="paragraph" w:customStyle="1" w:styleId="ParaText">
    <w:name w:val="Para Text"/>
    <w:basedOn w:val="ParaHeading"/>
    <w:link w:val="ParaTextChar"/>
    <w:qFormat/>
    <w:rsid w:val="00194D1F"/>
    <w:pPr>
      <w:spacing w:before="120"/>
    </w:pPr>
    <w:rPr>
      <w:b w:val="0"/>
      <w:bCs w:val="0"/>
      <w:color w:val="auto"/>
      <w:sz w:val="20"/>
      <w:szCs w:val="20"/>
    </w:rPr>
  </w:style>
  <w:style w:type="character" w:customStyle="1" w:styleId="ParaHeadingChar">
    <w:name w:val="Para Heading Char"/>
    <w:basedOn w:val="DefaultParagraphFont"/>
    <w:link w:val="ParaHeading"/>
    <w:rsid w:val="000E7AB5"/>
    <w:rPr>
      <w:rFonts w:ascii="VIC" w:eastAsia="Times New Roman" w:hAnsi="VIC" w:cs="Times New Roman"/>
      <w:b/>
      <w:bCs/>
      <w:iCs/>
      <w:color w:val="201547"/>
      <w:kern w:val="20"/>
      <w:sz w:val="24"/>
      <w:szCs w:val="24"/>
      <w:lang w:eastAsia="en-AU"/>
    </w:rPr>
  </w:style>
  <w:style w:type="paragraph" w:customStyle="1" w:styleId="Exampletext">
    <w:name w:val="Example text"/>
    <w:basedOn w:val="Normal"/>
    <w:link w:val="ExampletextChar"/>
    <w:qFormat/>
    <w:rsid w:val="00DD70AE"/>
    <w:pPr>
      <w:widowControl w:val="0"/>
      <w:ind w:left="142" w:right="626"/>
    </w:pPr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ParaTextChar">
    <w:name w:val="Para Text Char"/>
    <w:basedOn w:val="ParaHeadingChar"/>
    <w:link w:val="ParaText"/>
    <w:rsid w:val="00194D1F"/>
    <w:rPr>
      <w:rFonts w:ascii="VIC" w:eastAsia="Times New Roman" w:hAnsi="VIC" w:cs="Times New Roman"/>
      <w:b w:val="0"/>
      <w:bCs w:val="0"/>
      <w:iCs/>
      <w:color w:val="00B2A9"/>
      <w:kern w:val="20"/>
      <w:sz w:val="20"/>
      <w:szCs w:val="20"/>
      <w:lang w:eastAsia="en-AU"/>
    </w:rPr>
  </w:style>
  <w:style w:type="paragraph" w:customStyle="1" w:styleId="Bullettext">
    <w:name w:val="Bullet text"/>
    <w:basedOn w:val="ListParagraph"/>
    <w:link w:val="BullettextChar"/>
    <w:qFormat/>
    <w:rsid w:val="00A773C4"/>
    <w:pPr>
      <w:widowControl w:val="0"/>
      <w:numPr>
        <w:numId w:val="3"/>
      </w:numPr>
      <w:ind w:right="113"/>
      <w:contextualSpacing w:val="0"/>
    </w:pPr>
    <w:rPr>
      <w:rFonts w:ascii="VIC" w:eastAsia="Times New Roman" w:hAnsi="VIC" w:cs="Times New Roman"/>
      <w:color w:val="363534"/>
      <w:sz w:val="20"/>
      <w:szCs w:val="20"/>
      <w:lang w:eastAsia="en-AU"/>
    </w:rPr>
  </w:style>
  <w:style w:type="character" w:customStyle="1" w:styleId="ExampletextChar">
    <w:name w:val="Example text Char"/>
    <w:basedOn w:val="DefaultParagraphFont"/>
    <w:link w:val="Exampletext"/>
    <w:rsid w:val="00DD70AE"/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DBF"/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0AE"/>
  </w:style>
  <w:style w:type="character" w:customStyle="1" w:styleId="BullettextChar">
    <w:name w:val="Bullet text Char"/>
    <w:basedOn w:val="ListParagraphChar"/>
    <w:link w:val="Bullettext"/>
    <w:rsid w:val="00A773C4"/>
    <w:rPr>
      <w:rFonts w:ascii="VIC" w:eastAsia="Times New Roman" w:hAnsi="VIC" w:cs="Times New Roman"/>
      <w:color w:val="363534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91DBF"/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customStyle="1" w:styleId="Captiontext">
    <w:name w:val="Caption text"/>
    <w:basedOn w:val="Normal"/>
    <w:link w:val="CaptiontextChar"/>
    <w:qFormat/>
    <w:rsid w:val="00FB6211"/>
    <w:pPr>
      <w:widowControl w:val="0"/>
      <w:spacing w:before="240" w:after="60" w:line="220" w:lineRule="atLeast"/>
      <w:ind w:right="113"/>
    </w:pPr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ParaSub-heading">
    <w:name w:val="Para Sub-heading"/>
    <w:basedOn w:val="Normal"/>
    <w:link w:val="ParaSub-headingChar"/>
    <w:qFormat/>
    <w:rsid w:val="00165442"/>
    <w:pPr>
      <w:widowControl w:val="0"/>
      <w:ind w:left="113" w:right="113"/>
    </w:pPr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CaptiontextChar">
    <w:name w:val="Caption text Char"/>
    <w:basedOn w:val="DefaultParagraphFont"/>
    <w:link w:val="Captiontext"/>
    <w:rsid w:val="00FB6211"/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Break-outboxtext">
    <w:name w:val="Break-out box text"/>
    <w:basedOn w:val="Normal"/>
    <w:link w:val="Break-outboxtextChar"/>
    <w:qFormat/>
    <w:rsid w:val="009A160C"/>
    <w:pPr>
      <w:spacing w:before="60" w:after="60"/>
    </w:pPr>
    <w:rPr>
      <w:rFonts w:ascii="VIC" w:hAnsi="VIC"/>
      <w:sz w:val="18"/>
      <w:szCs w:val="18"/>
    </w:rPr>
  </w:style>
  <w:style w:type="character" w:customStyle="1" w:styleId="ParaSub-headingChar">
    <w:name w:val="Para Sub-heading Char"/>
    <w:basedOn w:val="DefaultParagraphFont"/>
    <w:link w:val="ParaSub-heading"/>
    <w:rsid w:val="00165442"/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Break-outboxtextChar">
    <w:name w:val="Break-out box text Char"/>
    <w:basedOn w:val="DefaultParagraphFont"/>
    <w:link w:val="Break-outboxtext"/>
    <w:rsid w:val="009A160C"/>
    <w:rPr>
      <w:rFonts w:ascii="VIC" w:hAnsi="VIC"/>
      <w:sz w:val="18"/>
      <w:szCs w:val="18"/>
    </w:rPr>
  </w:style>
  <w:style w:type="paragraph" w:customStyle="1" w:styleId="PPNTitle">
    <w:name w:val="PPN Title"/>
    <w:basedOn w:val="Header"/>
    <w:link w:val="PPNTitleChar"/>
    <w:qFormat/>
    <w:rsid w:val="001A045C"/>
    <w:pPr>
      <w:spacing w:before="120"/>
      <w:jc w:val="right"/>
    </w:pPr>
    <w:rPr>
      <w:rFonts w:ascii="VIC" w:hAnsi="VIC"/>
      <w:b/>
      <w:bCs/>
      <w:color w:val="FFFFFF" w:themeColor="background1"/>
      <w:sz w:val="40"/>
      <w:szCs w:val="40"/>
    </w:rPr>
  </w:style>
  <w:style w:type="paragraph" w:customStyle="1" w:styleId="FootHeadNote">
    <w:name w:val="Foot.Head Note"/>
    <w:basedOn w:val="Heading2"/>
    <w:link w:val="FootHeadNoteChar"/>
    <w:qFormat/>
    <w:rsid w:val="006509B6"/>
    <w:rPr>
      <w:color w:val="201547"/>
      <w:sz w:val="16"/>
      <w:szCs w:val="16"/>
    </w:rPr>
  </w:style>
  <w:style w:type="character" w:customStyle="1" w:styleId="PPNTitleChar">
    <w:name w:val="PPN Title Char"/>
    <w:basedOn w:val="HeaderChar"/>
    <w:link w:val="PPNTitle"/>
    <w:rsid w:val="001A045C"/>
    <w:rPr>
      <w:rFonts w:ascii="VIC" w:hAnsi="VIC"/>
      <w:b/>
      <w:bCs/>
      <w:color w:val="FFFFFF" w:themeColor="background1"/>
      <w:sz w:val="40"/>
      <w:szCs w:val="40"/>
    </w:rPr>
  </w:style>
  <w:style w:type="character" w:customStyle="1" w:styleId="FootHeadNoteChar">
    <w:name w:val="Foot.Head Note Char"/>
    <w:basedOn w:val="Heading2Char"/>
    <w:link w:val="FootHeadNote"/>
    <w:rsid w:val="006509B6"/>
    <w:rPr>
      <w:rFonts w:ascii="VIC" w:eastAsia="MingLiU" w:hAnsi="VIC" w:cs="Times New Roman"/>
      <w:bCs/>
      <w:iCs/>
      <w:color w:val="201547"/>
      <w:spacing w:val="-2"/>
      <w:sz w:val="16"/>
      <w:szCs w:val="16"/>
      <w:lang w:eastAsia="en-AU"/>
    </w:rPr>
  </w:style>
  <w:style w:type="paragraph" w:customStyle="1" w:styleId="3rdlevelleading">
    <w:name w:val="3rd level leading"/>
    <w:basedOn w:val="ParaSub-heading"/>
    <w:link w:val="3rdlevelleadingChar"/>
    <w:qFormat/>
    <w:rsid w:val="000516B8"/>
    <w:rPr>
      <w:color w:val="00B2A9"/>
      <w:sz w:val="20"/>
      <w:szCs w:val="20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Break-outboxheading">
    <w:name w:val="Break-out box heading"/>
    <w:basedOn w:val="Break-outboxtext"/>
    <w:link w:val="Break-outboxheadingChar"/>
    <w:qFormat/>
    <w:rsid w:val="009A160C"/>
    <w:rPr>
      <w:b/>
      <w:bCs/>
      <w:color w:val="642667"/>
    </w:rPr>
  </w:style>
  <w:style w:type="character" w:customStyle="1" w:styleId="3rdlevelleadingChar">
    <w:name w:val="3rd level leading Char"/>
    <w:basedOn w:val="ParaSub-headingChar"/>
    <w:link w:val="3rdlevelleading"/>
    <w:rsid w:val="000516B8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Tablesub-heading">
    <w:name w:val="Table sub-heading"/>
    <w:basedOn w:val="Normal"/>
    <w:link w:val="Tablesub-headingChar"/>
    <w:qFormat/>
    <w:rsid w:val="008F4D9E"/>
    <w:pPr>
      <w:spacing w:before="40" w:after="40"/>
    </w:pPr>
    <w:rPr>
      <w:rFonts w:ascii="VIC" w:hAnsi="VIC"/>
      <w:b/>
      <w:bCs/>
      <w:color w:val="642667"/>
      <w:sz w:val="18"/>
      <w:szCs w:val="18"/>
      <w:lang w:eastAsia="en-AU"/>
    </w:rPr>
  </w:style>
  <w:style w:type="character" w:customStyle="1" w:styleId="Break-outboxheadingChar">
    <w:name w:val="Break-out box heading Char"/>
    <w:basedOn w:val="Break-outboxtextChar"/>
    <w:link w:val="Break-outboxheading"/>
    <w:rsid w:val="009A160C"/>
    <w:rPr>
      <w:rFonts w:ascii="VIC" w:hAnsi="VIC"/>
      <w:b/>
      <w:bCs/>
      <w:color w:val="642667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8F4D9E"/>
    <w:pPr>
      <w:spacing w:before="40" w:after="40"/>
    </w:pPr>
    <w:rPr>
      <w:rFonts w:ascii="VIC" w:hAnsi="VIC"/>
      <w:b/>
      <w:bCs/>
      <w:sz w:val="20"/>
      <w:szCs w:val="20"/>
      <w:lang w:eastAsia="en-AU"/>
    </w:rPr>
  </w:style>
  <w:style w:type="character" w:customStyle="1" w:styleId="Tablesub-headingChar">
    <w:name w:val="Table sub-heading Char"/>
    <w:basedOn w:val="DefaultParagraphFont"/>
    <w:link w:val="Tablesub-heading"/>
    <w:rsid w:val="008F4D9E"/>
    <w:rPr>
      <w:rFonts w:ascii="VIC" w:hAnsi="VIC"/>
      <w:b/>
      <w:bCs/>
      <w:color w:val="642667"/>
      <w:sz w:val="18"/>
      <w:szCs w:val="18"/>
      <w:lang w:eastAsia="en-AU"/>
    </w:rPr>
  </w:style>
  <w:style w:type="paragraph" w:customStyle="1" w:styleId="Tableminiheading">
    <w:name w:val="Table mini heading"/>
    <w:basedOn w:val="Tableheading"/>
    <w:link w:val="TableminiheadingChar"/>
    <w:qFormat/>
    <w:rsid w:val="00151FB4"/>
    <w:pPr>
      <w:spacing w:before="20" w:after="20"/>
    </w:pPr>
    <w:rPr>
      <w:b w:val="0"/>
      <w:bCs w:val="0"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8F4D9E"/>
    <w:rPr>
      <w:rFonts w:ascii="VIC" w:hAnsi="VIC"/>
      <w:b/>
      <w:bCs/>
      <w:sz w:val="20"/>
      <w:szCs w:val="20"/>
      <w:lang w:eastAsia="en-AU"/>
    </w:rPr>
  </w:style>
  <w:style w:type="paragraph" w:customStyle="1" w:styleId="Tabletext">
    <w:name w:val="Table text"/>
    <w:basedOn w:val="Normal"/>
    <w:link w:val="TabletextChar"/>
    <w:qFormat/>
    <w:rsid w:val="00B231D5"/>
    <w:pPr>
      <w:spacing w:before="40" w:after="40"/>
    </w:pPr>
    <w:rPr>
      <w:rFonts w:ascii="VIC" w:hAnsi="VIC"/>
      <w:sz w:val="18"/>
      <w:szCs w:val="18"/>
      <w:lang w:eastAsia="en-AU"/>
    </w:rPr>
  </w:style>
  <w:style w:type="character" w:customStyle="1" w:styleId="TableminiheadingChar">
    <w:name w:val="Table mini heading Char"/>
    <w:basedOn w:val="TableheadingChar"/>
    <w:link w:val="Tableminiheading"/>
    <w:rsid w:val="00151FB4"/>
    <w:rPr>
      <w:rFonts w:ascii="VIC" w:hAnsi="VIC"/>
      <w:b w:val="0"/>
      <w:bCs w:val="0"/>
      <w:sz w:val="16"/>
      <w:szCs w:val="16"/>
      <w:lang w:eastAsia="en-AU"/>
    </w:rPr>
  </w:style>
  <w:style w:type="paragraph" w:customStyle="1" w:styleId="FigureTableHeading">
    <w:name w:val="Figure.Table Heading"/>
    <w:basedOn w:val="3rdlevelleading"/>
    <w:link w:val="FigureTableHeadingChar"/>
    <w:qFormat/>
    <w:rsid w:val="00F10D4E"/>
    <w:pPr>
      <w:spacing w:after="60"/>
    </w:pPr>
  </w:style>
  <w:style w:type="character" w:customStyle="1" w:styleId="TabletextChar">
    <w:name w:val="Table text Char"/>
    <w:basedOn w:val="DefaultParagraphFont"/>
    <w:link w:val="Tabletext"/>
    <w:rsid w:val="00B231D5"/>
    <w:rPr>
      <w:rFonts w:ascii="VIC" w:hAnsi="VIC"/>
      <w:sz w:val="18"/>
      <w:szCs w:val="18"/>
      <w:lang w:eastAsia="en-AU"/>
    </w:rPr>
  </w:style>
  <w:style w:type="character" w:styleId="Emphasis">
    <w:name w:val="Emphasis"/>
    <w:uiPriority w:val="20"/>
    <w:qFormat/>
    <w:rsid w:val="005F561F"/>
    <w:rPr>
      <w:rFonts w:ascii="Arial Narrow" w:hAnsi="Arial Narrow"/>
      <w:i/>
      <w:iCs/>
      <w:color w:val="FF0000"/>
    </w:rPr>
  </w:style>
  <w:style w:type="character" w:customStyle="1" w:styleId="FigureTableHeadingChar">
    <w:name w:val="Figure.Table Heading Char"/>
    <w:basedOn w:val="3rdlevelleadingChar"/>
    <w:link w:val="FigureTableHeading"/>
    <w:rsid w:val="00F10D4E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6C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C94"/>
    <w:rPr>
      <w:color w:val="605E5C"/>
      <w:shd w:val="clear" w:color="auto" w:fill="E1DFDD"/>
    </w:rPr>
  </w:style>
  <w:style w:type="paragraph" w:customStyle="1" w:styleId="Bullets1">
    <w:name w:val="Bullets 1"/>
    <w:basedOn w:val="Normal"/>
    <w:autoRedefine/>
    <w:rsid w:val="00057816"/>
    <w:pPr>
      <w:numPr>
        <w:numId w:val="8"/>
      </w:numPr>
      <w:tabs>
        <w:tab w:val="clear" w:pos="1288"/>
      </w:tabs>
      <w:spacing w:before="0" w:after="200"/>
      <w:ind w:left="284" w:hanging="284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BodyText1">
    <w:name w:val="Body Text1"/>
    <w:basedOn w:val="Normal"/>
    <w:link w:val="BodytextChar"/>
    <w:rsid w:val="00057816"/>
    <w:pPr>
      <w:spacing w:before="0" w:after="200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link w:val="BodyText1"/>
    <w:rsid w:val="00057816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A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A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ullets2">
    <w:name w:val="Bullets 2"/>
    <w:basedOn w:val="BodyText1"/>
    <w:rsid w:val="00F94AAA"/>
    <w:pPr>
      <w:numPr>
        <w:numId w:val="10"/>
      </w:numPr>
      <w:tabs>
        <w:tab w:val="clear" w:pos="644"/>
      </w:tabs>
      <w:ind w:left="568"/>
    </w:pPr>
    <w:rPr>
      <w:lang w:val="en-GB"/>
    </w:rPr>
  </w:style>
  <w:style w:type="paragraph" w:customStyle="1" w:styleId="TableTextBold">
    <w:name w:val="Table Text Bold"/>
    <w:basedOn w:val="BodyText1"/>
    <w:rsid w:val="00F94AAA"/>
    <w:pPr>
      <w:spacing w:after="100"/>
    </w:pPr>
    <w:rPr>
      <w:b/>
      <w:sz w:val="18"/>
    </w:rPr>
  </w:style>
  <w:style w:type="character" w:customStyle="1" w:styleId="bodytextbold">
    <w:name w:val="body text bold"/>
    <w:uiPriority w:val="99"/>
    <w:rsid w:val="00F94AAA"/>
    <w:rPr>
      <w:rFonts w:cs="Arial"/>
      <w:b/>
      <w:bCs/>
      <w:szCs w:val="20"/>
    </w:rPr>
  </w:style>
  <w:style w:type="character" w:customStyle="1" w:styleId="Bodytextitalic">
    <w:name w:val="Body text italic"/>
    <w:uiPriority w:val="99"/>
    <w:rsid w:val="00F94AAA"/>
    <w:rPr>
      <w:rFonts w:cs="Arial"/>
      <w:i/>
      <w:iCs/>
      <w:szCs w:val="20"/>
    </w:rPr>
  </w:style>
  <w:style w:type="paragraph" w:customStyle="1" w:styleId="Examplecaption">
    <w:name w:val="Example caption"/>
    <w:basedOn w:val="BodyText1"/>
    <w:link w:val="ExamplecaptionChar"/>
    <w:qFormat/>
    <w:rsid w:val="00917E85"/>
    <w:pPr>
      <w:shd w:val="clear" w:color="auto" w:fill="DDFFFD"/>
      <w:spacing w:before="40" w:after="40"/>
      <w:ind w:left="720" w:right="544"/>
    </w:pPr>
    <w:rPr>
      <w:rFonts w:ascii="Calibri" w:hAnsi="Calibri" w:cs="Calibri"/>
    </w:rPr>
  </w:style>
  <w:style w:type="paragraph" w:customStyle="1" w:styleId="ExampleClauseHeader">
    <w:name w:val="Example Clause Header"/>
    <w:basedOn w:val="BodyText1"/>
    <w:link w:val="ExampleClauseHeaderChar"/>
    <w:qFormat/>
    <w:rsid w:val="006E55FC"/>
    <w:pPr>
      <w:spacing w:before="240" w:after="120"/>
      <w:ind w:left="720" w:right="544"/>
    </w:pPr>
    <w:rPr>
      <w:b/>
      <w:bCs/>
    </w:rPr>
  </w:style>
  <w:style w:type="character" w:customStyle="1" w:styleId="ExamplecaptionChar">
    <w:name w:val="Example caption Char"/>
    <w:basedOn w:val="BodytextChar"/>
    <w:link w:val="Examplecaption"/>
    <w:rsid w:val="00917E85"/>
    <w:rPr>
      <w:rFonts w:ascii="Calibri" w:eastAsia="Times New Roman" w:hAnsi="Calibri" w:cs="Calibri"/>
      <w:sz w:val="20"/>
      <w:szCs w:val="24"/>
      <w:shd w:val="clear" w:color="auto" w:fill="DDFFFD"/>
      <w:lang w:eastAsia="en-AU"/>
    </w:rPr>
  </w:style>
  <w:style w:type="paragraph" w:customStyle="1" w:styleId="ExampleParaText">
    <w:name w:val="Example Para Text"/>
    <w:basedOn w:val="BodyText1"/>
    <w:link w:val="ExampleParaTextChar"/>
    <w:qFormat/>
    <w:rsid w:val="00EF7FD9"/>
    <w:pPr>
      <w:spacing w:before="120" w:after="0"/>
      <w:ind w:left="720" w:right="544"/>
    </w:pPr>
    <w:rPr>
      <w:rFonts w:ascii="Times New Roman" w:hAnsi="Times New Roman"/>
    </w:rPr>
  </w:style>
  <w:style w:type="character" w:customStyle="1" w:styleId="ExampleClauseHeaderChar">
    <w:name w:val="Example Clause Header Char"/>
    <w:basedOn w:val="BodytextChar"/>
    <w:link w:val="ExampleClauseHeader"/>
    <w:rsid w:val="006E55FC"/>
    <w:rPr>
      <w:rFonts w:ascii="Arial" w:eastAsia="Times New Roman" w:hAnsi="Arial" w:cs="Times New Roman"/>
      <w:b/>
      <w:bCs/>
      <w:sz w:val="20"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0927A5"/>
    <w:rPr>
      <w:sz w:val="16"/>
      <w:szCs w:val="16"/>
    </w:rPr>
  </w:style>
  <w:style w:type="character" w:customStyle="1" w:styleId="ExampleParaTextChar">
    <w:name w:val="Example Para Text Char"/>
    <w:basedOn w:val="BodytextChar"/>
    <w:link w:val="ExampleParaText"/>
    <w:rsid w:val="00EF7FD9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nhideWhenUsed/>
    <w:rsid w:val="00092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2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385936e7646da9ee9cb5c9a681f3c xmlns="dcba8cd8-4ab0-4252-839b-82aa47f9f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Minor / routine projects</TermName>
          <TermId xmlns="http://schemas.microsoft.com/office/infopath/2007/PartnerControls">61f94139-eaaa-400f-b6db-76a98071b4b1</TermId>
        </TermInfo>
      </Terms>
    </ied385936e7646da9ee9cb5c9a681f3c>
    <lcf76f155ced4ddcb4097134ff3c332f xmlns="dcba8cd8-4ab0-4252-839b-82aa47f9fc8a">
      <Terms xmlns="http://schemas.microsoft.com/office/infopath/2007/PartnerControls"/>
    </lcf76f155ced4ddcb4097134ff3c332f>
    <TaxCatchAll xmlns="9fd47c19-1c4a-4d7d-b342-c10cef269344">
      <Value>1</Value>
    </TaxCatchAll>
    <m612677ec3164b4f8c858819e2ed5121 xmlns="dcba8cd8-4ab0-4252-839b-82aa47f9fc8a">
      <Terms xmlns="http://schemas.microsoft.com/office/infopath/2007/PartnerControls"/>
    </m612677ec3164b4f8c858819e2ed5121>
    <SharedWithUsers xmlns="6fb2e63c-2bd9-440f-a689-992b6b9291d9">
      <UserInfo>
        <DisplayName>Sally J Paxton (DELWP)</DisplayName>
        <AccountId>29</AccountId>
        <AccountType/>
      </UserInfo>
      <UserInfo>
        <DisplayName>Jenny Dzomba (DELWP)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E49B90340AF44A07AA5C348D70C22" ma:contentTypeVersion="20" ma:contentTypeDescription="Create a new document." ma:contentTypeScope="" ma:versionID="10c9ca516e22d1554fddbd557d71587b">
  <xsd:schema xmlns:xsd="http://www.w3.org/2001/XMLSchema" xmlns:xs="http://www.w3.org/2001/XMLSchema" xmlns:p="http://schemas.microsoft.com/office/2006/metadata/properties" xmlns:ns2="a5f32de4-e402-4188-b034-e71ca7d22e54" xmlns:ns3="dcba8cd8-4ab0-4252-839b-82aa47f9fc8a" xmlns:ns4="9fd47c19-1c4a-4d7d-b342-c10cef269344" xmlns:ns5="6fb2e63c-2bd9-440f-a689-992b6b9291d9" targetNamespace="http://schemas.microsoft.com/office/2006/metadata/properties" ma:root="true" ma:fieldsID="106dc99d9e81fb559930f143c8141429" ns2:_="" ns3:_="" ns4:_="" ns5:_="">
    <xsd:import namespace="a5f32de4-e402-4188-b034-e71ca7d22e54"/>
    <xsd:import namespace="dcba8cd8-4ab0-4252-839b-82aa47f9fc8a"/>
    <xsd:import namespace="9fd47c19-1c4a-4d7d-b342-c10cef269344"/>
    <xsd:import namespace="6fb2e63c-2bd9-440f-a689-992b6b9291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ed385936e7646da9ee9cb5c9a681f3c" minOccurs="0"/>
                <xsd:element ref="ns3:m612677ec3164b4f8c858819e2ed5121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cd8-4ab0-4252-839b-82aa47f9fc8a" elementFormDefault="qualified">
    <xsd:import namespace="http://schemas.microsoft.com/office/2006/documentManagement/types"/>
    <xsd:import namespace="http://schemas.microsoft.com/office/infopath/2007/PartnerControls"/>
    <xsd:element name="ied385936e7646da9ee9cb5c9a681f3c" ma:index="12" nillable="true" ma:taxonomy="true" ma:internalName="ied385936e7646da9ee9cb5c9a681f3c" ma:taxonomyFieldName="Records_x0020_Purpose" ma:displayName="Records Purpose" ma:default="1;#Minor / routine projects|61f94139-eaaa-400f-b6db-76a98071b4b1" ma:fieldId="{2ed38593-6e76-46da-9ee9-cb5c9a681f3c}" ma:sspId="797aeec6-0273-40f2-ab3e-beee73212332" ma:termSetId="bcf5a239-fe11-49e0-8a78-d51fb720f0dd" ma:anchorId="d9c211bb-4a81-4cc6-9764-6af3d4c88160" ma:open="false" ma:isKeyword="false">
      <xsd:complexType>
        <xsd:sequence>
          <xsd:element ref="pc:Terms" minOccurs="0" maxOccurs="1"/>
        </xsd:sequence>
      </xsd:complexType>
    </xsd:element>
    <xsd:element name="m612677ec3164b4f8c858819e2ed5121" ma:index="13" nillable="true" ma:taxonomy="true" ma:internalName="m612677ec3164b4f8c858819e2ed5121" ma:taxonomyFieldName="Records_x0020_Classification" ma:displayName="Records Classification" ma:default="" ma:fieldId="{6612677e-c316-4b4f-8c85-8819e2ed5121}" ma:sspId="797aeec6-0273-40f2-ab3e-beee73212332" ma:termSetId="4258747f-0974-48f0-ac10-46f208a52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f9ae72-0e53-4fc1-bc15-05fee3a41671}" ma:internalName="TaxCatchAll" ma:showField="CatchAllData" ma:web="6fb2e63c-2bd9-440f-a689-992b6b929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e63c-2bd9-440f-a689-992b6b929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56888-6E6E-43BF-BCE9-40405951A3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096B6C-81EF-4C9E-B1CA-E70257DE0AA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8EB103F-6C14-4088-873D-96EEE5439710}">
  <ds:schemaRefs>
    <ds:schemaRef ds:uri="http://schemas.microsoft.com/office/2006/metadata/properties"/>
    <ds:schemaRef ds:uri="http://schemas.microsoft.com/office/infopath/2007/PartnerControls"/>
    <ds:schemaRef ds:uri="dcba8cd8-4ab0-4252-839b-82aa47f9fc8a"/>
    <ds:schemaRef ds:uri="9fd47c19-1c4a-4d7d-b342-c10cef269344"/>
    <ds:schemaRef ds:uri="6fb2e63c-2bd9-440f-a689-992b6b9291d9"/>
  </ds:schemaRefs>
</ds:datastoreItem>
</file>

<file path=customXml/itemProps4.xml><?xml version="1.0" encoding="utf-8"?>
<ds:datastoreItem xmlns:ds="http://schemas.openxmlformats.org/officeDocument/2006/customXml" ds:itemID="{47E9AD0E-E186-46F4-B506-D24CF90A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dcba8cd8-4ab0-4252-839b-82aa47f9fc8a"/>
    <ds:schemaRef ds:uri="9fd47c19-1c4a-4d7d-b342-c10cef269344"/>
    <ds:schemaRef ds:uri="6fb2e63c-2bd9-440f-a689-992b6b92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E11513-3E36-4719-8F3D-59108A363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Planning Practice Note [Insert No.] </vt:lpstr>
      <vt:lpstr>    [Insert Month Year]</vt:lpstr>
      <vt:lpstr>    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Dzomba (DELWP)</dc:creator>
  <cp:keywords/>
  <dc:description/>
  <cp:lastModifiedBy>Brooke Beddall (DEECA)</cp:lastModifiedBy>
  <cp:revision>2</cp:revision>
  <dcterms:created xsi:type="dcterms:W3CDTF">2023-06-10T18:59:00Z</dcterms:created>
  <dcterms:modified xsi:type="dcterms:W3CDTF">2023-06-10T18:59:00Z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0x01010044AE49B90340AF44A07AA5C348D70C22</vt:lpwstr>
  </property>
  <property fmtid="{D5CDD505-2E9C-101B-9397-08002B2CF9AE}" pid="4" name="Records Purpose">
    <vt:lpwstr>1;#Minor / routine projects|61f94139-eaaa-400f-b6db-76a98071b4b1</vt:lpwstr>
  </property>
  <property fmtid="{D5CDD505-2E9C-101B-9397-08002B2CF9AE}" pid="5" name="Records_x0020_Classification">
    <vt:lpwstr/>
  </property>
  <property fmtid="{D5CDD505-2E9C-101B-9397-08002B2CF9AE}" pid="6" name="Records Classification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2023-06-10T18:59:38Z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0e90984a-2248-4314-87ec-0e1116857277</vt:lpwstr>
  </property>
  <property fmtid="{D5CDD505-2E9C-101B-9397-08002B2CF9AE}" pid="13" name="MSIP_Label_4257e2ab-f512-40e2-9c9a-c64247360765_ContentBits">
    <vt:lpwstr>2</vt:lpwstr>
  </property>
</Properties>
</file>