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08067" w14:textId="618B66AF" w:rsidR="00770E3F" w:rsidRPr="00770E3F" w:rsidRDefault="00770E3F" w:rsidP="00770E3F">
      <w:pPr>
        <w:tabs>
          <w:tab w:val="left" w:pos="738"/>
        </w:tabs>
        <w:sectPr w:rsidR="00770E3F" w:rsidRPr="00770E3F" w:rsidSect="009475CA">
          <w:headerReference w:type="default" r:id="rId13"/>
          <w:footerReference w:type="default" r:id="rId14"/>
          <w:pgSz w:w="11900" w:h="16840"/>
          <w:pgMar w:top="1440" w:right="1440" w:bottom="1440" w:left="1440" w:header="624" w:footer="340" w:gutter="0"/>
          <w:cols w:space="708"/>
          <w:docGrid w:linePitch="360"/>
        </w:sectPr>
      </w:pPr>
      <w:bookmarkStart w:id="0" w:name="_Toc87857019"/>
    </w:p>
    <w:bookmarkEnd w:id="0"/>
    <w:p w14:paraId="2CEDC446" w14:textId="77777777" w:rsidR="002843BB" w:rsidRPr="006157AD" w:rsidRDefault="002843BB" w:rsidP="00046046">
      <w:pPr>
        <w:pStyle w:val="Preface"/>
        <w:spacing w:before="480"/>
        <w:rPr>
          <w:color w:val="595959" w:themeColor="text1" w:themeTint="A6"/>
        </w:rPr>
      </w:pPr>
      <w:r w:rsidRPr="006157AD">
        <w:rPr>
          <w:color w:val="595959" w:themeColor="text1" w:themeTint="A6"/>
        </w:rPr>
        <w:t>This practice note provides information and guidance about how to:</w:t>
      </w:r>
    </w:p>
    <w:p w14:paraId="388F7A09" w14:textId="29BA1022" w:rsidR="002843BB" w:rsidRPr="006157AD" w:rsidRDefault="002843BB" w:rsidP="00C545CD">
      <w:pPr>
        <w:pStyle w:val="Preface"/>
        <w:numPr>
          <w:ilvl w:val="0"/>
          <w:numId w:val="31"/>
        </w:numPr>
        <w:spacing w:before="120" w:line="240" w:lineRule="auto"/>
        <w:ind w:left="357" w:hanging="357"/>
        <w:rPr>
          <w:color w:val="595959" w:themeColor="text1" w:themeTint="A6"/>
        </w:rPr>
      </w:pPr>
      <w:r w:rsidRPr="006157AD">
        <w:rPr>
          <w:color w:val="595959" w:themeColor="text1" w:themeTint="A6"/>
        </w:rPr>
        <w:t>use the residential zones to implement strategic work</w:t>
      </w:r>
      <w:r w:rsidR="00066511" w:rsidRPr="006157AD">
        <w:rPr>
          <w:color w:val="595959" w:themeColor="text1" w:themeTint="A6"/>
        </w:rPr>
        <w:t xml:space="preserve"> for housing and neighbourhood character</w:t>
      </w:r>
    </w:p>
    <w:p w14:paraId="7349857B" w14:textId="6E8A0161" w:rsidR="002843BB" w:rsidRPr="006157AD" w:rsidRDefault="002843BB" w:rsidP="00C545CD">
      <w:pPr>
        <w:pStyle w:val="Preface"/>
        <w:numPr>
          <w:ilvl w:val="0"/>
          <w:numId w:val="31"/>
        </w:numPr>
        <w:spacing w:before="120" w:line="240" w:lineRule="auto"/>
        <w:ind w:left="357" w:hanging="357"/>
        <w:rPr>
          <w:color w:val="595959" w:themeColor="text1" w:themeTint="A6"/>
        </w:rPr>
      </w:pPr>
      <w:r w:rsidRPr="006157AD">
        <w:rPr>
          <w:color w:val="595959" w:themeColor="text1" w:themeTint="A6"/>
        </w:rPr>
        <w:t xml:space="preserve">use local policies and overlays </w:t>
      </w:r>
      <w:r w:rsidR="00F316E3" w:rsidRPr="006157AD">
        <w:rPr>
          <w:color w:val="595959" w:themeColor="text1" w:themeTint="A6"/>
        </w:rPr>
        <w:t>to complement</w:t>
      </w:r>
      <w:r w:rsidRPr="006157AD">
        <w:rPr>
          <w:color w:val="595959" w:themeColor="text1" w:themeTint="A6"/>
        </w:rPr>
        <w:t xml:space="preserve"> the residential zones</w:t>
      </w:r>
    </w:p>
    <w:p w14:paraId="2517CD63" w14:textId="4AAA233F" w:rsidR="002843BB" w:rsidRPr="006157AD" w:rsidRDefault="002843BB" w:rsidP="00C545CD">
      <w:pPr>
        <w:pStyle w:val="Preface"/>
        <w:numPr>
          <w:ilvl w:val="0"/>
          <w:numId w:val="31"/>
        </w:numPr>
        <w:spacing w:before="120" w:line="240" w:lineRule="auto"/>
        <w:ind w:left="357" w:hanging="357"/>
        <w:rPr>
          <w:color w:val="595959" w:themeColor="text1" w:themeTint="A6"/>
        </w:rPr>
      </w:pPr>
      <w:r w:rsidRPr="006157AD">
        <w:rPr>
          <w:color w:val="595959" w:themeColor="text1" w:themeTint="A6"/>
        </w:rPr>
        <w:t xml:space="preserve">make use of key features </w:t>
      </w:r>
      <w:r w:rsidR="00167731" w:rsidRPr="006157AD">
        <w:rPr>
          <w:color w:val="595959" w:themeColor="text1" w:themeTint="A6"/>
        </w:rPr>
        <w:t xml:space="preserve">in </w:t>
      </w:r>
      <w:r w:rsidRPr="006157AD">
        <w:rPr>
          <w:color w:val="595959" w:themeColor="text1" w:themeTint="A6"/>
        </w:rPr>
        <w:t>the residential zones</w:t>
      </w:r>
    </w:p>
    <w:p w14:paraId="1D2F2609" w14:textId="5871C4BB" w:rsidR="002843BB" w:rsidRPr="006157AD" w:rsidRDefault="002843BB" w:rsidP="002843BB">
      <w:pPr>
        <w:pStyle w:val="Heading3"/>
        <w:rPr>
          <w:i/>
          <w:iCs/>
          <w:color w:val="595959" w:themeColor="text1" w:themeTint="A6"/>
        </w:rPr>
      </w:pPr>
      <w:r w:rsidRPr="006157AD">
        <w:rPr>
          <w:color w:val="595959" w:themeColor="text1" w:themeTint="A6"/>
        </w:rPr>
        <w:t xml:space="preserve">This practice note should be read with </w:t>
      </w:r>
      <w:r w:rsidRPr="006157AD">
        <w:rPr>
          <w:i/>
          <w:iCs/>
          <w:color w:val="595959" w:themeColor="text1" w:themeTint="A6"/>
        </w:rPr>
        <w:t>Planning Practice Note 90: Planning for housing.</w:t>
      </w:r>
    </w:p>
    <w:p w14:paraId="5C99D64E" w14:textId="5B324F7C" w:rsidR="00742FB4" w:rsidDel="00C954FF" w:rsidRDefault="00742FB4" w:rsidP="00A34584">
      <w:pPr>
        <w:pStyle w:val="Heading1"/>
      </w:pPr>
      <w:r w:rsidDel="00C954FF">
        <w:t>Reforms to the residential zones</w:t>
      </w:r>
    </w:p>
    <w:p w14:paraId="14BF4C13" w14:textId="2E1147C8" w:rsidR="00742FB4" w:rsidDel="00C954FF" w:rsidRDefault="00742FB4" w:rsidP="00742FB4">
      <w:r w:rsidRPr="00061F17" w:rsidDel="00C954FF">
        <w:t>Reform</w:t>
      </w:r>
      <w:r w:rsidDel="00C954FF">
        <w:t xml:space="preserve">s to the </w:t>
      </w:r>
      <w:r w:rsidRPr="00061F17" w:rsidDel="00C954FF">
        <w:t>Neighbourhood Residential Zone</w:t>
      </w:r>
      <w:r w:rsidDel="00C954FF">
        <w:t xml:space="preserve"> (NRZ)</w:t>
      </w:r>
      <w:r w:rsidRPr="00061F17" w:rsidDel="00C954FF">
        <w:t>, General Residential Zone</w:t>
      </w:r>
      <w:r w:rsidDel="00C954FF">
        <w:t xml:space="preserve"> (GRZ)</w:t>
      </w:r>
      <w:r w:rsidRPr="00061F17" w:rsidDel="00C954FF">
        <w:t xml:space="preserve">, and Residential Growth Zone </w:t>
      </w:r>
      <w:r w:rsidDel="00C954FF">
        <w:t xml:space="preserve">(RGZ) </w:t>
      </w:r>
      <w:r w:rsidRPr="00061F17" w:rsidDel="00C954FF">
        <w:t xml:space="preserve">were </w:t>
      </w:r>
      <w:r w:rsidDel="00C954FF">
        <w:t>approved</w:t>
      </w:r>
      <w:r w:rsidRPr="00061F17" w:rsidDel="00C954FF">
        <w:t xml:space="preserve"> </w:t>
      </w:r>
      <w:r w:rsidDel="00C954FF">
        <w:t xml:space="preserve">on </w:t>
      </w:r>
      <w:r w:rsidRPr="00061F17" w:rsidDel="00C954FF">
        <w:t>27 March 2017</w:t>
      </w:r>
      <w:r w:rsidRPr="009139CF" w:rsidDel="00C954FF">
        <w:t xml:space="preserve"> </w:t>
      </w:r>
      <w:r w:rsidDel="00C954FF">
        <w:t xml:space="preserve">through Amendment VC110 to the </w:t>
      </w:r>
      <w:r w:rsidRPr="00742FB4" w:rsidDel="00C954FF">
        <w:t>Victoria Planning Provisions</w:t>
      </w:r>
      <w:r w:rsidDel="00C954FF">
        <w:t xml:space="preserve"> (VPP)</w:t>
      </w:r>
      <w:r w:rsidRPr="00061F17" w:rsidDel="00C954FF">
        <w:t>.</w:t>
      </w:r>
      <w:r w:rsidDel="00C954FF">
        <w:t xml:space="preserve"> Changes were also made to the </w:t>
      </w:r>
      <w:proofErr w:type="gramStart"/>
      <w:r w:rsidDel="00C954FF">
        <w:t>Mixed Use</w:t>
      </w:r>
      <w:proofErr w:type="gramEnd"/>
      <w:r w:rsidDel="00C954FF">
        <w:t xml:space="preserve"> Zone (MUZ) and Township Zone (TZ) to bring them into line with the key </w:t>
      </w:r>
      <w:r>
        <w:t>new</w:t>
      </w:r>
      <w:r w:rsidDel="00C954FF">
        <w:t xml:space="preserve"> reforms.</w:t>
      </w:r>
    </w:p>
    <w:p w14:paraId="09D6314C" w14:textId="3712EE22" w:rsidR="00742FB4" w:rsidDel="00C954FF" w:rsidRDefault="00742FB4" w:rsidP="00742FB4">
      <w:r w:rsidRPr="002D4D7F" w:rsidDel="00C954FF">
        <w:t>The</w:t>
      </w:r>
      <w:r w:rsidDel="00C954FF">
        <w:t xml:space="preserve"> reformed </w:t>
      </w:r>
      <w:r w:rsidRPr="002D4D7F" w:rsidDel="00C954FF">
        <w:t>residential zone</w:t>
      </w:r>
      <w:r w:rsidDel="00C954FF">
        <w:t>s</w:t>
      </w:r>
      <w:r w:rsidRPr="002D4D7F" w:rsidDel="00C954FF">
        <w:t xml:space="preserve"> </w:t>
      </w:r>
      <w:r w:rsidRPr="002D4D7F">
        <w:t>provide</w:t>
      </w:r>
      <w:r w:rsidRPr="002D4D7F" w:rsidDel="00C954FF">
        <w:t xml:space="preserve"> </w:t>
      </w:r>
      <w:r w:rsidDel="00C954FF">
        <w:t xml:space="preserve">more </w:t>
      </w:r>
      <w:r w:rsidRPr="002D4D7F" w:rsidDel="00C954FF">
        <w:t xml:space="preserve">certainty and consistency about housing growth and built form outcomes by creating consistent and </w:t>
      </w:r>
      <w:r w:rsidRPr="00050B55" w:rsidDel="00C954FF">
        <w:t>strengthened maximum building height</w:t>
      </w:r>
      <w:r w:rsidRPr="002D4D7F" w:rsidDel="00C954FF">
        <w:t xml:space="preserve"> controls and the </w:t>
      </w:r>
      <w:r w:rsidDel="00C954FF">
        <w:t xml:space="preserve">introduction of a minimum </w:t>
      </w:r>
      <w:r w:rsidRPr="002D4D7F" w:rsidDel="00C954FF">
        <w:t xml:space="preserve">garden area requirement in the </w:t>
      </w:r>
      <w:r w:rsidDel="00C954FF">
        <w:t>GRZ</w:t>
      </w:r>
      <w:r w:rsidRPr="002D4D7F" w:rsidDel="00C954FF">
        <w:t xml:space="preserve"> and the</w:t>
      </w:r>
      <w:r w:rsidDel="00C954FF">
        <w:t xml:space="preserve"> NRZ</w:t>
      </w:r>
      <w:r w:rsidRPr="002D4D7F" w:rsidDel="00C954FF">
        <w:t>.</w:t>
      </w:r>
    </w:p>
    <w:p w14:paraId="792DF384" w14:textId="3145A029" w:rsidR="00742FB4" w:rsidDel="00C954FF" w:rsidRDefault="00742FB4" w:rsidP="00742FB4">
      <w:r w:rsidRPr="002D4D7F" w:rsidDel="00C954FF">
        <w:t xml:space="preserve">Further refinements to the </w:t>
      </w:r>
      <w:r w:rsidDel="00C954FF">
        <w:t xml:space="preserve">residential </w:t>
      </w:r>
      <w:r w:rsidRPr="002D4D7F" w:rsidDel="00C954FF">
        <w:t xml:space="preserve">zones were introduced by </w:t>
      </w:r>
      <w:r w:rsidRPr="00742FB4" w:rsidDel="00C954FF">
        <w:t>Amendment VC143</w:t>
      </w:r>
      <w:r w:rsidRPr="002D4D7F" w:rsidDel="00C954FF">
        <w:t xml:space="preserve"> on 15 May 2018</w:t>
      </w:r>
      <w:r w:rsidDel="00C954FF">
        <w:t xml:space="preserve"> to clarify the operation of the garden area requirement along with changes to permissible uses in the RGZ</w:t>
      </w:r>
      <w:r w:rsidRPr="002D4D7F" w:rsidDel="00C954FF">
        <w:t>.</w:t>
      </w:r>
    </w:p>
    <w:p w14:paraId="1037CCC2" w14:textId="77777777" w:rsidR="00742FB4" w:rsidRPr="00EF4C7A" w:rsidRDefault="00742FB4" w:rsidP="00840A30">
      <w:pPr>
        <w:pStyle w:val="Heading1"/>
      </w:pPr>
      <w:r w:rsidRPr="00EF4C7A">
        <w:t xml:space="preserve">The </w:t>
      </w:r>
      <w:r w:rsidRPr="0069121C">
        <w:t>residential</w:t>
      </w:r>
      <w:r w:rsidRPr="00EF4C7A">
        <w:t xml:space="preserve"> zones</w:t>
      </w:r>
    </w:p>
    <w:p w14:paraId="47B6FB21" w14:textId="5B4DDEE4" w:rsidR="00742FB4" w:rsidRDefault="00742FB4" w:rsidP="005B715B">
      <w:r>
        <w:t>The VPP contains a suite of standard residential zones for statewide application.</w:t>
      </w:r>
      <w:r w:rsidR="00066511">
        <w:t xml:space="preserve"> These are summarised in </w:t>
      </w:r>
      <w:r w:rsidR="00066511" w:rsidRPr="00066511">
        <w:rPr>
          <w:b/>
          <w:bCs/>
        </w:rPr>
        <w:t>Table 1</w:t>
      </w:r>
      <w:r w:rsidR="00066511">
        <w:t xml:space="preserve"> below.</w:t>
      </w:r>
    </w:p>
    <w:p w14:paraId="794DB05E" w14:textId="77777777" w:rsidR="00373A43" w:rsidRDefault="00373A43">
      <w:pPr>
        <w:spacing w:before="0" w:after="200"/>
        <w:rPr>
          <w:b/>
          <w:bCs/>
          <w:color w:val="53565A"/>
        </w:rPr>
      </w:pPr>
      <w:r>
        <w:br w:type="page"/>
      </w:r>
    </w:p>
    <w:p w14:paraId="7181C24F" w14:textId="77777777" w:rsidR="00CD36CD" w:rsidRDefault="00CD36CD" w:rsidP="00CD36CD">
      <w:pPr>
        <w:pStyle w:val="TableName"/>
        <w:spacing w:before="600"/>
      </w:pPr>
    </w:p>
    <w:p w14:paraId="6F6E0DEE" w14:textId="77777777" w:rsidR="00CD36CD" w:rsidRDefault="00CD36CD" w:rsidP="00CD36CD">
      <w:pPr>
        <w:pStyle w:val="TableName"/>
        <w:spacing w:before="120"/>
      </w:pPr>
    </w:p>
    <w:p w14:paraId="2339D7B7" w14:textId="77777777" w:rsidR="00CD36CD" w:rsidRDefault="00CD36CD" w:rsidP="00CD36CD">
      <w:pPr>
        <w:pStyle w:val="TableName"/>
        <w:spacing w:before="120"/>
      </w:pPr>
    </w:p>
    <w:p w14:paraId="7652E771" w14:textId="6C19575F" w:rsidR="005B715B" w:rsidRPr="00840A30" w:rsidRDefault="00742FB4" w:rsidP="00CD36CD">
      <w:pPr>
        <w:pStyle w:val="TableName"/>
        <w:spacing w:before="120"/>
      </w:pPr>
      <w:r w:rsidRPr="00840A30">
        <w:t xml:space="preserve">Table 1: </w:t>
      </w:r>
      <w:r w:rsidRPr="00C878DA">
        <w:rPr>
          <w:b w:val="0"/>
          <w:bCs w:val="0"/>
        </w:rPr>
        <w:t>The role and application of the residential zones</w:t>
      </w:r>
    </w:p>
    <w:tbl>
      <w:tblPr>
        <w:tblStyle w:val="Table1"/>
        <w:tblpPr w:leftFromText="180" w:rightFromText="180" w:vertAnchor="text" w:horzAnchor="margin" w:tblpY="132"/>
        <w:tblW w:w="0" w:type="auto"/>
        <w:tblBorders>
          <w:top w:val="single" w:sz="4" w:space="0" w:color="017D7D"/>
          <w:left w:val="none" w:sz="0" w:space="0" w:color="auto"/>
          <w:bottom w:val="single" w:sz="4" w:space="0" w:color="017D7D"/>
          <w:right w:val="none" w:sz="0" w:space="0" w:color="auto"/>
        </w:tblBorders>
        <w:tblLook w:val="04A0" w:firstRow="1" w:lastRow="0" w:firstColumn="1" w:lastColumn="0" w:noHBand="0" w:noVBand="1"/>
      </w:tblPr>
      <w:tblGrid>
        <w:gridCol w:w="3256"/>
        <w:gridCol w:w="5953"/>
      </w:tblGrid>
      <w:tr w:rsidR="005B715B" w:rsidRPr="00FF1213" w14:paraId="0DE71FB5" w14:textId="77777777" w:rsidTr="00840A3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256" w:type="dxa"/>
          </w:tcPr>
          <w:p w14:paraId="04D672D4" w14:textId="6585DE39" w:rsidR="005B715B" w:rsidRPr="00FF1213" w:rsidRDefault="005B715B" w:rsidP="00742FB4">
            <w:pPr>
              <w:pStyle w:val="Tableheader"/>
              <w:framePr w:hSpace="0" w:wrap="auto" w:vAnchor="margin" w:hAnchor="text" w:yAlign="inline"/>
              <w:rPr>
                <w:bCs w:val="0"/>
                <w:sz w:val="18"/>
                <w:szCs w:val="18"/>
              </w:rPr>
            </w:pPr>
            <w:r w:rsidRPr="00FF1213">
              <w:rPr>
                <w:b/>
                <w:sz w:val="18"/>
                <w:szCs w:val="18"/>
              </w:rPr>
              <w:t>Residential zone</w:t>
            </w:r>
          </w:p>
        </w:tc>
        <w:tc>
          <w:tcPr>
            <w:tcW w:w="5953" w:type="dxa"/>
          </w:tcPr>
          <w:p w14:paraId="31FFD4DB" w14:textId="716DAB6C" w:rsidR="005B715B" w:rsidRPr="00FF1213" w:rsidRDefault="005B715B" w:rsidP="00742FB4">
            <w:pPr>
              <w:pStyle w:val="Tableheader"/>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sz w:val="18"/>
                <w:szCs w:val="18"/>
              </w:rPr>
            </w:pPr>
            <w:r w:rsidRPr="00FF1213">
              <w:rPr>
                <w:b/>
                <w:sz w:val="18"/>
                <w:szCs w:val="18"/>
              </w:rPr>
              <w:t>Role and application</w:t>
            </w:r>
          </w:p>
        </w:tc>
      </w:tr>
      <w:tr w:rsidR="005B715B" w:rsidRPr="00FF1213" w14:paraId="088ECA50" w14:textId="77777777" w:rsidTr="00840A30">
        <w:tc>
          <w:tcPr>
            <w:tcW w:w="3256" w:type="dxa"/>
          </w:tcPr>
          <w:p w14:paraId="76B81328" w14:textId="4F4B0D8E" w:rsidR="005B715B" w:rsidRPr="00FF1213" w:rsidRDefault="005B715B" w:rsidP="00253AF1">
            <w:pPr>
              <w:pStyle w:val="Tablesecondheading"/>
              <w:spacing w:before="120" w:afterLines="60" w:after="144"/>
              <w:rPr>
                <w:sz w:val="18"/>
                <w:szCs w:val="18"/>
              </w:rPr>
            </w:pPr>
            <w:r w:rsidRPr="00FF1213">
              <w:rPr>
                <w:sz w:val="18"/>
                <w:szCs w:val="18"/>
              </w:rPr>
              <w:t>Clause 32.03</w:t>
            </w:r>
            <w:r w:rsidR="00066511" w:rsidRPr="00FF1213">
              <w:rPr>
                <w:sz w:val="18"/>
                <w:szCs w:val="18"/>
              </w:rPr>
              <w:t xml:space="preserve"> -</w:t>
            </w:r>
            <w:r w:rsidRPr="00FF1213">
              <w:rPr>
                <w:sz w:val="18"/>
                <w:szCs w:val="18"/>
              </w:rPr>
              <w:t xml:space="preserve"> Low Density Residential Zone (LDRZ)</w:t>
            </w:r>
          </w:p>
        </w:tc>
        <w:tc>
          <w:tcPr>
            <w:tcW w:w="5953" w:type="dxa"/>
          </w:tcPr>
          <w:p w14:paraId="0EC3CC69" w14:textId="6CD52729" w:rsidR="005B715B" w:rsidRPr="00FF1213" w:rsidRDefault="005B715B" w:rsidP="0046419E">
            <w:pPr>
              <w:pStyle w:val="Tabletext"/>
              <w:framePr w:hSpace="0" w:wrap="auto" w:vAnchor="margin" w:hAnchor="text" w:yAlign="inline"/>
              <w:spacing w:before="120" w:afterLines="60" w:after="144"/>
              <w:jc w:val="left"/>
            </w:pPr>
            <w:r w:rsidRPr="00FF1213">
              <w:t>Applied to areas on the fringe of urban settlements and townships with reticulated sewerage (0.2 ha minimum) or without reticulated sewerage (0.4 ha minimum) to ensure lots remain large enough to treat and retain all wastewater but small enough to be maintained without the need for agricultural techniques or equipment.</w:t>
            </w:r>
          </w:p>
        </w:tc>
      </w:tr>
      <w:tr w:rsidR="005B715B" w:rsidRPr="00FF1213" w14:paraId="3949C661" w14:textId="77777777" w:rsidTr="00840A30">
        <w:tc>
          <w:tcPr>
            <w:tcW w:w="3256" w:type="dxa"/>
          </w:tcPr>
          <w:p w14:paraId="68F41DA0" w14:textId="34422B88" w:rsidR="005B715B" w:rsidRPr="00FF1213" w:rsidRDefault="005B715B" w:rsidP="0046419E">
            <w:pPr>
              <w:pStyle w:val="Tablesecondheading"/>
              <w:spacing w:before="120" w:after="120"/>
              <w:rPr>
                <w:sz w:val="18"/>
                <w:szCs w:val="18"/>
              </w:rPr>
            </w:pPr>
            <w:r w:rsidRPr="00FF1213">
              <w:rPr>
                <w:sz w:val="18"/>
                <w:szCs w:val="18"/>
              </w:rPr>
              <w:t>Clause 32.04</w:t>
            </w:r>
            <w:r w:rsidR="00066511" w:rsidRPr="00FF1213">
              <w:rPr>
                <w:sz w:val="18"/>
                <w:szCs w:val="18"/>
              </w:rPr>
              <w:t xml:space="preserve"> -</w:t>
            </w:r>
            <w:r w:rsidRPr="00FF1213">
              <w:rPr>
                <w:sz w:val="18"/>
                <w:szCs w:val="18"/>
              </w:rPr>
              <w:t xml:space="preserve"> Mixed Use Zone (MUZ)</w:t>
            </w:r>
          </w:p>
        </w:tc>
        <w:tc>
          <w:tcPr>
            <w:tcW w:w="5953" w:type="dxa"/>
          </w:tcPr>
          <w:p w14:paraId="782176A9" w14:textId="6F0F3CFF" w:rsidR="005B715B" w:rsidRPr="00FF1213" w:rsidRDefault="005B715B" w:rsidP="0046419E">
            <w:pPr>
              <w:pStyle w:val="Tabletext"/>
              <w:framePr w:hSpace="0" w:wrap="auto" w:vAnchor="margin" w:hAnchor="text" w:yAlign="inline"/>
              <w:spacing w:before="120" w:after="120"/>
              <w:jc w:val="left"/>
            </w:pPr>
            <w:r w:rsidRPr="00FF1213">
              <w:t xml:space="preserve">Applied to areas suitable for a mixed-use function, including a range of residential, commercial, </w:t>
            </w:r>
            <w:proofErr w:type="gramStart"/>
            <w:r w:rsidRPr="00FF1213">
              <w:t>industrial</w:t>
            </w:r>
            <w:proofErr w:type="gramEnd"/>
            <w:r w:rsidRPr="00FF1213">
              <w:t xml:space="preserve"> and other uses. Suitable for areas identified for residential development at higher densities including urban renewal and strategic redevelopment sites.</w:t>
            </w:r>
          </w:p>
        </w:tc>
      </w:tr>
      <w:tr w:rsidR="005B715B" w:rsidRPr="00FF1213" w14:paraId="788FFB6A" w14:textId="77777777" w:rsidTr="00840A30">
        <w:tc>
          <w:tcPr>
            <w:tcW w:w="3256" w:type="dxa"/>
          </w:tcPr>
          <w:p w14:paraId="78BB22EC" w14:textId="79C7FFEF" w:rsidR="005B715B" w:rsidRPr="00FF1213" w:rsidRDefault="005B715B" w:rsidP="00253AF1">
            <w:pPr>
              <w:pStyle w:val="Tablesecondheading"/>
              <w:spacing w:before="120" w:after="120"/>
              <w:rPr>
                <w:sz w:val="18"/>
                <w:szCs w:val="18"/>
              </w:rPr>
            </w:pPr>
            <w:r w:rsidRPr="00FF1213">
              <w:rPr>
                <w:sz w:val="18"/>
                <w:szCs w:val="18"/>
              </w:rPr>
              <w:t xml:space="preserve">Clause 32.05 </w:t>
            </w:r>
            <w:r w:rsidR="00066511" w:rsidRPr="00FF1213">
              <w:rPr>
                <w:sz w:val="18"/>
                <w:szCs w:val="18"/>
              </w:rPr>
              <w:t xml:space="preserve">- </w:t>
            </w:r>
            <w:r w:rsidRPr="00FF1213">
              <w:rPr>
                <w:sz w:val="18"/>
                <w:szCs w:val="18"/>
              </w:rPr>
              <w:t>Township Zone (TZ)</w:t>
            </w:r>
          </w:p>
        </w:tc>
        <w:tc>
          <w:tcPr>
            <w:tcW w:w="5953" w:type="dxa"/>
          </w:tcPr>
          <w:p w14:paraId="3E37AA60" w14:textId="1EB3B40E" w:rsidR="005B715B" w:rsidRPr="00FF1213" w:rsidRDefault="005B715B" w:rsidP="0046419E">
            <w:pPr>
              <w:pStyle w:val="Tabletext"/>
              <w:framePr w:hSpace="0" w:wrap="auto" w:vAnchor="margin" w:hAnchor="text" w:yAlign="inline"/>
              <w:spacing w:before="120" w:after="120"/>
              <w:jc w:val="left"/>
            </w:pPr>
            <w:r w:rsidRPr="00FF1213">
              <w:t xml:space="preserve">Applied to small towns with no specific structure of residential, </w:t>
            </w:r>
            <w:proofErr w:type="gramStart"/>
            <w:r w:rsidRPr="00FF1213">
              <w:t>commercial</w:t>
            </w:r>
            <w:proofErr w:type="gramEnd"/>
            <w:r w:rsidRPr="00FF1213">
              <w:t xml:space="preserve"> and industrial land uses.</w:t>
            </w:r>
          </w:p>
        </w:tc>
      </w:tr>
      <w:tr w:rsidR="005B715B" w:rsidRPr="00FF1213" w14:paraId="66FD5450" w14:textId="77777777" w:rsidTr="00CF3B86">
        <w:tc>
          <w:tcPr>
            <w:tcW w:w="3256" w:type="dxa"/>
          </w:tcPr>
          <w:p w14:paraId="47389E84" w14:textId="74398719" w:rsidR="005B715B" w:rsidRPr="00CF3B86" w:rsidRDefault="005B715B" w:rsidP="00253AF1">
            <w:pPr>
              <w:pStyle w:val="Tablesecondheading"/>
              <w:spacing w:before="120" w:after="120"/>
              <w:rPr>
                <w:sz w:val="18"/>
                <w:szCs w:val="18"/>
              </w:rPr>
            </w:pPr>
            <w:r w:rsidRPr="00FF1213">
              <w:rPr>
                <w:sz w:val="18"/>
                <w:szCs w:val="18"/>
              </w:rPr>
              <w:t>Clause 32.07</w:t>
            </w:r>
            <w:r w:rsidR="00066511" w:rsidRPr="00FF1213">
              <w:rPr>
                <w:sz w:val="18"/>
                <w:szCs w:val="18"/>
              </w:rPr>
              <w:t xml:space="preserve"> -</w:t>
            </w:r>
            <w:r w:rsidRPr="00FF1213">
              <w:rPr>
                <w:sz w:val="18"/>
                <w:szCs w:val="18"/>
              </w:rPr>
              <w:t xml:space="preserve"> Residential Growth Zone (RGZ)</w:t>
            </w:r>
          </w:p>
        </w:tc>
        <w:tc>
          <w:tcPr>
            <w:tcW w:w="5953" w:type="dxa"/>
          </w:tcPr>
          <w:p w14:paraId="622600E6" w14:textId="78501F55" w:rsidR="005B715B" w:rsidRPr="00FF1213" w:rsidRDefault="005B715B" w:rsidP="0046419E">
            <w:pPr>
              <w:pStyle w:val="Tabletext"/>
              <w:framePr w:hSpace="0" w:wrap="auto" w:vAnchor="margin" w:hAnchor="text" w:yAlign="inline"/>
              <w:spacing w:before="120" w:after="120"/>
              <w:jc w:val="left"/>
            </w:pPr>
            <w:r w:rsidRPr="00FF1213">
              <w:t xml:space="preserve">Applied to areas suitable for housing diversity and housing at increased densities in locations offering good access to services, </w:t>
            </w:r>
            <w:proofErr w:type="gramStart"/>
            <w:r w:rsidRPr="00FF1213">
              <w:t>jobs</w:t>
            </w:r>
            <w:proofErr w:type="gramEnd"/>
            <w:r w:rsidRPr="00FF1213">
              <w:t xml:space="preserve"> and public transport, and to provide a transition between areas of more intensive use and development such as activity centres and other residential areas.</w:t>
            </w:r>
          </w:p>
        </w:tc>
      </w:tr>
      <w:tr w:rsidR="005B715B" w:rsidRPr="00FF1213" w14:paraId="6C2D6470" w14:textId="77777777" w:rsidTr="00CF3B86">
        <w:tc>
          <w:tcPr>
            <w:tcW w:w="3256" w:type="dxa"/>
          </w:tcPr>
          <w:p w14:paraId="68B8517E" w14:textId="6138B662" w:rsidR="005B715B" w:rsidRPr="00CF3B86" w:rsidRDefault="009475CA" w:rsidP="00253AF1">
            <w:pPr>
              <w:pStyle w:val="Tablesecondheading"/>
              <w:spacing w:before="120" w:after="120"/>
              <w:rPr>
                <w:sz w:val="18"/>
                <w:szCs w:val="18"/>
              </w:rPr>
            </w:pPr>
            <w:r w:rsidRPr="00FF1213">
              <w:rPr>
                <w:sz w:val="18"/>
                <w:szCs w:val="18"/>
              </w:rPr>
              <w:t xml:space="preserve">Clause 32.08 </w:t>
            </w:r>
            <w:r w:rsidR="00066511" w:rsidRPr="00FF1213">
              <w:rPr>
                <w:sz w:val="18"/>
                <w:szCs w:val="18"/>
              </w:rPr>
              <w:t xml:space="preserve">- </w:t>
            </w:r>
            <w:r w:rsidRPr="00FF1213">
              <w:rPr>
                <w:sz w:val="18"/>
                <w:szCs w:val="18"/>
              </w:rPr>
              <w:t>General Residential Zone (GRZ)</w:t>
            </w:r>
          </w:p>
        </w:tc>
        <w:tc>
          <w:tcPr>
            <w:tcW w:w="5953" w:type="dxa"/>
          </w:tcPr>
          <w:p w14:paraId="021B4B88" w14:textId="5E90B98C" w:rsidR="005B715B" w:rsidRPr="00FF1213" w:rsidRDefault="009475CA" w:rsidP="0046419E">
            <w:pPr>
              <w:pStyle w:val="Tabletext"/>
              <w:framePr w:hSpace="0" w:wrap="auto" w:vAnchor="margin" w:hAnchor="text" w:yAlign="inline"/>
              <w:spacing w:before="120" w:after="120"/>
              <w:jc w:val="left"/>
            </w:pPr>
            <w:r w:rsidRPr="00FF1213">
              <w:t>Applied to areas where housing development of three storeys exists or is planned for in locations offering good access to services and transport.</w:t>
            </w:r>
          </w:p>
        </w:tc>
      </w:tr>
      <w:tr w:rsidR="005B715B" w:rsidRPr="00FF1213" w14:paraId="5253AFA7" w14:textId="77777777" w:rsidTr="00CF3B86">
        <w:tc>
          <w:tcPr>
            <w:tcW w:w="3256" w:type="dxa"/>
          </w:tcPr>
          <w:p w14:paraId="4F146C21" w14:textId="0A5365C0" w:rsidR="005B715B" w:rsidRPr="00CF3B86" w:rsidRDefault="009475CA" w:rsidP="00253AF1">
            <w:pPr>
              <w:pStyle w:val="Tablesecondheading"/>
              <w:spacing w:before="120" w:after="120"/>
              <w:rPr>
                <w:sz w:val="18"/>
                <w:szCs w:val="18"/>
              </w:rPr>
            </w:pPr>
            <w:r w:rsidRPr="00FF1213">
              <w:rPr>
                <w:sz w:val="18"/>
                <w:szCs w:val="18"/>
              </w:rPr>
              <w:t>Clause 32.09</w:t>
            </w:r>
            <w:r w:rsidR="00066511" w:rsidRPr="00FF1213">
              <w:rPr>
                <w:sz w:val="18"/>
                <w:szCs w:val="18"/>
              </w:rPr>
              <w:t xml:space="preserve"> -</w:t>
            </w:r>
            <w:r w:rsidRPr="00FF1213">
              <w:rPr>
                <w:sz w:val="18"/>
                <w:szCs w:val="18"/>
              </w:rPr>
              <w:t xml:space="preserve"> Neighbourhood Residential Zone (NRZ)</w:t>
            </w:r>
          </w:p>
        </w:tc>
        <w:tc>
          <w:tcPr>
            <w:tcW w:w="5953" w:type="dxa"/>
          </w:tcPr>
          <w:p w14:paraId="5D84FFBC" w14:textId="5911FA93" w:rsidR="005B715B" w:rsidRPr="00FF1213" w:rsidRDefault="009475CA" w:rsidP="0046419E">
            <w:pPr>
              <w:pStyle w:val="Tabletext"/>
              <w:framePr w:hSpace="0" w:wrap="auto" w:vAnchor="margin" w:hAnchor="text" w:yAlign="inline"/>
              <w:spacing w:before="120" w:after="120"/>
              <w:jc w:val="left"/>
            </w:pPr>
            <w:r w:rsidRPr="00FF1213">
              <w:t>Applied to areas where there is no anticipated change to the predominantly single and double storey character. Also</w:t>
            </w:r>
            <w:r w:rsidR="0005760F">
              <w:t>,</w:t>
            </w:r>
            <w:r w:rsidRPr="00FF1213">
              <w:t xml:space="preserve"> to areas that have been identified as having specific neighbourhood, heritage, environmental or landscape character values</w:t>
            </w:r>
            <w:r w:rsidR="0046419E">
              <w:t>,</w:t>
            </w:r>
            <w:r w:rsidRPr="00FF1213">
              <w:t xml:space="preserve"> that distinguish the land from other parts of the municipality or surrounding area.</w:t>
            </w:r>
          </w:p>
        </w:tc>
      </w:tr>
    </w:tbl>
    <w:p w14:paraId="42CEE175" w14:textId="09C2F101" w:rsidR="009475CA" w:rsidRPr="00840A30" w:rsidRDefault="009475CA" w:rsidP="00840A30">
      <w:pPr>
        <w:pStyle w:val="Heading2"/>
      </w:pPr>
      <w:r w:rsidRPr="00840A30">
        <w:t>Principles underpinning the residential zones</w:t>
      </w:r>
    </w:p>
    <w:p w14:paraId="3BDC19D9" w14:textId="77777777" w:rsidR="009475CA" w:rsidRPr="00E43C1C" w:rsidRDefault="009475CA" w:rsidP="0085554B">
      <w:pPr>
        <w:pStyle w:val="Heading3"/>
      </w:pPr>
      <w:r w:rsidRPr="00D65CB1">
        <w:t>Principle</w:t>
      </w:r>
      <w:r w:rsidRPr="00E43C1C">
        <w:t xml:space="preserve"> 1</w:t>
      </w:r>
    </w:p>
    <w:p w14:paraId="05D86870" w14:textId="303F38B7" w:rsidR="009475CA" w:rsidRPr="002B74C2" w:rsidRDefault="009475CA" w:rsidP="002B74C2">
      <w:pPr>
        <w:rPr>
          <w:b/>
          <w:bCs/>
        </w:rPr>
      </w:pPr>
      <w:r w:rsidRPr="002B74C2">
        <w:rPr>
          <w:b/>
          <w:bCs/>
        </w:rPr>
        <w:t xml:space="preserve">Housing and neighbourhood character plans need to </w:t>
      </w:r>
      <w:r w:rsidRPr="002B74C2" w:rsidDel="00A86D08">
        <w:rPr>
          <w:b/>
          <w:bCs/>
        </w:rPr>
        <w:t xml:space="preserve">be consistent and </w:t>
      </w:r>
      <w:r w:rsidRPr="002B74C2">
        <w:rPr>
          <w:b/>
          <w:bCs/>
        </w:rPr>
        <w:t>align with one another</w:t>
      </w:r>
      <w:r w:rsidRPr="002B74C2" w:rsidDel="00071FC8">
        <w:rPr>
          <w:b/>
          <w:bCs/>
        </w:rPr>
        <w:t xml:space="preserve"> when specifying preferred future housing and neighbourhood character outcomes for an area</w:t>
      </w:r>
      <w:r w:rsidRPr="002B74C2">
        <w:rPr>
          <w:b/>
          <w:bCs/>
        </w:rPr>
        <w:t>.</w:t>
      </w:r>
    </w:p>
    <w:p w14:paraId="5A2B328E" w14:textId="2F15160E" w:rsidR="009475CA" w:rsidRPr="00E43C1C" w:rsidRDefault="009475CA" w:rsidP="002B74C2">
      <w:r w:rsidRPr="00E43C1C" w:rsidDel="00071FC8">
        <w:t>Inconsistencies between</w:t>
      </w:r>
      <w:r w:rsidRPr="00E43C1C">
        <w:t xml:space="preserve"> housing and neighbourhood character objectives </w:t>
      </w:r>
      <w:r w:rsidRPr="00E43C1C" w:rsidDel="00071FC8">
        <w:t xml:space="preserve">do not </w:t>
      </w:r>
      <w:r w:rsidRPr="00E43C1C">
        <w:t xml:space="preserve">provide certainty for the community </w:t>
      </w:r>
      <w:r w:rsidRPr="00E43C1C" w:rsidDel="00071FC8">
        <w:t>or</w:t>
      </w:r>
      <w:r w:rsidRPr="00E43C1C">
        <w:t xml:space="preserve"> industry about whether housing growth or the protection of </w:t>
      </w:r>
      <w:r>
        <w:t xml:space="preserve">existing </w:t>
      </w:r>
      <w:r w:rsidRPr="00E43C1C">
        <w:t>neighbourhood character is to be prioritised in a defined area or neighbourhood.</w:t>
      </w:r>
    </w:p>
    <w:p w14:paraId="62A2F6C0" w14:textId="77777777" w:rsidR="00373A43" w:rsidRDefault="00373A43">
      <w:pPr>
        <w:spacing w:before="0" w:after="200"/>
        <w:rPr>
          <w:rFonts w:eastAsiaTheme="majorEastAsia" w:cstheme="majorBidi"/>
          <w:b/>
          <w:color w:val="017D7D"/>
          <w:sz w:val="22"/>
        </w:rPr>
      </w:pPr>
      <w:r>
        <w:br w:type="page"/>
      </w:r>
    </w:p>
    <w:p w14:paraId="463F4F52" w14:textId="347409A6" w:rsidR="009475CA" w:rsidRPr="00E43C1C" w:rsidRDefault="009475CA" w:rsidP="0085554B">
      <w:pPr>
        <w:pStyle w:val="Heading3"/>
      </w:pPr>
      <w:r w:rsidRPr="00E43C1C">
        <w:lastRenderedPageBreak/>
        <w:t>Principle 2</w:t>
      </w:r>
    </w:p>
    <w:p w14:paraId="05D2DF8C" w14:textId="77777777" w:rsidR="009475CA" w:rsidRPr="00E87247" w:rsidRDefault="009475CA" w:rsidP="00E87247">
      <w:pPr>
        <w:rPr>
          <w:b/>
          <w:bCs/>
        </w:rPr>
      </w:pPr>
      <w:r w:rsidRPr="00E87247">
        <w:rPr>
          <w:b/>
          <w:bCs/>
        </w:rPr>
        <w:t>All residential zones support and allow increased housing, unless special neighbourhood character, heritage, environmental or landscape attributes, or other constraints and hazards exist.</w:t>
      </w:r>
    </w:p>
    <w:p w14:paraId="05D6C0C6" w14:textId="3B2BEC65" w:rsidR="009475CA" w:rsidRPr="004C70E3" w:rsidRDefault="009475CA" w:rsidP="00E87247">
      <w:r w:rsidRPr="004C70E3">
        <w:t>Planning for urban growth requires the development of compact urban areas that are based around existing and planned activity centres to maximise accessibility to these facilities and services, including consider</w:t>
      </w:r>
      <w:r w:rsidRPr="004C70E3" w:rsidDel="00A86D08">
        <w:t>ing</w:t>
      </w:r>
      <w:r w:rsidRPr="004C70E3">
        <w:t xml:space="preserve"> opportunities for the consolidation, </w:t>
      </w:r>
      <w:proofErr w:type="gramStart"/>
      <w:r w:rsidRPr="004C70E3">
        <w:t>redevelopment</w:t>
      </w:r>
      <w:proofErr w:type="gramEnd"/>
      <w:r w:rsidRPr="004C70E3">
        <w:t xml:space="preserve"> and intensification of existing urban areas</w:t>
      </w:r>
      <w:r w:rsidR="00071FC8">
        <w:t xml:space="preserve"> </w:t>
      </w:r>
      <w:r w:rsidRPr="004C70E3" w:rsidDel="00A86D08">
        <w:t>more generally</w:t>
      </w:r>
      <w:r w:rsidRPr="004C70E3">
        <w:t>.</w:t>
      </w:r>
    </w:p>
    <w:p w14:paraId="1AAE2747" w14:textId="77777777" w:rsidR="009475CA" w:rsidRPr="00E43C1C" w:rsidRDefault="009475CA" w:rsidP="0085554B">
      <w:pPr>
        <w:pStyle w:val="Heading3"/>
      </w:pPr>
      <w:r w:rsidRPr="00E43C1C">
        <w:t>Principle 3</w:t>
      </w:r>
    </w:p>
    <w:p w14:paraId="26257CE0" w14:textId="12384D69" w:rsidR="009475CA" w:rsidRPr="00E87247" w:rsidRDefault="009475CA" w:rsidP="00E87247">
      <w:pPr>
        <w:rPr>
          <w:b/>
          <w:bCs/>
        </w:rPr>
      </w:pPr>
      <w:r w:rsidRPr="00E87247">
        <w:rPr>
          <w:b/>
          <w:bCs/>
        </w:rPr>
        <w:t xml:space="preserve">The </w:t>
      </w:r>
      <w:r w:rsidRPr="00E87247" w:rsidDel="006F2D65">
        <w:rPr>
          <w:b/>
          <w:bCs/>
        </w:rPr>
        <w:t>Residential Growth Zone</w:t>
      </w:r>
      <w:r w:rsidRPr="00E87247">
        <w:rPr>
          <w:b/>
          <w:bCs/>
        </w:rPr>
        <w:t xml:space="preserve"> promotes housing intensification in locations close to jobs, services and facilities serviced by public transport including activity centres.</w:t>
      </w:r>
    </w:p>
    <w:p w14:paraId="07346C0E" w14:textId="14FE65A0" w:rsidR="009475CA" w:rsidRPr="004C70E3" w:rsidRDefault="009475CA" w:rsidP="00E87247">
      <w:r w:rsidRPr="004C70E3">
        <w:t xml:space="preserve">While the </w:t>
      </w:r>
      <w:bookmarkStart w:id="1" w:name="_Hlk23513969"/>
      <w:r w:rsidRPr="004C70E3" w:rsidDel="00CD0459">
        <w:t>Residential Growth Zone</w:t>
      </w:r>
      <w:r w:rsidRPr="004C70E3">
        <w:t xml:space="preserve"> </w:t>
      </w:r>
      <w:bookmarkEnd w:id="1"/>
      <w:r w:rsidRPr="004C70E3">
        <w:t>promotes greater housing intensification up to four storeys, it can also be used to facilitate taller residential development by specifying a maximum building height greater than 13.5 metres in the schedule to the zone.</w:t>
      </w:r>
    </w:p>
    <w:p w14:paraId="0121FDED" w14:textId="77777777" w:rsidR="009475CA" w:rsidRPr="00E43C1C" w:rsidRDefault="009475CA" w:rsidP="0085554B">
      <w:pPr>
        <w:pStyle w:val="Heading3"/>
      </w:pPr>
      <w:r w:rsidRPr="00E43C1C">
        <w:t>Principle 4</w:t>
      </w:r>
    </w:p>
    <w:p w14:paraId="1017205A" w14:textId="647A1369" w:rsidR="009475CA" w:rsidRPr="00E87247" w:rsidRDefault="009475CA" w:rsidP="00E87247">
      <w:pPr>
        <w:rPr>
          <w:b/>
          <w:bCs/>
        </w:rPr>
      </w:pPr>
      <w:r w:rsidRPr="00E87247">
        <w:rPr>
          <w:b/>
          <w:bCs/>
        </w:rPr>
        <w:t xml:space="preserve">The </w:t>
      </w:r>
      <w:r w:rsidRPr="00E87247" w:rsidDel="004F518F">
        <w:rPr>
          <w:b/>
          <w:bCs/>
        </w:rPr>
        <w:t>General Residential Zone</w:t>
      </w:r>
      <w:r w:rsidRPr="00E87247">
        <w:rPr>
          <w:b/>
          <w:bCs/>
        </w:rPr>
        <w:t xml:space="preserve"> is a three-storey zone with a maximum building height of 11 metres. </w:t>
      </w:r>
    </w:p>
    <w:p w14:paraId="6240D976" w14:textId="68BCE5BA" w:rsidR="009475CA" w:rsidRPr="00E87247" w:rsidRDefault="009475CA" w:rsidP="00E87247">
      <w:r w:rsidRPr="00E87247">
        <w:t xml:space="preserve">The </w:t>
      </w:r>
      <w:r w:rsidRPr="00E87247" w:rsidDel="004F518F">
        <w:t>General Residential Zone</w:t>
      </w:r>
      <w:r w:rsidRPr="00E87247">
        <w:t xml:space="preserve"> should be applied to areas where housing development of three storeys exists or is planned for. It is inappropriate to apply the </w:t>
      </w:r>
      <w:r w:rsidRPr="00E87247" w:rsidDel="004F518F">
        <w:t>General Residential Zone</w:t>
      </w:r>
      <w:r w:rsidRPr="00E87247">
        <w:t xml:space="preserve"> to areas where a planning authority seeks to respect the existing single and double storey character of an area</w:t>
      </w:r>
      <w:r w:rsidR="00253AF1">
        <w:t>.</w:t>
      </w:r>
    </w:p>
    <w:p w14:paraId="6CE3751E" w14:textId="77777777" w:rsidR="009475CA" w:rsidRPr="00E43C1C" w:rsidRDefault="009475CA" w:rsidP="0085554B">
      <w:pPr>
        <w:pStyle w:val="Heading3"/>
      </w:pPr>
      <w:r w:rsidRPr="00E43C1C">
        <w:t>Principle 5</w:t>
      </w:r>
    </w:p>
    <w:p w14:paraId="6D1101F9" w14:textId="31C60070" w:rsidR="009475CA" w:rsidRPr="00E87247" w:rsidRDefault="009475CA" w:rsidP="00E87247">
      <w:pPr>
        <w:rPr>
          <w:b/>
          <w:bCs/>
        </w:rPr>
      </w:pPr>
      <w:r w:rsidRPr="00E87247">
        <w:rPr>
          <w:b/>
          <w:bCs/>
        </w:rPr>
        <w:t xml:space="preserve">The density or number of dwellings on a lot cannot be restricted in the </w:t>
      </w:r>
      <w:r w:rsidRPr="00E87247" w:rsidDel="004F518F">
        <w:rPr>
          <w:b/>
          <w:bCs/>
        </w:rPr>
        <w:t>Neighbourhood Residential Zone</w:t>
      </w:r>
      <w:r w:rsidRPr="00E87247">
        <w:rPr>
          <w:b/>
          <w:bCs/>
        </w:rPr>
        <w:t xml:space="preserve"> unless special neighbourhood character, heritage, environmental or landscape attributes, or other constraints and hazards exist.</w:t>
      </w:r>
    </w:p>
    <w:p w14:paraId="408593E2" w14:textId="1E7DBA2C" w:rsidR="009475CA" w:rsidRPr="00E87247" w:rsidRDefault="009475CA" w:rsidP="00E87247">
      <w:r w:rsidRPr="00E87247">
        <w:t xml:space="preserve">Dwelling density is </w:t>
      </w:r>
      <w:r w:rsidRPr="00E87247" w:rsidDel="00E16447">
        <w:t>no longer the</w:t>
      </w:r>
      <w:r w:rsidRPr="00E87247">
        <w:t xml:space="preserve"> basis for restricting development outcomes in the </w:t>
      </w:r>
      <w:r w:rsidRPr="00E87247" w:rsidDel="004F518F">
        <w:t>Neighbourhood Residential Zone</w:t>
      </w:r>
      <w:r w:rsidRPr="00E87247">
        <w:t>.</w:t>
      </w:r>
    </w:p>
    <w:p w14:paraId="5F872AA1" w14:textId="585BF343" w:rsidR="009475CA" w:rsidRPr="00E87247" w:rsidRDefault="009475CA" w:rsidP="00E87247">
      <w:r w:rsidRPr="00E87247">
        <w:t xml:space="preserve">It is </w:t>
      </w:r>
      <w:r w:rsidRPr="00E87247" w:rsidDel="00E16447">
        <w:t>no longer</w:t>
      </w:r>
      <w:r w:rsidRPr="00E87247">
        <w:t xml:space="preserve"> appropriate to limit housing growth in existing urban areas just because an area is perceived to be remote from jobs, </w:t>
      </w:r>
      <w:proofErr w:type="gramStart"/>
      <w:r w:rsidRPr="00E87247">
        <w:t>services</w:t>
      </w:r>
      <w:proofErr w:type="gramEnd"/>
      <w:r w:rsidRPr="00E87247">
        <w:t xml:space="preserve"> and public transport.</w:t>
      </w:r>
    </w:p>
    <w:p w14:paraId="6FF2F5B2" w14:textId="77777777" w:rsidR="00B42F95" w:rsidRPr="00E70288" w:rsidRDefault="00B42F95" w:rsidP="00840A30">
      <w:pPr>
        <w:pStyle w:val="Heading1"/>
      </w:pPr>
      <w:r w:rsidRPr="00E70288">
        <w:t>Applying the right residential zone</w:t>
      </w:r>
    </w:p>
    <w:p w14:paraId="56C8B223" w14:textId="77777777" w:rsidR="00B42F95" w:rsidRDefault="00B42F95" w:rsidP="00B42F95">
      <w:r>
        <w:t>Planning schemes in Victoria are strategically focused and driven. Any planning control should have a clear reason to be imposed and be based on achieving a strategic, amenity or design outcome.</w:t>
      </w:r>
    </w:p>
    <w:p w14:paraId="6C66C7F2" w14:textId="77777777" w:rsidR="00B42F95" w:rsidRDefault="00B42F95" w:rsidP="00B42F95">
      <w:r>
        <w:t xml:space="preserve">Applying the right residential zone must be derived from the municipal-wide </w:t>
      </w:r>
      <w:r w:rsidRPr="00C934D6">
        <w:t>strategic framework plan or</w:t>
      </w:r>
      <w:r>
        <w:t xml:space="preserve"> residential development framework </w:t>
      </w:r>
      <w:r w:rsidRPr="00C934D6">
        <w:t>plan</w:t>
      </w:r>
      <w:r>
        <w:t xml:space="preserve"> contained in a Municipal Planning </w:t>
      </w:r>
      <w:r>
        <w:lastRenderedPageBreak/>
        <w:t xml:space="preserve">Strategy </w:t>
      </w:r>
      <w:r w:rsidRPr="006D1998">
        <w:t>(MPS)</w:t>
      </w:r>
      <w:r>
        <w:t xml:space="preserve">. The MPS should be developed in response to relevant state and regional planning policies in the Planning Policy Framework </w:t>
      </w:r>
      <w:r w:rsidRPr="006D1998">
        <w:t>(PPF)</w:t>
      </w:r>
      <w:r>
        <w:t>.</w:t>
      </w:r>
    </w:p>
    <w:p w14:paraId="3E1189F2" w14:textId="3A71CF3B" w:rsidR="00B42F95" w:rsidRDefault="00B42F95" w:rsidP="00B42F95">
      <w:r>
        <w:t xml:space="preserve">This process for </w:t>
      </w:r>
      <w:r w:rsidR="00DA1A33" w:rsidRPr="00DA1A33">
        <w:t>how the strategic planning and statutory implementation processes work to balance housing growth and neighbourhood character</w:t>
      </w:r>
      <w:r>
        <w:t xml:space="preserve"> is shown in </w:t>
      </w:r>
      <w:r w:rsidRPr="00840A30">
        <w:rPr>
          <w:b/>
          <w:bCs/>
        </w:rPr>
        <w:t>Figure 1</w:t>
      </w:r>
      <w:r>
        <w:t>.</w:t>
      </w:r>
      <w:r w:rsidR="000A3697">
        <w:t xml:space="preserve"> See </w:t>
      </w:r>
      <w:r w:rsidR="000A3697" w:rsidRPr="000A3697">
        <w:rPr>
          <w:b/>
          <w:bCs/>
        </w:rPr>
        <w:t>Figures 2 and 3</w:t>
      </w:r>
      <w:r w:rsidR="000A3697">
        <w:t xml:space="preserve"> for an example of how a residential development framework plan can be implemented using the residential zones.</w:t>
      </w:r>
    </w:p>
    <w:p w14:paraId="41E5ECA5" w14:textId="1BF9F73F" w:rsidR="00B42F95" w:rsidRPr="00840A30" w:rsidRDefault="00B42F95" w:rsidP="005A2AD1">
      <w:pPr>
        <w:pStyle w:val="Figure"/>
        <w:spacing w:after="0"/>
      </w:pPr>
      <w:r w:rsidRPr="00840A30">
        <w:t xml:space="preserve">Figure 1: </w:t>
      </w:r>
      <w:r w:rsidRPr="00840A30">
        <w:rPr>
          <w:b w:val="0"/>
          <w:bCs w:val="0"/>
        </w:rPr>
        <w:t>Balancing housing growth with protection of neighbourhood character</w:t>
      </w:r>
    </w:p>
    <w:p w14:paraId="2CB446B7" w14:textId="038A178A" w:rsidR="00B42F95" w:rsidRDefault="008332B4" w:rsidP="00840A30">
      <w:pPr>
        <w:ind w:left="720"/>
      </w:pPr>
      <w:r>
        <w:rPr>
          <w:noProof/>
        </w:rPr>
        <w:drawing>
          <wp:inline distT="0" distB="0" distL="0" distR="0" wp14:anchorId="63B5CB38" wp14:editId="4050AB85">
            <wp:extent cx="5026025" cy="5333119"/>
            <wp:effectExtent l="0" t="0" r="3175" b="1270"/>
            <wp:docPr id="3" name="Picture 3" descr="Figure 1 - The Planning Process - A diagram showing how planning balances housing growth and protection of neighbourhood character through strategic and statutory planning proc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1 - The Planning Process - A diagram showing how planning balances housing growth and protection of neighbourhood character through strategic and statutory planning processes."/>
                    <pic:cNvPicPr/>
                  </pic:nvPicPr>
                  <pic:blipFill rotWithShape="1">
                    <a:blip r:embed="rId15" cstate="print">
                      <a:extLst>
                        <a:ext uri="{28A0092B-C50C-407E-A947-70E740481C1C}">
                          <a14:useLocalDpi xmlns:a14="http://schemas.microsoft.com/office/drawing/2010/main" val="0"/>
                        </a:ext>
                      </a:extLst>
                    </a:blip>
                    <a:srcRect l="7829" t="4214" r="7558" b="32313"/>
                    <a:stretch/>
                  </pic:blipFill>
                  <pic:spPr bwMode="auto">
                    <a:xfrm>
                      <a:off x="0" y="0"/>
                      <a:ext cx="5026846" cy="5333990"/>
                    </a:xfrm>
                    <a:prstGeom prst="rect">
                      <a:avLst/>
                    </a:prstGeom>
                    <a:ln>
                      <a:noFill/>
                    </a:ln>
                    <a:extLst>
                      <a:ext uri="{53640926-AAD7-44D8-BBD7-CCE9431645EC}">
                        <a14:shadowObscured xmlns:a14="http://schemas.microsoft.com/office/drawing/2010/main"/>
                      </a:ext>
                    </a:extLst>
                  </pic:spPr>
                </pic:pic>
              </a:graphicData>
            </a:graphic>
          </wp:inline>
        </w:drawing>
      </w:r>
    </w:p>
    <w:p w14:paraId="2620FA35" w14:textId="77777777" w:rsidR="00B555B0" w:rsidRDefault="00B555B0" w:rsidP="00B555B0">
      <w:r>
        <w:t>There is no ‘default’ residential zone to be applied to a residential area in Victoria.</w:t>
      </w:r>
    </w:p>
    <w:p w14:paraId="5A2B8B2F" w14:textId="77777777" w:rsidR="00B555B0" w:rsidRDefault="00B555B0" w:rsidP="00B555B0">
      <w:r>
        <w:t>All six residential zones can be applied to residential land in a municipality, as appropriate.</w:t>
      </w:r>
    </w:p>
    <w:p w14:paraId="5387724C" w14:textId="77777777" w:rsidR="00B555B0" w:rsidRDefault="00B555B0" w:rsidP="00B555B0">
      <w:r>
        <w:t>There is no prescribed percentage for how much land in a municipality should be in each residential zone.</w:t>
      </w:r>
    </w:p>
    <w:p w14:paraId="0E38C0DA" w14:textId="77777777" w:rsidR="00B555B0" w:rsidRDefault="00B555B0" w:rsidP="00B555B0">
      <w:r>
        <w:t>A choice about which residential zone to apply will always need to be made. This choice must be based on the strategic outcomes being sought by the MPS and PPF.</w:t>
      </w:r>
    </w:p>
    <w:p w14:paraId="324B2C9C" w14:textId="4E1F4EA0" w:rsidR="00B555B0" w:rsidRDefault="00B555B0" w:rsidP="00B555B0">
      <w:r>
        <w:lastRenderedPageBreak/>
        <w:t xml:space="preserve">The ‘test’ is whether the residential zone implements the </w:t>
      </w:r>
      <w:r w:rsidRPr="00C934D6">
        <w:t xml:space="preserve">relevant strategic framework plan or residential development framework plan </w:t>
      </w:r>
      <w:r>
        <w:t>in the MPS.</w:t>
      </w:r>
    </w:p>
    <w:p w14:paraId="08FB261B" w14:textId="77777777" w:rsidR="00B555B0" w:rsidRDefault="00B555B0" w:rsidP="00B555B0">
      <w:r>
        <w:t>T</w:t>
      </w:r>
      <w:r w:rsidRPr="00AD12D5">
        <w:t xml:space="preserve">he </w:t>
      </w:r>
      <w:r>
        <w:t xml:space="preserve">right </w:t>
      </w:r>
      <w:r w:rsidRPr="00AD12D5">
        <w:t>residential zon</w:t>
      </w:r>
      <w:r>
        <w:t xml:space="preserve">e will </w:t>
      </w:r>
      <w:r w:rsidRPr="00AD12D5">
        <w:t xml:space="preserve">reflect the true </w:t>
      </w:r>
      <w:r>
        <w:t>development</w:t>
      </w:r>
      <w:r w:rsidRPr="00AD12D5">
        <w:t xml:space="preserve"> capacity of the land</w:t>
      </w:r>
      <w:r>
        <w:t>. If land is impacted by special attributes or physical constraints</w:t>
      </w:r>
      <w:r w:rsidRPr="00385DFD">
        <w:t xml:space="preserve"> </w:t>
      </w:r>
      <w:r>
        <w:t>that are identified in the MPS and PPF, then a residential zone should be applied that aligns with these attributes or constraints</w:t>
      </w:r>
      <w:r w:rsidRPr="00AD12D5">
        <w:t>.</w:t>
      </w:r>
    </w:p>
    <w:p w14:paraId="712FFFE8" w14:textId="77777777" w:rsidR="00A8558C" w:rsidRDefault="00B555B0" w:rsidP="009A293F">
      <w:pPr>
        <w:pStyle w:val="TableName"/>
        <w:spacing w:after="120"/>
      </w:pPr>
      <w:r>
        <w:t>Applying the right residential zone also provides the opportunity to apply local requirements to achieve preferred built form outcomes identified in the MPS and local policies.</w:t>
      </w:r>
    </w:p>
    <w:p w14:paraId="16A465A5" w14:textId="1A77637A" w:rsidR="009475CA" w:rsidRPr="00840A30" w:rsidRDefault="00B555B0" w:rsidP="009A293F">
      <w:pPr>
        <w:pStyle w:val="TableName"/>
        <w:spacing w:after="120"/>
      </w:pPr>
      <w:r w:rsidRPr="00840A30">
        <w:t xml:space="preserve">Table 2: </w:t>
      </w:r>
      <w:r w:rsidRPr="00C878DA">
        <w:rPr>
          <w:b w:val="0"/>
          <w:bCs w:val="0"/>
        </w:rPr>
        <w:t>Aligning housing change areas and residential zones</w:t>
      </w:r>
    </w:p>
    <w:tbl>
      <w:tblPr>
        <w:tblStyle w:val="Table1"/>
        <w:tblpPr w:leftFromText="180" w:rightFromText="180" w:vertAnchor="text" w:horzAnchor="margin" w:tblpY="16"/>
        <w:tblW w:w="7797" w:type="dxa"/>
        <w:tblBorders>
          <w:left w:val="none" w:sz="0" w:space="0" w:color="auto"/>
          <w:right w:val="none" w:sz="0" w:space="0" w:color="auto"/>
        </w:tblBorders>
        <w:tblLayout w:type="fixed"/>
        <w:tblLook w:val="04A0" w:firstRow="1" w:lastRow="0" w:firstColumn="1" w:lastColumn="0" w:noHBand="0" w:noVBand="1"/>
      </w:tblPr>
      <w:tblGrid>
        <w:gridCol w:w="3544"/>
        <w:gridCol w:w="1418"/>
        <w:gridCol w:w="1417"/>
        <w:gridCol w:w="1418"/>
      </w:tblGrid>
      <w:tr w:rsidR="00BE6500" w:rsidRPr="00FF1213" w14:paraId="1CACD4E1" w14:textId="77777777" w:rsidTr="00BE6500">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544" w:type="dxa"/>
          </w:tcPr>
          <w:p w14:paraId="481BA7D2" w14:textId="77777777" w:rsidR="00BE6500" w:rsidRPr="00FF1213" w:rsidRDefault="00BE6500" w:rsidP="00770E3F">
            <w:pPr>
              <w:pStyle w:val="Tableheader"/>
              <w:framePr w:hSpace="0" w:wrap="auto" w:vAnchor="margin" w:hAnchor="text" w:yAlign="inline"/>
              <w:rPr>
                <w:b/>
                <w:bCs w:val="0"/>
                <w:szCs w:val="20"/>
              </w:rPr>
            </w:pPr>
            <w:r w:rsidRPr="00FF1213">
              <w:rPr>
                <w:b/>
                <w:szCs w:val="20"/>
              </w:rPr>
              <w:softHyphen/>
              <w:t>Zone</w:t>
            </w:r>
          </w:p>
        </w:tc>
        <w:tc>
          <w:tcPr>
            <w:tcW w:w="1418" w:type="dxa"/>
          </w:tcPr>
          <w:p w14:paraId="680208D1" w14:textId="3E4BF65B" w:rsidR="00BE6500" w:rsidRPr="00FF1213" w:rsidRDefault="00BE6500" w:rsidP="00687692">
            <w:pPr>
              <w:pStyle w:val="Tableheader"/>
              <w:framePr w:hSpace="0" w:wrap="auto" w:vAnchor="margin" w:hAnchor="text" w:yAlign="inline"/>
              <w:jc w:val="center"/>
              <w:cnfStyle w:val="100000000000" w:firstRow="1" w:lastRow="0" w:firstColumn="0" w:lastColumn="0" w:oddVBand="0" w:evenVBand="0" w:oddHBand="0" w:evenHBand="0" w:firstRowFirstColumn="0" w:firstRowLastColumn="0" w:lastRowFirstColumn="0" w:lastRowLastColumn="0"/>
              <w:rPr>
                <w:b/>
                <w:szCs w:val="20"/>
              </w:rPr>
            </w:pPr>
            <w:r w:rsidRPr="00FF1213">
              <w:rPr>
                <w:b/>
                <w:szCs w:val="20"/>
              </w:rPr>
              <w:t>Minimal</w:t>
            </w:r>
          </w:p>
        </w:tc>
        <w:tc>
          <w:tcPr>
            <w:tcW w:w="1417" w:type="dxa"/>
          </w:tcPr>
          <w:p w14:paraId="3119187D" w14:textId="77777777" w:rsidR="00BE6500" w:rsidRPr="00FF1213" w:rsidRDefault="00BE6500" w:rsidP="00687692">
            <w:pPr>
              <w:pStyle w:val="Tableheader"/>
              <w:framePr w:hSpace="0" w:wrap="auto" w:vAnchor="margin" w:hAnchor="text" w:yAlign="inline"/>
              <w:jc w:val="center"/>
              <w:cnfStyle w:val="100000000000" w:firstRow="1" w:lastRow="0" w:firstColumn="0" w:lastColumn="0" w:oddVBand="0" w:evenVBand="0" w:oddHBand="0" w:evenHBand="0" w:firstRowFirstColumn="0" w:firstRowLastColumn="0" w:lastRowFirstColumn="0" w:lastRowLastColumn="0"/>
              <w:rPr>
                <w:szCs w:val="20"/>
              </w:rPr>
            </w:pPr>
            <w:r w:rsidRPr="00FF1213">
              <w:rPr>
                <w:b/>
                <w:szCs w:val="20"/>
              </w:rPr>
              <w:t>Incremental</w:t>
            </w:r>
          </w:p>
        </w:tc>
        <w:tc>
          <w:tcPr>
            <w:tcW w:w="1418" w:type="dxa"/>
          </w:tcPr>
          <w:p w14:paraId="2ACD2FBB" w14:textId="77777777" w:rsidR="00BE6500" w:rsidRPr="00FF1213" w:rsidRDefault="00BE6500" w:rsidP="00687692">
            <w:pPr>
              <w:pStyle w:val="Tableheader"/>
              <w:framePr w:hSpace="0" w:wrap="auto" w:vAnchor="margin" w:hAnchor="text" w:yAlign="inline"/>
              <w:jc w:val="center"/>
              <w:cnfStyle w:val="100000000000" w:firstRow="1" w:lastRow="0" w:firstColumn="0" w:lastColumn="0" w:oddVBand="0" w:evenVBand="0" w:oddHBand="0" w:evenHBand="0" w:firstRowFirstColumn="0" w:firstRowLastColumn="0" w:lastRowFirstColumn="0" w:lastRowLastColumn="0"/>
              <w:rPr>
                <w:b/>
                <w:szCs w:val="20"/>
              </w:rPr>
            </w:pPr>
            <w:r w:rsidRPr="00FF1213">
              <w:rPr>
                <w:b/>
                <w:szCs w:val="20"/>
              </w:rPr>
              <w:t>Substantial</w:t>
            </w:r>
          </w:p>
        </w:tc>
      </w:tr>
      <w:tr w:rsidR="00BE6500" w:rsidRPr="00FF1213" w14:paraId="5CF3D6A3" w14:textId="77777777" w:rsidTr="00BE6500">
        <w:tc>
          <w:tcPr>
            <w:tcW w:w="3544" w:type="dxa"/>
          </w:tcPr>
          <w:p w14:paraId="2D6F7B34" w14:textId="77777777" w:rsidR="00BE6500" w:rsidRPr="00FF1213" w:rsidRDefault="00BE6500" w:rsidP="00FF1213">
            <w:pPr>
              <w:pStyle w:val="Tablesecondheading"/>
              <w:spacing w:before="120" w:after="120"/>
              <w:rPr>
                <w:szCs w:val="20"/>
              </w:rPr>
            </w:pPr>
            <w:r w:rsidRPr="00FF1213">
              <w:rPr>
                <w:szCs w:val="20"/>
              </w:rPr>
              <w:t>Low Density Residential Zone</w:t>
            </w:r>
          </w:p>
        </w:tc>
        <w:tc>
          <w:tcPr>
            <w:tcW w:w="1418" w:type="dxa"/>
          </w:tcPr>
          <w:p w14:paraId="28D64DF6" w14:textId="23FD85C1" w:rsidR="00BE6500" w:rsidRPr="00FF1213" w:rsidRDefault="00BE6500" w:rsidP="007A4023">
            <w:pPr>
              <w:pStyle w:val="Tabletext"/>
              <w:framePr w:hSpace="0" w:wrap="auto" w:vAnchor="margin" w:hAnchor="text" w:yAlign="inline"/>
              <w:spacing w:before="120" w:after="120"/>
              <w:rPr>
                <w:sz w:val="20"/>
                <w:szCs w:val="20"/>
              </w:rPr>
            </w:pPr>
            <w:r w:rsidRPr="00FF1213">
              <w:rPr>
                <w:rFonts w:ascii="Segoe UI Symbol" w:hAnsi="Segoe UI Symbol" w:cs="Segoe UI Symbol"/>
                <w:sz w:val="20"/>
                <w:szCs w:val="20"/>
                <w:shd w:val="clear" w:color="auto" w:fill="FFFFFF"/>
              </w:rPr>
              <w:sym w:font="Wingdings" w:char="F0FC"/>
            </w:r>
          </w:p>
        </w:tc>
        <w:tc>
          <w:tcPr>
            <w:tcW w:w="1417" w:type="dxa"/>
          </w:tcPr>
          <w:p w14:paraId="4079A890" w14:textId="77777777" w:rsidR="00BE6500" w:rsidRPr="00FF1213" w:rsidRDefault="00BE6500" w:rsidP="007A4023">
            <w:pPr>
              <w:pStyle w:val="Tabletext"/>
              <w:framePr w:hSpace="0" w:wrap="auto" w:vAnchor="margin" w:hAnchor="text" w:yAlign="inline"/>
              <w:spacing w:before="120" w:after="120"/>
              <w:rPr>
                <w:sz w:val="20"/>
                <w:szCs w:val="20"/>
              </w:rPr>
            </w:pPr>
          </w:p>
        </w:tc>
        <w:tc>
          <w:tcPr>
            <w:tcW w:w="1418" w:type="dxa"/>
          </w:tcPr>
          <w:p w14:paraId="1644801F" w14:textId="77777777" w:rsidR="00BE6500" w:rsidRPr="00FF1213" w:rsidRDefault="00BE6500" w:rsidP="007A4023">
            <w:pPr>
              <w:pStyle w:val="Tabletext"/>
              <w:framePr w:hSpace="0" w:wrap="auto" w:vAnchor="margin" w:hAnchor="text" w:yAlign="inline"/>
              <w:spacing w:before="120" w:after="120"/>
              <w:rPr>
                <w:sz w:val="20"/>
                <w:szCs w:val="20"/>
              </w:rPr>
            </w:pPr>
          </w:p>
        </w:tc>
      </w:tr>
      <w:tr w:rsidR="00BE6500" w:rsidRPr="00FF1213" w14:paraId="608D1698" w14:textId="77777777" w:rsidTr="00BE6500">
        <w:tc>
          <w:tcPr>
            <w:tcW w:w="3544" w:type="dxa"/>
          </w:tcPr>
          <w:p w14:paraId="117E1FF5" w14:textId="77777777" w:rsidR="00BE6500" w:rsidRPr="00FF1213" w:rsidRDefault="00BE6500" w:rsidP="00FF1213">
            <w:pPr>
              <w:pStyle w:val="Tablesecondheading"/>
              <w:spacing w:before="120" w:after="120"/>
              <w:rPr>
                <w:szCs w:val="20"/>
              </w:rPr>
            </w:pPr>
            <w:r w:rsidRPr="00FF1213">
              <w:rPr>
                <w:szCs w:val="20"/>
              </w:rPr>
              <w:t>Mixed Use Zone</w:t>
            </w:r>
          </w:p>
        </w:tc>
        <w:tc>
          <w:tcPr>
            <w:tcW w:w="1418" w:type="dxa"/>
          </w:tcPr>
          <w:p w14:paraId="2E9CAD55" w14:textId="0BF4D16D" w:rsidR="00BE6500" w:rsidRPr="00FF1213" w:rsidRDefault="00BE6500" w:rsidP="007A4023">
            <w:pPr>
              <w:pStyle w:val="Tabletext"/>
              <w:framePr w:hSpace="0" w:wrap="auto" w:vAnchor="margin" w:hAnchor="text" w:yAlign="inline"/>
              <w:spacing w:before="120" w:after="120"/>
              <w:rPr>
                <w:sz w:val="20"/>
                <w:szCs w:val="20"/>
              </w:rPr>
            </w:pPr>
          </w:p>
        </w:tc>
        <w:tc>
          <w:tcPr>
            <w:tcW w:w="1417" w:type="dxa"/>
          </w:tcPr>
          <w:p w14:paraId="4BB2599D" w14:textId="12A697A1" w:rsidR="00BE6500" w:rsidRPr="00FF1213" w:rsidRDefault="00BE6500" w:rsidP="007A4023">
            <w:pPr>
              <w:pStyle w:val="Tabletext"/>
              <w:framePr w:hSpace="0" w:wrap="auto" w:vAnchor="margin" w:hAnchor="text" w:yAlign="inline"/>
              <w:spacing w:before="120" w:after="120"/>
              <w:rPr>
                <w:sz w:val="20"/>
                <w:szCs w:val="20"/>
              </w:rPr>
            </w:pPr>
            <w:r w:rsidRPr="00FF1213">
              <w:rPr>
                <w:rFonts w:ascii="Segoe UI Symbol" w:hAnsi="Segoe UI Symbol" w:cs="Segoe UI Symbol"/>
                <w:sz w:val="20"/>
                <w:szCs w:val="20"/>
                <w:shd w:val="clear" w:color="auto" w:fill="FFFFFF"/>
              </w:rPr>
              <w:sym w:font="Wingdings" w:char="F0FC"/>
            </w:r>
          </w:p>
        </w:tc>
        <w:tc>
          <w:tcPr>
            <w:tcW w:w="1418" w:type="dxa"/>
          </w:tcPr>
          <w:p w14:paraId="1424BDAB" w14:textId="057CC59F" w:rsidR="00BE6500" w:rsidRPr="00FF1213" w:rsidRDefault="00BE6500" w:rsidP="007A4023">
            <w:pPr>
              <w:pStyle w:val="Tabletext"/>
              <w:framePr w:hSpace="0" w:wrap="auto" w:vAnchor="margin" w:hAnchor="text" w:yAlign="inline"/>
              <w:spacing w:before="120" w:after="120"/>
              <w:rPr>
                <w:sz w:val="20"/>
                <w:szCs w:val="20"/>
              </w:rPr>
            </w:pPr>
            <w:r w:rsidRPr="00FF1213">
              <w:rPr>
                <w:rFonts w:ascii="Segoe UI Symbol" w:hAnsi="Segoe UI Symbol" w:cs="Segoe UI Symbol"/>
                <w:sz w:val="20"/>
                <w:szCs w:val="20"/>
                <w:shd w:val="clear" w:color="auto" w:fill="FFFFFF"/>
              </w:rPr>
              <w:sym w:font="Wingdings" w:char="F0FC"/>
            </w:r>
          </w:p>
        </w:tc>
      </w:tr>
      <w:tr w:rsidR="00BE6500" w:rsidRPr="00FF1213" w14:paraId="74FCDB2E" w14:textId="77777777" w:rsidTr="00BE6500">
        <w:tc>
          <w:tcPr>
            <w:tcW w:w="3544" w:type="dxa"/>
          </w:tcPr>
          <w:p w14:paraId="1FA8BE61" w14:textId="77777777" w:rsidR="00BE6500" w:rsidRPr="00FF1213" w:rsidRDefault="00BE6500" w:rsidP="00FF1213">
            <w:pPr>
              <w:pStyle w:val="Tablesecondheading"/>
              <w:spacing w:before="120" w:after="120"/>
              <w:rPr>
                <w:szCs w:val="20"/>
              </w:rPr>
            </w:pPr>
            <w:r w:rsidRPr="00FF1213">
              <w:rPr>
                <w:szCs w:val="20"/>
              </w:rPr>
              <w:t>Township Zone</w:t>
            </w:r>
          </w:p>
        </w:tc>
        <w:tc>
          <w:tcPr>
            <w:tcW w:w="1418" w:type="dxa"/>
          </w:tcPr>
          <w:p w14:paraId="279C5E11" w14:textId="746860F3" w:rsidR="00BE6500" w:rsidRPr="00FF1213" w:rsidRDefault="00BE6500" w:rsidP="007A4023">
            <w:pPr>
              <w:pStyle w:val="Tabletext"/>
              <w:framePr w:hSpace="0" w:wrap="auto" w:vAnchor="margin" w:hAnchor="text" w:yAlign="inline"/>
              <w:spacing w:before="120" w:after="120"/>
              <w:rPr>
                <w:sz w:val="20"/>
                <w:szCs w:val="20"/>
              </w:rPr>
            </w:pPr>
            <w:r w:rsidRPr="00FF1213">
              <w:rPr>
                <w:rFonts w:ascii="Segoe UI Symbol" w:hAnsi="Segoe UI Symbol" w:cs="Segoe UI Symbol"/>
                <w:sz w:val="20"/>
                <w:szCs w:val="20"/>
                <w:shd w:val="clear" w:color="auto" w:fill="FFFFFF"/>
              </w:rPr>
              <w:sym w:font="Wingdings" w:char="F0FC"/>
            </w:r>
          </w:p>
        </w:tc>
        <w:tc>
          <w:tcPr>
            <w:tcW w:w="1417" w:type="dxa"/>
          </w:tcPr>
          <w:p w14:paraId="34D168F3" w14:textId="22F76AF5" w:rsidR="00BE6500" w:rsidRPr="00FF1213" w:rsidRDefault="00BE6500" w:rsidP="007A4023">
            <w:pPr>
              <w:pStyle w:val="Tabletext"/>
              <w:framePr w:hSpace="0" w:wrap="auto" w:vAnchor="margin" w:hAnchor="text" w:yAlign="inline"/>
              <w:spacing w:before="120" w:after="120"/>
              <w:rPr>
                <w:sz w:val="20"/>
                <w:szCs w:val="20"/>
              </w:rPr>
            </w:pPr>
            <w:r w:rsidRPr="00FF1213">
              <w:rPr>
                <w:rFonts w:ascii="Segoe UI Symbol" w:hAnsi="Segoe UI Symbol" w:cs="Segoe UI Symbol"/>
                <w:sz w:val="20"/>
                <w:szCs w:val="20"/>
                <w:shd w:val="clear" w:color="auto" w:fill="FFFFFF"/>
              </w:rPr>
              <w:sym w:font="Wingdings" w:char="F0FC"/>
            </w:r>
          </w:p>
        </w:tc>
        <w:tc>
          <w:tcPr>
            <w:tcW w:w="1418" w:type="dxa"/>
          </w:tcPr>
          <w:p w14:paraId="60B403A6" w14:textId="77777777" w:rsidR="00BE6500" w:rsidRPr="00FF1213" w:rsidRDefault="00BE6500" w:rsidP="007A4023">
            <w:pPr>
              <w:pStyle w:val="Tabletext"/>
              <w:framePr w:hSpace="0" w:wrap="auto" w:vAnchor="margin" w:hAnchor="text" w:yAlign="inline"/>
              <w:spacing w:before="120" w:after="120"/>
              <w:rPr>
                <w:sz w:val="20"/>
                <w:szCs w:val="20"/>
              </w:rPr>
            </w:pPr>
          </w:p>
        </w:tc>
      </w:tr>
      <w:tr w:rsidR="00BE6500" w:rsidRPr="00FF1213" w14:paraId="46ADC5CC" w14:textId="77777777" w:rsidTr="00BE6500">
        <w:tc>
          <w:tcPr>
            <w:tcW w:w="3544" w:type="dxa"/>
          </w:tcPr>
          <w:p w14:paraId="237178C9" w14:textId="77777777" w:rsidR="00BE6500" w:rsidRPr="00FF1213" w:rsidRDefault="00BE6500" w:rsidP="00FF1213">
            <w:pPr>
              <w:pStyle w:val="Tablesecondheading"/>
              <w:spacing w:before="120" w:after="120"/>
              <w:rPr>
                <w:szCs w:val="20"/>
              </w:rPr>
            </w:pPr>
            <w:r w:rsidRPr="00FF1213">
              <w:rPr>
                <w:szCs w:val="20"/>
              </w:rPr>
              <w:t>Residential Growth Zone</w:t>
            </w:r>
          </w:p>
        </w:tc>
        <w:tc>
          <w:tcPr>
            <w:tcW w:w="1418" w:type="dxa"/>
          </w:tcPr>
          <w:p w14:paraId="53338146" w14:textId="6C61BD0C" w:rsidR="00BE6500" w:rsidRPr="00FF1213" w:rsidRDefault="00BE6500" w:rsidP="007A4023">
            <w:pPr>
              <w:pStyle w:val="Tabletext"/>
              <w:framePr w:hSpace="0" w:wrap="auto" w:vAnchor="margin" w:hAnchor="text" w:yAlign="inline"/>
              <w:spacing w:before="120" w:after="120"/>
              <w:rPr>
                <w:sz w:val="20"/>
                <w:szCs w:val="20"/>
              </w:rPr>
            </w:pPr>
          </w:p>
        </w:tc>
        <w:tc>
          <w:tcPr>
            <w:tcW w:w="1417" w:type="dxa"/>
          </w:tcPr>
          <w:p w14:paraId="79F3347E" w14:textId="73FFB7C8" w:rsidR="00BE6500" w:rsidRPr="00FF1213" w:rsidRDefault="00BE6500" w:rsidP="007A4023">
            <w:pPr>
              <w:pStyle w:val="Tabletext"/>
              <w:framePr w:hSpace="0" w:wrap="auto" w:vAnchor="margin" w:hAnchor="text" w:yAlign="inline"/>
              <w:spacing w:before="120" w:after="120"/>
              <w:rPr>
                <w:sz w:val="20"/>
                <w:szCs w:val="20"/>
              </w:rPr>
            </w:pPr>
            <w:r w:rsidRPr="00FF1213">
              <w:rPr>
                <w:rFonts w:ascii="Segoe UI Symbol" w:hAnsi="Segoe UI Symbol" w:cs="Segoe UI Symbol"/>
                <w:sz w:val="20"/>
                <w:szCs w:val="20"/>
                <w:shd w:val="clear" w:color="auto" w:fill="FFFFFF"/>
              </w:rPr>
              <w:sym w:font="Wingdings" w:char="F0FC"/>
            </w:r>
          </w:p>
        </w:tc>
        <w:tc>
          <w:tcPr>
            <w:tcW w:w="1418" w:type="dxa"/>
          </w:tcPr>
          <w:p w14:paraId="0231AC5B" w14:textId="46547C5D" w:rsidR="00BE6500" w:rsidRPr="00FF1213" w:rsidRDefault="00BE6500" w:rsidP="007A4023">
            <w:pPr>
              <w:pStyle w:val="Tabletext"/>
              <w:framePr w:hSpace="0" w:wrap="auto" w:vAnchor="margin" w:hAnchor="text" w:yAlign="inline"/>
              <w:spacing w:before="120" w:after="120"/>
              <w:rPr>
                <w:sz w:val="20"/>
                <w:szCs w:val="20"/>
              </w:rPr>
            </w:pPr>
            <w:r w:rsidRPr="00FF1213">
              <w:rPr>
                <w:rFonts w:ascii="Segoe UI Symbol" w:hAnsi="Segoe UI Symbol" w:cs="Segoe UI Symbol"/>
                <w:sz w:val="20"/>
                <w:szCs w:val="20"/>
                <w:shd w:val="clear" w:color="auto" w:fill="FFFFFF"/>
              </w:rPr>
              <w:sym w:font="Wingdings" w:char="F0FC"/>
            </w:r>
          </w:p>
        </w:tc>
      </w:tr>
      <w:tr w:rsidR="00BE6500" w:rsidRPr="00FF1213" w14:paraId="359E39FE" w14:textId="77777777" w:rsidTr="00BE6500">
        <w:tc>
          <w:tcPr>
            <w:tcW w:w="3544" w:type="dxa"/>
          </w:tcPr>
          <w:p w14:paraId="1389F96F" w14:textId="77777777" w:rsidR="00BE6500" w:rsidRPr="00FF1213" w:rsidRDefault="00BE6500" w:rsidP="00FF1213">
            <w:pPr>
              <w:pStyle w:val="Tablesecondheading"/>
              <w:spacing w:before="120" w:after="120"/>
              <w:rPr>
                <w:szCs w:val="20"/>
              </w:rPr>
            </w:pPr>
            <w:r w:rsidRPr="00FF1213">
              <w:rPr>
                <w:szCs w:val="20"/>
              </w:rPr>
              <w:t>General Residential Zone</w:t>
            </w:r>
          </w:p>
        </w:tc>
        <w:tc>
          <w:tcPr>
            <w:tcW w:w="1418" w:type="dxa"/>
          </w:tcPr>
          <w:p w14:paraId="2F32C508" w14:textId="7AFE4463" w:rsidR="00BE6500" w:rsidRPr="00FF1213" w:rsidRDefault="00BE6500" w:rsidP="007A4023">
            <w:pPr>
              <w:pStyle w:val="Tabletext"/>
              <w:framePr w:hSpace="0" w:wrap="auto" w:vAnchor="margin" w:hAnchor="text" w:yAlign="inline"/>
              <w:spacing w:before="120" w:after="120"/>
              <w:rPr>
                <w:sz w:val="20"/>
                <w:szCs w:val="20"/>
              </w:rPr>
            </w:pPr>
          </w:p>
        </w:tc>
        <w:tc>
          <w:tcPr>
            <w:tcW w:w="1417" w:type="dxa"/>
          </w:tcPr>
          <w:p w14:paraId="49BD961A" w14:textId="6D25680B" w:rsidR="00BE6500" w:rsidRPr="00FF1213" w:rsidRDefault="00BE6500" w:rsidP="007A4023">
            <w:pPr>
              <w:pStyle w:val="Tabletext"/>
              <w:framePr w:hSpace="0" w:wrap="auto" w:vAnchor="margin" w:hAnchor="text" w:yAlign="inline"/>
              <w:spacing w:before="120" w:after="120"/>
              <w:rPr>
                <w:sz w:val="20"/>
                <w:szCs w:val="20"/>
              </w:rPr>
            </w:pPr>
            <w:r w:rsidRPr="00FF1213">
              <w:rPr>
                <w:rFonts w:ascii="Segoe UI Symbol" w:hAnsi="Segoe UI Symbol" w:cs="Segoe UI Symbol"/>
                <w:sz w:val="20"/>
                <w:szCs w:val="20"/>
                <w:shd w:val="clear" w:color="auto" w:fill="FFFFFF"/>
              </w:rPr>
              <w:sym w:font="Wingdings" w:char="F0FC"/>
            </w:r>
          </w:p>
        </w:tc>
        <w:tc>
          <w:tcPr>
            <w:tcW w:w="1418" w:type="dxa"/>
          </w:tcPr>
          <w:p w14:paraId="09344741" w14:textId="181593C5" w:rsidR="00BE6500" w:rsidRPr="00FF1213" w:rsidRDefault="00BE6500" w:rsidP="007A4023">
            <w:pPr>
              <w:pStyle w:val="Tabletext"/>
              <w:framePr w:hSpace="0" w:wrap="auto" w:vAnchor="margin" w:hAnchor="text" w:yAlign="inline"/>
              <w:spacing w:before="120" w:after="120"/>
              <w:rPr>
                <w:sz w:val="20"/>
                <w:szCs w:val="20"/>
              </w:rPr>
            </w:pPr>
            <w:r w:rsidRPr="00FF1213">
              <w:rPr>
                <w:rFonts w:ascii="Segoe UI Symbol" w:hAnsi="Segoe UI Symbol" w:cs="Segoe UI Symbol"/>
                <w:sz w:val="20"/>
                <w:szCs w:val="20"/>
                <w:shd w:val="clear" w:color="auto" w:fill="FFFFFF"/>
              </w:rPr>
              <w:sym w:font="Wingdings" w:char="F0FC"/>
            </w:r>
          </w:p>
        </w:tc>
      </w:tr>
      <w:tr w:rsidR="00BE6500" w:rsidRPr="00FF1213" w14:paraId="786D28EA" w14:textId="77777777" w:rsidTr="00BE6500">
        <w:tc>
          <w:tcPr>
            <w:tcW w:w="3544" w:type="dxa"/>
          </w:tcPr>
          <w:p w14:paraId="122393A7" w14:textId="77777777" w:rsidR="00BE6500" w:rsidRPr="00FF1213" w:rsidRDefault="00BE6500" w:rsidP="00FF1213">
            <w:pPr>
              <w:pStyle w:val="Tablesecondheading"/>
              <w:spacing w:before="120" w:after="120"/>
              <w:rPr>
                <w:szCs w:val="20"/>
              </w:rPr>
            </w:pPr>
            <w:r w:rsidRPr="00FF1213">
              <w:rPr>
                <w:szCs w:val="20"/>
              </w:rPr>
              <w:t>Neighbourhood Residential Zone</w:t>
            </w:r>
          </w:p>
        </w:tc>
        <w:tc>
          <w:tcPr>
            <w:tcW w:w="1418" w:type="dxa"/>
          </w:tcPr>
          <w:p w14:paraId="79E420FE" w14:textId="0E73FBCC" w:rsidR="00BE6500" w:rsidRPr="00FF1213" w:rsidRDefault="00BE6500" w:rsidP="007A4023">
            <w:pPr>
              <w:pStyle w:val="Tabletext"/>
              <w:framePr w:hSpace="0" w:wrap="auto" w:vAnchor="margin" w:hAnchor="text" w:yAlign="inline"/>
              <w:spacing w:before="120" w:after="120"/>
              <w:rPr>
                <w:sz w:val="20"/>
                <w:szCs w:val="20"/>
              </w:rPr>
            </w:pPr>
            <w:r w:rsidRPr="00FF1213">
              <w:rPr>
                <w:rFonts w:ascii="Segoe UI Symbol" w:hAnsi="Segoe UI Symbol" w:cs="Segoe UI Symbol"/>
                <w:sz w:val="20"/>
                <w:szCs w:val="20"/>
                <w:shd w:val="clear" w:color="auto" w:fill="FFFFFF"/>
              </w:rPr>
              <w:sym w:font="Wingdings" w:char="F0FC"/>
            </w:r>
          </w:p>
        </w:tc>
        <w:tc>
          <w:tcPr>
            <w:tcW w:w="1417" w:type="dxa"/>
          </w:tcPr>
          <w:p w14:paraId="3FD29A5F" w14:textId="666C23AB" w:rsidR="00BE6500" w:rsidRPr="00FF1213" w:rsidRDefault="00BE6500" w:rsidP="007A4023">
            <w:pPr>
              <w:pStyle w:val="Tabletext"/>
              <w:framePr w:hSpace="0" w:wrap="auto" w:vAnchor="margin" w:hAnchor="text" w:yAlign="inline"/>
              <w:spacing w:before="120" w:after="120"/>
              <w:rPr>
                <w:sz w:val="20"/>
                <w:szCs w:val="20"/>
              </w:rPr>
            </w:pPr>
            <w:r w:rsidRPr="00FF1213">
              <w:rPr>
                <w:rFonts w:ascii="Segoe UI Symbol" w:hAnsi="Segoe UI Symbol" w:cs="Segoe UI Symbol"/>
                <w:sz w:val="20"/>
                <w:szCs w:val="20"/>
                <w:shd w:val="clear" w:color="auto" w:fill="FFFFFF"/>
              </w:rPr>
              <w:sym w:font="Wingdings" w:char="F0FC"/>
            </w:r>
          </w:p>
        </w:tc>
        <w:tc>
          <w:tcPr>
            <w:tcW w:w="1418" w:type="dxa"/>
          </w:tcPr>
          <w:p w14:paraId="0D791026" w14:textId="77777777" w:rsidR="00BE6500" w:rsidRPr="00FF1213" w:rsidRDefault="00BE6500" w:rsidP="007A4023">
            <w:pPr>
              <w:pStyle w:val="Tabletext"/>
              <w:framePr w:hSpace="0" w:wrap="auto" w:vAnchor="margin" w:hAnchor="text" w:yAlign="inline"/>
              <w:spacing w:before="120" w:after="120"/>
              <w:rPr>
                <w:sz w:val="20"/>
                <w:szCs w:val="20"/>
              </w:rPr>
            </w:pPr>
          </w:p>
        </w:tc>
      </w:tr>
    </w:tbl>
    <w:p w14:paraId="5A9C0D2F" w14:textId="77777777" w:rsidR="00BE6500" w:rsidRDefault="00BE6500" w:rsidP="00840A30">
      <w:pPr>
        <w:pStyle w:val="Heading2"/>
      </w:pPr>
    </w:p>
    <w:p w14:paraId="72E525BA" w14:textId="77777777" w:rsidR="00BE6500" w:rsidRDefault="00BE6500" w:rsidP="00840A30">
      <w:pPr>
        <w:pStyle w:val="Heading2"/>
      </w:pPr>
    </w:p>
    <w:p w14:paraId="079D8A94" w14:textId="77777777" w:rsidR="00BE6500" w:rsidRDefault="00BE6500" w:rsidP="00840A30">
      <w:pPr>
        <w:pStyle w:val="Heading2"/>
      </w:pPr>
    </w:p>
    <w:p w14:paraId="61626E39" w14:textId="77777777" w:rsidR="00BE6500" w:rsidRDefault="00BE6500" w:rsidP="00840A30">
      <w:pPr>
        <w:pStyle w:val="Heading2"/>
      </w:pPr>
    </w:p>
    <w:p w14:paraId="54C4416F" w14:textId="77777777" w:rsidR="00BE6500" w:rsidRDefault="00BE6500" w:rsidP="00840A30">
      <w:pPr>
        <w:pStyle w:val="Heading2"/>
      </w:pPr>
    </w:p>
    <w:p w14:paraId="4539DDF5" w14:textId="77777777" w:rsidR="00BE6500" w:rsidRDefault="00BE6500" w:rsidP="00840A30">
      <w:pPr>
        <w:pStyle w:val="Heading2"/>
      </w:pPr>
    </w:p>
    <w:p w14:paraId="749375BF" w14:textId="77777777" w:rsidR="00214FA9" w:rsidRDefault="00214FA9" w:rsidP="00BE6500">
      <w:pPr>
        <w:pStyle w:val="Heading2"/>
        <w:spacing w:before="0"/>
      </w:pPr>
    </w:p>
    <w:p w14:paraId="2B8E8C3A" w14:textId="40F43B4B" w:rsidR="00CF1A3D" w:rsidRDefault="00CF1A3D" w:rsidP="00BE6500">
      <w:pPr>
        <w:pStyle w:val="Heading2"/>
        <w:spacing w:before="0"/>
      </w:pPr>
      <w:r w:rsidRPr="0025448D">
        <w:t xml:space="preserve">Building heights </w:t>
      </w:r>
      <w:r w:rsidRPr="003D42CA">
        <w:t>and</w:t>
      </w:r>
      <w:r w:rsidRPr="0025448D">
        <w:t xml:space="preserve"> </w:t>
      </w:r>
      <w:r w:rsidRPr="0069121C">
        <w:t>zone</w:t>
      </w:r>
      <w:r w:rsidRPr="0025448D">
        <w:t xml:space="preserve"> selection</w:t>
      </w:r>
    </w:p>
    <w:p w14:paraId="16A65A06" w14:textId="77777777" w:rsidR="00CF1A3D" w:rsidRPr="00C438EE" w:rsidRDefault="00CF1A3D" w:rsidP="00CF1A3D">
      <w:r>
        <w:t xml:space="preserve">One of the key features of the reformed residential zones is the different </w:t>
      </w:r>
      <w:r w:rsidRPr="00C438EE">
        <w:t>maximum building height for each zone. This is a key factor to consider when selecting a residential zone to give effect to housing and neighbourhood character objectives.</w:t>
      </w:r>
    </w:p>
    <w:p w14:paraId="06D86090" w14:textId="77777777" w:rsidR="00CF1A3D" w:rsidRPr="00C438EE" w:rsidRDefault="00CF1A3D" w:rsidP="00CF1A3D">
      <w:r w:rsidRPr="00C438EE">
        <w:t>As a general principle, applying a residential zone should align with either existing building heights if they are sought to be maintained, or align with future building heights identified in strategic work.</w:t>
      </w:r>
    </w:p>
    <w:p w14:paraId="35FD399F" w14:textId="1E2FC68D" w:rsidR="00CF1A3D" w:rsidRDefault="00CF1A3D" w:rsidP="00CF1A3D">
      <w:r w:rsidRPr="00C438EE">
        <w:t xml:space="preserve">When a varied maximum building height is sought to be specified in a schedule to a residential zone it should not exceed the maximum building height of a zone with the next highest maximum building </w:t>
      </w:r>
      <w:proofErr w:type="gramStart"/>
      <w:r w:rsidRPr="00C438EE">
        <w:t>height</w:t>
      </w:r>
      <w:r>
        <w:t>,</w:t>
      </w:r>
      <w:r w:rsidRPr="00C438EE">
        <w:t xml:space="preserve"> unless</w:t>
      </w:r>
      <w:proofErr w:type="gramEnd"/>
      <w:r w:rsidRPr="00C438EE">
        <w:t xml:space="preserve"> the existing built form of the area warrants a unique approach.</w:t>
      </w:r>
      <w:r>
        <w:t xml:space="preserve"> </w:t>
      </w:r>
    </w:p>
    <w:p w14:paraId="4E986346" w14:textId="77777777" w:rsidR="00CF1A3D" w:rsidRPr="00AD12D5" w:rsidRDefault="00CF1A3D" w:rsidP="00CF1A3D">
      <w:r w:rsidRPr="00AD12D5">
        <w:t xml:space="preserve">For example, </w:t>
      </w:r>
      <w:r>
        <w:t>a</w:t>
      </w:r>
      <w:r w:rsidRPr="00AD12D5">
        <w:t>llowing a</w:t>
      </w:r>
      <w:r>
        <w:t>n 11 metre /</w:t>
      </w:r>
      <w:r w:rsidRPr="00AD12D5">
        <w:t xml:space="preserve"> three</w:t>
      </w:r>
      <w:r>
        <w:t>-</w:t>
      </w:r>
      <w:r w:rsidRPr="00AD12D5">
        <w:t xml:space="preserve">storey </w:t>
      </w:r>
      <w:r>
        <w:t>height to be specified</w:t>
      </w:r>
      <w:r w:rsidRPr="00AD12D5">
        <w:t xml:space="preserve"> in the NRZ would be inconsistent with the purpose of the NRZ</w:t>
      </w:r>
      <w:r>
        <w:t>. However, allowing the maximum building height to be increased to 10 or 11 metres may be appropriate to recognise the characteristics of existing double storey housing in an NRZ area.</w:t>
      </w:r>
    </w:p>
    <w:p w14:paraId="47255E74" w14:textId="77777777" w:rsidR="00CF1A3D" w:rsidRPr="00AD12D5" w:rsidRDefault="00CF1A3D" w:rsidP="00CF1A3D">
      <w:r w:rsidRPr="00AD12D5">
        <w:t>The GRZ has a maximum building height of 11 metres</w:t>
      </w:r>
      <w:r>
        <w:t xml:space="preserve"> and three storeys</w:t>
      </w:r>
      <w:r w:rsidRPr="00AD12D5">
        <w:t>. It is important to remember that through the building system, a single</w:t>
      </w:r>
      <w:r>
        <w:t xml:space="preserve"> </w:t>
      </w:r>
      <w:r w:rsidRPr="00AD12D5">
        <w:t>dwelling can be constructed to a height of 11 metres and three</w:t>
      </w:r>
      <w:r>
        <w:t xml:space="preserve"> </w:t>
      </w:r>
      <w:r w:rsidRPr="00AD12D5">
        <w:t>storeys in the GRZ without the need to obtain a planning permit. If applying the GRZ, this should be considered.</w:t>
      </w:r>
    </w:p>
    <w:p w14:paraId="7FA562CD" w14:textId="77777777" w:rsidR="00CF1A3D" w:rsidRDefault="00CF1A3D" w:rsidP="00CF1A3D">
      <w:r>
        <w:lastRenderedPageBreak/>
        <w:t xml:space="preserve">If </w:t>
      </w:r>
      <w:r w:rsidRPr="00AD12D5">
        <w:t>a</w:t>
      </w:r>
      <w:r>
        <w:t>n</w:t>
      </w:r>
      <w:r w:rsidRPr="00AD12D5">
        <w:t xml:space="preserve"> </w:t>
      </w:r>
      <w:r>
        <w:t xml:space="preserve">area has an </w:t>
      </w:r>
      <w:r w:rsidRPr="00AD12D5">
        <w:t xml:space="preserve">existing </w:t>
      </w:r>
      <w:r>
        <w:t>single and double</w:t>
      </w:r>
      <w:r w:rsidRPr="00AD12D5">
        <w:t xml:space="preserve"> storey character</w:t>
      </w:r>
      <w:r>
        <w:t xml:space="preserve"> that is sought to be maintained</w:t>
      </w:r>
      <w:r w:rsidRPr="00AD12D5">
        <w:t>, applying the GRZ is likely to be inconsistent with th</w:t>
      </w:r>
      <w:r>
        <w:t>is preferred</w:t>
      </w:r>
      <w:r w:rsidRPr="00AD12D5">
        <w:t xml:space="preserve"> neighbourhood character o</w:t>
      </w:r>
      <w:r>
        <w:t>u</w:t>
      </w:r>
      <w:r w:rsidRPr="00AD12D5">
        <w:t>tcome.</w:t>
      </w:r>
    </w:p>
    <w:p w14:paraId="06CC4A70" w14:textId="19A91527" w:rsidR="00CF1A3D" w:rsidRDefault="00CF1A3D" w:rsidP="00CF1A3D">
      <w:r>
        <w:t>While t</w:t>
      </w:r>
      <w:r w:rsidRPr="00AD12D5">
        <w:t xml:space="preserve">he purpose of the GRZ includes </w:t>
      </w:r>
      <w:r w:rsidRPr="00267B84">
        <w:rPr>
          <w:i/>
          <w:iCs/>
        </w:rPr>
        <w:t>‘To encourage development that respects the neighbourhood character of the area’</w:t>
      </w:r>
      <w:r>
        <w:t>,</w:t>
      </w:r>
      <w:r w:rsidRPr="00AD12D5">
        <w:t xml:space="preserve"> it is unlikely that neighbourhood character </w:t>
      </w:r>
      <w:r>
        <w:t>can</w:t>
      </w:r>
      <w:r w:rsidRPr="00AD12D5">
        <w:t xml:space="preserve"> be respected </w:t>
      </w:r>
      <w:r>
        <w:t>if existing development is single and double storey</w:t>
      </w:r>
      <w:r w:rsidRPr="00AD12D5">
        <w:t>.</w:t>
      </w:r>
      <w:r>
        <w:t xml:space="preserve"> However, the GRZ may be the appropriate zone to apply to areas with existing three-storey development.</w:t>
      </w:r>
    </w:p>
    <w:p w14:paraId="665056D1" w14:textId="5218075C" w:rsidR="00CF1A3D" w:rsidRDefault="00CF1A3D" w:rsidP="00CF1A3D">
      <w:r>
        <w:t>After selecting the zones to apply, check that they align with the strategic work undertaken and any strategic objectives.</w:t>
      </w:r>
    </w:p>
    <w:p w14:paraId="4D232A06" w14:textId="59B5EE1F" w:rsidR="00CF1A3D" w:rsidRPr="00267B84" w:rsidRDefault="00CF1A3D" w:rsidP="009A293F">
      <w:pPr>
        <w:pStyle w:val="TableName"/>
        <w:spacing w:after="120"/>
      </w:pPr>
      <w:r w:rsidRPr="00267B84">
        <w:t xml:space="preserve">Table 3: </w:t>
      </w:r>
      <w:r w:rsidRPr="00C878DA">
        <w:rPr>
          <w:b w:val="0"/>
          <w:bCs w:val="0"/>
        </w:rPr>
        <w:t>Maximum building height matrix</w:t>
      </w:r>
    </w:p>
    <w:tbl>
      <w:tblPr>
        <w:tblStyle w:val="Table1"/>
        <w:tblpPr w:leftFromText="180" w:rightFromText="180" w:vertAnchor="text" w:horzAnchor="margin" w:tblpY="49"/>
        <w:tblW w:w="9781" w:type="dxa"/>
        <w:tblBorders>
          <w:left w:val="none" w:sz="0" w:space="0" w:color="auto"/>
          <w:right w:val="none" w:sz="0" w:space="0" w:color="auto"/>
        </w:tblBorders>
        <w:tblLook w:val="04A0" w:firstRow="1" w:lastRow="0" w:firstColumn="1" w:lastColumn="0" w:noHBand="0" w:noVBand="1"/>
      </w:tblPr>
      <w:tblGrid>
        <w:gridCol w:w="2310"/>
        <w:gridCol w:w="1376"/>
        <w:gridCol w:w="1843"/>
        <w:gridCol w:w="4252"/>
      </w:tblGrid>
      <w:tr w:rsidR="00CF1A3D" w:rsidRPr="0020334C" w14:paraId="38F14810" w14:textId="06749516" w:rsidTr="0057747F">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2310" w:type="dxa"/>
          </w:tcPr>
          <w:p w14:paraId="759AEA13" w14:textId="2E0A3A18" w:rsidR="00CF1A3D" w:rsidRPr="0020334C" w:rsidRDefault="00CF1A3D" w:rsidP="0020334C">
            <w:pPr>
              <w:pStyle w:val="Tableheader"/>
              <w:framePr w:hSpace="0" w:wrap="auto" w:vAnchor="margin" w:hAnchor="text" w:yAlign="inline"/>
              <w:rPr>
                <w:b/>
                <w:sz w:val="18"/>
                <w:szCs w:val="18"/>
              </w:rPr>
            </w:pPr>
            <w:r w:rsidRPr="0020334C">
              <w:rPr>
                <w:b/>
                <w:sz w:val="18"/>
                <w:szCs w:val="18"/>
              </w:rPr>
              <w:softHyphen/>
              <w:t>Maximum building height</w:t>
            </w:r>
          </w:p>
        </w:tc>
        <w:tc>
          <w:tcPr>
            <w:tcW w:w="1376" w:type="dxa"/>
          </w:tcPr>
          <w:p w14:paraId="5312CD51" w14:textId="39D0A766" w:rsidR="00CF1A3D" w:rsidRPr="0020334C" w:rsidRDefault="00CF1A3D" w:rsidP="0020334C">
            <w:pPr>
              <w:pStyle w:val="Tableheader"/>
              <w:framePr w:hSpace="0" w:wrap="auto" w:vAnchor="margin" w:hAnchor="text" w:yAlign="inline"/>
              <w:jc w:val="center"/>
              <w:cnfStyle w:val="100000000000" w:firstRow="1" w:lastRow="0" w:firstColumn="0" w:lastColumn="0" w:oddVBand="0" w:evenVBand="0" w:oddHBand="0" w:evenHBand="0" w:firstRowFirstColumn="0" w:firstRowLastColumn="0" w:lastRowFirstColumn="0" w:lastRowLastColumn="0"/>
              <w:rPr>
                <w:b/>
                <w:sz w:val="18"/>
                <w:szCs w:val="18"/>
              </w:rPr>
            </w:pPr>
            <w:r w:rsidRPr="0020334C">
              <w:rPr>
                <w:b/>
                <w:sz w:val="18"/>
                <w:szCs w:val="18"/>
              </w:rPr>
              <w:t>Best zone</w:t>
            </w:r>
          </w:p>
        </w:tc>
        <w:tc>
          <w:tcPr>
            <w:tcW w:w="1843" w:type="dxa"/>
          </w:tcPr>
          <w:p w14:paraId="135B845B" w14:textId="2F6C2BA6" w:rsidR="00CF1A3D" w:rsidRPr="0020334C" w:rsidRDefault="00CF1A3D" w:rsidP="0020334C">
            <w:pPr>
              <w:pStyle w:val="Tableheader"/>
              <w:framePr w:hSpace="0" w:wrap="auto" w:vAnchor="margin" w:hAnchor="text" w:yAlign="inline"/>
              <w:jc w:val="center"/>
              <w:cnfStyle w:val="100000000000" w:firstRow="1" w:lastRow="0" w:firstColumn="0" w:lastColumn="0" w:oddVBand="0" w:evenVBand="0" w:oddHBand="0" w:evenHBand="0" w:firstRowFirstColumn="0" w:firstRowLastColumn="0" w:lastRowFirstColumn="0" w:lastRowLastColumn="0"/>
              <w:rPr>
                <w:b/>
                <w:sz w:val="18"/>
                <w:szCs w:val="18"/>
              </w:rPr>
            </w:pPr>
            <w:r w:rsidRPr="0020334C">
              <w:rPr>
                <w:b/>
                <w:sz w:val="18"/>
                <w:szCs w:val="18"/>
              </w:rPr>
              <w:t>Best height tool</w:t>
            </w:r>
          </w:p>
        </w:tc>
        <w:tc>
          <w:tcPr>
            <w:tcW w:w="4252" w:type="dxa"/>
          </w:tcPr>
          <w:p w14:paraId="41882F61" w14:textId="57DA5E83" w:rsidR="00CF1A3D" w:rsidRPr="0020334C" w:rsidRDefault="00CF1A3D" w:rsidP="0020334C">
            <w:pPr>
              <w:pStyle w:val="Tableheader"/>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b/>
                <w:sz w:val="18"/>
                <w:szCs w:val="18"/>
              </w:rPr>
            </w:pPr>
            <w:r w:rsidRPr="0020334C">
              <w:rPr>
                <w:b/>
                <w:sz w:val="18"/>
                <w:szCs w:val="18"/>
              </w:rPr>
              <w:t>Rationale</w:t>
            </w:r>
          </w:p>
        </w:tc>
      </w:tr>
      <w:tr w:rsidR="00AF4D8D" w:rsidRPr="0020334C" w14:paraId="4533845E" w14:textId="6A6DF64B" w:rsidTr="0057747F">
        <w:tc>
          <w:tcPr>
            <w:tcW w:w="2310" w:type="dxa"/>
            <w:shd w:val="clear" w:color="auto" w:fill="D9D9D9" w:themeFill="background1" w:themeFillShade="D9"/>
          </w:tcPr>
          <w:p w14:paraId="1B665FB6" w14:textId="72C24E07" w:rsidR="00AF4D8D" w:rsidRPr="0020334C" w:rsidRDefault="00AF4D8D" w:rsidP="0020334C">
            <w:pPr>
              <w:pStyle w:val="Tabletext"/>
              <w:framePr w:hSpace="0" w:wrap="auto" w:vAnchor="margin" w:hAnchor="text" w:yAlign="inline"/>
              <w:jc w:val="left"/>
            </w:pPr>
            <w:r w:rsidRPr="0020334C">
              <w:t>Less than 9m or 2 storeys</w:t>
            </w:r>
          </w:p>
        </w:tc>
        <w:tc>
          <w:tcPr>
            <w:tcW w:w="1376" w:type="dxa"/>
            <w:shd w:val="clear" w:color="auto" w:fill="F2DBDB"/>
          </w:tcPr>
          <w:p w14:paraId="4172910C" w14:textId="6F8CBD04" w:rsidR="00AF4D8D" w:rsidRPr="0020334C" w:rsidRDefault="00AF4D8D" w:rsidP="0020334C">
            <w:pPr>
              <w:pStyle w:val="Tabletext"/>
              <w:framePr w:hSpace="0" w:wrap="auto" w:vAnchor="margin" w:hAnchor="text" w:yAlign="inline"/>
            </w:pPr>
            <w:r w:rsidRPr="0020334C">
              <w:t>NRZ</w:t>
            </w:r>
          </w:p>
        </w:tc>
        <w:tc>
          <w:tcPr>
            <w:tcW w:w="1843" w:type="dxa"/>
          </w:tcPr>
          <w:p w14:paraId="63336195" w14:textId="732C6055" w:rsidR="00AF4D8D" w:rsidRPr="0020334C" w:rsidRDefault="00AF4D8D" w:rsidP="0020334C">
            <w:pPr>
              <w:pStyle w:val="Tabletext"/>
              <w:framePr w:hSpace="0" w:wrap="auto" w:vAnchor="margin" w:hAnchor="text" w:yAlign="inline"/>
            </w:pPr>
            <w:r w:rsidRPr="0020334C">
              <w:t>Overlay</w:t>
            </w:r>
          </w:p>
        </w:tc>
        <w:tc>
          <w:tcPr>
            <w:tcW w:w="4252" w:type="dxa"/>
            <w:vAlign w:val="center"/>
          </w:tcPr>
          <w:p w14:paraId="178E8319" w14:textId="0878833C" w:rsidR="00AF4D8D" w:rsidRPr="0020334C" w:rsidRDefault="00AF4D8D" w:rsidP="0020334C">
            <w:pPr>
              <w:pStyle w:val="Tabletext"/>
              <w:framePr w:hSpace="0" w:wrap="auto" w:vAnchor="margin" w:hAnchor="text" w:yAlign="inline"/>
              <w:jc w:val="left"/>
            </w:pPr>
            <w:r w:rsidRPr="0020334C">
              <w:t>A maximum building height lower than the NRZ cannot be specified in a zone schedule. An overlay is required to recognise the special characteristics.</w:t>
            </w:r>
          </w:p>
        </w:tc>
      </w:tr>
      <w:tr w:rsidR="00AF4D8D" w:rsidRPr="0020334C" w14:paraId="31559D42" w14:textId="094F4AF3" w:rsidTr="0057747F">
        <w:tc>
          <w:tcPr>
            <w:tcW w:w="2310" w:type="dxa"/>
            <w:shd w:val="clear" w:color="auto" w:fill="D9D9D9" w:themeFill="background1" w:themeFillShade="D9"/>
          </w:tcPr>
          <w:p w14:paraId="6469F1EC" w14:textId="67E31F9C" w:rsidR="00AF4D8D" w:rsidRPr="0020334C" w:rsidRDefault="00AF4D8D" w:rsidP="0020334C">
            <w:pPr>
              <w:pStyle w:val="Tabletext"/>
              <w:framePr w:hSpace="0" w:wrap="auto" w:vAnchor="margin" w:hAnchor="text" w:yAlign="inline"/>
              <w:jc w:val="left"/>
            </w:pPr>
            <w:r w:rsidRPr="0020334C">
              <w:t>9m</w:t>
            </w:r>
            <w:r w:rsidR="00267B84" w:rsidRPr="0020334C">
              <w:t xml:space="preserve"> </w:t>
            </w:r>
            <w:r w:rsidRPr="0020334C">
              <w:t>(2 storeys)</w:t>
            </w:r>
          </w:p>
        </w:tc>
        <w:tc>
          <w:tcPr>
            <w:tcW w:w="1376" w:type="dxa"/>
            <w:shd w:val="clear" w:color="auto" w:fill="F2DBDB"/>
          </w:tcPr>
          <w:p w14:paraId="4F72DA87" w14:textId="4D865CC6" w:rsidR="00AF4D8D" w:rsidRPr="0020334C" w:rsidRDefault="00AF4D8D" w:rsidP="0020334C">
            <w:pPr>
              <w:pStyle w:val="Tabletext"/>
              <w:framePr w:hSpace="0" w:wrap="auto" w:vAnchor="margin" w:hAnchor="text" w:yAlign="inline"/>
            </w:pPr>
            <w:r w:rsidRPr="0020334C">
              <w:t>NRZ</w:t>
            </w:r>
          </w:p>
        </w:tc>
        <w:tc>
          <w:tcPr>
            <w:tcW w:w="1843" w:type="dxa"/>
            <w:shd w:val="clear" w:color="auto" w:fill="F2DBDB"/>
          </w:tcPr>
          <w:p w14:paraId="04364730" w14:textId="7EEA170B" w:rsidR="00AF4D8D" w:rsidRPr="0020334C" w:rsidRDefault="00AF4D8D" w:rsidP="0020334C">
            <w:pPr>
              <w:pStyle w:val="Tabletext"/>
              <w:framePr w:hSpace="0" w:wrap="auto" w:vAnchor="margin" w:hAnchor="text" w:yAlign="inline"/>
            </w:pPr>
            <w:r w:rsidRPr="0020334C">
              <w:t xml:space="preserve">NRZ </w:t>
            </w:r>
          </w:p>
        </w:tc>
        <w:tc>
          <w:tcPr>
            <w:tcW w:w="4252" w:type="dxa"/>
            <w:vAlign w:val="center"/>
          </w:tcPr>
          <w:p w14:paraId="41FB11A9" w14:textId="75830265" w:rsidR="00AF4D8D" w:rsidRPr="0020334C" w:rsidRDefault="00AF4D8D" w:rsidP="0020334C">
            <w:pPr>
              <w:pStyle w:val="Tabletext"/>
              <w:framePr w:hSpace="0" w:wrap="auto" w:vAnchor="margin" w:hAnchor="text" w:yAlign="inline"/>
              <w:jc w:val="left"/>
            </w:pPr>
            <w:r w:rsidRPr="0020334C">
              <w:t>The zone mandates this maximum building height and storey control.</w:t>
            </w:r>
          </w:p>
        </w:tc>
      </w:tr>
      <w:tr w:rsidR="00AF4D8D" w:rsidRPr="0020334C" w14:paraId="64202575" w14:textId="77777777" w:rsidTr="0057747F">
        <w:tc>
          <w:tcPr>
            <w:tcW w:w="2310" w:type="dxa"/>
            <w:shd w:val="clear" w:color="auto" w:fill="D9D9D9" w:themeFill="background1" w:themeFillShade="D9"/>
          </w:tcPr>
          <w:p w14:paraId="0815634F" w14:textId="48A613BB" w:rsidR="00AF4D8D" w:rsidRPr="0020334C" w:rsidRDefault="00AF4D8D" w:rsidP="0020334C">
            <w:pPr>
              <w:pStyle w:val="Tabletext"/>
              <w:framePr w:hSpace="0" w:wrap="auto" w:vAnchor="margin" w:hAnchor="text" w:yAlign="inline"/>
              <w:jc w:val="left"/>
            </w:pPr>
            <w:r w:rsidRPr="0020334C">
              <w:t>Greater than 9m (retain 2 storeys)</w:t>
            </w:r>
          </w:p>
        </w:tc>
        <w:tc>
          <w:tcPr>
            <w:tcW w:w="1376" w:type="dxa"/>
            <w:shd w:val="clear" w:color="auto" w:fill="F2DBDB"/>
          </w:tcPr>
          <w:p w14:paraId="378F8B84" w14:textId="70583C73" w:rsidR="00AF4D8D" w:rsidRPr="0020334C" w:rsidRDefault="00AF4D8D" w:rsidP="0020334C">
            <w:pPr>
              <w:pStyle w:val="Tabletext"/>
              <w:framePr w:hSpace="0" w:wrap="auto" w:vAnchor="margin" w:hAnchor="text" w:yAlign="inline"/>
            </w:pPr>
            <w:r w:rsidRPr="0020334C">
              <w:t>NRZ</w:t>
            </w:r>
          </w:p>
        </w:tc>
        <w:tc>
          <w:tcPr>
            <w:tcW w:w="1843" w:type="dxa"/>
            <w:shd w:val="clear" w:color="auto" w:fill="F2DBDB"/>
          </w:tcPr>
          <w:p w14:paraId="18E81B2D" w14:textId="0413E96A" w:rsidR="00AF4D8D" w:rsidRPr="0020334C" w:rsidRDefault="00AF4D8D" w:rsidP="0020334C">
            <w:pPr>
              <w:pStyle w:val="Tabletext"/>
              <w:framePr w:hSpace="0" w:wrap="auto" w:vAnchor="margin" w:hAnchor="text" w:yAlign="inline"/>
            </w:pPr>
            <w:r w:rsidRPr="0020334C">
              <w:t>NRZ schedule</w:t>
            </w:r>
          </w:p>
        </w:tc>
        <w:tc>
          <w:tcPr>
            <w:tcW w:w="4252" w:type="dxa"/>
            <w:vAlign w:val="center"/>
          </w:tcPr>
          <w:p w14:paraId="1B67471F" w14:textId="0AEE2EB3" w:rsidR="00AF4D8D" w:rsidRPr="0020334C" w:rsidRDefault="00AF4D8D" w:rsidP="0020334C">
            <w:pPr>
              <w:pStyle w:val="Tabletext"/>
              <w:framePr w:hSpace="0" w:wrap="auto" w:vAnchor="margin" w:hAnchor="text" w:yAlign="inline"/>
              <w:jc w:val="left"/>
            </w:pPr>
            <w:r w:rsidRPr="0020334C">
              <w:t>The schedule to the zone enables a greater maximum building height to be specified while maintaining the 2-storey requirement.</w:t>
            </w:r>
          </w:p>
        </w:tc>
      </w:tr>
      <w:tr w:rsidR="00AF4D8D" w:rsidRPr="0020334C" w14:paraId="08EBAC1A" w14:textId="77777777" w:rsidTr="0057747F">
        <w:tc>
          <w:tcPr>
            <w:tcW w:w="2310" w:type="dxa"/>
            <w:shd w:val="clear" w:color="auto" w:fill="D9D9D9" w:themeFill="background1" w:themeFillShade="D9"/>
          </w:tcPr>
          <w:p w14:paraId="7204B9B2" w14:textId="57BAEA78" w:rsidR="00AF4D8D" w:rsidRPr="0020334C" w:rsidRDefault="00AF4D8D" w:rsidP="0020334C">
            <w:pPr>
              <w:pStyle w:val="Tabletext"/>
              <w:framePr w:hSpace="0" w:wrap="auto" w:vAnchor="margin" w:hAnchor="text" w:yAlign="inline"/>
              <w:jc w:val="left"/>
            </w:pPr>
            <w:r w:rsidRPr="0020334C">
              <w:t>11m</w:t>
            </w:r>
            <w:r w:rsidR="00267B84" w:rsidRPr="0020334C">
              <w:t xml:space="preserve"> </w:t>
            </w:r>
            <w:r w:rsidRPr="0020334C">
              <w:t>(3 storeys)</w:t>
            </w:r>
          </w:p>
        </w:tc>
        <w:tc>
          <w:tcPr>
            <w:tcW w:w="1376" w:type="dxa"/>
            <w:shd w:val="clear" w:color="auto" w:fill="FFB5CF"/>
          </w:tcPr>
          <w:p w14:paraId="3A54C34C" w14:textId="56AE584D" w:rsidR="00AF4D8D" w:rsidRPr="0020334C" w:rsidRDefault="00AF4D8D" w:rsidP="0020334C">
            <w:pPr>
              <w:pStyle w:val="Tabletext"/>
              <w:framePr w:hSpace="0" w:wrap="auto" w:vAnchor="margin" w:hAnchor="text" w:yAlign="inline"/>
            </w:pPr>
            <w:r w:rsidRPr="0020334C">
              <w:t>GRZ</w:t>
            </w:r>
          </w:p>
        </w:tc>
        <w:tc>
          <w:tcPr>
            <w:tcW w:w="1843" w:type="dxa"/>
            <w:shd w:val="clear" w:color="auto" w:fill="FFB5CF"/>
          </w:tcPr>
          <w:p w14:paraId="60D50829" w14:textId="797E78CE" w:rsidR="00AF4D8D" w:rsidRPr="0020334C" w:rsidRDefault="00AF4D8D" w:rsidP="0020334C">
            <w:pPr>
              <w:pStyle w:val="Tabletext"/>
              <w:framePr w:hSpace="0" w:wrap="auto" w:vAnchor="margin" w:hAnchor="text" w:yAlign="inline"/>
            </w:pPr>
            <w:r w:rsidRPr="0020334C">
              <w:t xml:space="preserve">GRZ </w:t>
            </w:r>
          </w:p>
        </w:tc>
        <w:tc>
          <w:tcPr>
            <w:tcW w:w="4252" w:type="dxa"/>
            <w:vAlign w:val="center"/>
          </w:tcPr>
          <w:p w14:paraId="67A6E6A8" w14:textId="03ED7A30" w:rsidR="00AF4D8D" w:rsidRPr="0020334C" w:rsidRDefault="00AF4D8D" w:rsidP="0020334C">
            <w:pPr>
              <w:pStyle w:val="Tabletext"/>
              <w:framePr w:hSpace="0" w:wrap="auto" w:vAnchor="margin" w:hAnchor="text" w:yAlign="inline"/>
              <w:jc w:val="left"/>
            </w:pPr>
            <w:r w:rsidRPr="0020334C">
              <w:t>The zone mandates this maximum building height and storey control.</w:t>
            </w:r>
          </w:p>
        </w:tc>
      </w:tr>
      <w:tr w:rsidR="00AF4D8D" w:rsidRPr="0020334C" w14:paraId="098908F2" w14:textId="77777777" w:rsidTr="0057747F">
        <w:tc>
          <w:tcPr>
            <w:tcW w:w="2310" w:type="dxa"/>
            <w:shd w:val="clear" w:color="auto" w:fill="D9D9D9" w:themeFill="background1" w:themeFillShade="D9"/>
          </w:tcPr>
          <w:p w14:paraId="1B2F9074" w14:textId="575C7E66" w:rsidR="00AF4D8D" w:rsidRPr="0020334C" w:rsidRDefault="00AF4D8D" w:rsidP="0020334C">
            <w:pPr>
              <w:pStyle w:val="Tabletext"/>
              <w:framePr w:hSpace="0" w:wrap="auto" w:vAnchor="margin" w:hAnchor="text" w:yAlign="inline"/>
              <w:jc w:val="left"/>
            </w:pPr>
            <w:r w:rsidRPr="0020334C">
              <w:t>Greater than 11m (retain 3 storeys)</w:t>
            </w:r>
          </w:p>
        </w:tc>
        <w:tc>
          <w:tcPr>
            <w:tcW w:w="1376" w:type="dxa"/>
            <w:shd w:val="clear" w:color="auto" w:fill="FFB5CF"/>
          </w:tcPr>
          <w:p w14:paraId="0AC571E8" w14:textId="148D8FE7" w:rsidR="00AF4D8D" w:rsidRPr="0020334C" w:rsidRDefault="00AF4D8D" w:rsidP="0020334C">
            <w:pPr>
              <w:pStyle w:val="Tabletext"/>
              <w:framePr w:hSpace="0" w:wrap="auto" w:vAnchor="margin" w:hAnchor="text" w:yAlign="inline"/>
            </w:pPr>
            <w:r w:rsidRPr="0020334C">
              <w:t>GRZ</w:t>
            </w:r>
          </w:p>
        </w:tc>
        <w:tc>
          <w:tcPr>
            <w:tcW w:w="1843" w:type="dxa"/>
            <w:shd w:val="clear" w:color="auto" w:fill="FFB5CF"/>
          </w:tcPr>
          <w:p w14:paraId="53AF9ADC" w14:textId="15D65A33" w:rsidR="00AF4D8D" w:rsidRPr="0020334C" w:rsidRDefault="00AF4D8D" w:rsidP="0020334C">
            <w:pPr>
              <w:pStyle w:val="Tabletext"/>
              <w:framePr w:hSpace="0" w:wrap="auto" w:vAnchor="margin" w:hAnchor="text" w:yAlign="inline"/>
            </w:pPr>
            <w:r w:rsidRPr="0020334C">
              <w:t>GRZ schedule</w:t>
            </w:r>
          </w:p>
        </w:tc>
        <w:tc>
          <w:tcPr>
            <w:tcW w:w="4252" w:type="dxa"/>
            <w:vAlign w:val="center"/>
          </w:tcPr>
          <w:p w14:paraId="12D4D200" w14:textId="5B4F22BA" w:rsidR="00AF4D8D" w:rsidRPr="0020334C" w:rsidRDefault="00AF4D8D" w:rsidP="0020334C">
            <w:pPr>
              <w:pStyle w:val="Tabletext"/>
              <w:framePr w:hSpace="0" w:wrap="auto" w:vAnchor="margin" w:hAnchor="text" w:yAlign="inline"/>
              <w:jc w:val="left"/>
            </w:pPr>
            <w:r w:rsidRPr="0020334C">
              <w:t>The schedule to the zone enables a greater maximum building height to be specified while maintaining the 3-storey requirement.</w:t>
            </w:r>
          </w:p>
        </w:tc>
      </w:tr>
      <w:tr w:rsidR="00AF4D8D" w:rsidRPr="0020334C" w14:paraId="24889798" w14:textId="77777777" w:rsidTr="0057747F">
        <w:tc>
          <w:tcPr>
            <w:tcW w:w="2310" w:type="dxa"/>
            <w:shd w:val="clear" w:color="auto" w:fill="D9D9D9" w:themeFill="background1" w:themeFillShade="D9"/>
          </w:tcPr>
          <w:p w14:paraId="7987F44F" w14:textId="40F17F36" w:rsidR="00AF4D8D" w:rsidRPr="0020334C" w:rsidRDefault="00AF4D8D" w:rsidP="0020334C">
            <w:pPr>
              <w:pStyle w:val="Tabletext"/>
              <w:framePr w:hSpace="0" w:wrap="auto" w:vAnchor="margin" w:hAnchor="text" w:yAlign="inline"/>
              <w:jc w:val="left"/>
            </w:pPr>
            <w:r w:rsidRPr="0020334C">
              <w:t>13.5m (4 storeys)</w:t>
            </w:r>
          </w:p>
        </w:tc>
        <w:tc>
          <w:tcPr>
            <w:tcW w:w="1376" w:type="dxa"/>
            <w:shd w:val="clear" w:color="auto" w:fill="FF99CC"/>
          </w:tcPr>
          <w:p w14:paraId="6FB4846A" w14:textId="1F9CE28D" w:rsidR="00AF4D8D" w:rsidRPr="0020334C" w:rsidRDefault="00AF4D8D" w:rsidP="0020334C">
            <w:pPr>
              <w:pStyle w:val="Tabletext"/>
              <w:framePr w:hSpace="0" w:wrap="auto" w:vAnchor="margin" w:hAnchor="text" w:yAlign="inline"/>
            </w:pPr>
            <w:r w:rsidRPr="0020334C">
              <w:t>RGZ</w:t>
            </w:r>
          </w:p>
        </w:tc>
        <w:tc>
          <w:tcPr>
            <w:tcW w:w="1843" w:type="dxa"/>
            <w:shd w:val="clear" w:color="auto" w:fill="FF99CC"/>
          </w:tcPr>
          <w:p w14:paraId="7B48D150" w14:textId="60ABF7FD" w:rsidR="00AF4D8D" w:rsidRPr="0020334C" w:rsidRDefault="00AF4D8D" w:rsidP="0020334C">
            <w:pPr>
              <w:pStyle w:val="Tabletext"/>
              <w:framePr w:hSpace="0" w:wrap="auto" w:vAnchor="margin" w:hAnchor="text" w:yAlign="inline"/>
            </w:pPr>
            <w:r w:rsidRPr="0020334C">
              <w:t>RGZ schedule</w:t>
            </w:r>
          </w:p>
        </w:tc>
        <w:tc>
          <w:tcPr>
            <w:tcW w:w="4252" w:type="dxa"/>
            <w:vAlign w:val="center"/>
          </w:tcPr>
          <w:p w14:paraId="3392DF2D" w14:textId="40558AAA" w:rsidR="00AF4D8D" w:rsidRPr="0020334C" w:rsidRDefault="00AF4D8D" w:rsidP="0020334C">
            <w:pPr>
              <w:pStyle w:val="Tabletext"/>
              <w:framePr w:hSpace="0" w:wrap="auto" w:vAnchor="margin" w:hAnchor="text" w:yAlign="inline"/>
              <w:jc w:val="left"/>
            </w:pPr>
            <w:r w:rsidRPr="0020334C">
              <w:t>The schedule to the zone forces the discretionary maximum building height to be mandatory.</w:t>
            </w:r>
          </w:p>
        </w:tc>
      </w:tr>
      <w:tr w:rsidR="00AF4D8D" w:rsidRPr="0020334C" w14:paraId="449DBDFC" w14:textId="77777777" w:rsidTr="0057747F">
        <w:tc>
          <w:tcPr>
            <w:tcW w:w="2310" w:type="dxa"/>
            <w:shd w:val="clear" w:color="auto" w:fill="D9D9D9" w:themeFill="background1" w:themeFillShade="D9"/>
          </w:tcPr>
          <w:p w14:paraId="535E33A2" w14:textId="5A632329" w:rsidR="00AF4D8D" w:rsidRPr="0020334C" w:rsidRDefault="00AF4D8D" w:rsidP="0020334C">
            <w:pPr>
              <w:pStyle w:val="Tabletext"/>
              <w:framePr w:hSpace="0" w:wrap="auto" w:vAnchor="margin" w:hAnchor="text" w:yAlign="inline"/>
              <w:jc w:val="left"/>
            </w:pPr>
            <w:r w:rsidRPr="0020334C">
              <w:t>Greater than 13.5m and greater than 4 storeys</w:t>
            </w:r>
          </w:p>
        </w:tc>
        <w:tc>
          <w:tcPr>
            <w:tcW w:w="1376" w:type="dxa"/>
            <w:shd w:val="clear" w:color="auto" w:fill="FF99CC"/>
          </w:tcPr>
          <w:p w14:paraId="5FEFC0CA" w14:textId="148D5829" w:rsidR="00AF4D8D" w:rsidRPr="0020334C" w:rsidRDefault="00AF4D8D" w:rsidP="0020334C">
            <w:pPr>
              <w:pStyle w:val="Tabletext"/>
              <w:framePr w:hSpace="0" w:wrap="auto" w:vAnchor="margin" w:hAnchor="text" w:yAlign="inline"/>
            </w:pPr>
            <w:r w:rsidRPr="0020334C">
              <w:t>RGZ</w:t>
            </w:r>
          </w:p>
        </w:tc>
        <w:tc>
          <w:tcPr>
            <w:tcW w:w="1843" w:type="dxa"/>
          </w:tcPr>
          <w:p w14:paraId="0BC3F7A7" w14:textId="0D7BD9F7" w:rsidR="00AF4D8D" w:rsidRPr="0020334C" w:rsidRDefault="00AF4D8D" w:rsidP="0020334C">
            <w:pPr>
              <w:pStyle w:val="Tabletext"/>
              <w:framePr w:hSpace="0" w:wrap="auto" w:vAnchor="margin" w:hAnchor="text" w:yAlign="inline"/>
            </w:pPr>
            <w:r w:rsidRPr="0020334C">
              <w:t>Overlay</w:t>
            </w:r>
          </w:p>
        </w:tc>
        <w:tc>
          <w:tcPr>
            <w:tcW w:w="4252" w:type="dxa"/>
            <w:vAlign w:val="center"/>
          </w:tcPr>
          <w:p w14:paraId="78007537" w14:textId="3316925D" w:rsidR="00AF4D8D" w:rsidRPr="0020334C" w:rsidRDefault="00AF4D8D" w:rsidP="0020334C">
            <w:pPr>
              <w:pStyle w:val="Tabletext"/>
              <w:framePr w:hSpace="0" w:wrap="auto" w:vAnchor="margin" w:hAnchor="text" w:yAlign="inline"/>
              <w:jc w:val="left"/>
            </w:pPr>
            <w:r w:rsidRPr="0020334C">
              <w:t>Maximum building height requirements along with other specific design and built form requirements should be included in an overlay so all built form requirements are included in the one provision.</w:t>
            </w:r>
          </w:p>
        </w:tc>
      </w:tr>
    </w:tbl>
    <w:p w14:paraId="6754279E" w14:textId="3E858EC5" w:rsidR="005E3F30" w:rsidRPr="00384C51" w:rsidRDefault="005E3F30" w:rsidP="001F0982">
      <w:pPr>
        <w:pStyle w:val="Heading2"/>
        <w:spacing w:before="240" w:after="60"/>
      </w:pPr>
      <w:r w:rsidRPr="00384C51">
        <w:t>The role of overlays and maximum building height</w:t>
      </w:r>
    </w:p>
    <w:p w14:paraId="2280BE27" w14:textId="66BEE123" w:rsidR="005E3F30" w:rsidRDefault="005E3F30" w:rsidP="0020334C">
      <w:pPr>
        <w:spacing w:before="60"/>
      </w:pPr>
      <w:r>
        <w:t>A</w:t>
      </w:r>
      <w:r w:rsidRPr="00BD16C6">
        <w:t xml:space="preserve"> maximum building height lower</w:t>
      </w:r>
      <w:r>
        <w:t xml:space="preserve"> than the maximum </w:t>
      </w:r>
      <w:r w:rsidRPr="00C438EE">
        <w:t>building height specified</w:t>
      </w:r>
      <w:r>
        <w:t xml:space="preserve"> in a residential zone</w:t>
      </w:r>
      <w:r w:rsidRPr="00BD16C6">
        <w:t xml:space="preserve"> can only be</w:t>
      </w:r>
      <w:r>
        <w:t xml:space="preserve"> implemented</w:t>
      </w:r>
      <w:r w:rsidRPr="00BD16C6">
        <w:t xml:space="preserve"> by using an overlay to recognise a special neighbourhood, heritage, environmental, </w:t>
      </w:r>
      <w:r>
        <w:t xml:space="preserve">and </w:t>
      </w:r>
      <w:r w:rsidRPr="00BD16C6">
        <w:t>landscape value or constraint.</w:t>
      </w:r>
    </w:p>
    <w:p w14:paraId="400BAB45" w14:textId="7773E2FA" w:rsidR="005E3F30" w:rsidRDefault="005E3F30" w:rsidP="005E3F30">
      <w:r w:rsidRPr="00BD16C6">
        <w:t xml:space="preserve">In such cases, the height requirement in the overlay applies </w:t>
      </w:r>
      <w:r w:rsidRPr="005E3F30">
        <w:t>in addition</w:t>
      </w:r>
      <w:r w:rsidRPr="00BD16C6">
        <w:t xml:space="preserve"> to the height requirement in the zone.</w:t>
      </w:r>
    </w:p>
    <w:p w14:paraId="32B3595A" w14:textId="53B0CECA" w:rsidR="000A3697" w:rsidRDefault="000A3697" w:rsidP="000A3697">
      <w:pPr>
        <w:pStyle w:val="Figure"/>
        <w:keepNext/>
        <w:rPr>
          <w:b w:val="0"/>
          <w:bCs w:val="0"/>
        </w:rPr>
      </w:pPr>
      <w:r w:rsidRPr="005E3F30">
        <w:lastRenderedPageBreak/>
        <w:t>Figure 2:</w:t>
      </w:r>
      <w:r w:rsidRPr="000978DA">
        <w:t xml:space="preserve"> </w:t>
      </w:r>
      <w:r w:rsidRPr="002A1E4C">
        <w:rPr>
          <w:b w:val="0"/>
          <w:bCs w:val="0"/>
        </w:rPr>
        <w:t>Gumnut residential development framework plan</w:t>
      </w:r>
    </w:p>
    <w:p w14:paraId="79980879" w14:textId="084EA936" w:rsidR="000A3697" w:rsidRDefault="00A8558C" w:rsidP="00941616">
      <w:pPr>
        <w:pStyle w:val="Figure"/>
        <w:keepNext/>
        <w:jc w:val="center"/>
      </w:pPr>
      <w:r>
        <w:rPr>
          <w:noProof/>
        </w:rPr>
        <w:drawing>
          <wp:inline distT="0" distB="0" distL="0" distR="0" wp14:anchorId="072FEE7C" wp14:editId="01CE328A">
            <wp:extent cx="4361215" cy="6160984"/>
            <wp:effectExtent l="0" t="0" r="1270" b="0"/>
            <wp:docPr id="4" name="Picture 4" descr="Gumnut Residential Framework Plan, showing:&#10;Housing change areas - Activity centre, Substantial 1, Substantial 2, Incremental, Minimal and Growth area&#10;Character precincts - Suburban, Riverside, Inner Urban, Urban, Central, Traditional, Lifestyle and Growth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umnut Residential Framework Plan, showing:&#10;Housing change areas - Activity centre, Substantial 1, Substantial 2, Incremental, Minimal and Growth area&#10;Character precincts - Suburban, Riverside, Inner Urban, Urban, Central, Traditional, Lifestyle and Growth are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12417" cy="6233317"/>
                    </a:xfrm>
                    <a:prstGeom prst="rect">
                      <a:avLst/>
                    </a:prstGeom>
                  </pic:spPr>
                </pic:pic>
              </a:graphicData>
            </a:graphic>
          </wp:inline>
        </w:drawing>
      </w:r>
    </w:p>
    <w:tbl>
      <w:tblPr>
        <w:tblStyle w:val="Break-outbox"/>
        <w:tblpPr w:leftFromText="180" w:rightFromText="180" w:vertAnchor="text" w:horzAnchor="margin" w:tblpY="-9"/>
        <w:tblW w:w="0" w:type="auto"/>
        <w:tblLook w:val="04A0" w:firstRow="1" w:lastRow="0" w:firstColumn="1" w:lastColumn="0" w:noHBand="0" w:noVBand="1"/>
      </w:tblPr>
      <w:tblGrid>
        <w:gridCol w:w="9346"/>
      </w:tblGrid>
      <w:tr w:rsidR="00941616" w:rsidRPr="00941616" w14:paraId="68442A2D" w14:textId="77777777" w:rsidTr="00941616">
        <w:tc>
          <w:tcPr>
            <w:tcW w:w="9346" w:type="dxa"/>
          </w:tcPr>
          <w:p w14:paraId="777DEBBF" w14:textId="77777777" w:rsidR="00941616" w:rsidRPr="00941616" w:rsidRDefault="00941616" w:rsidP="00941616">
            <w:pPr>
              <w:pStyle w:val="Break-outboxheading"/>
              <w:spacing w:before="60" w:after="60"/>
              <w:rPr>
                <w:sz w:val="20"/>
                <w:szCs w:val="20"/>
              </w:rPr>
            </w:pPr>
            <w:r w:rsidRPr="00941616">
              <w:rPr>
                <w:sz w:val="20"/>
                <w:szCs w:val="20"/>
              </w:rPr>
              <w:t>Remember</w:t>
            </w:r>
          </w:p>
          <w:p w14:paraId="34C9FF57" w14:textId="77777777" w:rsidR="00941616" w:rsidRPr="00941616" w:rsidRDefault="00941616" w:rsidP="00941616">
            <w:pPr>
              <w:pStyle w:val="Break-outboxtext"/>
              <w:spacing w:before="60" w:after="60"/>
              <w:rPr>
                <w:sz w:val="20"/>
                <w:szCs w:val="20"/>
              </w:rPr>
            </w:pPr>
            <w:r w:rsidRPr="00941616">
              <w:rPr>
                <w:sz w:val="20"/>
                <w:szCs w:val="20"/>
              </w:rPr>
              <w:t>A residential development framework plan:</w:t>
            </w:r>
            <w:r w:rsidRPr="00941616">
              <w:rPr>
                <w:sz w:val="20"/>
                <w:szCs w:val="20"/>
              </w:rPr>
              <w:tab/>
            </w:r>
          </w:p>
          <w:p w14:paraId="4455774F" w14:textId="77777777" w:rsidR="00941616" w:rsidRPr="00941616" w:rsidRDefault="00941616" w:rsidP="00941616">
            <w:pPr>
              <w:pStyle w:val="Break-outboxtext"/>
              <w:numPr>
                <w:ilvl w:val="0"/>
                <w:numId w:val="22"/>
              </w:numPr>
              <w:spacing w:before="60" w:after="60"/>
              <w:ind w:left="453"/>
              <w:rPr>
                <w:sz w:val="20"/>
                <w:szCs w:val="20"/>
              </w:rPr>
            </w:pPr>
            <w:r w:rsidRPr="00941616">
              <w:rPr>
                <w:sz w:val="20"/>
                <w:szCs w:val="20"/>
              </w:rPr>
              <w:t>is a plan that is included in the MPS or local planning policy</w:t>
            </w:r>
          </w:p>
          <w:p w14:paraId="1DCEEF36" w14:textId="77777777" w:rsidR="00941616" w:rsidRPr="00941616" w:rsidRDefault="00941616" w:rsidP="00941616">
            <w:pPr>
              <w:pStyle w:val="Break-outboxtext"/>
              <w:numPr>
                <w:ilvl w:val="0"/>
                <w:numId w:val="22"/>
              </w:numPr>
              <w:spacing w:before="60" w:after="60"/>
              <w:ind w:left="453"/>
              <w:rPr>
                <w:sz w:val="20"/>
                <w:szCs w:val="20"/>
              </w:rPr>
            </w:pPr>
            <w:r w:rsidRPr="00941616">
              <w:rPr>
                <w:sz w:val="20"/>
                <w:szCs w:val="20"/>
              </w:rPr>
              <w:t>implements identified housing and neighbourhood objectives</w:t>
            </w:r>
          </w:p>
          <w:p w14:paraId="26BBB878" w14:textId="77777777" w:rsidR="00941616" w:rsidRPr="00941616" w:rsidRDefault="00941616" w:rsidP="00941616">
            <w:pPr>
              <w:pStyle w:val="Break-outboxtext"/>
              <w:numPr>
                <w:ilvl w:val="0"/>
                <w:numId w:val="22"/>
              </w:numPr>
              <w:spacing w:before="60" w:after="60"/>
              <w:ind w:left="453"/>
              <w:rPr>
                <w:sz w:val="20"/>
                <w:szCs w:val="20"/>
              </w:rPr>
            </w:pPr>
            <w:r w:rsidRPr="00941616">
              <w:rPr>
                <w:sz w:val="20"/>
                <w:szCs w:val="20"/>
              </w:rPr>
              <w:t>balances housing growth with the protection of neighbourhood character</w:t>
            </w:r>
          </w:p>
          <w:p w14:paraId="0AA0A2DF" w14:textId="77777777" w:rsidR="00941616" w:rsidRPr="00941616" w:rsidRDefault="00941616" w:rsidP="00941616">
            <w:pPr>
              <w:pStyle w:val="Break-outboxtext"/>
              <w:numPr>
                <w:ilvl w:val="0"/>
                <w:numId w:val="22"/>
              </w:numPr>
              <w:spacing w:before="60" w:after="60"/>
              <w:ind w:left="453"/>
              <w:rPr>
                <w:sz w:val="20"/>
                <w:szCs w:val="20"/>
              </w:rPr>
            </w:pPr>
            <w:r w:rsidRPr="00941616">
              <w:rPr>
                <w:sz w:val="20"/>
                <w:szCs w:val="20"/>
              </w:rPr>
              <w:t>is municipal-wide</w:t>
            </w:r>
          </w:p>
          <w:p w14:paraId="4F94FF3B" w14:textId="77777777" w:rsidR="00941616" w:rsidRPr="00941616" w:rsidRDefault="00941616" w:rsidP="00941616">
            <w:pPr>
              <w:pStyle w:val="Break-outboxtext"/>
              <w:numPr>
                <w:ilvl w:val="0"/>
                <w:numId w:val="22"/>
              </w:numPr>
              <w:spacing w:before="60" w:after="60"/>
              <w:ind w:left="453"/>
              <w:rPr>
                <w:sz w:val="20"/>
                <w:szCs w:val="20"/>
              </w:rPr>
            </w:pPr>
            <w:r w:rsidRPr="00941616">
              <w:rPr>
                <w:sz w:val="20"/>
                <w:szCs w:val="20"/>
              </w:rPr>
              <w:t xml:space="preserve">is forward looking with at least a </w:t>
            </w:r>
            <w:proofErr w:type="gramStart"/>
            <w:r w:rsidRPr="00941616">
              <w:rPr>
                <w:sz w:val="20"/>
                <w:szCs w:val="20"/>
              </w:rPr>
              <w:t>15 year</w:t>
            </w:r>
            <w:proofErr w:type="gramEnd"/>
            <w:r w:rsidRPr="00941616">
              <w:rPr>
                <w:sz w:val="20"/>
                <w:szCs w:val="20"/>
              </w:rPr>
              <w:t xml:space="preserve"> horizon, and should align with the relevant regional plan (Plan Melbourne or Regional Growth Plan)</w:t>
            </w:r>
          </w:p>
          <w:p w14:paraId="22105972" w14:textId="77777777" w:rsidR="00941616" w:rsidRPr="00941616" w:rsidRDefault="00941616" w:rsidP="00941616">
            <w:pPr>
              <w:pStyle w:val="Break-outboxtext"/>
              <w:numPr>
                <w:ilvl w:val="0"/>
                <w:numId w:val="22"/>
              </w:numPr>
              <w:spacing w:before="60" w:after="60"/>
              <w:ind w:left="448" w:hanging="357"/>
              <w:rPr>
                <w:sz w:val="16"/>
                <w:szCs w:val="16"/>
              </w:rPr>
            </w:pPr>
            <w:r w:rsidRPr="00941616">
              <w:rPr>
                <w:sz w:val="20"/>
                <w:szCs w:val="20"/>
              </w:rPr>
              <w:t>is regularly reviewed based on the changing conditions.</w:t>
            </w:r>
          </w:p>
        </w:tc>
      </w:tr>
    </w:tbl>
    <w:p w14:paraId="588A15FF" w14:textId="39B4FA09" w:rsidR="000A3697" w:rsidRDefault="000A3697" w:rsidP="000A3697">
      <w:pPr>
        <w:spacing w:before="0" w:after="200"/>
      </w:pPr>
    </w:p>
    <w:p w14:paraId="4801CF69" w14:textId="49DFC3AE" w:rsidR="000A3697" w:rsidRDefault="000A3697" w:rsidP="000870FF">
      <w:pPr>
        <w:pStyle w:val="TableName"/>
        <w:keepNext/>
        <w:rPr>
          <w:b w:val="0"/>
          <w:bCs w:val="0"/>
        </w:rPr>
      </w:pPr>
      <w:r w:rsidRPr="00177851">
        <w:lastRenderedPageBreak/>
        <w:t>Figure 3:</w:t>
      </w:r>
      <w:r w:rsidRPr="00177851">
        <w:rPr>
          <w:b w:val="0"/>
          <w:bCs w:val="0"/>
        </w:rPr>
        <w:t xml:space="preserve"> </w:t>
      </w:r>
      <w:r w:rsidRPr="002A1E4C">
        <w:rPr>
          <w:b w:val="0"/>
          <w:bCs w:val="0"/>
        </w:rPr>
        <w:t xml:space="preserve">Gumnut residential </w:t>
      </w:r>
      <w:r>
        <w:rPr>
          <w:b w:val="0"/>
          <w:bCs w:val="0"/>
        </w:rPr>
        <w:t>zones application</w:t>
      </w:r>
    </w:p>
    <w:p w14:paraId="2862BB23" w14:textId="3A15DB18" w:rsidR="00E811C2" w:rsidRDefault="00E811C2" w:rsidP="00E811C2">
      <w:pPr>
        <w:pStyle w:val="TableName"/>
        <w:keepNext/>
        <w:jc w:val="center"/>
        <w:rPr>
          <w:b w:val="0"/>
          <w:bCs w:val="0"/>
        </w:rPr>
      </w:pPr>
      <w:r>
        <w:rPr>
          <w:b w:val="0"/>
          <w:bCs w:val="0"/>
          <w:noProof/>
        </w:rPr>
        <w:drawing>
          <wp:inline distT="0" distB="0" distL="0" distR="0" wp14:anchorId="7382EFDF" wp14:editId="5AA7A537">
            <wp:extent cx="4363200" cy="6163200"/>
            <wp:effectExtent l="0" t="0" r="0" b="9525"/>
            <wp:docPr id="2" name="Picture 2" descr="Municipal plan showing application of zones: ACZ1, RGZ1, GRZ1, GRZ2, NRZ1, NRZ2, NRZ3, LDRZ1, UGZ1 and PPRZ, to align with the Residential Development Framework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unicipal plan showing application of zones: ACZ1, RGZ1, GRZ1, GRZ2, NRZ1, NRZ2, NRZ3, LDRZ1, UGZ1 and PPRZ, to align with the Residential Development Framework Pla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63200" cy="6163200"/>
                    </a:xfrm>
                    <a:prstGeom prst="rect">
                      <a:avLst/>
                    </a:prstGeom>
                  </pic:spPr>
                </pic:pic>
              </a:graphicData>
            </a:graphic>
          </wp:inline>
        </w:drawing>
      </w:r>
    </w:p>
    <w:tbl>
      <w:tblPr>
        <w:tblStyle w:val="Break-outbox"/>
        <w:tblpPr w:leftFromText="180" w:rightFromText="180" w:vertAnchor="text" w:horzAnchor="margin" w:tblpY="320"/>
        <w:tblW w:w="0" w:type="auto"/>
        <w:tblLook w:val="04A0" w:firstRow="1" w:lastRow="0" w:firstColumn="1" w:lastColumn="0" w:noHBand="0" w:noVBand="1"/>
      </w:tblPr>
      <w:tblGrid>
        <w:gridCol w:w="9346"/>
      </w:tblGrid>
      <w:tr w:rsidR="00941616" w:rsidRPr="00DF6331" w14:paraId="03A3CAB7" w14:textId="77777777" w:rsidTr="00941616">
        <w:tc>
          <w:tcPr>
            <w:tcW w:w="9346" w:type="dxa"/>
          </w:tcPr>
          <w:p w14:paraId="27B7BF08" w14:textId="77777777" w:rsidR="00941616" w:rsidRPr="006C5761" w:rsidRDefault="00941616" w:rsidP="00941616">
            <w:pPr>
              <w:pStyle w:val="Break-outboxheading"/>
              <w:spacing w:before="60" w:after="60"/>
            </w:pPr>
            <w:r w:rsidRPr="006C5761">
              <w:t>Remember</w:t>
            </w:r>
          </w:p>
          <w:p w14:paraId="4F28596B" w14:textId="77777777" w:rsidR="00941616" w:rsidRPr="00AD12D5" w:rsidRDefault="00941616" w:rsidP="00941616">
            <w:pPr>
              <w:pStyle w:val="Break-outboxtext"/>
              <w:spacing w:before="60" w:after="60"/>
            </w:pPr>
            <w:r w:rsidRPr="00AD12D5">
              <w:t xml:space="preserve">Applying the residential zones </w:t>
            </w:r>
            <w:r>
              <w:t>should</w:t>
            </w:r>
            <w:r w:rsidRPr="00AD12D5">
              <w:t>:</w:t>
            </w:r>
            <w:r>
              <w:tab/>
            </w:r>
          </w:p>
          <w:p w14:paraId="59FB2A99" w14:textId="77777777" w:rsidR="00941616" w:rsidRPr="00033C88" w:rsidRDefault="00941616" w:rsidP="00941616">
            <w:pPr>
              <w:pStyle w:val="Break-outboxtext"/>
              <w:numPr>
                <w:ilvl w:val="0"/>
                <w:numId w:val="22"/>
              </w:numPr>
              <w:spacing w:before="60" w:after="60"/>
              <w:ind w:left="453"/>
            </w:pPr>
            <w:r w:rsidRPr="00033C88">
              <w:t>be consistent with the residential development framework plan and implement the identified housing change areas</w:t>
            </w:r>
          </w:p>
          <w:p w14:paraId="139E096D" w14:textId="77777777" w:rsidR="00941616" w:rsidRPr="00033C88" w:rsidRDefault="00941616" w:rsidP="00941616">
            <w:pPr>
              <w:pStyle w:val="Break-outboxtext"/>
              <w:numPr>
                <w:ilvl w:val="0"/>
                <w:numId w:val="22"/>
              </w:numPr>
              <w:spacing w:before="60" w:after="60"/>
              <w:ind w:left="453"/>
            </w:pPr>
            <w:r w:rsidRPr="00033C88">
              <w:t>not undermine the intent of the housing change areas</w:t>
            </w:r>
          </w:p>
          <w:p w14:paraId="30DC45E8" w14:textId="77777777" w:rsidR="00941616" w:rsidRPr="00033C88" w:rsidRDefault="00941616" w:rsidP="00941616">
            <w:pPr>
              <w:pStyle w:val="Break-outboxtext"/>
              <w:numPr>
                <w:ilvl w:val="0"/>
                <w:numId w:val="22"/>
              </w:numPr>
              <w:spacing w:before="60" w:after="60"/>
              <w:ind w:left="453"/>
            </w:pPr>
            <w:r w:rsidRPr="00033C88">
              <w:t>provide greater certainty to the planning authority and the community about future development in an area</w:t>
            </w:r>
          </w:p>
          <w:p w14:paraId="0D72AEAD" w14:textId="77777777" w:rsidR="00941616" w:rsidRPr="000366E5" w:rsidRDefault="00941616" w:rsidP="00941616">
            <w:pPr>
              <w:pStyle w:val="Break-outboxtext"/>
              <w:numPr>
                <w:ilvl w:val="0"/>
                <w:numId w:val="22"/>
              </w:numPr>
              <w:spacing w:before="60" w:after="60"/>
              <w:ind w:left="453"/>
            </w:pPr>
            <w:r w:rsidRPr="00033C88">
              <w:t>facilitate long-term housing growth and diversity as well as protection of neighbourhood character in the right locations.</w:t>
            </w:r>
          </w:p>
        </w:tc>
      </w:tr>
    </w:tbl>
    <w:p w14:paraId="4931BD1C" w14:textId="77777777" w:rsidR="000B02D0" w:rsidRPr="00237232" w:rsidRDefault="000B02D0" w:rsidP="00840A30">
      <w:pPr>
        <w:pStyle w:val="Heading1"/>
      </w:pPr>
      <w:r w:rsidRPr="00237232">
        <w:lastRenderedPageBreak/>
        <w:t xml:space="preserve">Using other VPP tools </w:t>
      </w:r>
    </w:p>
    <w:p w14:paraId="295E1FA1" w14:textId="00A2412F" w:rsidR="000B02D0" w:rsidRDefault="000B02D0" w:rsidP="004C4EBC">
      <w:r>
        <w:t>While selecting the right residential zone is fundamental, the zone is one of several VPP tools to implement local strategic work.</w:t>
      </w:r>
    </w:p>
    <w:p w14:paraId="1AF02919" w14:textId="0A47142B" w:rsidR="000B02D0" w:rsidRDefault="000B02D0" w:rsidP="004C4EBC">
      <w:r>
        <w:t>Different areas have different characteristics and expectations</w:t>
      </w:r>
      <w:r w:rsidR="006D7A8B">
        <w:t>. T</w:t>
      </w:r>
      <w:r>
        <w:t>he VPP allows different residential requirements to be set through either a schedule to the residential zones or the application of an appropriate overlay.</w:t>
      </w:r>
    </w:p>
    <w:p w14:paraId="0A65741C" w14:textId="77777777" w:rsidR="000B02D0" w:rsidRPr="00AD12D5" w:rsidRDefault="000B02D0" w:rsidP="004C4EBC">
      <w:r>
        <w:t>Local policies also have a role to play in how discretion is exercised.</w:t>
      </w:r>
    </w:p>
    <w:p w14:paraId="0E87777F" w14:textId="77777777" w:rsidR="000B02D0" w:rsidRPr="009F030A" w:rsidRDefault="000B02D0" w:rsidP="002A1E4C">
      <w:pPr>
        <w:pStyle w:val="Heading2"/>
      </w:pPr>
      <w:r>
        <w:t>The role of l</w:t>
      </w:r>
      <w:r w:rsidRPr="009F030A">
        <w:t>ocal planning policy</w:t>
      </w:r>
    </w:p>
    <w:p w14:paraId="62119AC5" w14:textId="5D04A9DC" w:rsidR="000B02D0" w:rsidRPr="00AD12D5" w:rsidRDefault="000B02D0" w:rsidP="000B02D0">
      <w:r w:rsidRPr="00AD12D5">
        <w:t xml:space="preserve">Key elements of </w:t>
      </w:r>
      <w:r>
        <w:t xml:space="preserve">a </w:t>
      </w:r>
      <w:r w:rsidRPr="00AD12D5">
        <w:t>housing strateg</w:t>
      </w:r>
      <w:r>
        <w:t>y</w:t>
      </w:r>
      <w:r w:rsidRPr="00AD12D5">
        <w:t xml:space="preserve"> or neighbourhood character strateg</w:t>
      </w:r>
      <w:r>
        <w:t>y</w:t>
      </w:r>
      <w:r w:rsidRPr="00AD12D5">
        <w:t xml:space="preserve"> may be included in </w:t>
      </w:r>
      <w:r>
        <w:t xml:space="preserve">a </w:t>
      </w:r>
      <w:r w:rsidRPr="00AD12D5">
        <w:t xml:space="preserve">local planning policy. This can clarify how </w:t>
      </w:r>
      <w:r>
        <w:t xml:space="preserve">a </w:t>
      </w:r>
      <w:r w:rsidR="004723D6">
        <w:t>responsible</w:t>
      </w:r>
      <w:r w:rsidRPr="00AD12D5">
        <w:t xml:space="preserve"> authori</w:t>
      </w:r>
      <w:r>
        <w:t>ty</w:t>
      </w:r>
      <w:r w:rsidRPr="00AD12D5">
        <w:t xml:space="preserve"> will exercise discretion in decision</w:t>
      </w:r>
      <w:r>
        <w:t xml:space="preserve"> </w:t>
      </w:r>
      <w:r w:rsidRPr="00AD12D5">
        <w:t>making.</w:t>
      </w:r>
    </w:p>
    <w:p w14:paraId="586B6FAD" w14:textId="77777777" w:rsidR="000B02D0" w:rsidRPr="00AD12D5" w:rsidRDefault="000B02D0" w:rsidP="000B02D0">
      <w:r>
        <w:t>When housing and neighbourhood character objectives have been established and the intended outcomes are clear, a local planning policy may be warranted.</w:t>
      </w:r>
    </w:p>
    <w:p w14:paraId="2CA82035" w14:textId="77777777" w:rsidR="000B02D0" w:rsidRDefault="000B02D0" w:rsidP="000B02D0">
      <w:r w:rsidRPr="00AD12D5">
        <w:t>Local planning policy can be used to:</w:t>
      </w:r>
    </w:p>
    <w:p w14:paraId="48E85B5C" w14:textId="77777777" w:rsidR="000B02D0" w:rsidRDefault="000B02D0" w:rsidP="004C4EBC">
      <w:pPr>
        <w:pStyle w:val="ListBullet"/>
      </w:pPr>
      <w:r w:rsidRPr="00AD12D5">
        <w:t xml:space="preserve">set out </w:t>
      </w:r>
      <w:r>
        <w:t>housing</w:t>
      </w:r>
      <w:r w:rsidRPr="00AD12D5">
        <w:t xml:space="preserve"> change areas</w:t>
      </w:r>
    </w:p>
    <w:p w14:paraId="1505A48D" w14:textId="77777777" w:rsidR="000B02D0" w:rsidRPr="00AD12D5" w:rsidRDefault="000B02D0" w:rsidP="004C4EBC">
      <w:pPr>
        <w:pStyle w:val="ListBullet"/>
      </w:pPr>
      <w:r>
        <w:t>set out neighbourhood character precincts</w:t>
      </w:r>
    </w:p>
    <w:p w14:paraId="14867DAE" w14:textId="77777777" w:rsidR="000B02D0" w:rsidRPr="00AD12D5" w:rsidRDefault="000B02D0" w:rsidP="004C4EBC">
      <w:pPr>
        <w:pStyle w:val="ListBullet"/>
      </w:pPr>
      <w:r w:rsidRPr="00AD12D5">
        <w:t>set out preferred neighbourhood character statements</w:t>
      </w:r>
    </w:p>
    <w:p w14:paraId="0690487E" w14:textId="77777777" w:rsidR="000B02D0" w:rsidRPr="00AD12D5" w:rsidRDefault="000B02D0" w:rsidP="004C4EBC">
      <w:pPr>
        <w:pStyle w:val="ListBullet"/>
      </w:pPr>
      <w:r w:rsidRPr="00AD12D5">
        <w:t>include map</w:t>
      </w:r>
      <w:r>
        <w:t>s</w:t>
      </w:r>
      <w:r w:rsidRPr="00AD12D5">
        <w:t xml:space="preserve"> </w:t>
      </w:r>
      <w:r>
        <w:t>to show housing change areas and neighbourhood character precincts</w:t>
      </w:r>
    </w:p>
    <w:p w14:paraId="6839B9CD" w14:textId="77777777" w:rsidR="000B02D0" w:rsidRPr="00AD12D5" w:rsidRDefault="000B02D0" w:rsidP="004C4EBC">
      <w:pPr>
        <w:pStyle w:val="ListBullet"/>
      </w:pPr>
      <w:r w:rsidRPr="00AD12D5">
        <w:t>specify how housing or neighbourhood character should be considered across the municipality, or for an area</w:t>
      </w:r>
    </w:p>
    <w:p w14:paraId="0999D7E0" w14:textId="77777777" w:rsidR="000B02D0" w:rsidRPr="00AD12D5" w:rsidRDefault="000B02D0" w:rsidP="004C4EBC">
      <w:pPr>
        <w:pStyle w:val="ListBullet"/>
      </w:pPr>
      <w:r w:rsidRPr="00AD12D5">
        <w:t>clarify how discretion will be exercised to achieve objectives in clauses 54, 55 or 5</w:t>
      </w:r>
      <w:r>
        <w:t>8</w:t>
      </w:r>
      <w:r w:rsidRPr="00AD12D5">
        <w:t>.</w:t>
      </w:r>
    </w:p>
    <w:p w14:paraId="5F318485" w14:textId="77777777" w:rsidR="000B02D0" w:rsidRPr="009F030A" w:rsidRDefault="000B02D0" w:rsidP="00840A30">
      <w:pPr>
        <w:pStyle w:val="Heading2"/>
      </w:pPr>
      <w:r w:rsidRPr="0069121C">
        <w:t>The</w:t>
      </w:r>
      <w:r>
        <w:t xml:space="preserve"> role of overlays</w:t>
      </w:r>
    </w:p>
    <w:p w14:paraId="20F0E34D" w14:textId="77777777" w:rsidR="000B02D0" w:rsidRDefault="000B02D0" w:rsidP="004C4EBC">
      <w:r>
        <w:t>Overlays play an important role to give effect to preferred built form outcomes when a zone will not fully achieve the identified housing or neighbourhood character objectives for an area.</w:t>
      </w:r>
    </w:p>
    <w:p w14:paraId="21DB019A" w14:textId="77777777" w:rsidR="000B02D0" w:rsidRPr="00AD12D5" w:rsidRDefault="000B02D0" w:rsidP="000B02D0">
      <w:pPr>
        <w:pStyle w:val="Heading3"/>
      </w:pPr>
      <w:r w:rsidRPr="00AD12D5">
        <w:t>Neighbourhood Character Overlay</w:t>
      </w:r>
    </w:p>
    <w:p w14:paraId="4BBB84DF" w14:textId="77777777" w:rsidR="000B02D0" w:rsidRDefault="000B02D0" w:rsidP="004C4EBC">
      <w:r>
        <w:t xml:space="preserve">The </w:t>
      </w:r>
      <w:r w:rsidRPr="00AD12D5">
        <w:t xml:space="preserve">Neighbourhood Character Overlay (NCO) </w:t>
      </w:r>
      <w:r>
        <w:t>can be used when the following criteria can be met:</w:t>
      </w:r>
    </w:p>
    <w:p w14:paraId="73E52C1C" w14:textId="77777777" w:rsidR="000B02D0" w:rsidRPr="00AD12D5" w:rsidRDefault="000B02D0" w:rsidP="004C4EBC">
      <w:pPr>
        <w:pStyle w:val="ListBullet"/>
      </w:pPr>
      <w:r w:rsidRPr="00AD12D5">
        <w:t xml:space="preserve">the proposed area exhibits </w:t>
      </w:r>
      <w:r>
        <w:t>existing</w:t>
      </w:r>
      <w:r w:rsidRPr="00AD12D5">
        <w:t xml:space="preserve"> characteristics that need to be protected, or need to be changed to achieve a preferred character</w:t>
      </w:r>
    </w:p>
    <w:p w14:paraId="39DA2ADA" w14:textId="77777777" w:rsidR="000B02D0" w:rsidRPr="00AD12D5" w:rsidRDefault="000B02D0" w:rsidP="004C4EBC">
      <w:pPr>
        <w:pStyle w:val="ListBullet"/>
      </w:pPr>
      <w:r w:rsidRPr="00AD12D5">
        <w:t>the area, relative to the rest of the municipality, can be demonstrated to require a specific approach to neighbourhood character</w:t>
      </w:r>
    </w:p>
    <w:p w14:paraId="1D71A886" w14:textId="15EDC978" w:rsidR="009948C1" w:rsidRDefault="000B02D0" w:rsidP="004C4EBC">
      <w:pPr>
        <w:pStyle w:val="ListBullet"/>
      </w:pPr>
      <w:r w:rsidRPr="00AD12D5">
        <w:t>the application of local planning policy</w:t>
      </w:r>
      <w:r w:rsidR="009948C1">
        <w:t xml:space="preserve"> can</w:t>
      </w:r>
      <w:r w:rsidR="009948C1" w:rsidRPr="00AD12D5">
        <w:t xml:space="preserve">not </w:t>
      </w:r>
      <w:r w:rsidR="009948C1">
        <w:t>meet</w:t>
      </w:r>
      <w:r w:rsidR="009948C1" w:rsidRPr="00AD12D5">
        <w:t xml:space="preserve"> the neighbourhood character objectives for that area</w:t>
      </w:r>
    </w:p>
    <w:p w14:paraId="01AAD0A1" w14:textId="7958DE93" w:rsidR="000B02D0" w:rsidRDefault="009948C1" w:rsidP="004C4EBC">
      <w:pPr>
        <w:pStyle w:val="ListBullet"/>
      </w:pPr>
      <w:r w:rsidRPr="00AD12D5">
        <w:t>the application of</w:t>
      </w:r>
      <w:r w:rsidR="000B02D0" w:rsidRPr="00AD12D5">
        <w:t xml:space="preserve"> objectives</w:t>
      </w:r>
      <w:r>
        <w:t>,</w:t>
      </w:r>
      <w:r w:rsidR="000B02D0" w:rsidRPr="00AD12D5">
        <w:t xml:space="preserve"> </w:t>
      </w:r>
      <w:proofErr w:type="gramStart"/>
      <w:r w:rsidR="000B02D0" w:rsidRPr="00AD12D5">
        <w:t>standards</w:t>
      </w:r>
      <w:proofErr w:type="gramEnd"/>
      <w:r>
        <w:t xml:space="preserve"> or variations to</w:t>
      </w:r>
      <w:r w:rsidR="000B02D0" w:rsidRPr="00AD12D5">
        <w:t xml:space="preserve"> clause 54 and clause 55 </w:t>
      </w:r>
      <w:r>
        <w:t>can</w:t>
      </w:r>
      <w:r w:rsidR="000B02D0" w:rsidRPr="00AD12D5">
        <w:t xml:space="preserve">not </w:t>
      </w:r>
      <w:r w:rsidR="000B02D0">
        <w:t>meet</w:t>
      </w:r>
      <w:r w:rsidR="000B02D0" w:rsidRPr="00AD12D5">
        <w:t xml:space="preserve"> the neighbourhood character objectives for that area</w:t>
      </w:r>
      <w:r w:rsidR="000B02D0">
        <w:t>.</w:t>
      </w:r>
    </w:p>
    <w:p w14:paraId="19F88071" w14:textId="7B3D1C15" w:rsidR="00E53BDC" w:rsidRDefault="000B02D0" w:rsidP="009C3847">
      <w:r w:rsidRPr="004C4EBC">
        <w:lastRenderedPageBreak/>
        <w:t xml:space="preserve">The NCO should not be used as a ‘blanket’ control across the municipality. It should be applied strategically to areas where variations to clause 54 and clause 55 standards fail to meet the specific objectives for neighbourhood character, </w:t>
      </w:r>
      <w:r w:rsidR="006624A5" w:rsidRPr="006624A5">
        <w:t>and new locally tailored standards are required and can be justified</w:t>
      </w:r>
      <w:r w:rsidRPr="004C4EBC">
        <w:t>.</w:t>
      </w:r>
    </w:p>
    <w:p w14:paraId="48CE952B" w14:textId="77777777" w:rsidR="00A5174E" w:rsidRPr="00EE78D9" w:rsidRDefault="00A5174E" w:rsidP="00EE78D9">
      <w:pPr>
        <w:pStyle w:val="Heading4"/>
      </w:pPr>
      <w:r w:rsidRPr="00EE78D9">
        <w:t>Rewriting the standards to clause 54 and clause 55</w:t>
      </w:r>
    </w:p>
    <w:p w14:paraId="0B485B71" w14:textId="77777777" w:rsidR="00272F7B" w:rsidRDefault="00A5174E" w:rsidP="00272F7B">
      <w:r w:rsidRPr="00AD12D5">
        <w:t xml:space="preserve">The NCO </w:t>
      </w:r>
      <w:r w:rsidRPr="009E1E70">
        <w:t>can</w:t>
      </w:r>
      <w:r w:rsidRPr="00AD12D5">
        <w:t xml:space="preserve"> be used to </w:t>
      </w:r>
      <w:r>
        <w:t>rewrite</w:t>
      </w:r>
      <w:r w:rsidRPr="00AD12D5">
        <w:t xml:space="preserve"> most clause 54 and clause 55 standards, except for several standards specified in the overlay at clause 43.05-3. Any rewritten standard must be consistent with the relevant objective and decision guideline in clause 54 or clause 55.</w:t>
      </w:r>
      <w:r w:rsidR="00272F7B">
        <w:t xml:space="preserve"> </w:t>
      </w:r>
    </w:p>
    <w:p w14:paraId="2620ABEE" w14:textId="53CA19B0" w:rsidR="00A5174E" w:rsidRPr="00AD12D5" w:rsidRDefault="00A5174E" w:rsidP="00272F7B">
      <w:r w:rsidRPr="00AD12D5">
        <w:t xml:space="preserve">The NCO </w:t>
      </w:r>
      <w:r w:rsidRPr="009E1E70">
        <w:rPr>
          <w:b/>
          <w:bCs/>
        </w:rPr>
        <w:t>cannot</w:t>
      </w:r>
      <w:r w:rsidRPr="00AD12D5">
        <w:t xml:space="preserve"> be used to </w:t>
      </w:r>
      <w:r>
        <w:t>rewrite</w:t>
      </w:r>
      <w:r w:rsidRPr="00AD12D5">
        <w:t xml:space="preserve"> the objectives or decision guidelines in clause 54 and clause 55. The objectives and decision guidelines continue to apply to a </w:t>
      </w:r>
      <w:r>
        <w:t>rewritten</w:t>
      </w:r>
      <w:r w:rsidRPr="00AD12D5">
        <w:t xml:space="preserve"> clause 54 and clause 55 standard in the NCO.</w:t>
      </w:r>
    </w:p>
    <w:p w14:paraId="50E541C6" w14:textId="23B6AF92" w:rsidR="00A5174E" w:rsidRDefault="00A5174E" w:rsidP="00A5174E">
      <w:pPr>
        <w:spacing w:after="0" w:line="240" w:lineRule="auto"/>
      </w:pPr>
      <w:r w:rsidRPr="00AD12D5">
        <w:t>Additional local neighbourhood character objectives and decision guidelines may be specified in the schedule to the NCO to achieve a preferred neighbourhood character.</w:t>
      </w:r>
    </w:p>
    <w:p w14:paraId="06193821" w14:textId="77777777" w:rsidR="00A5174E" w:rsidRPr="00292075" w:rsidRDefault="00A5174E" w:rsidP="00EE78D9">
      <w:pPr>
        <w:pStyle w:val="Heading4"/>
      </w:pPr>
      <w:r w:rsidRPr="00AD12D5">
        <w:t>Demolition</w:t>
      </w:r>
    </w:p>
    <w:p w14:paraId="108AEC62" w14:textId="78E344AF" w:rsidR="00A5174E" w:rsidRPr="00AD12D5" w:rsidRDefault="00A5174E" w:rsidP="00A5174E">
      <w:pPr>
        <w:spacing w:after="0" w:line="240" w:lineRule="auto"/>
      </w:pPr>
      <w:r w:rsidRPr="00AD12D5">
        <w:t>The demolition control in the NCO holds the existing pattern of development until the character features of the site and the new development have been evaluated.</w:t>
      </w:r>
    </w:p>
    <w:p w14:paraId="3C9B2D64" w14:textId="77777777" w:rsidR="00A5174E" w:rsidRDefault="00A5174E" w:rsidP="00A5174E">
      <w:pPr>
        <w:spacing w:after="0" w:line="240" w:lineRule="auto"/>
      </w:pPr>
      <w:r w:rsidRPr="00AD12D5">
        <w:t>The demolition control should not be used to conserve existing buildings, but rather to ensure that demolition does not occur until the planning authority is satisfied that the new development meets the neighbourhood character objectives for the area.</w:t>
      </w:r>
    </w:p>
    <w:p w14:paraId="25FCBEC5" w14:textId="77777777" w:rsidR="00A34584" w:rsidRPr="00AD12D5" w:rsidRDefault="00A34584" w:rsidP="006C14E0">
      <w:pPr>
        <w:pStyle w:val="Heading3"/>
      </w:pPr>
      <w:r w:rsidRPr="00AD12D5">
        <w:t>Heritage Overlay</w:t>
      </w:r>
    </w:p>
    <w:p w14:paraId="70BC9F2D" w14:textId="77777777" w:rsidR="00A34584" w:rsidRPr="00AD12D5" w:rsidRDefault="00A34584" w:rsidP="00A34584">
      <w:r w:rsidRPr="00AD12D5">
        <w:t>It is important to understand the differences between neighbourhood character and heritage.</w:t>
      </w:r>
    </w:p>
    <w:p w14:paraId="0F33715E" w14:textId="7F845A3B" w:rsidR="00A34584" w:rsidRPr="00AD12D5" w:rsidRDefault="00A34584" w:rsidP="00A34584">
      <w:r w:rsidRPr="00AD12D5">
        <w:t xml:space="preserve">While all areas have a history or a heritage, not all areas are historically significant. Heritage significance is determined by recognised criteria set by Commonwealth, </w:t>
      </w:r>
      <w:r>
        <w:t>s</w:t>
      </w:r>
      <w:r w:rsidRPr="00AD12D5">
        <w:t xml:space="preserve">tate and local agencies, with reference to the </w:t>
      </w:r>
      <w:hyperlink r:id="rId18" w:history="1">
        <w:r w:rsidRPr="00554E59">
          <w:rPr>
            <w:rStyle w:val="Hyperlink"/>
          </w:rPr>
          <w:t>Burra Charter</w:t>
        </w:r>
      </w:hyperlink>
      <w:r w:rsidRPr="00AD12D5">
        <w:t>.</w:t>
      </w:r>
    </w:p>
    <w:p w14:paraId="4390EBE7" w14:textId="77777777" w:rsidR="00A34584" w:rsidRPr="00AD12D5" w:rsidRDefault="00A34584" w:rsidP="00A34584">
      <w:r w:rsidRPr="00AD12D5">
        <w:t>The Heritage Overlay (HO) should be used where the objective is to conserve the existing building or buildings.</w:t>
      </w:r>
    </w:p>
    <w:p w14:paraId="29B6E512" w14:textId="77777777" w:rsidR="00A34584" w:rsidRPr="00AD12D5" w:rsidRDefault="00A34584" w:rsidP="00A34584">
      <w:r w:rsidRPr="00AD12D5">
        <w:t xml:space="preserve">The HO has different objectives </w:t>
      </w:r>
      <w:r>
        <w:t>from</w:t>
      </w:r>
      <w:r w:rsidRPr="00AD12D5">
        <w:t xml:space="preserve"> the NCO and is not intended to operate as a neighbourhood character control. However, heritage descriptors may also contribute to the neighbourhood character of an area.</w:t>
      </w:r>
    </w:p>
    <w:p w14:paraId="687EA972" w14:textId="77777777" w:rsidR="00A34584" w:rsidRPr="00AD12D5" w:rsidRDefault="00A34584" w:rsidP="00A34584">
      <w:r w:rsidRPr="00AD12D5">
        <w:t xml:space="preserve">The NCO and HO should not be applied to the same </w:t>
      </w:r>
      <w:r>
        <w:t>areas</w:t>
      </w:r>
      <w:r w:rsidRPr="00AD12D5">
        <w:t>.</w:t>
      </w:r>
    </w:p>
    <w:p w14:paraId="5E37664F" w14:textId="79DA9994" w:rsidR="00A34584" w:rsidRDefault="00A34584" w:rsidP="00A34584">
      <w:r w:rsidRPr="00AD12D5">
        <w:t>The</w:t>
      </w:r>
      <w:r>
        <w:t xml:space="preserve"> application of the</w:t>
      </w:r>
      <w:r w:rsidRPr="00AD12D5">
        <w:t xml:space="preserve"> HO </w:t>
      </w:r>
      <w:r>
        <w:t xml:space="preserve">and </w:t>
      </w:r>
      <w:r w:rsidRPr="00AD12D5">
        <w:t>underlying residential zoning</w:t>
      </w:r>
      <w:r w:rsidR="00736C7E">
        <w:t>,</w:t>
      </w:r>
      <w:r w:rsidRPr="00AD12D5">
        <w:t xml:space="preserve"> should be consistent with the </w:t>
      </w:r>
      <w:r>
        <w:t>strategic intent outlined in the MPS and PPF</w:t>
      </w:r>
      <w:r w:rsidRPr="00AD12D5">
        <w:t>.</w:t>
      </w:r>
    </w:p>
    <w:p w14:paraId="0E5CD41F" w14:textId="726B4A56" w:rsidR="00A34584" w:rsidRPr="00C438EE" w:rsidRDefault="00A34584" w:rsidP="00A34584">
      <w:r w:rsidRPr="00C438EE">
        <w:t>For example, if an area is zoned for housing change, a planning authority must satisfy itself that this is compatible with the conservation of existing buildings</w:t>
      </w:r>
      <w:r w:rsidR="00736C7E">
        <w:t>,</w:t>
      </w:r>
      <w:r w:rsidRPr="00C438EE">
        <w:t xml:space="preserve"> otherwise</w:t>
      </w:r>
      <w:r w:rsidR="00E94243">
        <w:t>,</w:t>
      </w:r>
      <w:r w:rsidRPr="00C438EE">
        <w:t xml:space="preserve"> a direct conflict </w:t>
      </w:r>
      <w:r w:rsidR="00736C7E">
        <w:t xml:space="preserve">occurs </w:t>
      </w:r>
      <w:r w:rsidRPr="00C438EE">
        <w:t>between the purpose of the zone and the overlay</w:t>
      </w:r>
      <w:r w:rsidR="00E94243">
        <w:t>,</w:t>
      </w:r>
      <w:r w:rsidRPr="00C438EE">
        <w:t xml:space="preserve"> making it difficult to interpret and apply the controls.</w:t>
      </w:r>
    </w:p>
    <w:p w14:paraId="1C234652" w14:textId="77777777" w:rsidR="00A34584" w:rsidRPr="005C1D03" w:rsidRDefault="00A34584" w:rsidP="00A34584">
      <w:pPr>
        <w:pStyle w:val="Heading3"/>
      </w:pPr>
      <w:r w:rsidRPr="00AD12D5">
        <w:lastRenderedPageBreak/>
        <w:t xml:space="preserve">Design and </w:t>
      </w:r>
      <w:r>
        <w:t>built form overlays</w:t>
      </w:r>
    </w:p>
    <w:p w14:paraId="07B9831E" w14:textId="77777777" w:rsidR="00A34584" w:rsidRDefault="00A34584" w:rsidP="00A34584">
      <w:r>
        <w:t>A</w:t>
      </w:r>
      <w:r w:rsidRPr="00AD12D5">
        <w:t xml:space="preserve"> Design and Development Overlay (DDO), Development Plan Overlay (DPO) or Incorporated Plan Overlay (IPO) may be used</w:t>
      </w:r>
      <w:r>
        <w:t xml:space="preserve"> to implement specific built form outcomes that cannot be achieved through a schedule to a residential zone. </w:t>
      </w:r>
    </w:p>
    <w:p w14:paraId="461AC7DC" w14:textId="4EB89B28" w:rsidR="00B755A3" w:rsidRPr="007E2945" w:rsidRDefault="00B755A3" w:rsidP="00A34584">
      <w:pPr>
        <w:rPr>
          <w:rFonts w:eastAsiaTheme="majorEastAsia"/>
          <w:b/>
          <w:i/>
          <w:iCs/>
          <w:color w:val="5A5A5A"/>
          <w:szCs w:val="20"/>
        </w:rPr>
      </w:pPr>
      <w:r w:rsidRPr="006624A5">
        <w:rPr>
          <w:rFonts w:eastAsiaTheme="majorEastAsia"/>
          <w:b/>
          <w:i/>
          <w:iCs/>
          <w:color w:val="5A5A5A"/>
          <w:szCs w:val="20"/>
        </w:rPr>
        <w:t xml:space="preserve">Design and Development Overlay </w:t>
      </w:r>
      <w:r w:rsidR="00255007">
        <w:rPr>
          <w:rFonts w:eastAsiaTheme="majorEastAsia"/>
          <w:b/>
          <w:i/>
          <w:iCs/>
          <w:color w:val="5A5A5A"/>
          <w:szCs w:val="20"/>
        </w:rPr>
        <w:t>vs</w:t>
      </w:r>
      <w:r w:rsidRPr="007E2945">
        <w:rPr>
          <w:rFonts w:eastAsiaTheme="majorEastAsia"/>
          <w:b/>
          <w:i/>
          <w:iCs/>
          <w:color w:val="5A5A5A"/>
          <w:szCs w:val="20"/>
        </w:rPr>
        <w:t xml:space="preserve"> Neighbourhood Character Overlay</w:t>
      </w:r>
    </w:p>
    <w:p w14:paraId="2551D98E" w14:textId="13847A85" w:rsidR="00A34584" w:rsidRDefault="00A34584" w:rsidP="00A34584">
      <w:r w:rsidRPr="00AD12D5">
        <w:t xml:space="preserve">The DDO should not be used as a substitute for </w:t>
      </w:r>
      <w:r w:rsidR="00C47E94">
        <w:t>the</w:t>
      </w:r>
      <w:r w:rsidR="00C47E94" w:rsidRPr="00AD12D5">
        <w:t xml:space="preserve"> </w:t>
      </w:r>
      <w:r w:rsidRPr="00AD12D5">
        <w:t>NCO.</w:t>
      </w:r>
    </w:p>
    <w:p w14:paraId="27A273A0" w14:textId="5C5D04B9" w:rsidR="00A34584" w:rsidRDefault="00A34584" w:rsidP="00A34584">
      <w:r w:rsidRPr="00AD12D5">
        <w:t xml:space="preserve">The schedule to the </w:t>
      </w:r>
      <w:r w:rsidRPr="00E11EC4">
        <w:t>DDO does not provide a specific framework for rewriting</w:t>
      </w:r>
      <w:r w:rsidRPr="00AD12D5">
        <w:t xml:space="preserve"> standards in clauses 54 and 55 in the way that the NCO does.</w:t>
      </w:r>
      <w:r w:rsidR="00EE78D9">
        <w:t xml:space="preserve"> </w:t>
      </w:r>
      <w:r w:rsidRPr="00AD12D5">
        <w:t>If using a DDO, it should be clear about the neighbourhood character objective</w:t>
      </w:r>
      <w:r>
        <w:t xml:space="preserve"> it is seeking to achieve</w:t>
      </w:r>
      <w:r w:rsidRPr="00AD12D5">
        <w:t>.</w:t>
      </w:r>
    </w:p>
    <w:p w14:paraId="1E3A9798" w14:textId="529FC46F" w:rsidR="00A34584" w:rsidRDefault="00A34584" w:rsidP="00A34584">
      <w:r>
        <w:t>While t</w:t>
      </w:r>
      <w:r w:rsidRPr="00AD12D5">
        <w:t>he DDO has similar features to the NCO</w:t>
      </w:r>
      <w:r>
        <w:t>,</w:t>
      </w:r>
      <w:r w:rsidRPr="00AD12D5">
        <w:t xml:space="preserve"> </w:t>
      </w:r>
      <w:r>
        <w:t>it</w:t>
      </w:r>
      <w:r w:rsidRPr="00AD12D5">
        <w:t xml:space="preserve"> is more appropriately applied to promote specific urban design outcomes for an area that cannot be achieved by varying the standards to clause 54 and clause 55.</w:t>
      </w:r>
      <w:r>
        <w:t xml:space="preserve"> This occurs</w:t>
      </w:r>
      <w:r w:rsidRPr="00AD12D5">
        <w:t xml:space="preserve"> </w:t>
      </w:r>
      <w:r>
        <w:t>w</w:t>
      </w:r>
      <w:r w:rsidRPr="00AD12D5">
        <w:t>he</w:t>
      </w:r>
      <w:r>
        <w:t>n</w:t>
      </w:r>
      <w:r w:rsidRPr="00AD12D5">
        <w:t xml:space="preserve"> </w:t>
      </w:r>
      <w:r>
        <w:t>a built form different from the existing neighbourhood character is sought.</w:t>
      </w:r>
    </w:p>
    <w:p w14:paraId="563FB316" w14:textId="4366E31C" w:rsidR="00B755A3" w:rsidRDefault="00255007" w:rsidP="00B755A3">
      <w:pPr>
        <w:pStyle w:val="Heading4"/>
      </w:pPr>
      <w:r>
        <w:t>Built form overlay vs zone schedules</w:t>
      </w:r>
    </w:p>
    <w:p w14:paraId="34F0F12B" w14:textId="5F1E590E" w:rsidR="00CD41D4" w:rsidRDefault="00A34584" w:rsidP="00B755A3">
      <w:r w:rsidRPr="00AD12D5">
        <w:t xml:space="preserve">For areas in the RGZ, clause 54 and clause 55 variations </w:t>
      </w:r>
      <w:r w:rsidR="00B755A3">
        <w:t>do</w:t>
      </w:r>
      <w:r w:rsidR="00B755A3" w:rsidRPr="00AD12D5">
        <w:t xml:space="preserve"> </w:t>
      </w:r>
      <w:r w:rsidRPr="00AD12D5">
        <w:t xml:space="preserve">not apply to developments </w:t>
      </w:r>
      <w:r>
        <w:t xml:space="preserve">greater than four </w:t>
      </w:r>
      <w:r w:rsidRPr="00AD12D5">
        <w:t>storeys</w:t>
      </w:r>
      <w:r>
        <w:t xml:space="preserve">. If residential development greater than four storeys is sought, it is likely that </w:t>
      </w:r>
      <w:r w:rsidRPr="00AD12D5">
        <w:t xml:space="preserve">another VPP tool is required </w:t>
      </w:r>
      <w:r>
        <w:t>to be used with the RGZ</w:t>
      </w:r>
      <w:r w:rsidR="007B11C4">
        <w:t>,</w:t>
      </w:r>
      <w:r>
        <w:t xml:space="preserve"> to achieve the desired built form outcomes.</w:t>
      </w:r>
    </w:p>
    <w:p w14:paraId="498721A7" w14:textId="15BA3E74" w:rsidR="00B755A3" w:rsidRDefault="00B755A3" w:rsidP="00B755A3">
      <w:r w:rsidRPr="00AD12D5">
        <w:t xml:space="preserve">The DDO can apply built form controls to developments </w:t>
      </w:r>
      <w:r>
        <w:t>greater than four storeys</w:t>
      </w:r>
      <w:r w:rsidRPr="00AD12D5">
        <w:t>.</w:t>
      </w:r>
    </w:p>
    <w:p w14:paraId="3E1A5AF1" w14:textId="56A76A9C" w:rsidR="00261D9F" w:rsidRPr="00261D9F" w:rsidRDefault="00CD41D4" w:rsidP="00B755A3">
      <w:r w:rsidRPr="00AD12D5">
        <w:t xml:space="preserve">When using the DDO </w:t>
      </w:r>
      <w:r w:rsidR="00B755A3">
        <w:t xml:space="preserve">(or </w:t>
      </w:r>
      <w:r w:rsidRPr="00AD12D5">
        <w:t>DPO or IPO</w:t>
      </w:r>
      <w:r w:rsidR="00B755A3">
        <w:t>)</w:t>
      </w:r>
      <w:r w:rsidRPr="00AD12D5">
        <w:t xml:space="preserve"> to control </w:t>
      </w:r>
      <w:r>
        <w:t>development greater than four storeys</w:t>
      </w:r>
      <w:r w:rsidRPr="00AD12D5">
        <w:t xml:space="preserve">, all built form requirements (including maximum building height) should be specified in the DDO </w:t>
      </w:r>
      <w:r w:rsidR="00B755A3">
        <w:t xml:space="preserve">(or </w:t>
      </w:r>
      <w:r w:rsidRPr="00AD12D5">
        <w:t>DPO or IPO</w:t>
      </w:r>
      <w:r w:rsidR="00B755A3">
        <w:t>)</w:t>
      </w:r>
      <w:r>
        <w:t xml:space="preserve"> instead of the schedule to the zone</w:t>
      </w:r>
      <w:r w:rsidRPr="00AD12D5">
        <w:t>.</w:t>
      </w:r>
      <w:r>
        <w:t xml:space="preserve"> This provides greater clarity and transparency by ensuring all local requirements can be found in the relevant local provision.</w:t>
      </w:r>
    </w:p>
    <w:p w14:paraId="6F8E214C" w14:textId="7810A662" w:rsidR="00A34584" w:rsidRDefault="007E2945" w:rsidP="007E2945">
      <w:r>
        <w:t>For residential development up to four storeys,</w:t>
      </w:r>
      <w:r w:rsidDel="00B755A3">
        <w:t xml:space="preserve"> </w:t>
      </w:r>
      <w:r w:rsidR="00A34584">
        <w:t xml:space="preserve">an overlay may also be required to be used if built form outcomes sought are substantially different from </w:t>
      </w:r>
      <w:proofErr w:type="spellStart"/>
      <w:r w:rsidR="00B755A3">
        <w:t>ResCode</w:t>
      </w:r>
      <w:proofErr w:type="spellEnd"/>
      <w:r w:rsidR="00B755A3">
        <w:t xml:space="preserve"> and cannot be achieved using </w:t>
      </w:r>
      <w:r w:rsidR="00B755A3" w:rsidRPr="00AD12D5">
        <w:t>clause 54 and clause 55 variations</w:t>
      </w:r>
      <w:r w:rsidR="00A34584">
        <w:t>.</w:t>
      </w:r>
    </w:p>
    <w:p w14:paraId="565E2A17" w14:textId="77777777" w:rsidR="007E6AF4" w:rsidRPr="00AD12D5" w:rsidRDefault="007E6AF4" w:rsidP="00B23261">
      <w:pPr>
        <w:pStyle w:val="Heading3"/>
      </w:pPr>
      <w:r>
        <w:t>E</w:t>
      </w:r>
      <w:r w:rsidRPr="00AD12D5">
        <w:t>nvironmental and landscape overlays</w:t>
      </w:r>
    </w:p>
    <w:p w14:paraId="07107C24" w14:textId="77777777" w:rsidR="007E6AF4" w:rsidRDefault="007E6AF4" w:rsidP="007E6AF4">
      <w:r>
        <w:t>The Environmental Significance Overlay, Significant Landscape Overlay and Vegetation Protection Overlay can be used to recognise and protect specific attributes.</w:t>
      </w:r>
    </w:p>
    <w:p w14:paraId="5B6071A7" w14:textId="77777777" w:rsidR="007E6AF4" w:rsidRDefault="007E6AF4" w:rsidP="00CD41D4">
      <w:pPr>
        <w:pStyle w:val="Heading3"/>
      </w:pPr>
      <w:r w:rsidRPr="00CD4000">
        <w:t>Other</w:t>
      </w:r>
      <w:r>
        <w:t xml:space="preserve"> </w:t>
      </w:r>
      <w:r w:rsidRPr="00CD4000">
        <w:t>overlays</w:t>
      </w:r>
    </w:p>
    <w:p w14:paraId="5BF73B7A" w14:textId="43D04476" w:rsidR="007E6AF4" w:rsidRDefault="007E6AF4" w:rsidP="007E6AF4">
      <w:r>
        <w:t>There are other overlays that recognise hazards or constraints that impact the capacity to develop residential land such as</w:t>
      </w:r>
      <w:r w:rsidR="007B11C4">
        <w:t>,</w:t>
      </w:r>
      <w:r>
        <w:t xml:space="preserve"> the Bushfire Management Overlay, Melbourne Airport Environs Overlay, Restructure </w:t>
      </w:r>
      <w:r w:rsidRPr="001472A4">
        <w:t>Overlay and</w:t>
      </w:r>
      <w:r>
        <w:t xml:space="preserve"> Erosion Management Overlay.</w:t>
      </w:r>
    </w:p>
    <w:p w14:paraId="36B1AE15" w14:textId="77777777" w:rsidR="007E6AF4" w:rsidRPr="00CD4000" w:rsidRDefault="007E6AF4" w:rsidP="007E6AF4">
      <w:r>
        <w:t>These overlays should be applied as appropriate.</w:t>
      </w:r>
    </w:p>
    <w:p w14:paraId="2691188C" w14:textId="77777777" w:rsidR="007E6AF4" w:rsidRPr="00840A30" w:rsidRDefault="007E6AF4" w:rsidP="00840A30">
      <w:pPr>
        <w:pStyle w:val="Heading1"/>
      </w:pPr>
      <w:r w:rsidRPr="00840A30">
        <w:lastRenderedPageBreak/>
        <w:t>Using the key features of the residential zones</w:t>
      </w:r>
    </w:p>
    <w:p w14:paraId="4A28E53A" w14:textId="0E909F29" w:rsidR="007E6AF4" w:rsidRDefault="007E6AF4" w:rsidP="007E6AF4">
      <w:r w:rsidRPr="00AD12D5">
        <w:t xml:space="preserve">Each </w:t>
      </w:r>
      <w:r>
        <w:t xml:space="preserve">residential </w:t>
      </w:r>
      <w:r w:rsidRPr="00AD12D5">
        <w:t xml:space="preserve">zone has </w:t>
      </w:r>
      <w:r>
        <w:t>a different role</w:t>
      </w:r>
      <w:r w:rsidRPr="00AD12D5">
        <w:t xml:space="preserve"> </w:t>
      </w:r>
      <w:r>
        <w:t xml:space="preserve">and </w:t>
      </w:r>
      <w:r w:rsidRPr="00AD12D5">
        <w:t>purpose,</w:t>
      </w:r>
      <w:r>
        <w:t xml:space="preserve"> and this is reflected in the different features in the schedules for each zone.</w:t>
      </w:r>
    </w:p>
    <w:p w14:paraId="0EB8337E" w14:textId="5EE4CCF3" w:rsidR="00263934" w:rsidRPr="00CC6304" w:rsidRDefault="00263934" w:rsidP="00CC6304">
      <w:pPr>
        <w:pStyle w:val="TableName"/>
        <w:spacing w:after="120"/>
        <w:rPr>
          <w:b w:val="0"/>
          <w:bCs w:val="0"/>
        </w:rPr>
      </w:pPr>
      <w:r w:rsidRPr="00CC6304">
        <w:t>Table 4</w:t>
      </w:r>
      <w:r w:rsidRPr="00CC6304">
        <w:rPr>
          <w:b w:val="0"/>
          <w:bCs w:val="0"/>
        </w:rPr>
        <w:t>: Residential zone features</w:t>
      </w:r>
    </w:p>
    <w:tbl>
      <w:tblPr>
        <w:tblStyle w:val="Table1"/>
        <w:tblW w:w="9781" w:type="dxa"/>
        <w:tblBorders>
          <w:left w:val="none" w:sz="0" w:space="0" w:color="auto"/>
          <w:right w:val="none" w:sz="0" w:space="0" w:color="auto"/>
        </w:tblBorders>
        <w:tblLayout w:type="fixed"/>
        <w:tblLook w:val="04A0" w:firstRow="1" w:lastRow="0" w:firstColumn="1" w:lastColumn="0" w:noHBand="0" w:noVBand="1"/>
      </w:tblPr>
      <w:tblGrid>
        <w:gridCol w:w="1843"/>
        <w:gridCol w:w="851"/>
        <w:gridCol w:w="1275"/>
        <w:gridCol w:w="1466"/>
        <w:gridCol w:w="1409"/>
        <w:gridCol w:w="1499"/>
        <w:gridCol w:w="1438"/>
      </w:tblGrid>
      <w:tr w:rsidR="00C315BF" w:rsidRPr="008D3594" w14:paraId="14B0737A" w14:textId="77777777" w:rsidTr="00204C70">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843" w:type="dxa"/>
          </w:tcPr>
          <w:p w14:paraId="7FEA955D" w14:textId="3FD3E239" w:rsidR="00CD1D4D" w:rsidRPr="0089067A" w:rsidRDefault="00CD1D4D" w:rsidP="00CD1D4D">
            <w:pPr>
              <w:pStyle w:val="List"/>
              <w:spacing w:after="120"/>
              <w:rPr>
                <w:szCs w:val="20"/>
              </w:rPr>
            </w:pPr>
            <w:r w:rsidRPr="0089067A">
              <w:rPr>
                <w:szCs w:val="20"/>
              </w:rPr>
              <w:t>Feature</w:t>
            </w:r>
          </w:p>
        </w:tc>
        <w:tc>
          <w:tcPr>
            <w:tcW w:w="851" w:type="dxa"/>
          </w:tcPr>
          <w:p w14:paraId="6571188E" w14:textId="492924B1" w:rsidR="00CD1D4D" w:rsidRPr="0089067A" w:rsidRDefault="00CD1D4D" w:rsidP="00943EAE">
            <w:pPr>
              <w:pStyle w:val="List"/>
              <w:spacing w:after="120"/>
              <w:jc w:val="center"/>
              <w:cnfStyle w:val="100000000000" w:firstRow="1" w:lastRow="0" w:firstColumn="0" w:lastColumn="0" w:oddVBand="0" w:evenVBand="0" w:oddHBand="0" w:evenHBand="0" w:firstRowFirstColumn="0" w:firstRowLastColumn="0" w:lastRowFirstColumn="0" w:lastRowLastColumn="0"/>
              <w:rPr>
                <w:szCs w:val="20"/>
              </w:rPr>
            </w:pPr>
            <w:r w:rsidRPr="0089067A">
              <w:rPr>
                <w:szCs w:val="20"/>
              </w:rPr>
              <w:t>LDRZ</w:t>
            </w:r>
          </w:p>
        </w:tc>
        <w:tc>
          <w:tcPr>
            <w:tcW w:w="1275" w:type="dxa"/>
          </w:tcPr>
          <w:p w14:paraId="00409878" w14:textId="4A718719" w:rsidR="00CD1D4D" w:rsidRPr="0089067A" w:rsidRDefault="00CD1D4D" w:rsidP="00943EAE">
            <w:pPr>
              <w:pStyle w:val="List"/>
              <w:spacing w:after="120"/>
              <w:jc w:val="center"/>
              <w:cnfStyle w:val="100000000000" w:firstRow="1" w:lastRow="0" w:firstColumn="0" w:lastColumn="0" w:oddVBand="0" w:evenVBand="0" w:oddHBand="0" w:evenHBand="0" w:firstRowFirstColumn="0" w:firstRowLastColumn="0" w:lastRowFirstColumn="0" w:lastRowLastColumn="0"/>
              <w:rPr>
                <w:szCs w:val="20"/>
              </w:rPr>
            </w:pPr>
            <w:r w:rsidRPr="0089067A">
              <w:rPr>
                <w:szCs w:val="20"/>
              </w:rPr>
              <w:t>MUZ</w:t>
            </w:r>
          </w:p>
        </w:tc>
        <w:tc>
          <w:tcPr>
            <w:tcW w:w="1466" w:type="dxa"/>
          </w:tcPr>
          <w:p w14:paraId="6B3CB43E" w14:textId="00589A09" w:rsidR="00CD1D4D" w:rsidRPr="0089067A" w:rsidRDefault="00CD1D4D" w:rsidP="00943EAE">
            <w:pPr>
              <w:pStyle w:val="List"/>
              <w:spacing w:after="120"/>
              <w:jc w:val="center"/>
              <w:cnfStyle w:val="100000000000" w:firstRow="1" w:lastRow="0" w:firstColumn="0" w:lastColumn="0" w:oddVBand="0" w:evenVBand="0" w:oddHBand="0" w:evenHBand="0" w:firstRowFirstColumn="0" w:firstRowLastColumn="0" w:lastRowFirstColumn="0" w:lastRowLastColumn="0"/>
              <w:rPr>
                <w:szCs w:val="20"/>
              </w:rPr>
            </w:pPr>
            <w:r w:rsidRPr="0089067A">
              <w:rPr>
                <w:szCs w:val="20"/>
              </w:rPr>
              <w:t>TZ</w:t>
            </w:r>
          </w:p>
        </w:tc>
        <w:tc>
          <w:tcPr>
            <w:tcW w:w="1409" w:type="dxa"/>
          </w:tcPr>
          <w:p w14:paraId="60081749" w14:textId="6219F77A" w:rsidR="00CD1D4D" w:rsidRPr="0089067A" w:rsidRDefault="00CD1D4D" w:rsidP="00943EAE">
            <w:pPr>
              <w:pStyle w:val="List"/>
              <w:spacing w:after="120"/>
              <w:jc w:val="center"/>
              <w:cnfStyle w:val="100000000000" w:firstRow="1" w:lastRow="0" w:firstColumn="0" w:lastColumn="0" w:oddVBand="0" w:evenVBand="0" w:oddHBand="0" w:evenHBand="0" w:firstRowFirstColumn="0" w:firstRowLastColumn="0" w:lastRowFirstColumn="0" w:lastRowLastColumn="0"/>
              <w:rPr>
                <w:szCs w:val="20"/>
              </w:rPr>
            </w:pPr>
            <w:r w:rsidRPr="0089067A">
              <w:rPr>
                <w:szCs w:val="20"/>
              </w:rPr>
              <w:t>RGZ</w:t>
            </w:r>
          </w:p>
        </w:tc>
        <w:tc>
          <w:tcPr>
            <w:tcW w:w="1499" w:type="dxa"/>
          </w:tcPr>
          <w:p w14:paraId="582F31C3" w14:textId="1937E39B" w:rsidR="00CD1D4D" w:rsidRPr="0089067A" w:rsidRDefault="00CD1D4D" w:rsidP="00943EAE">
            <w:pPr>
              <w:pStyle w:val="List"/>
              <w:spacing w:after="120"/>
              <w:jc w:val="center"/>
              <w:cnfStyle w:val="100000000000" w:firstRow="1" w:lastRow="0" w:firstColumn="0" w:lastColumn="0" w:oddVBand="0" w:evenVBand="0" w:oddHBand="0" w:evenHBand="0" w:firstRowFirstColumn="0" w:firstRowLastColumn="0" w:lastRowFirstColumn="0" w:lastRowLastColumn="0"/>
              <w:rPr>
                <w:szCs w:val="20"/>
              </w:rPr>
            </w:pPr>
            <w:r w:rsidRPr="0089067A">
              <w:rPr>
                <w:szCs w:val="20"/>
              </w:rPr>
              <w:t>GRZ</w:t>
            </w:r>
          </w:p>
        </w:tc>
        <w:tc>
          <w:tcPr>
            <w:tcW w:w="1438" w:type="dxa"/>
          </w:tcPr>
          <w:p w14:paraId="3EC7DE85" w14:textId="3D5EF0D5" w:rsidR="00CD1D4D" w:rsidRPr="0089067A" w:rsidRDefault="00CD1D4D" w:rsidP="00943EAE">
            <w:pPr>
              <w:pStyle w:val="List"/>
              <w:spacing w:after="120"/>
              <w:jc w:val="center"/>
              <w:cnfStyle w:val="100000000000" w:firstRow="1" w:lastRow="0" w:firstColumn="0" w:lastColumn="0" w:oddVBand="0" w:evenVBand="0" w:oddHBand="0" w:evenHBand="0" w:firstRowFirstColumn="0" w:firstRowLastColumn="0" w:lastRowFirstColumn="0" w:lastRowLastColumn="0"/>
              <w:rPr>
                <w:szCs w:val="20"/>
              </w:rPr>
            </w:pPr>
            <w:r w:rsidRPr="0089067A">
              <w:rPr>
                <w:szCs w:val="20"/>
              </w:rPr>
              <w:t>NRZ</w:t>
            </w:r>
          </w:p>
        </w:tc>
      </w:tr>
      <w:tr w:rsidR="003E55A8" w:rsidRPr="008D3594" w14:paraId="704C108D" w14:textId="77777777" w:rsidTr="00204C70">
        <w:tc>
          <w:tcPr>
            <w:tcW w:w="1843" w:type="dxa"/>
          </w:tcPr>
          <w:p w14:paraId="504ADD05" w14:textId="65F6AF9B" w:rsidR="003E55A8" w:rsidRPr="008D3594" w:rsidRDefault="003E55A8" w:rsidP="00C315BF">
            <w:pPr>
              <w:pStyle w:val="Tablesecondheading"/>
              <w:spacing w:before="120" w:afterLines="60" w:after="144" w:line="240" w:lineRule="exact"/>
              <w:rPr>
                <w:b w:val="0"/>
                <w:bCs w:val="0"/>
                <w:color w:val="auto"/>
              </w:rPr>
            </w:pPr>
            <w:r w:rsidRPr="002A1E4C">
              <w:t>Can objectives be specified?</w:t>
            </w:r>
          </w:p>
        </w:tc>
        <w:tc>
          <w:tcPr>
            <w:tcW w:w="851" w:type="dxa"/>
          </w:tcPr>
          <w:p w14:paraId="630DF084" w14:textId="11D1656D" w:rsidR="003E55A8" w:rsidRPr="003E55A8" w:rsidRDefault="003E55A8" w:rsidP="00943EAE">
            <w:pPr>
              <w:pStyle w:val="Tabletext"/>
              <w:framePr w:hSpace="0" w:wrap="auto" w:vAnchor="margin" w:hAnchor="text" w:yAlign="inline"/>
              <w:spacing w:before="120" w:afterLines="60" w:after="144" w:line="240" w:lineRule="exact"/>
              <w:rPr>
                <w:b/>
                <w:bCs/>
                <w:color w:val="5A5A5A"/>
              </w:rPr>
            </w:pPr>
            <w:r w:rsidRPr="00DA31C7">
              <w:rPr>
                <w:b/>
                <w:bCs/>
              </w:rPr>
              <w:t>No</w:t>
            </w:r>
          </w:p>
        </w:tc>
        <w:tc>
          <w:tcPr>
            <w:tcW w:w="1275" w:type="dxa"/>
          </w:tcPr>
          <w:p w14:paraId="444477BA" w14:textId="292CCC0F" w:rsidR="003E55A8" w:rsidRPr="003E55A8" w:rsidRDefault="003E55A8" w:rsidP="00943EAE">
            <w:pPr>
              <w:pStyle w:val="Tabletext"/>
              <w:framePr w:hSpace="0" w:wrap="auto" w:vAnchor="margin" w:hAnchor="text" w:yAlign="inline"/>
              <w:spacing w:before="120" w:afterLines="60" w:after="144" w:line="240" w:lineRule="exact"/>
              <w:ind w:hanging="246"/>
              <w:rPr>
                <w:b/>
                <w:bCs/>
              </w:rPr>
            </w:pPr>
            <w:r w:rsidRPr="00DA31C7">
              <w:rPr>
                <w:b/>
                <w:bCs/>
              </w:rPr>
              <w:t>Yes</w:t>
            </w:r>
          </w:p>
        </w:tc>
        <w:tc>
          <w:tcPr>
            <w:tcW w:w="1466" w:type="dxa"/>
          </w:tcPr>
          <w:p w14:paraId="6817659C" w14:textId="369D1D89" w:rsidR="003E55A8" w:rsidRPr="003E55A8" w:rsidRDefault="003E55A8" w:rsidP="00943EAE">
            <w:pPr>
              <w:pStyle w:val="Tabletext"/>
              <w:framePr w:hSpace="0" w:wrap="auto" w:vAnchor="margin" w:hAnchor="text" w:yAlign="inline"/>
              <w:spacing w:before="120" w:afterLines="60" w:after="144" w:line="240" w:lineRule="exact"/>
              <w:rPr>
                <w:b/>
                <w:bCs/>
              </w:rPr>
            </w:pPr>
            <w:r w:rsidRPr="00DA31C7">
              <w:rPr>
                <w:b/>
                <w:bCs/>
              </w:rPr>
              <w:t>Yes</w:t>
            </w:r>
          </w:p>
        </w:tc>
        <w:tc>
          <w:tcPr>
            <w:tcW w:w="1409" w:type="dxa"/>
          </w:tcPr>
          <w:p w14:paraId="3AC87FC8" w14:textId="4482F28D" w:rsidR="003E55A8" w:rsidRPr="003E55A8" w:rsidRDefault="003E55A8" w:rsidP="00943EAE">
            <w:pPr>
              <w:pStyle w:val="Tabletext"/>
              <w:framePr w:hSpace="0" w:wrap="auto" w:vAnchor="margin" w:hAnchor="text" w:yAlign="inline"/>
              <w:spacing w:before="120" w:afterLines="60" w:after="144" w:line="240" w:lineRule="exact"/>
              <w:rPr>
                <w:b/>
                <w:bCs/>
              </w:rPr>
            </w:pPr>
            <w:r w:rsidRPr="00DA31C7">
              <w:rPr>
                <w:b/>
                <w:bCs/>
              </w:rPr>
              <w:t>Yes</w:t>
            </w:r>
          </w:p>
        </w:tc>
        <w:tc>
          <w:tcPr>
            <w:tcW w:w="1499" w:type="dxa"/>
          </w:tcPr>
          <w:p w14:paraId="55D73023" w14:textId="6E9FE6A2" w:rsidR="003E55A8" w:rsidRPr="003E55A8" w:rsidRDefault="003E55A8" w:rsidP="00943EAE">
            <w:pPr>
              <w:pStyle w:val="Tabletext"/>
              <w:framePr w:hSpace="0" w:wrap="auto" w:vAnchor="margin" w:hAnchor="text" w:yAlign="inline"/>
              <w:spacing w:before="120" w:afterLines="60" w:after="144" w:line="240" w:lineRule="exact"/>
              <w:rPr>
                <w:b/>
                <w:bCs/>
              </w:rPr>
            </w:pPr>
            <w:r w:rsidRPr="00DA31C7">
              <w:rPr>
                <w:b/>
                <w:bCs/>
              </w:rPr>
              <w:t>Yes</w:t>
            </w:r>
          </w:p>
        </w:tc>
        <w:tc>
          <w:tcPr>
            <w:tcW w:w="1438" w:type="dxa"/>
          </w:tcPr>
          <w:p w14:paraId="28D0E0C8" w14:textId="0032E638" w:rsidR="003E55A8" w:rsidRPr="003E55A8" w:rsidRDefault="003E55A8" w:rsidP="00943EAE">
            <w:pPr>
              <w:pStyle w:val="Tabletext"/>
              <w:framePr w:hSpace="0" w:wrap="auto" w:vAnchor="margin" w:hAnchor="text" w:yAlign="inline"/>
              <w:spacing w:before="120" w:afterLines="60" w:after="144" w:line="240" w:lineRule="exact"/>
              <w:rPr>
                <w:b/>
                <w:bCs/>
                <w:color w:val="5A5A5A"/>
              </w:rPr>
            </w:pPr>
            <w:r w:rsidRPr="00DA31C7">
              <w:rPr>
                <w:b/>
                <w:bCs/>
              </w:rPr>
              <w:t>Yes</w:t>
            </w:r>
          </w:p>
        </w:tc>
      </w:tr>
      <w:tr w:rsidR="003E55A8" w:rsidRPr="008D3594" w14:paraId="21E3F11F" w14:textId="77777777" w:rsidTr="00204C70">
        <w:tc>
          <w:tcPr>
            <w:tcW w:w="1843" w:type="dxa"/>
          </w:tcPr>
          <w:p w14:paraId="3123DE65" w14:textId="61626FBC" w:rsidR="003E55A8" w:rsidRPr="008D3594" w:rsidRDefault="003E55A8" w:rsidP="00C315BF">
            <w:pPr>
              <w:pStyle w:val="Tablesecondheading"/>
              <w:spacing w:before="120" w:afterLines="60" w:after="144" w:line="240" w:lineRule="exact"/>
              <w:rPr>
                <w:b w:val="0"/>
                <w:bCs w:val="0"/>
                <w:color w:val="auto"/>
              </w:rPr>
            </w:pPr>
            <w:r w:rsidRPr="002A1E4C">
              <w:t>Is there a minimum garden area requirement?</w:t>
            </w:r>
          </w:p>
        </w:tc>
        <w:tc>
          <w:tcPr>
            <w:tcW w:w="851" w:type="dxa"/>
          </w:tcPr>
          <w:p w14:paraId="48179531" w14:textId="02E88797" w:rsidR="003E55A8" w:rsidRPr="003E55A8" w:rsidRDefault="003E55A8" w:rsidP="00943EAE">
            <w:pPr>
              <w:pStyle w:val="Tabletext"/>
              <w:framePr w:hSpace="0" w:wrap="auto" w:vAnchor="margin" w:hAnchor="text" w:yAlign="inline"/>
              <w:spacing w:before="120" w:afterLines="60" w:after="144" w:line="240" w:lineRule="exact"/>
              <w:rPr>
                <w:b/>
                <w:bCs/>
                <w:color w:val="5A5A5A"/>
              </w:rPr>
            </w:pPr>
            <w:r w:rsidRPr="00DA31C7">
              <w:rPr>
                <w:b/>
                <w:bCs/>
              </w:rPr>
              <w:t>No</w:t>
            </w:r>
          </w:p>
        </w:tc>
        <w:tc>
          <w:tcPr>
            <w:tcW w:w="1275" w:type="dxa"/>
          </w:tcPr>
          <w:p w14:paraId="760038A7" w14:textId="2DA65837" w:rsidR="003E55A8" w:rsidRPr="003E55A8" w:rsidRDefault="003E55A8" w:rsidP="00943EAE">
            <w:pPr>
              <w:pStyle w:val="Tabletext"/>
              <w:framePr w:hSpace="0" w:wrap="auto" w:vAnchor="margin" w:hAnchor="text" w:yAlign="inline"/>
              <w:spacing w:before="120" w:afterLines="60" w:after="144" w:line="240" w:lineRule="exact"/>
              <w:rPr>
                <w:b/>
                <w:bCs/>
              </w:rPr>
            </w:pPr>
            <w:r w:rsidRPr="00DA31C7">
              <w:rPr>
                <w:b/>
                <w:bCs/>
              </w:rPr>
              <w:t>No</w:t>
            </w:r>
          </w:p>
        </w:tc>
        <w:tc>
          <w:tcPr>
            <w:tcW w:w="1466" w:type="dxa"/>
          </w:tcPr>
          <w:p w14:paraId="34EB465C" w14:textId="6192FDD6" w:rsidR="003E55A8" w:rsidRPr="003E55A8" w:rsidRDefault="003E55A8" w:rsidP="00943EAE">
            <w:pPr>
              <w:pStyle w:val="Tabletext"/>
              <w:framePr w:hSpace="0" w:wrap="auto" w:vAnchor="margin" w:hAnchor="text" w:yAlign="inline"/>
              <w:spacing w:before="120" w:afterLines="60" w:after="144" w:line="240" w:lineRule="exact"/>
              <w:rPr>
                <w:b/>
                <w:bCs/>
              </w:rPr>
            </w:pPr>
            <w:r w:rsidRPr="00DA31C7">
              <w:rPr>
                <w:b/>
                <w:bCs/>
              </w:rPr>
              <w:t>No</w:t>
            </w:r>
          </w:p>
        </w:tc>
        <w:tc>
          <w:tcPr>
            <w:tcW w:w="1409" w:type="dxa"/>
          </w:tcPr>
          <w:p w14:paraId="6E3E1476" w14:textId="5F20F300" w:rsidR="003E55A8" w:rsidRPr="003E55A8" w:rsidRDefault="003E55A8" w:rsidP="00943EAE">
            <w:pPr>
              <w:pStyle w:val="Tabletext"/>
              <w:framePr w:hSpace="0" w:wrap="auto" w:vAnchor="margin" w:hAnchor="text" w:yAlign="inline"/>
              <w:spacing w:before="120" w:afterLines="60" w:after="144" w:line="240" w:lineRule="exact"/>
              <w:rPr>
                <w:b/>
                <w:bCs/>
              </w:rPr>
            </w:pPr>
            <w:r w:rsidRPr="00DA31C7">
              <w:rPr>
                <w:b/>
                <w:bCs/>
              </w:rPr>
              <w:t>No</w:t>
            </w:r>
          </w:p>
        </w:tc>
        <w:tc>
          <w:tcPr>
            <w:tcW w:w="1499" w:type="dxa"/>
          </w:tcPr>
          <w:p w14:paraId="5E869325" w14:textId="0E17354C" w:rsidR="003E55A8" w:rsidRPr="003E55A8" w:rsidRDefault="003E55A8" w:rsidP="00943EAE">
            <w:pPr>
              <w:pStyle w:val="Tabletext"/>
              <w:framePr w:hSpace="0" w:wrap="auto" w:vAnchor="margin" w:hAnchor="text" w:yAlign="inline"/>
              <w:spacing w:before="120" w:afterLines="60" w:after="144" w:line="240" w:lineRule="exact"/>
              <w:rPr>
                <w:b/>
                <w:bCs/>
              </w:rPr>
            </w:pPr>
            <w:r w:rsidRPr="00DA31C7">
              <w:rPr>
                <w:b/>
                <w:bCs/>
              </w:rPr>
              <w:t>Yes</w:t>
            </w:r>
          </w:p>
        </w:tc>
        <w:tc>
          <w:tcPr>
            <w:tcW w:w="1438" w:type="dxa"/>
          </w:tcPr>
          <w:p w14:paraId="4BC36419" w14:textId="45BBFCD5" w:rsidR="003E55A8" w:rsidRPr="003E55A8" w:rsidRDefault="003E55A8" w:rsidP="00943EAE">
            <w:pPr>
              <w:pStyle w:val="Tabletext"/>
              <w:framePr w:hSpace="0" w:wrap="auto" w:vAnchor="margin" w:hAnchor="text" w:yAlign="inline"/>
              <w:spacing w:before="120" w:afterLines="60" w:after="144" w:line="240" w:lineRule="exact"/>
              <w:rPr>
                <w:b/>
                <w:bCs/>
                <w:color w:val="5A5A5A"/>
              </w:rPr>
            </w:pPr>
            <w:r w:rsidRPr="00DA31C7">
              <w:rPr>
                <w:b/>
                <w:bCs/>
              </w:rPr>
              <w:t>Yes</w:t>
            </w:r>
          </w:p>
        </w:tc>
      </w:tr>
      <w:tr w:rsidR="003E55A8" w:rsidRPr="008D3594" w14:paraId="45009783" w14:textId="77777777" w:rsidTr="00204C70">
        <w:tc>
          <w:tcPr>
            <w:tcW w:w="1843" w:type="dxa"/>
          </w:tcPr>
          <w:p w14:paraId="2AE445AC" w14:textId="27E8405A" w:rsidR="003E55A8" w:rsidRPr="002A1E4C" w:rsidRDefault="003E55A8" w:rsidP="00C315BF">
            <w:pPr>
              <w:pStyle w:val="Tablesecondheading"/>
              <w:spacing w:before="120" w:afterLines="60" w:after="144" w:line="240" w:lineRule="exact"/>
            </w:pPr>
            <w:r w:rsidRPr="002A1E4C">
              <w:t>Can the minimum garden area requirement be exempted?</w:t>
            </w:r>
          </w:p>
        </w:tc>
        <w:tc>
          <w:tcPr>
            <w:tcW w:w="851" w:type="dxa"/>
          </w:tcPr>
          <w:p w14:paraId="12519946" w14:textId="13F97904" w:rsidR="003E55A8" w:rsidRPr="00DA31C7" w:rsidRDefault="003E55A8" w:rsidP="00B5476C">
            <w:pPr>
              <w:pStyle w:val="Tabletext"/>
              <w:framePr w:hSpace="0" w:wrap="auto" w:vAnchor="margin" w:hAnchor="text" w:yAlign="inline"/>
              <w:spacing w:before="120" w:afterLines="60" w:after="144" w:line="240" w:lineRule="exact"/>
              <w:rPr>
                <w:b/>
                <w:bCs/>
              </w:rPr>
            </w:pPr>
            <w:r w:rsidRPr="00DA31C7">
              <w:rPr>
                <w:b/>
                <w:bCs/>
              </w:rPr>
              <w:t>N/A</w:t>
            </w:r>
          </w:p>
        </w:tc>
        <w:tc>
          <w:tcPr>
            <w:tcW w:w="1275" w:type="dxa"/>
          </w:tcPr>
          <w:p w14:paraId="5F71D856" w14:textId="64A44A65" w:rsidR="003E55A8" w:rsidRPr="00DA31C7" w:rsidRDefault="003E55A8" w:rsidP="00B5476C">
            <w:pPr>
              <w:pStyle w:val="Tabletext"/>
              <w:framePr w:hSpace="0" w:wrap="auto" w:vAnchor="margin" w:hAnchor="text" w:yAlign="inline"/>
              <w:spacing w:before="120" w:afterLines="60" w:after="144" w:line="240" w:lineRule="exact"/>
              <w:rPr>
                <w:b/>
                <w:bCs/>
              </w:rPr>
            </w:pPr>
            <w:r w:rsidRPr="00DA31C7">
              <w:rPr>
                <w:b/>
                <w:bCs/>
              </w:rPr>
              <w:t>N/A</w:t>
            </w:r>
          </w:p>
        </w:tc>
        <w:tc>
          <w:tcPr>
            <w:tcW w:w="1466" w:type="dxa"/>
          </w:tcPr>
          <w:p w14:paraId="2D854724" w14:textId="0DC6EA86" w:rsidR="003E55A8" w:rsidRPr="00DA31C7" w:rsidRDefault="003E55A8" w:rsidP="00B5476C">
            <w:pPr>
              <w:pStyle w:val="Tabletext"/>
              <w:framePr w:hSpace="0" w:wrap="auto" w:vAnchor="margin" w:hAnchor="text" w:yAlign="inline"/>
              <w:spacing w:before="120" w:afterLines="60" w:after="144" w:line="240" w:lineRule="exact"/>
              <w:rPr>
                <w:b/>
                <w:bCs/>
              </w:rPr>
            </w:pPr>
            <w:r w:rsidRPr="00DA31C7">
              <w:rPr>
                <w:b/>
                <w:bCs/>
              </w:rPr>
              <w:t>N/A</w:t>
            </w:r>
          </w:p>
        </w:tc>
        <w:tc>
          <w:tcPr>
            <w:tcW w:w="1409" w:type="dxa"/>
          </w:tcPr>
          <w:p w14:paraId="6D06F921" w14:textId="231FC463" w:rsidR="003E55A8" w:rsidRPr="00DA31C7" w:rsidRDefault="003E55A8" w:rsidP="00B5476C">
            <w:pPr>
              <w:pStyle w:val="Tabletext"/>
              <w:framePr w:hSpace="0" w:wrap="auto" w:vAnchor="margin" w:hAnchor="text" w:yAlign="inline"/>
              <w:spacing w:before="120" w:afterLines="60" w:after="144" w:line="240" w:lineRule="exact"/>
              <w:rPr>
                <w:b/>
                <w:bCs/>
              </w:rPr>
            </w:pPr>
            <w:r w:rsidRPr="00DA31C7">
              <w:rPr>
                <w:b/>
                <w:bCs/>
              </w:rPr>
              <w:t>N/A</w:t>
            </w:r>
          </w:p>
        </w:tc>
        <w:tc>
          <w:tcPr>
            <w:tcW w:w="1499" w:type="dxa"/>
          </w:tcPr>
          <w:p w14:paraId="3F906B03" w14:textId="14BDDC2A" w:rsidR="003E55A8" w:rsidRPr="00DA31C7" w:rsidRDefault="003E55A8" w:rsidP="00B5476C">
            <w:pPr>
              <w:pStyle w:val="Tabletext"/>
              <w:framePr w:hSpace="0" w:wrap="auto" w:vAnchor="margin" w:hAnchor="text" w:yAlign="inline"/>
              <w:spacing w:before="120" w:afterLines="60" w:after="144" w:line="240" w:lineRule="exact"/>
              <w:rPr>
                <w:b/>
                <w:bCs/>
              </w:rPr>
            </w:pPr>
            <w:r w:rsidRPr="00DA31C7">
              <w:rPr>
                <w:b/>
                <w:bCs/>
              </w:rPr>
              <w:t>Yes</w:t>
            </w:r>
          </w:p>
        </w:tc>
        <w:tc>
          <w:tcPr>
            <w:tcW w:w="1438" w:type="dxa"/>
          </w:tcPr>
          <w:p w14:paraId="22662E07" w14:textId="52B3F4B3" w:rsidR="003E55A8" w:rsidRPr="00DA31C7" w:rsidRDefault="003E55A8" w:rsidP="00B5476C">
            <w:pPr>
              <w:pStyle w:val="Tabletext"/>
              <w:framePr w:hSpace="0" w:wrap="auto" w:vAnchor="margin" w:hAnchor="text" w:yAlign="inline"/>
              <w:spacing w:before="120" w:afterLines="60" w:after="144" w:line="240" w:lineRule="exact"/>
              <w:rPr>
                <w:b/>
                <w:bCs/>
              </w:rPr>
            </w:pPr>
            <w:r w:rsidRPr="00DA31C7">
              <w:rPr>
                <w:b/>
                <w:bCs/>
              </w:rPr>
              <w:t>No</w:t>
            </w:r>
          </w:p>
        </w:tc>
      </w:tr>
      <w:tr w:rsidR="003E55A8" w:rsidRPr="008D3594" w14:paraId="78EACF9F" w14:textId="77777777" w:rsidTr="00204C70">
        <w:tc>
          <w:tcPr>
            <w:tcW w:w="1843" w:type="dxa"/>
          </w:tcPr>
          <w:p w14:paraId="5224BF09" w14:textId="5CBF4EC4" w:rsidR="003E55A8" w:rsidRPr="002A1E4C" w:rsidRDefault="003E55A8" w:rsidP="00C315BF">
            <w:pPr>
              <w:pStyle w:val="Tablesecondheading"/>
              <w:spacing w:before="120" w:afterLines="60" w:after="144" w:line="240" w:lineRule="exact"/>
            </w:pPr>
            <w:r w:rsidRPr="002A1E4C">
              <w:t>Is there a minimum subdivision area requirement?</w:t>
            </w:r>
          </w:p>
        </w:tc>
        <w:tc>
          <w:tcPr>
            <w:tcW w:w="851" w:type="dxa"/>
          </w:tcPr>
          <w:p w14:paraId="66C18F96" w14:textId="323DA9F1" w:rsidR="003E55A8" w:rsidRPr="00DA31C7" w:rsidRDefault="003E55A8" w:rsidP="00B5476C">
            <w:pPr>
              <w:pStyle w:val="Tabletext"/>
              <w:framePr w:hSpace="0" w:wrap="auto" w:vAnchor="margin" w:hAnchor="text" w:yAlign="inline"/>
              <w:spacing w:before="120" w:afterLines="60" w:after="144" w:line="240" w:lineRule="exact"/>
              <w:rPr>
                <w:b/>
                <w:bCs/>
              </w:rPr>
            </w:pPr>
            <w:r w:rsidRPr="00DA31C7">
              <w:rPr>
                <w:b/>
                <w:bCs/>
              </w:rPr>
              <w:t>Yes</w:t>
            </w:r>
          </w:p>
        </w:tc>
        <w:tc>
          <w:tcPr>
            <w:tcW w:w="1275" w:type="dxa"/>
          </w:tcPr>
          <w:p w14:paraId="2AAE6D19" w14:textId="02AD5C3E" w:rsidR="003E55A8" w:rsidRPr="00DA31C7" w:rsidRDefault="003E55A8" w:rsidP="00B5476C">
            <w:pPr>
              <w:pStyle w:val="Tabletext"/>
              <w:framePr w:hSpace="0" w:wrap="auto" w:vAnchor="margin" w:hAnchor="text" w:yAlign="inline"/>
              <w:spacing w:before="120" w:afterLines="60" w:after="144" w:line="240" w:lineRule="exact"/>
              <w:rPr>
                <w:b/>
                <w:bCs/>
              </w:rPr>
            </w:pPr>
            <w:r w:rsidRPr="00DA31C7">
              <w:rPr>
                <w:b/>
                <w:bCs/>
              </w:rPr>
              <w:t>No</w:t>
            </w:r>
          </w:p>
        </w:tc>
        <w:tc>
          <w:tcPr>
            <w:tcW w:w="1466" w:type="dxa"/>
          </w:tcPr>
          <w:p w14:paraId="009C1860" w14:textId="4FB87A42" w:rsidR="003E55A8" w:rsidRPr="00DA31C7" w:rsidRDefault="003E55A8" w:rsidP="00B5476C">
            <w:pPr>
              <w:pStyle w:val="Tabletext"/>
              <w:framePr w:hSpace="0" w:wrap="auto" w:vAnchor="margin" w:hAnchor="text" w:yAlign="inline"/>
              <w:spacing w:before="120" w:afterLines="60" w:after="144" w:line="240" w:lineRule="exact"/>
              <w:rPr>
                <w:b/>
                <w:bCs/>
              </w:rPr>
            </w:pPr>
            <w:r w:rsidRPr="00DA31C7">
              <w:rPr>
                <w:b/>
                <w:bCs/>
              </w:rPr>
              <w:t>No</w:t>
            </w:r>
          </w:p>
        </w:tc>
        <w:tc>
          <w:tcPr>
            <w:tcW w:w="1409" w:type="dxa"/>
          </w:tcPr>
          <w:p w14:paraId="7F5FC881" w14:textId="7337179C" w:rsidR="003E55A8" w:rsidRPr="00DA31C7" w:rsidRDefault="003E55A8" w:rsidP="00B5476C">
            <w:pPr>
              <w:pStyle w:val="Tabletext"/>
              <w:framePr w:hSpace="0" w:wrap="auto" w:vAnchor="margin" w:hAnchor="text" w:yAlign="inline"/>
              <w:spacing w:before="120" w:afterLines="60" w:after="144" w:line="240" w:lineRule="exact"/>
              <w:rPr>
                <w:b/>
                <w:bCs/>
              </w:rPr>
            </w:pPr>
            <w:r w:rsidRPr="00DA31C7">
              <w:rPr>
                <w:b/>
                <w:bCs/>
              </w:rPr>
              <w:t>No</w:t>
            </w:r>
          </w:p>
        </w:tc>
        <w:tc>
          <w:tcPr>
            <w:tcW w:w="1499" w:type="dxa"/>
          </w:tcPr>
          <w:p w14:paraId="189BEE75" w14:textId="2391A027" w:rsidR="003E55A8" w:rsidRPr="00DA31C7" w:rsidRDefault="003E55A8" w:rsidP="00B5476C">
            <w:pPr>
              <w:pStyle w:val="Tabletext"/>
              <w:framePr w:hSpace="0" w:wrap="auto" w:vAnchor="margin" w:hAnchor="text" w:yAlign="inline"/>
              <w:spacing w:before="120" w:afterLines="60" w:after="144" w:line="240" w:lineRule="exact"/>
              <w:rPr>
                <w:b/>
                <w:bCs/>
              </w:rPr>
            </w:pPr>
            <w:r w:rsidRPr="00DA31C7">
              <w:rPr>
                <w:b/>
                <w:bCs/>
              </w:rPr>
              <w:t>No</w:t>
            </w:r>
          </w:p>
        </w:tc>
        <w:tc>
          <w:tcPr>
            <w:tcW w:w="1438" w:type="dxa"/>
          </w:tcPr>
          <w:p w14:paraId="3117CB9B" w14:textId="24B9C1F9" w:rsidR="003E55A8" w:rsidRPr="00DA31C7" w:rsidRDefault="003E55A8" w:rsidP="00B5476C">
            <w:pPr>
              <w:pStyle w:val="Tabletext"/>
              <w:framePr w:hSpace="0" w:wrap="auto" w:vAnchor="margin" w:hAnchor="text" w:yAlign="inline"/>
              <w:spacing w:before="120" w:afterLines="60" w:after="144" w:line="240" w:lineRule="exact"/>
              <w:rPr>
                <w:b/>
                <w:bCs/>
              </w:rPr>
            </w:pPr>
            <w:r w:rsidRPr="00DA31C7">
              <w:rPr>
                <w:b/>
                <w:bCs/>
              </w:rPr>
              <w:t>Yes</w:t>
            </w:r>
          </w:p>
        </w:tc>
      </w:tr>
      <w:tr w:rsidR="003E55A8" w:rsidRPr="008D3594" w14:paraId="0708F4A9" w14:textId="77777777" w:rsidTr="00204C70">
        <w:tc>
          <w:tcPr>
            <w:tcW w:w="1843" w:type="dxa"/>
          </w:tcPr>
          <w:p w14:paraId="201E2EFB" w14:textId="6A71A66C" w:rsidR="003E55A8" w:rsidRPr="002A1E4C" w:rsidRDefault="003E55A8" w:rsidP="00C315BF">
            <w:pPr>
              <w:pStyle w:val="Tablesecondheading"/>
              <w:spacing w:before="120" w:afterLines="60" w:after="144" w:line="240" w:lineRule="exact"/>
            </w:pPr>
            <w:r w:rsidRPr="002A1E4C">
              <w:t>Is there a maximum building height/number of storeys requirement?</w:t>
            </w:r>
          </w:p>
        </w:tc>
        <w:tc>
          <w:tcPr>
            <w:tcW w:w="851" w:type="dxa"/>
          </w:tcPr>
          <w:p w14:paraId="40FD20CF" w14:textId="6FFC8935" w:rsidR="003E55A8" w:rsidRPr="00DA31C7" w:rsidRDefault="003E55A8" w:rsidP="00B5476C">
            <w:pPr>
              <w:pStyle w:val="Tabletext"/>
              <w:framePr w:hSpace="0" w:wrap="auto" w:vAnchor="margin" w:hAnchor="text" w:yAlign="inline"/>
              <w:spacing w:before="120" w:afterLines="60" w:after="144" w:line="240" w:lineRule="exact"/>
              <w:rPr>
                <w:b/>
                <w:bCs/>
              </w:rPr>
            </w:pPr>
            <w:r w:rsidRPr="00DA31C7">
              <w:rPr>
                <w:b/>
                <w:bCs/>
              </w:rPr>
              <w:t>No</w:t>
            </w:r>
          </w:p>
        </w:tc>
        <w:tc>
          <w:tcPr>
            <w:tcW w:w="1275" w:type="dxa"/>
          </w:tcPr>
          <w:p w14:paraId="49E085EE" w14:textId="4628AE10" w:rsidR="003E55A8" w:rsidRPr="00DA31C7" w:rsidRDefault="003E55A8" w:rsidP="00B5476C">
            <w:pPr>
              <w:pStyle w:val="Tabletext"/>
              <w:framePr w:hSpace="0" w:wrap="auto" w:vAnchor="margin" w:hAnchor="text" w:yAlign="inline"/>
              <w:spacing w:before="120" w:afterLines="60" w:after="144" w:line="240" w:lineRule="exact"/>
              <w:rPr>
                <w:b/>
                <w:bCs/>
              </w:rPr>
            </w:pPr>
            <w:r w:rsidRPr="00DA31C7">
              <w:rPr>
                <w:b/>
                <w:bCs/>
              </w:rPr>
              <w:t>No</w:t>
            </w:r>
          </w:p>
        </w:tc>
        <w:tc>
          <w:tcPr>
            <w:tcW w:w="1466" w:type="dxa"/>
          </w:tcPr>
          <w:p w14:paraId="21AA86BD" w14:textId="77777777" w:rsidR="003E55A8" w:rsidRPr="00DA31C7" w:rsidRDefault="003E55A8" w:rsidP="00B5476C">
            <w:pPr>
              <w:pStyle w:val="Tabletext"/>
              <w:framePr w:hSpace="0" w:wrap="auto" w:vAnchor="margin" w:hAnchor="text" w:yAlign="inline"/>
              <w:spacing w:before="120" w:afterLines="60" w:after="144" w:line="240" w:lineRule="exact"/>
              <w:rPr>
                <w:b/>
                <w:bCs/>
              </w:rPr>
            </w:pPr>
            <w:r w:rsidRPr="00DA31C7">
              <w:rPr>
                <w:b/>
                <w:bCs/>
              </w:rPr>
              <w:t>Yes</w:t>
            </w:r>
          </w:p>
          <w:p w14:paraId="457EE868" w14:textId="25FFBBDB" w:rsidR="003E55A8" w:rsidRPr="00DA31C7" w:rsidRDefault="003E55A8" w:rsidP="00B5476C">
            <w:pPr>
              <w:pStyle w:val="Tabletext"/>
              <w:framePr w:hSpace="0" w:wrap="auto" w:vAnchor="margin" w:hAnchor="text" w:yAlign="inline"/>
              <w:spacing w:before="120" w:afterLines="60" w:after="144" w:line="240" w:lineRule="exact"/>
              <w:rPr>
                <w:b/>
                <w:bCs/>
              </w:rPr>
            </w:pPr>
            <w:r w:rsidRPr="002A1E4C">
              <w:t>Discretionary 9m</w:t>
            </w:r>
          </w:p>
        </w:tc>
        <w:tc>
          <w:tcPr>
            <w:tcW w:w="1409" w:type="dxa"/>
          </w:tcPr>
          <w:p w14:paraId="5ED68711" w14:textId="77777777" w:rsidR="003E55A8" w:rsidRPr="00DA31C7" w:rsidRDefault="003E55A8" w:rsidP="00B5476C">
            <w:pPr>
              <w:pStyle w:val="PPN91tablebodytext"/>
              <w:spacing w:before="120" w:afterLines="60" w:after="144" w:line="240" w:lineRule="exact"/>
              <w:contextualSpacing w:val="0"/>
              <w:jc w:val="center"/>
              <w:rPr>
                <w:rFonts w:ascii="VIC" w:eastAsiaTheme="minorHAnsi" w:hAnsi="VIC" w:cs="Arial"/>
                <w:b/>
                <w:bCs/>
                <w:color w:val="5A5A5A"/>
                <w:sz w:val="18"/>
                <w:szCs w:val="18"/>
              </w:rPr>
            </w:pPr>
            <w:r w:rsidRPr="00DA31C7">
              <w:rPr>
                <w:rFonts w:ascii="VIC" w:eastAsiaTheme="minorHAnsi" w:hAnsi="VIC" w:cs="Arial"/>
                <w:b/>
                <w:bCs/>
                <w:color w:val="5A5A5A"/>
                <w:sz w:val="18"/>
                <w:szCs w:val="18"/>
              </w:rPr>
              <w:t>Yes</w:t>
            </w:r>
          </w:p>
          <w:p w14:paraId="67086E17" w14:textId="77777777" w:rsidR="003E55A8" w:rsidRPr="002A1E4C" w:rsidRDefault="003E55A8" w:rsidP="00B5476C">
            <w:pPr>
              <w:pStyle w:val="PPN91tablebodytext"/>
              <w:spacing w:before="120" w:afterLines="60" w:after="144" w:line="240" w:lineRule="exact"/>
              <w:contextualSpacing w:val="0"/>
              <w:jc w:val="center"/>
              <w:rPr>
                <w:rFonts w:ascii="VIC" w:eastAsiaTheme="minorHAnsi" w:hAnsi="VIC" w:cs="Arial"/>
                <w:color w:val="5A5A5A"/>
                <w:sz w:val="18"/>
                <w:szCs w:val="18"/>
              </w:rPr>
            </w:pPr>
            <w:r w:rsidRPr="002A1E4C">
              <w:rPr>
                <w:rFonts w:ascii="VIC" w:eastAsiaTheme="minorHAnsi" w:hAnsi="VIC" w:cs="Arial"/>
                <w:color w:val="5A5A5A"/>
                <w:sz w:val="18"/>
                <w:szCs w:val="18"/>
              </w:rPr>
              <w:t>Discretionary 13.5m</w:t>
            </w:r>
          </w:p>
          <w:p w14:paraId="30A6BBAB" w14:textId="77777777" w:rsidR="003E55A8" w:rsidRPr="00DA31C7" w:rsidRDefault="003E55A8" w:rsidP="00B5476C">
            <w:pPr>
              <w:pStyle w:val="Tabletext"/>
              <w:framePr w:hSpace="0" w:wrap="auto" w:vAnchor="margin" w:hAnchor="text" w:yAlign="inline"/>
              <w:spacing w:before="120" w:afterLines="60" w:after="144" w:line="240" w:lineRule="exact"/>
              <w:rPr>
                <w:b/>
                <w:bCs/>
              </w:rPr>
            </w:pPr>
          </w:p>
        </w:tc>
        <w:tc>
          <w:tcPr>
            <w:tcW w:w="1499" w:type="dxa"/>
          </w:tcPr>
          <w:p w14:paraId="49745D2B" w14:textId="77777777" w:rsidR="003E55A8" w:rsidRPr="00DA31C7" w:rsidRDefault="003E55A8" w:rsidP="00B5476C">
            <w:pPr>
              <w:pStyle w:val="PPN91tablebodytext"/>
              <w:spacing w:before="120" w:afterLines="60" w:after="144" w:line="240" w:lineRule="exact"/>
              <w:contextualSpacing w:val="0"/>
              <w:jc w:val="center"/>
              <w:rPr>
                <w:rFonts w:ascii="VIC" w:eastAsiaTheme="minorHAnsi" w:hAnsi="VIC" w:cs="Arial"/>
                <w:b/>
                <w:bCs/>
                <w:color w:val="5A5A5A"/>
                <w:sz w:val="18"/>
                <w:szCs w:val="18"/>
              </w:rPr>
            </w:pPr>
            <w:r w:rsidRPr="00DA31C7">
              <w:rPr>
                <w:rFonts w:ascii="VIC" w:eastAsiaTheme="minorHAnsi" w:hAnsi="VIC" w:cs="Arial"/>
                <w:b/>
                <w:bCs/>
                <w:color w:val="5A5A5A"/>
                <w:sz w:val="18"/>
                <w:szCs w:val="18"/>
              </w:rPr>
              <w:t>Yes</w:t>
            </w:r>
          </w:p>
          <w:p w14:paraId="10271B48" w14:textId="77777777" w:rsidR="003E55A8" w:rsidRPr="002A1E4C" w:rsidRDefault="003E55A8" w:rsidP="00B5476C">
            <w:pPr>
              <w:pStyle w:val="PPN91tablebodytext"/>
              <w:spacing w:before="120" w:afterLines="60" w:after="144" w:line="240" w:lineRule="exact"/>
              <w:contextualSpacing w:val="0"/>
              <w:jc w:val="center"/>
              <w:rPr>
                <w:rFonts w:ascii="VIC" w:eastAsiaTheme="minorHAnsi" w:hAnsi="VIC" w:cs="Arial"/>
                <w:color w:val="5A5A5A"/>
                <w:sz w:val="18"/>
                <w:szCs w:val="18"/>
              </w:rPr>
            </w:pPr>
            <w:r w:rsidRPr="002A1E4C">
              <w:rPr>
                <w:rFonts w:ascii="VIC" w:eastAsiaTheme="minorHAnsi" w:hAnsi="VIC" w:cs="Arial"/>
                <w:color w:val="5A5A5A"/>
                <w:sz w:val="18"/>
                <w:szCs w:val="18"/>
              </w:rPr>
              <w:t>Mandatory</w:t>
            </w:r>
          </w:p>
          <w:p w14:paraId="077A5974" w14:textId="474E58C5" w:rsidR="003E55A8" w:rsidRPr="00DA31C7" w:rsidRDefault="003E55A8" w:rsidP="00B5476C">
            <w:pPr>
              <w:pStyle w:val="Tabletext"/>
              <w:framePr w:hSpace="0" w:wrap="auto" w:vAnchor="margin" w:hAnchor="text" w:yAlign="inline"/>
              <w:spacing w:before="120" w:afterLines="60" w:after="144" w:line="240" w:lineRule="exact"/>
              <w:rPr>
                <w:b/>
                <w:bCs/>
              </w:rPr>
            </w:pPr>
            <w:r w:rsidRPr="002A1E4C">
              <w:t>11 metres and 3 storeys</w:t>
            </w:r>
          </w:p>
        </w:tc>
        <w:tc>
          <w:tcPr>
            <w:tcW w:w="1438" w:type="dxa"/>
          </w:tcPr>
          <w:p w14:paraId="23B05F93" w14:textId="77777777" w:rsidR="003E55A8" w:rsidRPr="00DA31C7" w:rsidRDefault="003E55A8" w:rsidP="00B5476C">
            <w:pPr>
              <w:pStyle w:val="PPN91tablebodytext"/>
              <w:spacing w:before="120" w:afterLines="60" w:after="144" w:line="240" w:lineRule="exact"/>
              <w:contextualSpacing w:val="0"/>
              <w:jc w:val="center"/>
              <w:rPr>
                <w:rFonts w:ascii="VIC" w:eastAsiaTheme="minorHAnsi" w:hAnsi="VIC" w:cs="Arial"/>
                <w:b/>
                <w:bCs/>
                <w:color w:val="5A5A5A"/>
                <w:sz w:val="18"/>
                <w:szCs w:val="18"/>
              </w:rPr>
            </w:pPr>
            <w:r w:rsidRPr="00DA31C7">
              <w:rPr>
                <w:rFonts w:ascii="VIC" w:eastAsiaTheme="minorHAnsi" w:hAnsi="VIC" w:cs="Arial"/>
                <w:b/>
                <w:bCs/>
                <w:color w:val="5A5A5A"/>
                <w:sz w:val="18"/>
                <w:szCs w:val="18"/>
              </w:rPr>
              <w:t>Yes</w:t>
            </w:r>
          </w:p>
          <w:p w14:paraId="404F545B" w14:textId="77777777" w:rsidR="003E55A8" w:rsidRPr="002A1E4C" w:rsidRDefault="003E55A8" w:rsidP="00B5476C">
            <w:pPr>
              <w:pStyle w:val="PPN91tablebodytext"/>
              <w:spacing w:before="120" w:afterLines="60" w:after="144" w:line="240" w:lineRule="exact"/>
              <w:contextualSpacing w:val="0"/>
              <w:jc w:val="center"/>
              <w:rPr>
                <w:rFonts w:ascii="VIC" w:eastAsiaTheme="minorHAnsi" w:hAnsi="VIC" w:cs="Arial"/>
                <w:color w:val="5A5A5A"/>
                <w:sz w:val="18"/>
                <w:szCs w:val="18"/>
              </w:rPr>
            </w:pPr>
            <w:r w:rsidRPr="002A1E4C">
              <w:rPr>
                <w:rFonts w:ascii="VIC" w:eastAsiaTheme="minorHAnsi" w:hAnsi="VIC" w:cs="Arial"/>
                <w:color w:val="5A5A5A"/>
                <w:sz w:val="18"/>
                <w:szCs w:val="18"/>
              </w:rPr>
              <w:t>Mandatory</w:t>
            </w:r>
          </w:p>
          <w:p w14:paraId="7BC671CE" w14:textId="3E640B9D" w:rsidR="003E55A8" w:rsidRPr="00DA31C7" w:rsidRDefault="003E55A8" w:rsidP="00B5476C">
            <w:pPr>
              <w:pStyle w:val="Tabletext"/>
              <w:framePr w:hSpace="0" w:wrap="auto" w:vAnchor="margin" w:hAnchor="text" w:yAlign="inline"/>
              <w:spacing w:before="120" w:afterLines="60" w:after="144" w:line="240" w:lineRule="exact"/>
              <w:rPr>
                <w:b/>
                <w:bCs/>
              </w:rPr>
            </w:pPr>
            <w:r w:rsidRPr="002A1E4C">
              <w:t>9 metres and 2 storeys</w:t>
            </w:r>
          </w:p>
        </w:tc>
      </w:tr>
      <w:tr w:rsidR="003E55A8" w:rsidRPr="008D3594" w14:paraId="59D8940E" w14:textId="77777777" w:rsidTr="00204C70">
        <w:tc>
          <w:tcPr>
            <w:tcW w:w="1843" w:type="dxa"/>
          </w:tcPr>
          <w:p w14:paraId="2E372B04" w14:textId="487301CD" w:rsidR="003E55A8" w:rsidRPr="00C315BF" w:rsidRDefault="003E55A8" w:rsidP="00F4248D">
            <w:pPr>
              <w:pStyle w:val="Tablesecondheading"/>
              <w:spacing w:before="120" w:afterLines="60" w:after="144" w:line="240" w:lineRule="exact"/>
            </w:pPr>
            <w:r w:rsidRPr="00C315BF">
              <w:t>Can a mandatory maximum building height be specified in the schedule?</w:t>
            </w:r>
          </w:p>
        </w:tc>
        <w:tc>
          <w:tcPr>
            <w:tcW w:w="851" w:type="dxa"/>
          </w:tcPr>
          <w:p w14:paraId="1579FC57" w14:textId="7F190350" w:rsidR="003E55A8" w:rsidRPr="00DA31C7" w:rsidRDefault="003E55A8" w:rsidP="00943EAE">
            <w:pPr>
              <w:pStyle w:val="Tabletext"/>
              <w:framePr w:hSpace="0" w:wrap="auto" w:vAnchor="margin" w:hAnchor="text" w:yAlign="inline"/>
              <w:spacing w:before="120" w:afterLines="60" w:after="144" w:line="240" w:lineRule="exact"/>
              <w:rPr>
                <w:b/>
                <w:bCs/>
              </w:rPr>
            </w:pPr>
            <w:r w:rsidRPr="00DA31C7">
              <w:rPr>
                <w:b/>
                <w:bCs/>
              </w:rPr>
              <w:t>No</w:t>
            </w:r>
          </w:p>
        </w:tc>
        <w:tc>
          <w:tcPr>
            <w:tcW w:w="1275" w:type="dxa"/>
          </w:tcPr>
          <w:p w14:paraId="7DA11F33" w14:textId="77777777" w:rsidR="003E55A8" w:rsidRPr="00DA31C7" w:rsidRDefault="003E55A8" w:rsidP="00943EAE">
            <w:pPr>
              <w:pStyle w:val="PPN91tablebodytext"/>
              <w:spacing w:before="120" w:afterLines="60" w:after="144" w:line="240" w:lineRule="exact"/>
              <w:contextualSpacing w:val="0"/>
              <w:jc w:val="center"/>
              <w:rPr>
                <w:rFonts w:ascii="VIC" w:eastAsiaTheme="minorHAnsi" w:hAnsi="VIC" w:cs="Arial"/>
                <w:b/>
                <w:bCs/>
                <w:color w:val="5A5A5A"/>
                <w:sz w:val="18"/>
                <w:szCs w:val="18"/>
              </w:rPr>
            </w:pPr>
            <w:r w:rsidRPr="00DA31C7">
              <w:rPr>
                <w:rFonts w:ascii="VIC" w:eastAsiaTheme="minorHAnsi" w:hAnsi="VIC" w:cs="Arial"/>
                <w:b/>
                <w:bCs/>
                <w:color w:val="5A5A5A"/>
                <w:sz w:val="18"/>
                <w:szCs w:val="18"/>
              </w:rPr>
              <w:t>Yes</w:t>
            </w:r>
          </w:p>
          <w:p w14:paraId="03D25ED0" w14:textId="2936F392" w:rsidR="003E55A8" w:rsidRPr="00DA31C7" w:rsidRDefault="003E55A8" w:rsidP="00943EAE">
            <w:pPr>
              <w:pStyle w:val="Tabletext"/>
              <w:framePr w:hSpace="0" w:wrap="auto" w:vAnchor="margin" w:hAnchor="text" w:yAlign="inline"/>
              <w:spacing w:before="120" w:afterLines="60" w:after="144" w:line="240" w:lineRule="exact"/>
              <w:rPr>
                <w:b/>
                <w:bCs/>
              </w:rPr>
            </w:pPr>
            <w:r w:rsidRPr="002A1E4C">
              <w:t>Height only</w:t>
            </w:r>
          </w:p>
        </w:tc>
        <w:tc>
          <w:tcPr>
            <w:tcW w:w="1466" w:type="dxa"/>
          </w:tcPr>
          <w:p w14:paraId="3C2AEE3F" w14:textId="77777777" w:rsidR="003E55A8" w:rsidRPr="00DA31C7" w:rsidRDefault="003E55A8" w:rsidP="00943EAE">
            <w:pPr>
              <w:pStyle w:val="PPN91tablebodytext"/>
              <w:spacing w:before="120" w:afterLines="60" w:after="144" w:line="240" w:lineRule="exact"/>
              <w:contextualSpacing w:val="0"/>
              <w:jc w:val="center"/>
              <w:rPr>
                <w:rFonts w:ascii="VIC" w:eastAsiaTheme="minorHAnsi" w:hAnsi="VIC" w:cs="Arial"/>
                <w:b/>
                <w:bCs/>
                <w:color w:val="5A5A5A"/>
                <w:sz w:val="18"/>
                <w:szCs w:val="18"/>
              </w:rPr>
            </w:pPr>
            <w:r w:rsidRPr="00DA31C7">
              <w:rPr>
                <w:rFonts w:ascii="VIC" w:eastAsiaTheme="minorHAnsi" w:hAnsi="VIC" w:cs="Arial"/>
                <w:b/>
                <w:bCs/>
                <w:color w:val="5A5A5A"/>
                <w:sz w:val="18"/>
                <w:szCs w:val="18"/>
              </w:rPr>
              <w:t>Yes</w:t>
            </w:r>
          </w:p>
          <w:p w14:paraId="388C16CC" w14:textId="5602C84B" w:rsidR="003E55A8" w:rsidRPr="00DA31C7" w:rsidRDefault="003E55A8" w:rsidP="00943EAE">
            <w:pPr>
              <w:pStyle w:val="Tabletext"/>
              <w:framePr w:hSpace="0" w:wrap="auto" w:vAnchor="margin" w:hAnchor="text" w:yAlign="inline"/>
              <w:spacing w:before="120" w:afterLines="60" w:after="144" w:line="240" w:lineRule="exact"/>
              <w:rPr>
                <w:b/>
                <w:bCs/>
              </w:rPr>
            </w:pPr>
            <w:r w:rsidRPr="002A1E4C">
              <w:t>Height only and not less than 9 metres</w:t>
            </w:r>
          </w:p>
        </w:tc>
        <w:tc>
          <w:tcPr>
            <w:tcW w:w="1409" w:type="dxa"/>
          </w:tcPr>
          <w:p w14:paraId="43CAC42E" w14:textId="77777777" w:rsidR="003E55A8" w:rsidRPr="00DA31C7" w:rsidRDefault="003E55A8" w:rsidP="00943EAE">
            <w:pPr>
              <w:pStyle w:val="PPN91tablebodytext"/>
              <w:spacing w:before="120" w:afterLines="60" w:after="144" w:line="240" w:lineRule="exact"/>
              <w:contextualSpacing w:val="0"/>
              <w:jc w:val="center"/>
              <w:rPr>
                <w:rFonts w:ascii="VIC" w:eastAsiaTheme="minorHAnsi" w:hAnsi="VIC" w:cs="Arial"/>
                <w:b/>
                <w:bCs/>
                <w:color w:val="5A5A5A"/>
                <w:sz w:val="18"/>
                <w:szCs w:val="18"/>
              </w:rPr>
            </w:pPr>
            <w:r w:rsidRPr="00DA31C7">
              <w:rPr>
                <w:rFonts w:ascii="VIC" w:eastAsiaTheme="minorHAnsi" w:hAnsi="VIC" w:cs="Arial"/>
                <w:b/>
                <w:bCs/>
                <w:color w:val="5A5A5A"/>
                <w:sz w:val="18"/>
                <w:szCs w:val="18"/>
              </w:rPr>
              <w:t>Yes</w:t>
            </w:r>
          </w:p>
          <w:p w14:paraId="715363A7" w14:textId="54D4F7DE" w:rsidR="003E55A8" w:rsidRPr="00DA31C7" w:rsidRDefault="003E55A8" w:rsidP="00943EAE">
            <w:pPr>
              <w:pStyle w:val="Tabletext"/>
              <w:framePr w:hSpace="0" w:wrap="auto" w:vAnchor="margin" w:hAnchor="text" w:yAlign="inline"/>
              <w:spacing w:before="120" w:afterLines="60" w:after="144" w:line="240" w:lineRule="exact"/>
              <w:rPr>
                <w:b/>
                <w:bCs/>
              </w:rPr>
            </w:pPr>
            <w:r w:rsidRPr="002A1E4C">
              <w:t>Height only and not less than 13.5 metres</w:t>
            </w:r>
          </w:p>
        </w:tc>
        <w:tc>
          <w:tcPr>
            <w:tcW w:w="1499" w:type="dxa"/>
          </w:tcPr>
          <w:p w14:paraId="0935F3B7" w14:textId="77777777" w:rsidR="003E55A8" w:rsidRPr="00DA31C7" w:rsidRDefault="003E55A8" w:rsidP="00943EAE">
            <w:pPr>
              <w:pStyle w:val="PPN91tablebodytext"/>
              <w:spacing w:before="120" w:afterLines="60" w:after="144" w:line="240" w:lineRule="exact"/>
              <w:contextualSpacing w:val="0"/>
              <w:jc w:val="center"/>
              <w:rPr>
                <w:rFonts w:ascii="VIC" w:eastAsiaTheme="minorHAnsi" w:hAnsi="VIC" w:cs="Arial"/>
                <w:b/>
                <w:bCs/>
                <w:color w:val="5A5A5A"/>
                <w:sz w:val="18"/>
                <w:szCs w:val="18"/>
              </w:rPr>
            </w:pPr>
            <w:r w:rsidRPr="00DA31C7">
              <w:rPr>
                <w:rFonts w:ascii="VIC" w:eastAsiaTheme="minorHAnsi" w:hAnsi="VIC" w:cs="Arial"/>
                <w:b/>
                <w:bCs/>
                <w:color w:val="5A5A5A"/>
                <w:sz w:val="18"/>
                <w:szCs w:val="18"/>
              </w:rPr>
              <w:t>Yes</w:t>
            </w:r>
          </w:p>
          <w:p w14:paraId="2722EBD0" w14:textId="75D374D1" w:rsidR="003E55A8" w:rsidRPr="00DA31C7" w:rsidRDefault="003E55A8" w:rsidP="00943EAE">
            <w:pPr>
              <w:pStyle w:val="Tabletext"/>
              <w:framePr w:hSpace="0" w:wrap="auto" w:vAnchor="margin" w:hAnchor="text" w:yAlign="inline"/>
              <w:spacing w:before="120" w:afterLines="60" w:after="144" w:line="240" w:lineRule="exact"/>
              <w:rPr>
                <w:b/>
                <w:bCs/>
              </w:rPr>
            </w:pPr>
            <w:r w:rsidRPr="002A1E4C">
              <w:t>Height and storeys and not less than 11 metres and 3 storeys</w:t>
            </w:r>
          </w:p>
        </w:tc>
        <w:tc>
          <w:tcPr>
            <w:tcW w:w="1438" w:type="dxa"/>
          </w:tcPr>
          <w:p w14:paraId="4C355EC0" w14:textId="77777777" w:rsidR="003E55A8" w:rsidRPr="00DA31C7" w:rsidRDefault="003E55A8" w:rsidP="00943EAE">
            <w:pPr>
              <w:pStyle w:val="PPN91tablebodytext"/>
              <w:spacing w:before="120" w:afterLines="60" w:after="144" w:line="240" w:lineRule="exact"/>
              <w:contextualSpacing w:val="0"/>
              <w:jc w:val="center"/>
              <w:rPr>
                <w:rFonts w:ascii="VIC" w:eastAsiaTheme="minorHAnsi" w:hAnsi="VIC" w:cs="Arial"/>
                <w:b/>
                <w:bCs/>
                <w:color w:val="5A5A5A"/>
                <w:sz w:val="18"/>
                <w:szCs w:val="18"/>
              </w:rPr>
            </w:pPr>
            <w:r w:rsidRPr="00DA31C7">
              <w:rPr>
                <w:rFonts w:ascii="VIC" w:eastAsiaTheme="minorHAnsi" w:hAnsi="VIC" w:cs="Arial"/>
                <w:b/>
                <w:bCs/>
                <w:color w:val="5A5A5A"/>
                <w:sz w:val="18"/>
                <w:szCs w:val="18"/>
              </w:rPr>
              <w:t>Yes</w:t>
            </w:r>
          </w:p>
          <w:p w14:paraId="01BD6501" w14:textId="3680CA16" w:rsidR="003E55A8" w:rsidRPr="00DA31C7" w:rsidRDefault="003E55A8" w:rsidP="00943EAE">
            <w:pPr>
              <w:pStyle w:val="Tabletext"/>
              <w:framePr w:hSpace="0" w:wrap="auto" w:vAnchor="margin" w:hAnchor="text" w:yAlign="inline"/>
              <w:spacing w:before="120" w:afterLines="60" w:after="144" w:line="240" w:lineRule="exact"/>
              <w:rPr>
                <w:b/>
                <w:bCs/>
              </w:rPr>
            </w:pPr>
            <w:r w:rsidRPr="002A1E4C">
              <w:t>Height and storeys and not less than 9 metres and 2 storeys</w:t>
            </w:r>
          </w:p>
        </w:tc>
      </w:tr>
      <w:tr w:rsidR="003E55A8" w:rsidRPr="008D3594" w14:paraId="16733442" w14:textId="77777777" w:rsidTr="00204C70">
        <w:tc>
          <w:tcPr>
            <w:tcW w:w="1843" w:type="dxa"/>
          </w:tcPr>
          <w:p w14:paraId="40A35657" w14:textId="05D57BC6" w:rsidR="003E55A8" w:rsidRPr="002A1E4C" w:rsidRDefault="003E55A8" w:rsidP="00C315BF">
            <w:pPr>
              <w:pStyle w:val="Tablesecondheading"/>
              <w:spacing w:before="120" w:afterLines="60" w:after="144" w:line="240" w:lineRule="exact"/>
            </w:pPr>
            <w:r w:rsidRPr="002A1E4C">
              <w:t>Can application requirements and decision guidelines be specified?</w:t>
            </w:r>
          </w:p>
        </w:tc>
        <w:tc>
          <w:tcPr>
            <w:tcW w:w="851" w:type="dxa"/>
          </w:tcPr>
          <w:p w14:paraId="55342544" w14:textId="69F9FCDF" w:rsidR="003E55A8" w:rsidRPr="00DA31C7" w:rsidRDefault="003E55A8" w:rsidP="00943EAE">
            <w:pPr>
              <w:pStyle w:val="Tabletext"/>
              <w:framePr w:hSpace="0" w:wrap="auto" w:vAnchor="margin" w:hAnchor="text" w:yAlign="inline"/>
              <w:spacing w:before="120" w:afterLines="60" w:after="144" w:line="240" w:lineRule="exact"/>
              <w:rPr>
                <w:b/>
                <w:bCs/>
              </w:rPr>
            </w:pPr>
            <w:r w:rsidRPr="00DA31C7">
              <w:rPr>
                <w:b/>
                <w:bCs/>
              </w:rPr>
              <w:t>No</w:t>
            </w:r>
          </w:p>
        </w:tc>
        <w:tc>
          <w:tcPr>
            <w:tcW w:w="1275" w:type="dxa"/>
          </w:tcPr>
          <w:p w14:paraId="4C867D7D" w14:textId="3666DBB7" w:rsidR="003E55A8" w:rsidRPr="00DA31C7" w:rsidRDefault="003E55A8" w:rsidP="00943EAE">
            <w:pPr>
              <w:pStyle w:val="Tabletext"/>
              <w:framePr w:hSpace="0" w:wrap="auto" w:vAnchor="margin" w:hAnchor="text" w:yAlign="inline"/>
              <w:spacing w:before="120" w:afterLines="60" w:after="144" w:line="240" w:lineRule="exact"/>
              <w:rPr>
                <w:b/>
                <w:bCs/>
              </w:rPr>
            </w:pPr>
            <w:r w:rsidRPr="00DA31C7">
              <w:rPr>
                <w:b/>
                <w:bCs/>
              </w:rPr>
              <w:t>Yes</w:t>
            </w:r>
          </w:p>
        </w:tc>
        <w:tc>
          <w:tcPr>
            <w:tcW w:w="1466" w:type="dxa"/>
          </w:tcPr>
          <w:p w14:paraId="5E8911CE" w14:textId="2307DA1E" w:rsidR="003E55A8" w:rsidRPr="00DA31C7" w:rsidRDefault="003E55A8" w:rsidP="00943EAE">
            <w:pPr>
              <w:pStyle w:val="Tabletext"/>
              <w:framePr w:hSpace="0" w:wrap="auto" w:vAnchor="margin" w:hAnchor="text" w:yAlign="inline"/>
              <w:spacing w:before="120" w:afterLines="60" w:after="144" w:line="240" w:lineRule="exact"/>
              <w:rPr>
                <w:b/>
                <w:bCs/>
              </w:rPr>
            </w:pPr>
            <w:r w:rsidRPr="00DA31C7">
              <w:rPr>
                <w:b/>
                <w:bCs/>
              </w:rPr>
              <w:t>Yes</w:t>
            </w:r>
          </w:p>
        </w:tc>
        <w:tc>
          <w:tcPr>
            <w:tcW w:w="1409" w:type="dxa"/>
          </w:tcPr>
          <w:p w14:paraId="4B7CED2B" w14:textId="7F47742E" w:rsidR="003E55A8" w:rsidRPr="00DA31C7" w:rsidRDefault="003E55A8" w:rsidP="00943EAE">
            <w:pPr>
              <w:pStyle w:val="Tabletext"/>
              <w:framePr w:hSpace="0" w:wrap="auto" w:vAnchor="margin" w:hAnchor="text" w:yAlign="inline"/>
              <w:spacing w:before="120" w:afterLines="60" w:after="144" w:line="240" w:lineRule="exact"/>
              <w:rPr>
                <w:b/>
                <w:bCs/>
              </w:rPr>
            </w:pPr>
            <w:r w:rsidRPr="00DA31C7">
              <w:rPr>
                <w:b/>
                <w:bCs/>
              </w:rPr>
              <w:t>Yes</w:t>
            </w:r>
          </w:p>
        </w:tc>
        <w:tc>
          <w:tcPr>
            <w:tcW w:w="1499" w:type="dxa"/>
          </w:tcPr>
          <w:p w14:paraId="12A36297" w14:textId="73410D42" w:rsidR="003E55A8" w:rsidRPr="00DA31C7" w:rsidRDefault="003E55A8" w:rsidP="00943EAE">
            <w:pPr>
              <w:pStyle w:val="Tabletext"/>
              <w:framePr w:hSpace="0" w:wrap="auto" w:vAnchor="margin" w:hAnchor="text" w:yAlign="inline"/>
              <w:spacing w:before="120" w:afterLines="60" w:after="144" w:line="240" w:lineRule="exact"/>
              <w:rPr>
                <w:b/>
                <w:bCs/>
              </w:rPr>
            </w:pPr>
            <w:r w:rsidRPr="00DA31C7">
              <w:rPr>
                <w:b/>
                <w:bCs/>
              </w:rPr>
              <w:t>Yes</w:t>
            </w:r>
          </w:p>
        </w:tc>
        <w:tc>
          <w:tcPr>
            <w:tcW w:w="1438" w:type="dxa"/>
          </w:tcPr>
          <w:p w14:paraId="2109F7C6" w14:textId="21A68342" w:rsidR="003E55A8" w:rsidRPr="00DA31C7" w:rsidRDefault="003E55A8" w:rsidP="00943EAE">
            <w:pPr>
              <w:pStyle w:val="Tabletext"/>
              <w:framePr w:hSpace="0" w:wrap="auto" w:vAnchor="margin" w:hAnchor="text" w:yAlign="inline"/>
              <w:spacing w:before="120" w:afterLines="60" w:after="144" w:line="240" w:lineRule="exact"/>
              <w:rPr>
                <w:b/>
                <w:bCs/>
              </w:rPr>
            </w:pPr>
            <w:r w:rsidRPr="00DA31C7">
              <w:rPr>
                <w:b/>
                <w:bCs/>
              </w:rPr>
              <w:t>Yes</w:t>
            </w:r>
          </w:p>
        </w:tc>
      </w:tr>
    </w:tbl>
    <w:p w14:paraId="3BF258EE" w14:textId="1B7654C9" w:rsidR="006B757C" w:rsidRPr="00AD12D5" w:rsidRDefault="006B757C" w:rsidP="00840A30">
      <w:pPr>
        <w:pStyle w:val="Heading2"/>
      </w:pPr>
      <w:r>
        <w:t xml:space="preserve">The role of local </w:t>
      </w:r>
      <w:r w:rsidRPr="005A05DB">
        <w:t>objectives</w:t>
      </w:r>
      <w:bookmarkStart w:id="2" w:name="_Hlk26947367"/>
    </w:p>
    <w:p w14:paraId="5B4A84C4" w14:textId="77777777" w:rsidR="006B757C" w:rsidRDefault="006B757C" w:rsidP="006B757C">
      <w:pPr>
        <w:spacing w:after="0" w:line="240" w:lineRule="auto"/>
      </w:pPr>
      <w:r w:rsidRPr="00AD12D5">
        <w:t>While state</w:t>
      </w:r>
      <w:r>
        <w:t xml:space="preserve">, </w:t>
      </w:r>
      <w:proofErr w:type="gramStart"/>
      <w:r>
        <w:t>regional</w:t>
      </w:r>
      <w:proofErr w:type="gramEnd"/>
      <w:r w:rsidRPr="00AD12D5">
        <w:t xml:space="preserve"> and local planning policy </w:t>
      </w:r>
      <w:r>
        <w:t>sets out</w:t>
      </w:r>
      <w:r w:rsidRPr="00AD12D5">
        <w:t xml:space="preserve"> how discretion should be exercised</w:t>
      </w:r>
      <w:r>
        <w:t>, t</w:t>
      </w:r>
      <w:r w:rsidRPr="00AD12D5">
        <w:t xml:space="preserve">he ability to specify </w:t>
      </w:r>
      <w:r>
        <w:t xml:space="preserve">local </w:t>
      </w:r>
      <w:r w:rsidRPr="00AD12D5">
        <w:t xml:space="preserve">objectives </w:t>
      </w:r>
      <w:r>
        <w:t xml:space="preserve">in a residential schedule </w:t>
      </w:r>
      <w:r w:rsidRPr="00AD12D5">
        <w:t xml:space="preserve">enables detailed expression to be </w:t>
      </w:r>
      <w:r w:rsidRPr="00AD12D5">
        <w:lastRenderedPageBreak/>
        <w:t xml:space="preserve">given to </w:t>
      </w:r>
      <w:r>
        <w:t xml:space="preserve">desired </w:t>
      </w:r>
      <w:r w:rsidRPr="00AD12D5">
        <w:t>neighbourhood</w:t>
      </w:r>
      <w:r>
        <w:t>, heritage, environmental, landscape</w:t>
      </w:r>
      <w:r w:rsidRPr="00AD12D5">
        <w:t xml:space="preserve"> or design</w:t>
      </w:r>
      <w:r>
        <w:t xml:space="preserve"> outcomes to be achieved for an area</w:t>
      </w:r>
      <w:r w:rsidRPr="00AD12D5">
        <w:t xml:space="preserve">. </w:t>
      </w:r>
    </w:p>
    <w:bookmarkEnd w:id="2"/>
    <w:p w14:paraId="4BF1E348" w14:textId="3D100CE5" w:rsidR="00941616" w:rsidRPr="00941616" w:rsidRDefault="006B757C" w:rsidP="00941616">
      <w:pPr>
        <w:spacing w:after="0" w:line="240" w:lineRule="auto"/>
      </w:pPr>
      <w:r>
        <w:t xml:space="preserve">The </w:t>
      </w:r>
      <w:hyperlink r:id="rId19" w:history="1">
        <w:r w:rsidRPr="00204C70">
          <w:rPr>
            <w:rStyle w:val="Hyperlink"/>
            <w:i/>
            <w:iCs/>
          </w:rPr>
          <w:t xml:space="preserve">Minister’s Direction </w:t>
        </w:r>
        <w:r w:rsidR="007F19BA" w:rsidRPr="00204C70">
          <w:rPr>
            <w:rStyle w:val="Hyperlink"/>
            <w:i/>
            <w:iCs/>
          </w:rPr>
          <w:t xml:space="preserve"> - T</w:t>
        </w:r>
        <w:r w:rsidRPr="00204C70">
          <w:rPr>
            <w:rStyle w:val="Hyperlink"/>
            <w:i/>
            <w:iCs/>
          </w:rPr>
          <w:t>he Form and Content of Planning Schemes</w:t>
        </w:r>
      </w:hyperlink>
      <w:r>
        <w:t xml:space="preserve"> only allows a maximum of five</w:t>
      </w:r>
      <w:r w:rsidRPr="00AD12D5">
        <w:t xml:space="preserve"> objectives </w:t>
      </w:r>
      <w:r>
        <w:t>to</w:t>
      </w:r>
      <w:r w:rsidRPr="00AD12D5">
        <w:t xml:space="preserve"> be expressed in </w:t>
      </w:r>
      <w:r>
        <w:t>a</w:t>
      </w:r>
      <w:r w:rsidRPr="00AD12D5">
        <w:t xml:space="preserve"> schedule to </w:t>
      </w:r>
      <w:r>
        <w:t>a residential zone</w:t>
      </w:r>
      <w:r w:rsidRPr="00AD12D5">
        <w:t>.</w:t>
      </w:r>
      <w:bookmarkStart w:id="3" w:name="_Hlk135649805"/>
    </w:p>
    <w:p w14:paraId="6C9CBBF9" w14:textId="59B6BBCD" w:rsidR="006B757C" w:rsidRPr="00ED5AA3" w:rsidRDefault="006B757C" w:rsidP="00204C70">
      <w:pPr>
        <w:pStyle w:val="TableName"/>
        <w:spacing w:line="240" w:lineRule="exact"/>
      </w:pPr>
      <w:r w:rsidRPr="00ED5AA3">
        <w:t xml:space="preserve">Table 5: </w:t>
      </w:r>
      <w:r w:rsidRPr="00C878DA">
        <w:rPr>
          <w:b w:val="0"/>
          <w:bCs w:val="0"/>
        </w:rPr>
        <w:t>Operation of local objectives</w:t>
      </w:r>
    </w:p>
    <w:tbl>
      <w:tblPr>
        <w:tblStyle w:val="Table1"/>
        <w:tblpPr w:leftFromText="180" w:rightFromText="180" w:vertAnchor="text" w:horzAnchor="margin" w:tblpY="185"/>
        <w:tblW w:w="9351" w:type="dxa"/>
        <w:tblBorders>
          <w:left w:val="none" w:sz="0" w:space="0" w:color="auto"/>
          <w:right w:val="none" w:sz="0" w:space="0" w:color="auto"/>
        </w:tblBorders>
        <w:tblLook w:val="04A0" w:firstRow="1" w:lastRow="0" w:firstColumn="1" w:lastColumn="0" w:noHBand="0" w:noVBand="1"/>
      </w:tblPr>
      <w:tblGrid>
        <w:gridCol w:w="846"/>
        <w:gridCol w:w="8505"/>
      </w:tblGrid>
      <w:tr w:rsidR="006B757C" w:rsidRPr="007766C3" w14:paraId="5D63D6FA" w14:textId="77777777" w:rsidTr="00F4248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846" w:type="dxa"/>
          </w:tcPr>
          <w:bookmarkEnd w:id="3"/>
          <w:p w14:paraId="3FF6587E" w14:textId="77777777" w:rsidR="006B757C" w:rsidRPr="006B757C" w:rsidRDefault="006B757C" w:rsidP="006B757C">
            <w:pPr>
              <w:pStyle w:val="Tableheader"/>
              <w:framePr w:hSpace="0" w:wrap="auto" w:vAnchor="margin" w:hAnchor="text" w:yAlign="inline"/>
              <w:rPr>
                <w:b/>
              </w:rPr>
            </w:pPr>
            <w:r>
              <w:rPr>
                <w:b/>
              </w:rPr>
              <w:softHyphen/>
            </w:r>
            <w:r w:rsidRPr="006B757C">
              <w:rPr>
                <w:b/>
              </w:rPr>
              <w:t>Zone</w:t>
            </w:r>
            <w:r>
              <w:rPr>
                <w:b/>
              </w:rPr>
              <w:t xml:space="preserve"> </w:t>
            </w:r>
          </w:p>
        </w:tc>
        <w:tc>
          <w:tcPr>
            <w:tcW w:w="8505" w:type="dxa"/>
          </w:tcPr>
          <w:p w14:paraId="68AD9E7B" w14:textId="5BA05495" w:rsidR="006B757C" w:rsidRPr="007766C3" w:rsidRDefault="006B757C" w:rsidP="006B757C">
            <w:pPr>
              <w:pStyle w:val="Tableheader"/>
              <w:framePr w:hSpace="0" w:wrap="auto" w:vAnchor="margin" w:hAnchor="text" w:yAlign="inline"/>
              <w:cnfStyle w:val="100000000000" w:firstRow="1" w:lastRow="0" w:firstColumn="0" w:lastColumn="0" w:oddVBand="0" w:evenVBand="0" w:oddHBand="0" w:evenHBand="0" w:firstRowFirstColumn="0" w:firstRowLastColumn="0" w:lastRowFirstColumn="0" w:lastRowLastColumn="0"/>
            </w:pPr>
            <w:r w:rsidRPr="006B757C">
              <w:rPr>
                <w:b/>
              </w:rPr>
              <w:t>Operation of local objectives</w:t>
            </w:r>
          </w:p>
        </w:tc>
      </w:tr>
      <w:tr w:rsidR="006B757C" w:rsidRPr="007766C3" w14:paraId="5E6E7705" w14:textId="77777777" w:rsidTr="006E6D3C">
        <w:tc>
          <w:tcPr>
            <w:tcW w:w="846" w:type="dxa"/>
          </w:tcPr>
          <w:p w14:paraId="5A3B0C7C" w14:textId="092BB377" w:rsidR="006B757C" w:rsidRPr="006B757C" w:rsidRDefault="006B757C" w:rsidP="0054376C">
            <w:pPr>
              <w:pStyle w:val="Tablesecondheading"/>
              <w:spacing w:before="120"/>
            </w:pPr>
            <w:r w:rsidRPr="0030315F">
              <w:t>LDRZ</w:t>
            </w:r>
          </w:p>
        </w:tc>
        <w:tc>
          <w:tcPr>
            <w:tcW w:w="8505" w:type="dxa"/>
          </w:tcPr>
          <w:p w14:paraId="265ADED2" w14:textId="7D3D323E" w:rsidR="006B757C" w:rsidRPr="006118BD" w:rsidRDefault="00ED5AA3" w:rsidP="0054376C">
            <w:pPr>
              <w:pStyle w:val="Tabletext"/>
              <w:framePr w:hSpace="0" w:wrap="auto" w:vAnchor="margin" w:hAnchor="text" w:yAlign="inline"/>
              <w:spacing w:before="120"/>
              <w:jc w:val="left"/>
            </w:pPr>
            <w:r>
              <w:t>There is no</w:t>
            </w:r>
            <w:r w:rsidR="006B757C" w:rsidRPr="0030315F">
              <w:t xml:space="preserve"> provision for </w:t>
            </w:r>
            <w:r>
              <w:t>specifying</w:t>
            </w:r>
            <w:r w:rsidR="006B757C" w:rsidRPr="0030315F">
              <w:t xml:space="preserve"> objectives in the schedule</w:t>
            </w:r>
            <w:r>
              <w:t>,</w:t>
            </w:r>
            <w:r w:rsidR="006B757C" w:rsidRPr="0030315F">
              <w:t xml:space="preserve"> as the purposes of the zone clearly express the intention of the zone.</w:t>
            </w:r>
          </w:p>
        </w:tc>
      </w:tr>
      <w:tr w:rsidR="006B757C" w:rsidRPr="007766C3" w14:paraId="646E8E6A" w14:textId="77777777" w:rsidTr="006E6D3C">
        <w:tc>
          <w:tcPr>
            <w:tcW w:w="846" w:type="dxa"/>
          </w:tcPr>
          <w:p w14:paraId="38557540" w14:textId="50BEDA1C" w:rsidR="006B757C" w:rsidRPr="0030315F" w:rsidRDefault="006B757C" w:rsidP="0054376C">
            <w:pPr>
              <w:pStyle w:val="Tablesecondheading"/>
              <w:spacing w:before="120"/>
            </w:pPr>
            <w:r w:rsidRPr="0030315F">
              <w:t>MUZ</w:t>
            </w:r>
          </w:p>
        </w:tc>
        <w:tc>
          <w:tcPr>
            <w:tcW w:w="8505" w:type="dxa"/>
          </w:tcPr>
          <w:p w14:paraId="44C25085" w14:textId="77777777" w:rsidR="006B757C" w:rsidRPr="0030315F" w:rsidRDefault="006B757C" w:rsidP="0054376C">
            <w:pPr>
              <w:pStyle w:val="Tabletext"/>
              <w:framePr w:hSpace="0" w:wrap="auto" w:vAnchor="margin" w:hAnchor="text" w:yAlign="inline"/>
              <w:spacing w:before="120"/>
              <w:jc w:val="left"/>
            </w:pPr>
            <w:r w:rsidRPr="0030315F">
              <w:t xml:space="preserve">Objectives </w:t>
            </w:r>
            <w:r w:rsidRPr="006E6D3C">
              <w:rPr>
                <w:b/>
                <w:bCs/>
              </w:rPr>
              <w:t>may</w:t>
            </w:r>
            <w:r w:rsidRPr="0030315F">
              <w:t xml:space="preserve"> be specified in the schedule.</w:t>
            </w:r>
          </w:p>
          <w:p w14:paraId="417FF1DD" w14:textId="734C9F38" w:rsidR="006B757C" w:rsidRPr="0030315F" w:rsidRDefault="006B757C" w:rsidP="0054376C">
            <w:pPr>
              <w:pStyle w:val="Tabletext"/>
              <w:framePr w:hSpace="0" w:wrap="auto" w:vAnchor="margin" w:hAnchor="text" w:yAlign="inline"/>
              <w:spacing w:before="120"/>
              <w:jc w:val="left"/>
            </w:pPr>
            <w:r w:rsidRPr="0030315F">
              <w:t>There is no constraint on the type of objective that can be specified.</w:t>
            </w:r>
          </w:p>
        </w:tc>
      </w:tr>
      <w:tr w:rsidR="006B757C" w:rsidRPr="007766C3" w14:paraId="30E10346" w14:textId="77777777" w:rsidTr="006E6D3C">
        <w:tc>
          <w:tcPr>
            <w:tcW w:w="846" w:type="dxa"/>
          </w:tcPr>
          <w:p w14:paraId="76ADAE5E" w14:textId="684CAF39" w:rsidR="006B757C" w:rsidRPr="0030315F" w:rsidRDefault="006B757C" w:rsidP="0054376C">
            <w:pPr>
              <w:pStyle w:val="Tablesecondheading"/>
              <w:spacing w:before="120"/>
            </w:pPr>
            <w:r w:rsidRPr="0030315F">
              <w:t>TZ</w:t>
            </w:r>
          </w:p>
        </w:tc>
        <w:tc>
          <w:tcPr>
            <w:tcW w:w="8505" w:type="dxa"/>
          </w:tcPr>
          <w:p w14:paraId="00073DF8" w14:textId="60EB1B96" w:rsidR="006B757C" w:rsidRPr="0030315F" w:rsidRDefault="006B757C" w:rsidP="0054376C">
            <w:pPr>
              <w:pStyle w:val="Tabletext"/>
              <w:framePr w:hSpace="0" w:wrap="auto" w:vAnchor="margin" w:hAnchor="text" w:yAlign="inline"/>
              <w:spacing w:before="120"/>
              <w:jc w:val="left"/>
            </w:pPr>
            <w:r w:rsidRPr="0030315F">
              <w:t xml:space="preserve">Neighbourhood character objectives </w:t>
            </w:r>
            <w:r w:rsidRPr="006E6D3C">
              <w:rPr>
                <w:b/>
                <w:bCs/>
              </w:rPr>
              <w:t>may</w:t>
            </w:r>
            <w:r w:rsidRPr="0030315F">
              <w:t xml:space="preserve"> be specified in the schedule.</w:t>
            </w:r>
          </w:p>
        </w:tc>
      </w:tr>
      <w:tr w:rsidR="006B757C" w:rsidRPr="007766C3" w14:paraId="5C13A5A7" w14:textId="77777777" w:rsidTr="006E6D3C">
        <w:tc>
          <w:tcPr>
            <w:tcW w:w="846" w:type="dxa"/>
          </w:tcPr>
          <w:p w14:paraId="50A63340" w14:textId="436D230A" w:rsidR="006B757C" w:rsidRPr="0030315F" w:rsidRDefault="006B757C" w:rsidP="0054376C">
            <w:pPr>
              <w:pStyle w:val="Tablesecondheading"/>
              <w:spacing w:before="120"/>
            </w:pPr>
            <w:r w:rsidRPr="0030315F">
              <w:t>RGZ</w:t>
            </w:r>
          </w:p>
        </w:tc>
        <w:tc>
          <w:tcPr>
            <w:tcW w:w="8505" w:type="dxa"/>
          </w:tcPr>
          <w:p w14:paraId="1309050E" w14:textId="4CE606BB" w:rsidR="006B757C" w:rsidRPr="0030315F" w:rsidRDefault="006B757C" w:rsidP="0054376C">
            <w:pPr>
              <w:pStyle w:val="Tabletext"/>
              <w:framePr w:hSpace="0" w:wrap="auto" w:vAnchor="margin" w:hAnchor="text" w:yAlign="inline"/>
              <w:spacing w:before="120"/>
              <w:jc w:val="left"/>
            </w:pPr>
            <w:r w:rsidRPr="0030315F">
              <w:t xml:space="preserve">Design objectives </w:t>
            </w:r>
            <w:r w:rsidRPr="006E6D3C">
              <w:rPr>
                <w:b/>
                <w:bCs/>
              </w:rPr>
              <w:t xml:space="preserve">must </w:t>
            </w:r>
            <w:r w:rsidRPr="006E6D3C">
              <w:t>be specified</w:t>
            </w:r>
            <w:r w:rsidRPr="0030315F">
              <w:t xml:space="preserve"> in the schedule.</w:t>
            </w:r>
          </w:p>
        </w:tc>
      </w:tr>
      <w:tr w:rsidR="006B757C" w:rsidRPr="007766C3" w14:paraId="5F07F17F" w14:textId="77777777" w:rsidTr="006E6D3C">
        <w:tc>
          <w:tcPr>
            <w:tcW w:w="846" w:type="dxa"/>
          </w:tcPr>
          <w:p w14:paraId="4ED8DFF8" w14:textId="62316E71" w:rsidR="006B757C" w:rsidRPr="006B757C" w:rsidRDefault="006B757C" w:rsidP="0054376C">
            <w:pPr>
              <w:pStyle w:val="Tablesecondheading"/>
              <w:spacing w:before="120"/>
            </w:pPr>
            <w:r w:rsidRPr="0030315F">
              <w:t>GRZ</w:t>
            </w:r>
          </w:p>
        </w:tc>
        <w:tc>
          <w:tcPr>
            <w:tcW w:w="8505" w:type="dxa"/>
          </w:tcPr>
          <w:p w14:paraId="71150F2C" w14:textId="0A2BDD34" w:rsidR="006B757C" w:rsidRPr="007766C3" w:rsidRDefault="006B757C" w:rsidP="0054376C">
            <w:pPr>
              <w:pStyle w:val="Tabletext"/>
              <w:framePr w:hSpace="0" w:wrap="auto" w:vAnchor="margin" w:hAnchor="text" w:yAlign="inline"/>
              <w:spacing w:before="120"/>
              <w:jc w:val="left"/>
            </w:pPr>
            <w:r w:rsidRPr="0030315F">
              <w:t xml:space="preserve">Neighbourhood character objectives </w:t>
            </w:r>
            <w:r w:rsidRPr="006E6D3C">
              <w:rPr>
                <w:b/>
                <w:bCs/>
              </w:rPr>
              <w:t>may</w:t>
            </w:r>
            <w:r w:rsidRPr="0030315F">
              <w:t xml:space="preserve"> be specified in the schedule.</w:t>
            </w:r>
          </w:p>
        </w:tc>
      </w:tr>
      <w:tr w:rsidR="006B757C" w:rsidRPr="007766C3" w14:paraId="248542A5" w14:textId="77777777" w:rsidTr="006E6D3C">
        <w:tc>
          <w:tcPr>
            <w:tcW w:w="846" w:type="dxa"/>
          </w:tcPr>
          <w:p w14:paraId="7789A562" w14:textId="7D56424D" w:rsidR="006B757C" w:rsidRDefault="006B757C" w:rsidP="0054376C">
            <w:pPr>
              <w:pStyle w:val="Tablesecondheading"/>
              <w:spacing w:before="120"/>
            </w:pPr>
            <w:r w:rsidRPr="0030315F">
              <w:t>NRZ</w:t>
            </w:r>
          </w:p>
        </w:tc>
        <w:tc>
          <w:tcPr>
            <w:tcW w:w="8505" w:type="dxa"/>
          </w:tcPr>
          <w:p w14:paraId="769A9CFB" w14:textId="713A76FC" w:rsidR="006B757C" w:rsidRDefault="006B757C" w:rsidP="0054376C">
            <w:pPr>
              <w:pStyle w:val="Tabletext"/>
              <w:framePr w:hSpace="0" w:wrap="auto" w:vAnchor="margin" w:hAnchor="text" w:yAlign="inline"/>
              <w:spacing w:before="120"/>
              <w:jc w:val="left"/>
            </w:pPr>
            <w:r w:rsidRPr="0030315F">
              <w:t>Neighbourhood, heritage, environment</w:t>
            </w:r>
            <w:r>
              <w:t>al</w:t>
            </w:r>
            <w:r w:rsidRPr="0030315F">
              <w:t xml:space="preserve"> or landscape character objectives </w:t>
            </w:r>
            <w:r w:rsidRPr="006E6D3C">
              <w:rPr>
                <w:b/>
                <w:bCs/>
              </w:rPr>
              <w:t>must</w:t>
            </w:r>
            <w:r w:rsidRPr="0030315F">
              <w:t xml:space="preserve"> be specified in the schedule.</w:t>
            </w:r>
          </w:p>
        </w:tc>
      </w:tr>
    </w:tbl>
    <w:p w14:paraId="79CA15DA" w14:textId="77777777" w:rsidR="009319C0" w:rsidRPr="00283C4E" w:rsidRDefault="009319C0" w:rsidP="00840A30">
      <w:pPr>
        <w:pStyle w:val="Heading2"/>
      </w:pPr>
      <w:r>
        <w:t>Writing n</w:t>
      </w:r>
      <w:r w:rsidRPr="00AD12D5">
        <w:t>eighbourhood character objectives</w:t>
      </w:r>
    </w:p>
    <w:p w14:paraId="58B5364B" w14:textId="2FBD69CA" w:rsidR="009319C0" w:rsidRDefault="009319C0" w:rsidP="009319C0">
      <w:pPr>
        <w:spacing w:after="0" w:line="240" w:lineRule="auto"/>
      </w:pPr>
      <w:r w:rsidRPr="00AD12D5">
        <w:t xml:space="preserve">The schedules to the TZ, GRZ and NRZ enable neighbourhood character objectives to be </w:t>
      </w:r>
      <w:r w:rsidR="00082083">
        <w:t>specified</w:t>
      </w:r>
      <w:r w:rsidRPr="009D7EF4">
        <w:t xml:space="preserve"> </w:t>
      </w:r>
      <w:r>
        <w:t xml:space="preserve">to </w:t>
      </w:r>
      <w:r w:rsidRPr="00AD12D5">
        <w:t xml:space="preserve">provide clear direction on </w:t>
      </w:r>
      <w:r>
        <w:t>preferred</w:t>
      </w:r>
      <w:r w:rsidRPr="00AD12D5">
        <w:t xml:space="preserve"> neighbourhood character </w:t>
      </w:r>
      <w:r>
        <w:t>outcomes</w:t>
      </w:r>
      <w:r w:rsidRPr="00AD12D5">
        <w:t>.</w:t>
      </w:r>
    </w:p>
    <w:p w14:paraId="3AF0BCE1" w14:textId="77777777" w:rsidR="009319C0" w:rsidRDefault="009319C0" w:rsidP="009319C0">
      <w:pPr>
        <w:spacing w:after="0" w:line="240" w:lineRule="auto"/>
      </w:pPr>
      <w:r w:rsidRPr="00AD12D5">
        <w:t xml:space="preserve">Neighbourhood character objectives in the schedule </w:t>
      </w:r>
      <w:r>
        <w:t xml:space="preserve">also provide a basis for varying </w:t>
      </w:r>
      <w:r w:rsidRPr="00AD12D5">
        <w:t>clause 54 and clause 55</w:t>
      </w:r>
      <w:r>
        <w:t xml:space="preserve"> standards where variations can be strategically justified.</w:t>
      </w:r>
    </w:p>
    <w:p w14:paraId="408AD137" w14:textId="77777777" w:rsidR="009319C0" w:rsidRDefault="009319C0" w:rsidP="009319C0">
      <w:pPr>
        <w:spacing w:after="0" w:line="240" w:lineRule="auto"/>
      </w:pPr>
      <w:r w:rsidRPr="00AD12D5">
        <w:t xml:space="preserve">Objectives in the schedule to the NRZ should </w:t>
      </w:r>
      <w:r>
        <w:t>specify the relevant</w:t>
      </w:r>
      <w:r w:rsidRPr="00AD12D5">
        <w:t xml:space="preserve"> neighbourhood character, heritage, environmental or landscape characteristics of the area</w:t>
      </w:r>
      <w:r>
        <w:t>.</w:t>
      </w:r>
    </w:p>
    <w:p w14:paraId="2888FDC7" w14:textId="6D5D1B20" w:rsidR="009319C0" w:rsidRPr="00AD12D5" w:rsidRDefault="009319C0" w:rsidP="009319C0">
      <w:pPr>
        <w:spacing w:after="0" w:line="240" w:lineRule="auto"/>
      </w:pPr>
      <w:r w:rsidRPr="00AD12D5">
        <w:t xml:space="preserve">Objectives in the schedule to the GRZ should </w:t>
      </w:r>
      <w:r>
        <w:t>specify</w:t>
      </w:r>
      <w:r w:rsidRPr="00AD12D5">
        <w:t xml:space="preserve"> the attributes of the neighbourhood character </w:t>
      </w:r>
      <w:r>
        <w:t>to</w:t>
      </w:r>
      <w:r w:rsidRPr="00AD12D5">
        <w:t xml:space="preserve"> </w:t>
      </w:r>
      <w:r>
        <w:t>be achieved</w:t>
      </w:r>
      <w:r w:rsidR="00204C70">
        <w:t>,</w:t>
      </w:r>
      <w:r w:rsidRPr="00AD12D5">
        <w:t xml:space="preserve"> </w:t>
      </w:r>
      <w:r>
        <w:t>in the context of a preferred built form outcome of</w:t>
      </w:r>
      <w:r w:rsidRPr="00AD12D5">
        <w:t xml:space="preserve"> three</w:t>
      </w:r>
      <w:r>
        <w:t xml:space="preserve"> </w:t>
      </w:r>
      <w:r w:rsidRPr="00AD12D5">
        <w:t>storeys.</w:t>
      </w:r>
    </w:p>
    <w:p w14:paraId="06CB7E0A" w14:textId="77777777" w:rsidR="009319C0" w:rsidRPr="00283C4E" w:rsidRDefault="009319C0" w:rsidP="00B5476C">
      <w:pPr>
        <w:pStyle w:val="Heading3"/>
      </w:pPr>
      <w:r>
        <w:t>Writing d</w:t>
      </w:r>
      <w:r w:rsidRPr="00AD12D5">
        <w:t>esign objectives</w:t>
      </w:r>
    </w:p>
    <w:p w14:paraId="47AEF0A4" w14:textId="77777777" w:rsidR="009319C0" w:rsidRDefault="009319C0" w:rsidP="009319C0">
      <w:pPr>
        <w:spacing w:after="0" w:line="240" w:lineRule="auto"/>
      </w:pPr>
      <w:r w:rsidRPr="00AD12D5">
        <w:t xml:space="preserve">Objectives in the schedule to the RGZ should </w:t>
      </w:r>
      <w:r>
        <w:t>specify</w:t>
      </w:r>
      <w:r w:rsidRPr="00AD12D5">
        <w:t xml:space="preserve"> the preferred design and built form outcomes for new residential development.</w:t>
      </w:r>
    </w:p>
    <w:p w14:paraId="1D52A776" w14:textId="77777777" w:rsidR="009319C0" w:rsidRPr="00AD12D5" w:rsidRDefault="009319C0" w:rsidP="009319C0">
      <w:pPr>
        <w:spacing w:after="0" w:line="240" w:lineRule="auto"/>
      </w:pPr>
      <w:r w:rsidRPr="00AD12D5">
        <w:t xml:space="preserve">Design </w:t>
      </w:r>
      <w:r>
        <w:t>objectives</w:t>
      </w:r>
      <w:r w:rsidRPr="00AD12D5">
        <w:t xml:space="preserve"> can specify matters related to </w:t>
      </w:r>
      <w:proofErr w:type="spellStart"/>
      <w:r w:rsidRPr="00AD12D5">
        <w:t>built</w:t>
      </w:r>
      <w:proofErr w:type="spellEnd"/>
      <w:r w:rsidRPr="00AD12D5">
        <w:t xml:space="preserve"> form and urban design. Design objectives should only specify public realm matters where they relate to the design of buildings that affect the function and amenity of the public realm.</w:t>
      </w:r>
    </w:p>
    <w:p w14:paraId="1C9A923D" w14:textId="77777777" w:rsidR="009319C0" w:rsidRPr="00283C4E" w:rsidRDefault="009319C0" w:rsidP="00B5476C">
      <w:pPr>
        <w:pStyle w:val="Heading3"/>
      </w:pPr>
      <w:r w:rsidRPr="000D0391">
        <w:t>Preferred character statement or local objective?</w:t>
      </w:r>
    </w:p>
    <w:p w14:paraId="70E8E1DC" w14:textId="10902834" w:rsidR="009319C0" w:rsidRDefault="009319C0" w:rsidP="009319C0">
      <w:pPr>
        <w:spacing w:after="0" w:line="240" w:lineRule="auto"/>
      </w:pPr>
      <w:r w:rsidRPr="00AD12D5">
        <w:t xml:space="preserve">Preferred neighbourhood character statements </w:t>
      </w:r>
      <w:r>
        <w:t xml:space="preserve">typically found in local policies </w:t>
      </w:r>
      <w:r w:rsidRPr="00AD12D5">
        <w:t>can often translate into objectives.</w:t>
      </w:r>
    </w:p>
    <w:p w14:paraId="312D9B80" w14:textId="55987502" w:rsidR="009319C0" w:rsidRDefault="009319C0" w:rsidP="009319C0">
      <w:pPr>
        <w:spacing w:after="0" w:line="240" w:lineRule="auto"/>
      </w:pPr>
      <w:r w:rsidRPr="00B2081F">
        <w:t>Rather than specifying preferred neighbourhood character statements in local planning policy, objectives can be specified in a schedule to a residential zone to implement</w:t>
      </w:r>
      <w:r>
        <w:t xml:space="preserve"> the preferred </w:t>
      </w:r>
      <w:r w:rsidRPr="00AD12D5">
        <w:t>neighbourhood character.</w:t>
      </w:r>
    </w:p>
    <w:p w14:paraId="3CDA45B9" w14:textId="6E76D7A0" w:rsidR="00811BD3" w:rsidRPr="00A71B76" w:rsidRDefault="00C878DA" w:rsidP="009319C0">
      <w:pPr>
        <w:spacing w:after="0" w:line="240" w:lineRule="auto"/>
      </w:pPr>
      <w:r>
        <w:lastRenderedPageBreak/>
        <w:t>I</w:t>
      </w:r>
      <w:r w:rsidR="009319C0">
        <w:t xml:space="preserve">t is </w:t>
      </w:r>
      <w:r>
        <w:t xml:space="preserve">generally not </w:t>
      </w:r>
      <w:r w:rsidR="009319C0">
        <w:t xml:space="preserve">necessary to have both </w:t>
      </w:r>
      <w:r>
        <w:t xml:space="preserve">a </w:t>
      </w:r>
      <w:r w:rsidR="009319C0">
        <w:t>preferred character statement and local neighbourhood character objectives.</w:t>
      </w:r>
    </w:p>
    <w:tbl>
      <w:tblPr>
        <w:tblStyle w:val="Table1"/>
        <w:tblpPr w:leftFromText="180" w:rightFromText="180" w:vertAnchor="text" w:horzAnchor="margin" w:tblpY="760"/>
        <w:tblW w:w="9351" w:type="dxa"/>
        <w:tblBorders>
          <w:left w:val="none" w:sz="0" w:space="0" w:color="auto"/>
          <w:right w:val="none" w:sz="0" w:space="0" w:color="auto"/>
        </w:tblBorders>
        <w:tblLook w:val="04A0" w:firstRow="1" w:lastRow="0" w:firstColumn="1" w:lastColumn="0" w:noHBand="0" w:noVBand="1"/>
      </w:tblPr>
      <w:tblGrid>
        <w:gridCol w:w="4531"/>
        <w:gridCol w:w="4820"/>
      </w:tblGrid>
      <w:tr w:rsidR="002D730E" w:rsidRPr="007766C3" w14:paraId="22456612" w14:textId="77777777" w:rsidTr="002D730E">
        <w:trPr>
          <w:cnfStyle w:val="100000000000" w:firstRow="1" w:lastRow="0" w:firstColumn="0" w:lastColumn="0" w:oddVBand="0" w:evenVBand="0" w:oddHBand="0" w:evenHBand="0" w:firstRowFirstColumn="0" w:firstRowLastColumn="0" w:lastRowFirstColumn="0" w:lastRowLastColumn="0"/>
          <w:trHeight w:val="558"/>
        </w:trPr>
        <w:tc>
          <w:tcPr>
            <w:cnfStyle w:val="000000000100" w:firstRow="0" w:lastRow="0" w:firstColumn="0" w:lastColumn="0" w:oddVBand="0" w:evenVBand="0" w:oddHBand="0" w:evenHBand="0" w:firstRowFirstColumn="1" w:firstRowLastColumn="0" w:lastRowFirstColumn="0" w:lastRowLastColumn="0"/>
            <w:tcW w:w="4531" w:type="dxa"/>
          </w:tcPr>
          <w:p w14:paraId="28A4DC02" w14:textId="77777777" w:rsidR="002D730E" w:rsidRPr="00811BD3" w:rsidRDefault="002D730E" w:rsidP="002D730E">
            <w:pPr>
              <w:pStyle w:val="Tableheader"/>
              <w:framePr w:hSpace="0" w:wrap="auto" w:vAnchor="margin" w:hAnchor="text" w:yAlign="inline"/>
              <w:rPr>
                <w:b/>
              </w:rPr>
            </w:pPr>
            <w:r w:rsidRPr="00811BD3">
              <w:rPr>
                <w:b/>
              </w:rPr>
              <w:t>Preferred neighbourhood character statement</w:t>
            </w:r>
          </w:p>
        </w:tc>
        <w:tc>
          <w:tcPr>
            <w:tcW w:w="4820" w:type="dxa"/>
          </w:tcPr>
          <w:p w14:paraId="5798F6EA" w14:textId="77777777" w:rsidR="002D730E" w:rsidRPr="00811BD3" w:rsidRDefault="002D730E" w:rsidP="002D730E">
            <w:pPr>
              <w:pStyle w:val="Tableheader"/>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b/>
              </w:rPr>
            </w:pPr>
            <w:r w:rsidRPr="00811BD3">
              <w:rPr>
                <w:b/>
              </w:rPr>
              <w:t>Neighbourhood character objectives</w:t>
            </w:r>
          </w:p>
        </w:tc>
      </w:tr>
      <w:tr w:rsidR="002D730E" w:rsidRPr="007766C3" w14:paraId="074AC784" w14:textId="77777777" w:rsidTr="002D730E">
        <w:tc>
          <w:tcPr>
            <w:tcW w:w="4531" w:type="dxa"/>
          </w:tcPr>
          <w:p w14:paraId="5B698C11" w14:textId="77777777" w:rsidR="002D730E" w:rsidRPr="00B2081F" w:rsidRDefault="002D730E" w:rsidP="002D730E">
            <w:pPr>
              <w:pStyle w:val="Tabletext"/>
              <w:framePr w:hSpace="0" w:wrap="auto" w:vAnchor="margin" w:hAnchor="text" w:yAlign="inline"/>
              <w:jc w:val="left"/>
            </w:pPr>
            <w:r w:rsidRPr="00B2081F">
              <w:t>This precinct will maintain a streetscape rhythm of detached dwellings set behind landscaped front gardens while preserving the intact nature of the streetscape.</w:t>
            </w:r>
          </w:p>
          <w:p w14:paraId="7B2F459C" w14:textId="5758AB4C" w:rsidR="002D730E" w:rsidRPr="00B2081F" w:rsidRDefault="002D730E" w:rsidP="00D42B57">
            <w:pPr>
              <w:pStyle w:val="Tabletext"/>
              <w:framePr w:hSpace="0" w:wrap="auto" w:vAnchor="margin" w:hAnchor="text" w:yAlign="inline"/>
              <w:spacing w:before="120"/>
              <w:jc w:val="left"/>
            </w:pPr>
            <w:r w:rsidRPr="00B2081F">
              <w:t>Built form to side boundaries will be avoided</w:t>
            </w:r>
            <w:r>
              <w:t>,</w:t>
            </w:r>
            <w:r w:rsidRPr="00B2081F">
              <w:t xml:space="preserve"> and garages, carports and second-storey development will not visually dominate dwellings or streetscapes.</w:t>
            </w:r>
          </w:p>
          <w:p w14:paraId="5F8E5EEA" w14:textId="77777777" w:rsidR="002D730E" w:rsidRPr="00B2081F" w:rsidRDefault="002D730E" w:rsidP="00D42B57">
            <w:pPr>
              <w:pStyle w:val="Tabletext"/>
              <w:framePr w:hSpace="0" w:wrap="auto" w:vAnchor="margin" w:hAnchor="text" w:yAlign="inline"/>
              <w:spacing w:before="120"/>
              <w:jc w:val="left"/>
            </w:pPr>
            <w:r w:rsidRPr="00B2081F">
              <w:t>Built form and hard surfaces will continue to occupy a low portion of the site area.</w:t>
            </w:r>
          </w:p>
          <w:p w14:paraId="73DC30EA" w14:textId="584E4527" w:rsidR="002D730E" w:rsidRPr="00B2081F" w:rsidRDefault="002D730E" w:rsidP="00D42B57">
            <w:pPr>
              <w:pStyle w:val="Tabletext"/>
              <w:framePr w:hSpace="0" w:wrap="auto" w:vAnchor="margin" w:hAnchor="text" w:yAlign="inline"/>
              <w:spacing w:before="120"/>
              <w:jc w:val="left"/>
            </w:pPr>
            <w:r w:rsidRPr="00B2081F">
              <w:t>The built form will be a modest scale and be sympathetic to the existing heritage character of the precinct, however</w:t>
            </w:r>
            <w:r w:rsidR="00D46B96">
              <w:t>,</w:t>
            </w:r>
            <w:r w:rsidRPr="00B2081F">
              <w:t xml:space="preserve"> </w:t>
            </w:r>
            <w:proofErr w:type="gramStart"/>
            <w:r w:rsidRPr="00B2081F">
              <w:t>innovative</w:t>
            </w:r>
            <w:proofErr w:type="gramEnd"/>
            <w:r w:rsidRPr="00B2081F">
              <w:t xml:space="preserve"> and unique built form that blends with the existing character will be encouraged.</w:t>
            </w:r>
          </w:p>
          <w:p w14:paraId="614D6F27" w14:textId="77777777" w:rsidR="002D730E" w:rsidRPr="00811BD3" w:rsidRDefault="002D730E" w:rsidP="00D42B57">
            <w:pPr>
              <w:pStyle w:val="Tabletext"/>
              <w:framePr w:hSpace="0" w:wrap="auto" w:vAnchor="margin" w:hAnchor="text" w:yAlign="inline"/>
              <w:spacing w:before="120"/>
              <w:jc w:val="left"/>
            </w:pPr>
            <w:r w:rsidRPr="00B2081F">
              <w:t>New development will complement the existing landscape environment and native landscaping throughout the precinct will be encouraged.</w:t>
            </w:r>
          </w:p>
        </w:tc>
        <w:tc>
          <w:tcPr>
            <w:tcW w:w="4820" w:type="dxa"/>
          </w:tcPr>
          <w:p w14:paraId="72AE059B" w14:textId="77777777" w:rsidR="002D730E" w:rsidRPr="00F629EC" w:rsidRDefault="002D730E" w:rsidP="00B92B3C">
            <w:pPr>
              <w:pStyle w:val="PPN91Tablebodytextbullets"/>
              <w:spacing w:after="240"/>
            </w:pPr>
            <w:r w:rsidRPr="00F629EC">
              <w:t>To maintain a streetscape rhythm of detached dwellings set behind landscaped front gardens with generous side setbacks.</w:t>
            </w:r>
          </w:p>
          <w:p w14:paraId="1919EE5E" w14:textId="77777777" w:rsidR="002D730E" w:rsidRPr="00F629EC" w:rsidRDefault="002D730E" w:rsidP="00B92B3C">
            <w:pPr>
              <w:pStyle w:val="PPN91Tablebodytextbullets"/>
              <w:spacing w:after="120"/>
            </w:pPr>
            <w:r w:rsidRPr="00F629EC">
              <w:t>To support garages, carports and second storeys that are recessed from the ground floor facade to not visually dominate dwellings or streetscapes.</w:t>
            </w:r>
          </w:p>
          <w:p w14:paraId="12DA44B9" w14:textId="77777777" w:rsidR="002D730E" w:rsidRPr="00F629EC" w:rsidRDefault="002D730E" w:rsidP="002D730E">
            <w:pPr>
              <w:pStyle w:val="PPN91Tablebodytextbullets"/>
            </w:pPr>
            <w:r w:rsidRPr="00F629EC">
              <w:t>To support built form and hard surfaces that cover a low portion of the site.</w:t>
            </w:r>
          </w:p>
          <w:p w14:paraId="5EDFB467" w14:textId="77777777" w:rsidR="00B92B3C" w:rsidRDefault="00B92B3C" w:rsidP="00B92B3C">
            <w:pPr>
              <w:pStyle w:val="PPN91Tablebodytextbullets"/>
              <w:numPr>
                <w:ilvl w:val="0"/>
                <w:numId w:val="0"/>
              </w:numPr>
              <w:spacing w:before="0"/>
              <w:ind w:left="284"/>
            </w:pPr>
          </w:p>
          <w:p w14:paraId="5A8B2600" w14:textId="1FA02CB4" w:rsidR="002D730E" w:rsidRPr="00F629EC" w:rsidRDefault="002D730E" w:rsidP="00B92B3C">
            <w:pPr>
              <w:pStyle w:val="PPN91Tablebodytextbullets"/>
              <w:spacing w:before="0" w:after="720"/>
            </w:pPr>
            <w:r w:rsidRPr="00F629EC">
              <w:t>To provide innovative and unique designs that integrate with the existing character.</w:t>
            </w:r>
          </w:p>
          <w:p w14:paraId="273DC211" w14:textId="77777777" w:rsidR="002D730E" w:rsidRPr="00F629EC" w:rsidRDefault="002D730E" w:rsidP="002D730E">
            <w:pPr>
              <w:pStyle w:val="PPN91Tablebodytextbullets"/>
            </w:pPr>
            <w:r w:rsidRPr="00F629EC">
              <w:t>To encourage new development to provide native landscaping.</w:t>
            </w:r>
          </w:p>
        </w:tc>
      </w:tr>
    </w:tbl>
    <w:p w14:paraId="34C33DF0" w14:textId="376608DA" w:rsidR="00C878DA" w:rsidRDefault="00C878DA" w:rsidP="002D730E">
      <w:pPr>
        <w:pStyle w:val="TableName"/>
        <w:spacing w:before="120" w:after="120" w:line="240" w:lineRule="atLeast"/>
        <w:rPr>
          <w:b w:val="0"/>
          <w:bCs w:val="0"/>
        </w:rPr>
      </w:pPr>
      <w:r w:rsidRPr="00C878DA">
        <w:t>Table</w:t>
      </w:r>
      <w:r w:rsidRPr="009319C0">
        <w:t xml:space="preserve"> 6:</w:t>
      </w:r>
      <w:r w:rsidRPr="00110A0C">
        <w:t xml:space="preserve"> </w:t>
      </w:r>
      <w:r w:rsidRPr="00C9740B">
        <w:rPr>
          <w:b w:val="0"/>
          <w:bCs w:val="0"/>
        </w:rPr>
        <w:t>Translating a preferred neighbourhood character statement into neighbourhood character objectives</w:t>
      </w:r>
    </w:p>
    <w:p w14:paraId="01F5DF8B" w14:textId="77777777" w:rsidR="00B14EAC" w:rsidRPr="00AD65DB" w:rsidRDefault="00B14EAC" w:rsidP="00C00D47">
      <w:pPr>
        <w:pStyle w:val="Heading3"/>
        <w:spacing w:before="360"/>
      </w:pPr>
      <w:r w:rsidRPr="007A2D50">
        <w:t>What happens where an overlay exists</w:t>
      </w:r>
      <w:r>
        <w:t xml:space="preserve"> or is proposed</w:t>
      </w:r>
      <w:r w:rsidRPr="007A2D50">
        <w:t>?</w:t>
      </w:r>
    </w:p>
    <w:p w14:paraId="508D8C65" w14:textId="0F18BF51" w:rsidR="00B14EAC" w:rsidRDefault="00B14EAC" w:rsidP="00B14EAC">
      <w:pPr>
        <w:spacing w:after="0" w:line="240" w:lineRule="auto"/>
      </w:pPr>
      <w:r>
        <w:t>It is not necessary to be as detailed or explicit when writing objectives for the desired outcome in the schedule to the zone affected by an existing or proposed overlay, because the overlay contains detailed objectives.</w:t>
      </w:r>
    </w:p>
    <w:p w14:paraId="3BDF38C5" w14:textId="284E4978" w:rsidR="00B14EAC" w:rsidRPr="00F629EC" w:rsidRDefault="00B14EAC" w:rsidP="00EE78D9">
      <w:pPr>
        <w:pStyle w:val="Heading4"/>
      </w:pPr>
      <w:bookmarkStart w:id="4" w:name="_Hlk27054164"/>
      <w:r w:rsidRPr="00F629EC">
        <w:t>Heritage Overlay</w:t>
      </w:r>
      <w:bookmarkEnd w:id="4"/>
      <w:r w:rsidRPr="00F629EC">
        <w:t xml:space="preserve"> </w:t>
      </w:r>
    </w:p>
    <w:p w14:paraId="7D91C3FD" w14:textId="0A3E139F" w:rsidR="00B14EAC" w:rsidRDefault="00B14EAC" w:rsidP="00B14EAC">
      <w:pPr>
        <w:spacing w:after="0" w:line="240" w:lineRule="auto"/>
      </w:pPr>
      <w:r>
        <w:t>Where a HO exists over a precinct or an area, as opposed to an individual site, it is unnecessary to identify detailed heritage objectives through the schedule to the relevant residential zone.</w:t>
      </w:r>
    </w:p>
    <w:p w14:paraId="5C18CCBA" w14:textId="582935F0" w:rsidR="00B14EAC" w:rsidRDefault="00B14EAC" w:rsidP="00B14EAC">
      <w:pPr>
        <w:spacing w:after="0" w:line="240" w:lineRule="auto"/>
      </w:pPr>
      <w:r>
        <w:t>H</w:t>
      </w:r>
      <w:r w:rsidRPr="00AD12D5">
        <w:t xml:space="preserve">eritage </w:t>
      </w:r>
      <w:r w:rsidRPr="006C14E0">
        <w:rPr>
          <w:i/>
          <w:iCs/>
        </w:rPr>
        <w:t xml:space="preserve">evaluators </w:t>
      </w:r>
      <w:r w:rsidRPr="00AD12D5">
        <w:t xml:space="preserve">(the way a heritage place is valued) are dealt with by applying the </w:t>
      </w:r>
      <w:r>
        <w:t>HO</w:t>
      </w:r>
      <w:r w:rsidRPr="00AD12D5">
        <w:t>.</w:t>
      </w:r>
    </w:p>
    <w:p w14:paraId="3E72D350" w14:textId="39523665" w:rsidR="00B14EAC" w:rsidRDefault="00B14EAC" w:rsidP="00B14EAC">
      <w:pPr>
        <w:spacing w:after="0" w:line="240" w:lineRule="auto"/>
      </w:pPr>
      <w:r>
        <w:t>It is enough to generally specify in the schedule to the zone that the objective to be achieved is derived from the heritage values of the area.</w:t>
      </w:r>
    </w:p>
    <w:p w14:paraId="0A147A27" w14:textId="160A8884" w:rsidR="00B14EAC" w:rsidRPr="00597302" w:rsidRDefault="00B14EAC" w:rsidP="00EE78D9">
      <w:pPr>
        <w:pStyle w:val="Heading4"/>
      </w:pPr>
      <w:r w:rsidRPr="00597302">
        <w:t>Design, built form, neighbourhood character, environmental, landscape and other overlays</w:t>
      </w:r>
    </w:p>
    <w:p w14:paraId="4E9EEB35" w14:textId="259C488C" w:rsidR="00B14EAC" w:rsidRDefault="00B14EAC" w:rsidP="00B14EAC">
      <w:pPr>
        <w:spacing w:after="0" w:line="240" w:lineRule="auto"/>
      </w:pPr>
      <w:r>
        <w:t>All these overlays require some form of statement of significance or risk along with specifying detailed objectives.</w:t>
      </w:r>
    </w:p>
    <w:p w14:paraId="2781699B" w14:textId="4B506E90" w:rsidR="007E6AF4" w:rsidRDefault="00B14EAC" w:rsidP="00E751F0">
      <w:pPr>
        <w:spacing w:after="0" w:line="240" w:lineRule="auto"/>
      </w:pPr>
      <w:r>
        <w:t xml:space="preserve">In all these instances, it is generally enough </w:t>
      </w:r>
      <w:r w:rsidRPr="004758F8">
        <w:t>to specify</w:t>
      </w:r>
      <w:r>
        <w:t xml:space="preserve"> the relevant characteristic that is being sought to be recognised and rely on the detailed objectives and statements of significance in the overlay to articulate the desired outcome.</w:t>
      </w:r>
    </w:p>
    <w:p w14:paraId="3E94F1FD" w14:textId="603AFA80" w:rsidR="00941616" w:rsidRDefault="00941616">
      <w:pPr>
        <w:spacing w:before="0" w:after="200"/>
      </w:pPr>
      <w:r>
        <w:br w:type="page"/>
      </w:r>
    </w:p>
    <w:p w14:paraId="51A8F78F" w14:textId="77777777" w:rsidR="00E751F0" w:rsidRDefault="00E751F0" w:rsidP="00E751F0">
      <w:pPr>
        <w:spacing w:after="0" w:line="240" w:lineRule="auto"/>
      </w:pPr>
    </w:p>
    <w:tbl>
      <w:tblPr>
        <w:tblStyle w:val="Break-outbox"/>
        <w:tblW w:w="0" w:type="auto"/>
        <w:tblLook w:val="04A0" w:firstRow="1" w:lastRow="0" w:firstColumn="1" w:lastColumn="0" w:noHBand="0" w:noVBand="1"/>
      </w:tblPr>
      <w:tblGrid>
        <w:gridCol w:w="9346"/>
      </w:tblGrid>
      <w:tr w:rsidR="00B14EAC" w:rsidRPr="00DF6331" w14:paraId="128210C4" w14:textId="77777777" w:rsidTr="00FD7768">
        <w:tc>
          <w:tcPr>
            <w:tcW w:w="9346" w:type="dxa"/>
          </w:tcPr>
          <w:p w14:paraId="0760FB9A" w14:textId="0478B987" w:rsidR="00B14EAC" w:rsidRDefault="00B14EAC" w:rsidP="00FD7768">
            <w:pPr>
              <w:pStyle w:val="Break-outboxheading"/>
            </w:pPr>
            <w:r w:rsidRPr="00F24F88">
              <w:t>Remember</w:t>
            </w:r>
          </w:p>
          <w:p w14:paraId="26723128" w14:textId="3ACD55E8" w:rsidR="00C66B40" w:rsidRPr="00C66B40" w:rsidRDefault="00C66B40" w:rsidP="00FD7768">
            <w:pPr>
              <w:pStyle w:val="Break-outboxheading"/>
              <w:rPr>
                <w:b w:val="0"/>
                <w:bCs w:val="0"/>
              </w:rPr>
            </w:pPr>
            <w:r w:rsidRPr="00C66B40">
              <w:rPr>
                <w:b w:val="0"/>
                <w:bCs w:val="0"/>
              </w:rPr>
              <w:t xml:space="preserve">When </w:t>
            </w:r>
            <w:r w:rsidR="00255007">
              <w:rPr>
                <w:b w:val="0"/>
                <w:bCs w:val="0"/>
              </w:rPr>
              <w:t>writing neighbourhood character objectives in residential zone schedules</w:t>
            </w:r>
            <w:r w:rsidRPr="00C66B40">
              <w:rPr>
                <w:b w:val="0"/>
                <w:bCs w:val="0"/>
              </w:rPr>
              <w:t>:</w:t>
            </w:r>
          </w:p>
          <w:p w14:paraId="2EA0FAB1" w14:textId="77777777" w:rsidR="00B14EAC" w:rsidRPr="00FD7768" w:rsidRDefault="00B14EAC" w:rsidP="00B01B04">
            <w:pPr>
              <w:pStyle w:val="Break-outboxheading"/>
              <w:numPr>
                <w:ilvl w:val="0"/>
                <w:numId w:val="34"/>
              </w:numPr>
              <w:ind w:left="457"/>
              <w:rPr>
                <w:b w:val="0"/>
                <w:bCs w:val="0"/>
              </w:rPr>
            </w:pPr>
            <w:r w:rsidRPr="00FD7768">
              <w:rPr>
                <w:b w:val="0"/>
                <w:bCs w:val="0"/>
              </w:rPr>
              <w:t>Do be sufficiently clear and specific.</w:t>
            </w:r>
          </w:p>
          <w:p w14:paraId="70BE3788" w14:textId="77777777" w:rsidR="00B14EAC" w:rsidRPr="00FD7768" w:rsidRDefault="00B14EAC" w:rsidP="00B01B04">
            <w:pPr>
              <w:pStyle w:val="Break-outboxheading"/>
              <w:numPr>
                <w:ilvl w:val="0"/>
                <w:numId w:val="34"/>
              </w:numPr>
              <w:ind w:left="457"/>
              <w:rPr>
                <w:b w:val="0"/>
                <w:bCs w:val="0"/>
              </w:rPr>
            </w:pPr>
            <w:r w:rsidRPr="00FD7768">
              <w:rPr>
                <w:b w:val="0"/>
                <w:bCs w:val="0"/>
              </w:rPr>
              <w:t>Do recognise a specific characteristic or constraint reflected through the application of an overlay.</w:t>
            </w:r>
          </w:p>
          <w:p w14:paraId="66D8476A" w14:textId="5E14EA46" w:rsidR="00B14EAC" w:rsidRPr="00FD7768" w:rsidRDefault="00B14EAC" w:rsidP="00B01B04">
            <w:pPr>
              <w:pStyle w:val="Break-outboxheading"/>
              <w:numPr>
                <w:ilvl w:val="0"/>
                <w:numId w:val="23"/>
              </w:numPr>
              <w:ind w:left="457"/>
              <w:rPr>
                <w:b w:val="0"/>
                <w:bCs w:val="0"/>
              </w:rPr>
            </w:pPr>
            <w:r w:rsidRPr="00FD7768">
              <w:rPr>
                <w:b w:val="0"/>
                <w:bCs w:val="0"/>
              </w:rPr>
              <w:t>Do</w:t>
            </w:r>
            <w:r w:rsidR="00002674">
              <w:rPr>
                <w:b w:val="0"/>
                <w:bCs w:val="0"/>
              </w:rPr>
              <w:t xml:space="preserve"> not</w:t>
            </w:r>
            <w:r w:rsidRPr="00FD7768">
              <w:rPr>
                <w:b w:val="0"/>
                <w:bCs w:val="0"/>
              </w:rPr>
              <w:t xml:space="preserve"> specify building heights (the zone or overlay does this).</w:t>
            </w:r>
          </w:p>
          <w:p w14:paraId="1238A4A6" w14:textId="528C10FE" w:rsidR="00B14EAC" w:rsidRPr="00FD7768" w:rsidRDefault="00B14EAC" w:rsidP="00B01B04">
            <w:pPr>
              <w:pStyle w:val="Break-outboxheading"/>
              <w:numPr>
                <w:ilvl w:val="0"/>
                <w:numId w:val="23"/>
              </w:numPr>
              <w:ind w:left="457"/>
              <w:rPr>
                <w:b w:val="0"/>
                <w:bCs w:val="0"/>
              </w:rPr>
            </w:pPr>
            <w:r w:rsidRPr="00FD7768">
              <w:rPr>
                <w:b w:val="0"/>
                <w:bCs w:val="0"/>
              </w:rPr>
              <w:t>Do</w:t>
            </w:r>
            <w:r w:rsidR="00002674">
              <w:rPr>
                <w:b w:val="0"/>
                <w:bCs w:val="0"/>
              </w:rPr>
              <w:t xml:space="preserve"> not</w:t>
            </w:r>
            <w:r w:rsidRPr="00FD7768">
              <w:rPr>
                <w:b w:val="0"/>
                <w:bCs w:val="0"/>
              </w:rPr>
              <w:t xml:space="preserve"> specify the type of housing change sought (the strategic framework and zone application does this).</w:t>
            </w:r>
          </w:p>
          <w:p w14:paraId="22112071" w14:textId="6274B338" w:rsidR="00B14EAC" w:rsidRPr="00FD7768" w:rsidRDefault="00B14EAC" w:rsidP="00B01B04">
            <w:pPr>
              <w:pStyle w:val="Break-outboxheading"/>
              <w:numPr>
                <w:ilvl w:val="0"/>
                <w:numId w:val="23"/>
              </w:numPr>
              <w:ind w:left="457"/>
              <w:rPr>
                <w:b w:val="0"/>
                <w:bCs w:val="0"/>
              </w:rPr>
            </w:pPr>
            <w:r w:rsidRPr="00FD7768">
              <w:rPr>
                <w:b w:val="0"/>
                <w:bCs w:val="0"/>
              </w:rPr>
              <w:t>Do</w:t>
            </w:r>
            <w:r w:rsidR="00002674">
              <w:rPr>
                <w:b w:val="0"/>
                <w:bCs w:val="0"/>
              </w:rPr>
              <w:t xml:space="preserve"> not</w:t>
            </w:r>
            <w:r w:rsidRPr="00FD7768">
              <w:rPr>
                <w:b w:val="0"/>
                <w:bCs w:val="0"/>
              </w:rPr>
              <w:t xml:space="preserve"> include statements of policy (this belongs in local policy).</w:t>
            </w:r>
          </w:p>
          <w:p w14:paraId="06164202" w14:textId="320C481B" w:rsidR="00B14EAC" w:rsidRPr="00FD7768" w:rsidRDefault="00B14EAC" w:rsidP="00B01B04">
            <w:pPr>
              <w:pStyle w:val="Break-outboxheading"/>
              <w:numPr>
                <w:ilvl w:val="0"/>
                <w:numId w:val="23"/>
              </w:numPr>
              <w:ind w:left="457"/>
              <w:rPr>
                <w:b w:val="0"/>
                <w:bCs w:val="0"/>
              </w:rPr>
            </w:pPr>
            <w:r w:rsidRPr="00FD7768">
              <w:rPr>
                <w:b w:val="0"/>
                <w:bCs w:val="0"/>
              </w:rPr>
              <w:t>Do</w:t>
            </w:r>
            <w:r w:rsidR="00002674">
              <w:rPr>
                <w:b w:val="0"/>
                <w:bCs w:val="0"/>
              </w:rPr>
              <w:t xml:space="preserve"> not</w:t>
            </w:r>
            <w:r w:rsidRPr="00FD7768">
              <w:rPr>
                <w:b w:val="0"/>
                <w:bCs w:val="0"/>
              </w:rPr>
              <w:t xml:space="preserve"> repeat objectives from other parts of the scheme, or reference other clauses in the scheme.</w:t>
            </w:r>
          </w:p>
          <w:p w14:paraId="1EEEE79F" w14:textId="1C3708B4" w:rsidR="00B14EAC" w:rsidRPr="00FD7768" w:rsidRDefault="00B14EAC" w:rsidP="00B01B04">
            <w:pPr>
              <w:pStyle w:val="Break-outboxheading"/>
              <w:numPr>
                <w:ilvl w:val="0"/>
                <w:numId w:val="23"/>
              </w:numPr>
              <w:ind w:left="457"/>
              <w:rPr>
                <w:b w:val="0"/>
                <w:bCs w:val="0"/>
              </w:rPr>
            </w:pPr>
            <w:r w:rsidRPr="00FD7768">
              <w:rPr>
                <w:b w:val="0"/>
                <w:bCs w:val="0"/>
              </w:rPr>
              <w:t>Do</w:t>
            </w:r>
            <w:r w:rsidR="00002674">
              <w:rPr>
                <w:b w:val="0"/>
                <w:bCs w:val="0"/>
              </w:rPr>
              <w:t xml:space="preserve"> not</w:t>
            </w:r>
            <w:r w:rsidRPr="00FD7768">
              <w:rPr>
                <w:b w:val="0"/>
                <w:bCs w:val="0"/>
              </w:rPr>
              <w:t xml:space="preserve"> reference policy background documents or studies or other tools in the scheme.</w:t>
            </w:r>
          </w:p>
          <w:p w14:paraId="0384A386" w14:textId="0655B384" w:rsidR="00FD7768" w:rsidRPr="00943EAE" w:rsidRDefault="00B14EAC" w:rsidP="00943EAE">
            <w:pPr>
              <w:pStyle w:val="Break-outboxheading"/>
              <w:numPr>
                <w:ilvl w:val="0"/>
                <w:numId w:val="23"/>
              </w:numPr>
              <w:ind w:left="453" w:hanging="357"/>
              <w:rPr>
                <w:b w:val="0"/>
                <w:bCs w:val="0"/>
              </w:rPr>
            </w:pPr>
            <w:r w:rsidRPr="00FD7768">
              <w:rPr>
                <w:b w:val="0"/>
                <w:bCs w:val="0"/>
              </w:rPr>
              <w:t>Do</w:t>
            </w:r>
            <w:r w:rsidR="00002674">
              <w:rPr>
                <w:b w:val="0"/>
                <w:bCs w:val="0"/>
              </w:rPr>
              <w:t xml:space="preserve"> not</w:t>
            </w:r>
            <w:r w:rsidRPr="00FD7768">
              <w:rPr>
                <w:b w:val="0"/>
                <w:bCs w:val="0"/>
              </w:rPr>
              <w:t xml:space="preserve"> specify scale, density, </w:t>
            </w:r>
            <w:proofErr w:type="gramStart"/>
            <w:r w:rsidRPr="00FD7768">
              <w:rPr>
                <w:b w:val="0"/>
                <w:bCs w:val="0"/>
              </w:rPr>
              <w:t>typology</w:t>
            </w:r>
            <w:proofErr w:type="gramEnd"/>
            <w:r w:rsidRPr="00FD7768">
              <w:rPr>
                <w:b w:val="0"/>
                <w:bCs w:val="0"/>
              </w:rPr>
              <w:t xml:space="preserve"> or number of dwellings unless strategically justified.</w:t>
            </w:r>
          </w:p>
        </w:tc>
      </w:tr>
    </w:tbl>
    <w:p w14:paraId="4BF4E3F9" w14:textId="77777777" w:rsidR="00FD7768" w:rsidRPr="00AD12D5" w:rsidRDefault="00FD7768" w:rsidP="00840A30">
      <w:pPr>
        <w:pStyle w:val="Heading2"/>
      </w:pPr>
      <w:r>
        <w:t>M</w:t>
      </w:r>
      <w:r w:rsidRPr="006B24C2">
        <w:t xml:space="preserve">inimum </w:t>
      </w:r>
      <w:r w:rsidRPr="005A05DB">
        <w:t>garden</w:t>
      </w:r>
      <w:r w:rsidRPr="006B24C2">
        <w:t xml:space="preserve"> area requirement</w:t>
      </w:r>
    </w:p>
    <w:p w14:paraId="0CDA97EF" w14:textId="77777777" w:rsidR="00FD7768" w:rsidRDefault="00FD7768" w:rsidP="00FD7768">
      <w:pPr>
        <w:spacing w:after="0" w:line="240" w:lineRule="auto"/>
      </w:pPr>
      <w:r>
        <w:t>A</w:t>
      </w:r>
      <w:r w:rsidRPr="00AD12D5">
        <w:t xml:space="preserve"> minimum garden area requirement </w:t>
      </w:r>
      <w:r>
        <w:t xml:space="preserve">is a mandatory requirement that </w:t>
      </w:r>
      <w:r w:rsidRPr="00AD12D5">
        <w:t xml:space="preserve">applies to all lots in the </w:t>
      </w:r>
      <w:r>
        <w:t>NRZ</w:t>
      </w:r>
      <w:r w:rsidRPr="00AD12D5">
        <w:t xml:space="preserve"> and </w:t>
      </w:r>
      <w:r>
        <w:t>GRZ</w:t>
      </w:r>
      <w:r w:rsidRPr="00AD12D5">
        <w:t xml:space="preserve"> that are 400 square metres or more.</w:t>
      </w:r>
    </w:p>
    <w:p w14:paraId="07D3A0AA" w14:textId="2ECBAE1D" w:rsidR="00FD7768" w:rsidRDefault="00FD7768" w:rsidP="00FD7768">
      <w:pPr>
        <w:spacing w:after="0" w:line="240" w:lineRule="auto"/>
      </w:pPr>
      <w:r w:rsidRPr="00AD12D5">
        <w:t xml:space="preserve">A minimum percentage of the land must be set aside for </w:t>
      </w:r>
      <w:r>
        <w:t xml:space="preserve">a </w:t>
      </w:r>
      <w:r w:rsidRPr="00AD12D5">
        <w:t>garden area at ground level in accordance with the table below.</w:t>
      </w:r>
    </w:p>
    <w:tbl>
      <w:tblPr>
        <w:tblStyle w:val="Table1"/>
        <w:tblpPr w:leftFromText="180" w:rightFromText="180" w:vertAnchor="text" w:horzAnchor="margin" w:tblpY="603"/>
        <w:tblW w:w="9351" w:type="dxa"/>
        <w:tblBorders>
          <w:left w:val="none" w:sz="0" w:space="0" w:color="auto"/>
          <w:right w:val="none" w:sz="0" w:space="0" w:color="auto"/>
        </w:tblBorders>
        <w:tblLook w:val="04A0" w:firstRow="1" w:lastRow="0" w:firstColumn="1" w:lastColumn="0" w:noHBand="0" w:noVBand="1"/>
      </w:tblPr>
      <w:tblGrid>
        <w:gridCol w:w="3002"/>
        <w:gridCol w:w="6349"/>
      </w:tblGrid>
      <w:tr w:rsidR="00845028" w:rsidRPr="007766C3" w14:paraId="7CF6C81D" w14:textId="77777777" w:rsidTr="00D662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3002" w:type="dxa"/>
          </w:tcPr>
          <w:p w14:paraId="2B33CABF" w14:textId="77777777" w:rsidR="00845028" w:rsidRPr="00C402C2" w:rsidRDefault="00845028" w:rsidP="00845028">
            <w:pPr>
              <w:pStyle w:val="Tableheader"/>
              <w:framePr w:hSpace="0" w:wrap="auto" w:vAnchor="margin" w:hAnchor="text" w:yAlign="inline"/>
              <w:jc w:val="center"/>
              <w:rPr>
                <w:b/>
              </w:rPr>
            </w:pPr>
            <w:r w:rsidRPr="00C402C2">
              <w:rPr>
                <w:b/>
              </w:rPr>
              <w:t>Lot size</w:t>
            </w:r>
          </w:p>
        </w:tc>
        <w:tc>
          <w:tcPr>
            <w:tcW w:w="6349" w:type="dxa"/>
          </w:tcPr>
          <w:p w14:paraId="7CF5CE42" w14:textId="77777777" w:rsidR="00845028" w:rsidRPr="00C402C2" w:rsidRDefault="00845028" w:rsidP="00845028">
            <w:pPr>
              <w:pStyle w:val="Tableheader"/>
              <w:framePr w:hSpace="0" w:wrap="auto" w:vAnchor="margin" w:hAnchor="text" w:yAlign="inline"/>
              <w:jc w:val="center"/>
              <w:cnfStyle w:val="100000000000" w:firstRow="1" w:lastRow="0" w:firstColumn="0" w:lastColumn="0" w:oddVBand="0" w:evenVBand="0" w:oddHBand="0" w:evenHBand="0" w:firstRowFirstColumn="0" w:firstRowLastColumn="0" w:lastRowFirstColumn="0" w:lastRowLastColumn="0"/>
              <w:rPr>
                <w:b/>
              </w:rPr>
            </w:pPr>
            <w:r w:rsidRPr="00C402C2">
              <w:rPr>
                <w:b/>
              </w:rPr>
              <w:t>Minimum garden area requirement</w:t>
            </w:r>
          </w:p>
        </w:tc>
      </w:tr>
      <w:tr w:rsidR="00845028" w:rsidRPr="007766C3" w14:paraId="78185DF9" w14:textId="77777777" w:rsidTr="00D662CD">
        <w:tc>
          <w:tcPr>
            <w:tcW w:w="3002" w:type="dxa"/>
          </w:tcPr>
          <w:p w14:paraId="2267F068" w14:textId="77777777" w:rsidR="00845028" w:rsidRPr="00C402C2" w:rsidRDefault="00845028" w:rsidP="00845028">
            <w:pPr>
              <w:pStyle w:val="Tabletext"/>
              <w:framePr w:hSpace="0" w:wrap="auto" w:vAnchor="margin" w:hAnchor="text" w:yAlign="inline"/>
            </w:pPr>
            <w:r w:rsidRPr="00CA5F32">
              <w:t>400-500m2</w:t>
            </w:r>
          </w:p>
        </w:tc>
        <w:tc>
          <w:tcPr>
            <w:tcW w:w="6349" w:type="dxa"/>
          </w:tcPr>
          <w:p w14:paraId="087E809B" w14:textId="77777777" w:rsidR="00845028" w:rsidRPr="006118BD" w:rsidRDefault="00845028" w:rsidP="00845028">
            <w:pPr>
              <w:pStyle w:val="Tabletext"/>
              <w:framePr w:hSpace="0" w:wrap="auto" w:vAnchor="margin" w:hAnchor="text" w:yAlign="inline"/>
            </w:pPr>
            <w:r w:rsidRPr="00CA5F32">
              <w:t>25%</w:t>
            </w:r>
          </w:p>
        </w:tc>
      </w:tr>
      <w:tr w:rsidR="00845028" w:rsidRPr="007766C3" w14:paraId="75342D9C" w14:textId="77777777" w:rsidTr="00D662CD">
        <w:tc>
          <w:tcPr>
            <w:tcW w:w="3002" w:type="dxa"/>
          </w:tcPr>
          <w:p w14:paraId="59DA04FA" w14:textId="77777777" w:rsidR="00845028" w:rsidRPr="00C402C2" w:rsidRDefault="00845028" w:rsidP="00845028">
            <w:pPr>
              <w:pStyle w:val="Tabletext"/>
              <w:framePr w:hSpace="0" w:wrap="auto" w:vAnchor="margin" w:hAnchor="text" w:yAlign="inline"/>
            </w:pPr>
            <w:r w:rsidRPr="00CA5F32">
              <w:t>501-650m2</w:t>
            </w:r>
          </w:p>
        </w:tc>
        <w:tc>
          <w:tcPr>
            <w:tcW w:w="6349" w:type="dxa"/>
          </w:tcPr>
          <w:p w14:paraId="1BFDDDD6" w14:textId="77777777" w:rsidR="00845028" w:rsidRPr="007766C3" w:rsidRDefault="00845028" w:rsidP="00845028">
            <w:pPr>
              <w:pStyle w:val="Tabletext"/>
              <w:framePr w:hSpace="0" w:wrap="auto" w:vAnchor="margin" w:hAnchor="text" w:yAlign="inline"/>
            </w:pPr>
            <w:r w:rsidRPr="00CA5F32">
              <w:t>30%</w:t>
            </w:r>
          </w:p>
        </w:tc>
      </w:tr>
      <w:tr w:rsidR="00845028" w:rsidRPr="007766C3" w14:paraId="095F679A" w14:textId="77777777" w:rsidTr="00D662CD">
        <w:tc>
          <w:tcPr>
            <w:tcW w:w="3002" w:type="dxa"/>
          </w:tcPr>
          <w:p w14:paraId="6DC6B5D3" w14:textId="77777777" w:rsidR="00845028" w:rsidRPr="00CA5F32" w:rsidRDefault="00845028" w:rsidP="00845028">
            <w:pPr>
              <w:pStyle w:val="Tabletext"/>
              <w:framePr w:hSpace="0" w:wrap="auto" w:vAnchor="margin" w:hAnchor="text" w:yAlign="inline"/>
            </w:pPr>
            <w:r w:rsidRPr="00CA5F32">
              <w:t>&gt;650m2</w:t>
            </w:r>
          </w:p>
        </w:tc>
        <w:tc>
          <w:tcPr>
            <w:tcW w:w="6349" w:type="dxa"/>
          </w:tcPr>
          <w:p w14:paraId="7B3A5F1A" w14:textId="77777777" w:rsidR="00845028" w:rsidRPr="00CA5F32" w:rsidRDefault="00845028" w:rsidP="00845028">
            <w:pPr>
              <w:pStyle w:val="Tabletext"/>
              <w:framePr w:hSpace="0" w:wrap="auto" w:vAnchor="margin" w:hAnchor="text" w:yAlign="inline"/>
            </w:pPr>
            <w:r w:rsidRPr="00CA5F32">
              <w:t>35%</w:t>
            </w:r>
          </w:p>
        </w:tc>
      </w:tr>
    </w:tbl>
    <w:p w14:paraId="49D698BD" w14:textId="5F7507EF" w:rsidR="00FD7768" w:rsidRDefault="00FD7768" w:rsidP="00C9740B">
      <w:pPr>
        <w:pStyle w:val="TableName"/>
      </w:pPr>
      <w:r w:rsidRPr="00304A70">
        <w:t>Table 7:</w:t>
      </w:r>
      <w:r w:rsidR="003650A4">
        <w:t xml:space="preserve"> </w:t>
      </w:r>
      <w:proofErr w:type="gramStart"/>
      <w:r w:rsidRPr="00C9740B">
        <w:rPr>
          <w:b w:val="0"/>
          <w:bCs w:val="0"/>
        </w:rPr>
        <w:t>Minimum garden</w:t>
      </w:r>
      <w:proofErr w:type="gramEnd"/>
      <w:r w:rsidRPr="00C9740B">
        <w:rPr>
          <w:b w:val="0"/>
          <w:bCs w:val="0"/>
        </w:rPr>
        <w:t xml:space="preserve"> area requirement</w:t>
      </w:r>
    </w:p>
    <w:p w14:paraId="68E5A325" w14:textId="53912E42" w:rsidR="008439DC" w:rsidRDefault="008439DC" w:rsidP="008439DC">
      <w:pPr>
        <w:spacing w:after="0" w:line="240" w:lineRule="auto"/>
      </w:pPr>
      <w:r>
        <w:t xml:space="preserve">The minimum garden area requirement </w:t>
      </w:r>
      <w:r w:rsidRPr="00D46B96">
        <w:rPr>
          <w:b/>
          <w:bCs/>
        </w:rPr>
        <w:t>cannot</w:t>
      </w:r>
      <w:r>
        <w:t xml:space="preserve"> be exempted in the NRZ. The minimum garden area requirement </w:t>
      </w:r>
      <w:r w:rsidRPr="00D46B96">
        <w:rPr>
          <w:b/>
          <w:bCs/>
        </w:rPr>
        <w:t>can</w:t>
      </w:r>
      <w:r>
        <w:t xml:space="preserve"> be exempted through the schedule to the GRZ.</w:t>
      </w:r>
    </w:p>
    <w:p w14:paraId="3053D1B7" w14:textId="55A00CB6" w:rsidR="00E17D84" w:rsidRDefault="00E17D84" w:rsidP="00E17D84">
      <w:pPr>
        <w:spacing w:after="0" w:line="240" w:lineRule="auto"/>
      </w:pPr>
      <w:r>
        <w:t>The decision to exempt the minimum garden area requirement in the GRZ must be based on the strategic outcomes being sought by the PPF and MPS. For example, i</w:t>
      </w:r>
      <w:r w:rsidRPr="00AD12D5">
        <w:t xml:space="preserve">t may be appropriate to </w:t>
      </w:r>
      <w:r>
        <w:t>exempt the minimum garden area requirement in the GRZ where a planning authority is seeking to recognise existing development conditions or to promote a denser urban form of housing than currently exists to achieve other housing objectives.</w:t>
      </w:r>
    </w:p>
    <w:p w14:paraId="0A989AAD" w14:textId="77777777" w:rsidR="00CE7DF1" w:rsidRPr="00AD12D5" w:rsidRDefault="00CE7DF1" w:rsidP="00840A30">
      <w:pPr>
        <w:pStyle w:val="Heading2"/>
      </w:pPr>
      <w:r w:rsidRPr="005A05DB">
        <w:t>Minimum</w:t>
      </w:r>
      <w:r w:rsidRPr="00443F30">
        <w:t xml:space="preserve"> subdivision area</w:t>
      </w:r>
    </w:p>
    <w:p w14:paraId="1B728CEE" w14:textId="3AC15CF7" w:rsidR="00CE7DF1" w:rsidRDefault="00CE7DF1" w:rsidP="00CE7DF1">
      <w:pPr>
        <w:spacing w:after="0" w:line="240" w:lineRule="auto"/>
      </w:pPr>
      <w:r w:rsidRPr="00AD12D5">
        <w:t xml:space="preserve">A minimum subdivision area may only be specified in the schedule to the LDRZ </w:t>
      </w:r>
      <w:r>
        <w:t>or</w:t>
      </w:r>
      <w:r w:rsidRPr="00AD12D5">
        <w:t xml:space="preserve"> the NRZ.</w:t>
      </w:r>
    </w:p>
    <w:p w14:paraId="27184BBF" w14:textId="0F0B1C2D" w:rsidR="00C66B40" w:rsidRDefault="00C66B40" w:rsidP="00C66B40">
      <w:r>
        <w:t>Specifying a minimum lot size in the NRZ provides another mechanism to protect existing neighbourhood character for an area categorised as minimal change.</w:t>
      </w:r>
    </w:p>
    <w:p w14:paraId="4010B855" w14:textId="6904A660" w:rsidR="00941616" w:rsidRPr="00941616" w:rsidRDefault="00943EAE" w:rsidP="00941616">
      <w:pPr>
        <w:spacing w:before="0" w:after="200"/>
        <w:rPr>
          <w:b/>
          <w:bCs/>
          <w:color w:val="53565A"/>
        </w:rPr>
      </w:pPr>
      <w:r>
        <w:br w:type="page"/>
      </w:r>
    </w:p>
    <w:p w14:paraId="7A7D7F42" w14:textId="51A8494C" w:rsidR="00CE7DF1" w:rsidRPr="00304A70" w:rsidRDefault="00CE7DF1" w:rsidP="00C9740B">
      <w:pPr>
        <w:pStyle w:val="TableName"/>
      </w:pPr>
      <w:r w:rsidRPr="00304A70">
        <w:lastRenderedPageBreak/>
        <w:t xml:space="preserve">Table 8: </w:t>
      </w:r>
      <w:r w:rsidRPr="00C9740B">
        <w:rPr>
          <w:b w:val="0"/>
          <w:bCs w:val="0"/>
        </w:rPr>
        <w:t>Minimum subdivision area</w:t>
      </w:r>
    </w:p>
    <w:tbl>
      <w:tblPr>
        <w:tblStyle w:val="Table1"/>
        <w:tblpPr w:leftFromText="180" w:rightFromText="180" w:vertAnchor="text" w:horzAnchor="margin" w:tblpY="171"/>
        <w:tblW w:w="9351" w:type="dxa"/>
        <w:tblBorders>
          <w:left w:val="none" w:sz="0" w:space="0" w:color="auto"/>
          <w:right w:val="none" w:sz="0" w:space="0" w:color="auto"/>
        </w:tblBorders>
        <w:tblLook w:val="04A0" w:firstRow="1" w:lastRow="0" w:firstColumn="1" w:lastColumn="0" w:noHBand="0" w:noVBand="1"/>
      </w:tblPr>
      <w:tblGrid>
        <w:gridCol w:w="6232"/>
        <w:gridCol w:w="3119"/>
      </w:tblGrid>
      <w:tr w:rsidR="00CE7DF1" w:rsidRPr="007766C3" w14:paraId="49FD8138" w14:textId="77777777" w:rsidTr="00D662CD">
        <w:trPr>
          <w:cnfStyle w:val="100000000000" w:firstRow="1" w:lastRow="0" w:firstColumn="0" w:lastColumn="0" w:oddVBand="0" w:evenVBand="0" w:oddHBand="0" w:evenHBand="0" w:firstRowFirstColumn="0" w:firstRowLastColumn="0" w:lastRowFirstColumn="0" w:lastRowLastColumn="0"/>
        </w:trPr>
        <w:tc>
          <w:tcPr>
            <w:cnfStyle w:val="000000000100" w:firstRow="0" w:lastRow="0" w:firstColumn="0" w:lastColumn="0" w:oddVBand="0" w:evenVBand="0" w:oddHBand="0" w:evenHBand="0" w:firstRowFirstColumn="1" w:firstRowLastColumn="0" w:lastRowFirstColumn="0" w:lastRowLastColumn="0"/>
            <w:tcW w:w="6232" w:type="dxa"/>
          </w:tcPr>
          <w:p w14:paraId="5F86D569" w14:textId="2F119563" w:rsidR="00CE7DF1" w:rsidRPr="00CE7DF1" w:rsidRDefault="00CE7DF1" w:rsidP="00CE7DF1">
            <w:pPr>
              <w:pStyle w:val="Tableheader"/>
              <w:framePr w:hSpace="0" w:wrap="auto" w:vAnchor="margin" w:hAnchor="text" w:yAlign="inline"/>
              <w:rPr>
                <w:b/>
              </w:rPr>
            </w:pPr>
            <w:r w:rsidRPr="00CE7DF1">
              <w:rPr>
                <w:b/>
              </w:rPr>
              <w:t>LDRZ</w:t>
            </w:r>
          </w:p>
        </w:tc>
        <w:tc>
          <w:tcPr>
            <w:tcW w:w="3119" w:type="dxa"/>
          </w:tcPr>
          <w:p w14:paraId="52B5FD80" w14:textId="290F1703" w:rsidR="00CE7DF1" w:rsidRPr="00CE7DF1" w:rsidRDefault="00CE7DF1" w:rsidP="00CE7DF1">
            <w:pPr>
              <w:pStyle w:val="Tableheader"/>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b/>
              </w:rPr>
            </w:pPr>
            <w:r w:rsidRPr="00CE7DF1">
              <w:rPr>
                <w:b/>
              </w:rPr>
              <w:t>NRZ</w:t>
            </w:r>
          </w:p>
        </w:tc>
      </w:tr>
      <w:tr w:rsidR="00CE7DF1" w:rsidRPr="007766C3" w14:paraId="0D3E344C" w14:textId="77777777" w:rsidTr="00D662CD">
        <w:tc>
          <w:tcPr>
            <w:tcW w:w="6232" w:type="dxa"/>
          </w:tcPr>
          <w:p w14:paraId="5A8BC21F" w14:textId="77777777" w:rsidR="00CE7DF1" w:rsidRPr="00CA5F32" w:rsidRDefault="00CE7DF1" w:rsidP="00304A70">
            <w:pPr>
              <w:pStyle w:val="Tabletext"/>
              <w:framePr w:hSpace="0" w:wrap="auto" w:vAnchor="margin" w:hAnchor="text" w:yAlign="inline"/>
              <w:jc w:val="left"/>
            </w:pPr>
            <w:r w:rsidRPr="00CA5F32">
              <w:t>Any minimum subdivision area specified in the schedule to the LDRZ must be at least:</w:t>
            </w:r>
          </w:p>
          <w:p w14:paraId="3EA3010B" w14:textId="30F12B2B" w:rsidR="00CE7DF1" w:rsidRPr="00C438EE" w:rsidRDefault="00CE7DF1" w:rsidP="00845028">
            <w:pPr>
              <w:pStyle w:val="Tabletext"/>
              <w:framePr w:hSpace="0" w:wrap="auto" w:vAnchor="margin" w:hAnchor="text" w:yAlign="inline"/>
              <w:numPr>
                <w:ilvl w:val="0"/>
                <w:numId w:val="36"/>
              </w:numPr>
              <w:ind w:left="457"/>
              <w:jc w:val="left"/>
            </w:pPr>
            <w:r w:rsidRPr="00C438EE">
              <w:t xml:space="preserve">0.4 </w:t>
            </w:r>
            <w:r w:rsidR="00002674">
              <w:t>ha</w:t>
            </w:r>
            <w:r w:rsidR="00002674" w:rsidRPr="00C438EE">
              <w:t xml:space="preserve"> </w:t>
            </w:r>
            <w:r w:rsidRPr="00C438EE">
              <w:t>for each lot where reticulated sewerage is not connected</w:t>
            </w:r>
          </w:p>
          <w:p w14:paraId="1D53302A" w14:textId="5A7F8384" w:rsidR="00CE7DF1" w:rsidRPr="00CE7DF1" w:rsidRDefault="00CE7DF1" w:rsidP="00845028">
            <w:pPr>
              <w:pStyle w:val="Tabletext"/>
              <w:framePr w:hSpace="0" w:wrap="auto" w:vAnchor="margin" w:hAnchor="text" w:yAlign="inline"/>
              <w:numPr>
                <w:ilvl w:val="0"/>
                <w:numId w:val="36"/>
              </w:numPr>
              <w:ind w:left="457"/>
              <w:jc w:val="left"/>
            </w:pPr>
            <w:r w:rsidRPr="00C438EE">
              <w:t xml:space="preserve">0.2 </w:t>
            </w:r>
            <w:r w:rsidR="00002674">
              <w:t>ha</w:t>
            </w:r>
            <w:r w:rsidR="00002674" w:rsidRPr="00CA5F32">
              <w:t xml:space="preserve"> </w:t>
            </w:r>
            <w:r w:rsidRPr="00CA5F32">
              <w:t>for each lot with connected reticulated sewerage.</w:t>
            </w:r>
          </w:p>
        </w:tc>
        <w:tc>
          <w:tcPr>
            <w:tcW w:w="3119" w:type="dxa"/>
          </w:tcPr>
          <w:p w14:paraId="1B6B878A" w14:textId="4EB3E381" w:rsidR="00CE7DF1" w:rsidRPr="006118BD" w:rsidRDefault="00CE7DF1" w:rsidP="00C66B40">
            <w:pPr>
              <w:pStyle w:val="Tabletext"/>
              <w:framePr w:hSpace="0" w:wrap="auto" w:vAnchor="margin" w:hAnchor="text" w:yAlign="inline"/>
              <w:jc w:val="left"/>
            </w:pPr>
            <w:r w:rsidRPr="00CA5F32">
              <w:t>Any minimum subdivision area may be specified in the schedule to the NRZ.</w:t>
            </w:r>
          </w:p>
        </w:tc>
      </w:tr>
    </w:tbl>
    <w:p w14:paraId="5E7AF123" w14:textId="77777777" w:rsidR="00CE7DF1" w:rsidRPr="001C5965" w:rsidRDefault="00CE7DF1" w:rsidP="00840A30">
      <w:pPr>
        <w:pStyle w:val="Heading2"/>
      </w:pPr>
      <w:r w:rsidRPr="001C5965">
        <w:t xml:space="preserve">Varying the residential </w:t>
      </w:r>
      <w:r w:rsidRPr="005A05DB">
        <w:t>development</w:t>
      </w:r>
      <w:r>
        <w:t xml:space="preserve"> </w:t>
      </w:r>
      <w:r w:rsidRPr="001C5965">
        <w:t>standards</w:t>
      </w:r>
    </w:p>
    <w:p w14:paraId="63EC70E8" w14:textId="3EF11C33" w:rsidR="00CE7DF1" w:rsidRDefault="00CE7DF1" w:rsidP="00CE7DF1">
      <w:pPr>
        <w:spacing w:after="0" w:line="240" w:lineRule="auto"/>
      </w:pPr>
      <w:r w:rsidRPr="00BF5DA3">
        <w:t>A schedule to the MUZ, TZ, RGZ, GRZ and NRZ enables the following key siting and amenity standards of clause 54 and clause 55 to be varied</w:t>
      </w:r>
      <w:r w:rsidR="00AD0027">
        <w:t xml:space="preserve"> </w:t>
      </w:r>
      <w:r w:rsidR="00C66B40">
        <w:t>if</w:t>
      </w:r>
      <w:r w:rsidRPr="00BF5DA3">
        <w:t xml:space="preserve"> it can be strategically justified:</w:t>
      </w:r>
    </w:p>
    <w:p w14:paraId="00B471F1" w14:textId="6B3CA3D9" w:rsidR="00CE7DF1" w:rsidRPr="00AD12D5" w:rsidRDefault="00CE7DF1" w:rsidP="00CE7DF1">
      <w:pPr>
        <w:pStyle w:val="ListBullet"/>
      </w:pPr>
      <w:bookmarkStart w:id="5" w:name="_Hlk24969978"/>
      <w:r>
        <w:t xml:space="preserve">Standard </w:t>
      </w:r>
      <w:bookmarkEnd w:id="5"/>
      <w:r w:rsidRPr="00AD12D5">
        <w:t>A3</w:t>
      </w:r>
      <w:r w:rsidR="0093271E">
        <w:t xml:space="preserve"> (clause 54.03)</w:t>
      </w:r>
      <w:r>
        <w:t xml:space="preserve"> and </w:t>
      </w:r>
      <w:r w:rsidRPr="00AD12D5">
        <w:t>B6</w:t>
      </w:r>
      <w:r w:rsidR="00DB3BC2">
        <w:t xml:space="preserve"> (clause 55.03)</w:t>
      </w:r>
      <w:r w:rsidRPr="00AD12D5">
        <w:t xml:space="preserve"> </w:t>
      </w:r>
      <w:proofErr w:type="gramStart"/>
      <w:r w:rsidRPr="00AD12D5">
        <w:t>Minimum</w:t>
      </w:r>
      <w:r w:rsidR="00994C60">
        <w:t xml:space="preserve"> </w:t>
      </w:r>
      <w:r w:rsidRPr="00AD12D5">
        <w:t>street</w:t>
      </w:r>
      <w:proofErr w:type="gramEnd"/>
      <w:r w:rsidRPr="00AD12D5">
        <w:t xml:space="preserve"> setback</w:t>
      </w:r>
    </w:p>
    <w:p w14:paraId="2583CF1E" w14:textId="209215ED" w:rsidR="00CE7DF1" w:rsidRPr="00AD12D5" w:rsidRDefault="00CE7DF1" w:rsidP="00CE7DF1">
      <w:pPr>
        <w:pStyle w:val="ListBullet"/>
      </w:pPr>
      <w:r>
        <w:t xml:space="preserve">Standard </w:t>
      </w:r>
      <w:r w:rsidRPr="00AD12D5">
        <w:t>A5</w:t>
      </w:r>
      <w:r w:rsidR="0093271E">
        <w:t xml:space="preserve"> (clause 54.03)</w:t>
      </w:r>
      <w:r>
        <w:t xml:space="preserve"> and </w:t>
      </w:r>
      <w:r w:rsidRPr="00AD12D5">
        <w:t>B8</w:t>
      </w:r>
      <w:r w:rsidR="00DB3BC2">
        <w:t xml:space="preserve"> (clause 55.03)</w:t>
      </w:r>
      <w:r w:rsidRPr="00AD12D5">
        <w:t xml:space="preserve"> Site coverage</w:t>
      </w:r>
    </w:p>
    <w:p w14:paraId="4CAD7DF4" w14:textId="6F0E78EB" w:rsidR="00CE7DF1" w:rsidRPr="00AD12D5" w:rsidRDefault="00CE7DF1" w:rsidP="00CE7DF1">
      <w:pPr>
        <w:pStyle w:val="ListBullet"/>
      </w:pPr>
      <w:r>
        <w:t xml:space="preserve">Standard </w:t>
      </w:r>
      <w:r w:rsidRPr="00AD12D5">
        <w:t>A6</w:t>
      </w:r>
      <w:r w:rsidR="0093271E">
        <w:t xml:space="preserve"> (clause 54.03)</w:t>
      </w:r>
      <w:r>
        <w:t xml:space="preserve"> and </w:t>
      </w:r>
      <w:r w:rsidRPr="00AD12D5">
        <w:t>B9</w:t>
      </w:r>
      <w:r w:rsidR="00DB3BC2">
        <w:t xml:space="preserve"> (clause 55.03)</w:t>
      </w:r>
      <w:r w:rsidRPr="00AD12D5">
        <w:t xml:space="preserve"> Permeability</w:t>
      </w:r>
    </w:p>
    <w:p w14:paraId="36C5C6A1" w14:textId="03486CB2" w:rsidR="00CE7DF1" w:rsidRPr="00AD12D5" w:rsidRDefault="00CE7DF1" w:rsidP="00CE7DF1">
      <w:pPr>
        <w:pStyle w:val="ListBullet"/>
      </w:pPr>
      <w:r>
        <w:t xml:space="preserve">Standard </w:t>
      </w:r>
      <w:r w:rsidRPr="00AD12D5">
        <w:t>B13 Landscaping</w:t>
      </w:r>
      <w:r w:rsidR="00DB3BC2">
        <w:t xml:space="preserve"> (clause 55.03)</w:t>
      </w:r>
    </w:p>
    <w:p w14:paraId="5C61ED7F" w14:textId="1293531B" w:rsidR="00CE7DF1" w:rsidRPr="00AD12D5" w:rsidRDefault="00CE7DF1" w:rsidP="00CE7DF1">
      <w:pPr>
        <w:pStyle w:val="ListBullet"/>
      </w:pPr>
      <w:r>
        <w:t xml:space="preserve">Standard </w:t>
      </w:r>
      <w:r w:rsidRPr="00AD12D5">
        <w:t>A10</w:t>
      </w:r>
      <w:r w:rsidR="0093271E">
        <w:t xml:space="preserve"> (clause 54.04)</w:t>
      </w:r>
      <w:r>
        <w:t xml:space="preserve"> and </w:t>
      </w:r>
      <w:r w:rsidRPr="00AD12D5">
        <w:t>B17</w:t>
      </w:r>
      <w:r w:rsidR="00DB3BC2">
        <w:t xml:space="preserve"> (clause 55.04)</w:t>
      </w:r>
      <w:r w:rsidRPr="00AD12D5">
        <w:t xml:space="preserve"> Side and rear setbacks</w:t>
      </w:r>
    </w:p>
    <w:p w14:paraId="33E10744" w14:textId="26B2C196" w:rsidR="00CE7DF1" w:rsidRPr="00AD12D5" w:rsidRDefault="00CE7DF1" w:rsidP="00CE7DF1">
      <w:pPr>
        <w:pStyle w:val="ListBullet"/>
      </w:pPr>
      <w:r>
        <w:t xml:space="preserve">Standard </w:t>
      </w:r>
      <w:r w:rsidRPr="00AD12D5">
        <w:t>A11</w:t>
      </w:r>
      <w:r w:rsidR="0093271E">
        <w:t xml:space="preserve"> (clause 54.04)</w:t>
      </w:r>
      <w:r>
        <w:t xml:space="preserve"> and </w:t>
      </w:r>
      <w:r w:rsidRPr="00AD12D5">
        <w:t>B18</w:t>
      </w:r>
      <w:r w:rsidR="00DB3BC2">
        <w:t xml:space="preserve"> (clause 55.04)</w:t>
      </w:r>
      <w:r w:rsidRPr="00AD12D5">
        <w:t xml:space="preserve"> Walls on boundaries</w:t>
      </w:r>
    </w:p>
    <w:p w14:paraId="5AE08548" w14:textId="4E9EF604" w:rsidR="00CE7DF1" w:rsidRPr="00AD12D5" w:rsidRDefault="00CE7DF1" w:rsidP="00CE7DF1">
      <w:pPr>
        <w:pStyle w:val="ListBullet"/>
      </w:pPr>
      <w:r>
        <w:t xml:space="preserve">Standard </w:t>
      </w:r>
      <w:r w:rsidRPr="00AD12D5">
        <w:t>A17</w:t>
      </w:r>
      <w:r w:rsidR="0093271E">
        <w:t xml:space="preserve"> (clause 54.05)</w:t>
      </w:r>
      <w:r>
        <w:t xml:space="preserve"> and </w:t>
      </w:r>
      <w:r w:rsidRPr="00AD12D5">
        <w:t>B28</w:t>
      </w:r>
      <w:r w:rsidR="00DB3BC2">
        <w:t xml:space="preserve"> (clause 55.05)</w:t>
      </w:r>
      <w:r w:rsidRPr="00AD12D5">
        <w:t xml:space="preserve"> Private open space</w:t>
      </w:r>
    </w:p>
    <w:p w14:paraId="7266033B" w14:textId="0C854A9D" w:rsidR="00CE7DF1" w:rsidRDefault="00CE7DF1" w:rsidP="00CE7DF1">
      <w:pPr>
        <w:pStyle w:val="ListBullet"/>
      </w:pPr>
      <w:r>
        <w:t xml:space="preserve">Standard </w:t>
      </w:r>
      <w:r w:rsidRPr="00AD12D5">
        <w:t>A20</w:t>
      </w:r>
      <w:r w:rsidR="0093271E">
        <w:t xml:space="preserve"> (clause 54.06)</w:t>
      </w:r>
      <w:r>
        <w:t xml:space="preserve"> and </w:t>
      </w:r>
      <w:r w:rsidRPr="00AD12D5">
        <w:t>B32</w:t>
      </w:r>
      <w:r w:rsidR="00DB3BC2">
        <w:t xml:space="preserve"> (clause 55.06)</w:t>
      </w:r>
      <w:r w:rsidRPr="00AD12D5">
        <w:t xml:space="preserve"> Front fences</w:t>
      </w:r>
      <w:r w:rsidR="009A293F">
        <w:t>.</w:t>
      </w:r>
    </w:p>
    <w:p w14:paraId="0B45C351" w14:textId="77777777" w:rsidR="00CE7DF1" w:rsidRPr="004122C6" w:rsidRDefault="00CE7DF1" w:rsidP="00B5476C">
      <w:pPr>
        <w:pStyle w:val="Heading3"/>
      </w:pPr>
      <w:r>
        <w:t>How do the varied standards operate?</w:t>
      </w:r>
    </w:p>
    <w:p w14:paraId="7DE3C3FD" w14:textId="5AB5EF15" w:rsidR="00CE7DF1" w:rsidRDefault="00CE7DF1" w:rsidP="00CE7DF1">
      <w:pPr>
        <w:spacing w:after="0" w:line="240" w:lineRule="auto"/>
      </w:pPr>
      <w:r w:rsidRPr="00CE7054">
        <w:t>An important feature of the schedule</w:t>
      </w:r>
      <w:r>
        <w:t>s</w:t>
      </w:r>
      <w:r w:rsidRPr="00CE7054">
        <w:t xml:space="preserve"> to the residential</w:t>
      </w:r>
      <w:r>
        <w:t xml:space="preserve"> </w:t>
      </w:r>
      <w:r w:rsidRPr="00CE7054">
        <w:t>zones is that a change to a value in the schedule will</w:t>
      </w:r>
      <w:r>
        <w:t xml:space="preserve"> </w:t>
      </w:r>
      <w:r w:rsidRPr="00CE7054">
        <w:t xml:space="preserve">affect all dwellings in the </w:t>
      </w:r>
      <w:r>
        <w:t xml:space="preserve">schedule, </w:t>
      </w:r>
      <w:r w:rsidRPr="00677349">
        <w:t>whether</w:t>
      </w:r>
      <w:r>
        <w:t xml:space="preserve"> </w:t>
      </w:r>
      <w:r w:rsidRPr="00677349">
        <w:t>a planning permit is required</w:t>
      </w:r>
      <w:r>
        <w:t xml:space="preserve"> or not</w:t>
      </w:r>
      <w:r w:rsidRPr="00CE7054">
        <w:t>.</w:t>
      </w:r>
      <w:r w:rsidR="002801B7">
        <w:t xml:space="preserve"> </w:t>
      </w:r>
      <w:r w:rsidRPr="00CE7054">
        <w:t>When</w:t>
      </w:r>
      <w:r>
        <w:t xml:space="preserve"> </w:t>
      </w:r>
      <w:r w:rsidRPr="00CE7054">
        <w:t xml:space="preserve">a local value is specified in </w:t>
      </w:r>
      <w:r>
        <w:t>a</w:t>
      </w:r>
      <w:r w:rsidRPr="00CE7054">
        <w:t xml:space="preserve"> schedule, the value replaces</w:t>
      </w:r>
      <w:r>
        <w:t xml:space="preserve"> </w:t>
      </w:r>
      <w:r w:rsidRPr="00CE7054">
        <w:t xml:space="preserve">the relevant value in both the </w:t>
      </w:r>
      <w:r>
        <w:t>c</w:t>
      </w:r>
      <w:r w:rsidRPr="00CE7054">
        <w:t xml:space="preserve">lause 54 and </w:t>
      </w:r>
      <w:r>
        <w:t>c</w:t>
      </w:r>
      <w:r w:rsidRPr="00CE7054">
        <w:t>lause 55 standard</w:t>
      </w:r>
      <w:r w:rsidR="00763FFF">
        <w:t>,</w:t>
      </w:r>
      <w:r w:rsidRPr="007540E9">
        <w:t xml:space="preserve"> </w:t>
      </w:r>
      <w:r w:rsidRPr="00CE7054">
        <w:t>and in</w:t>
      </w:r>
      <w:r>
        <w:t xml:space="preserve"> </w:t>
      </w:r>
      <w:r w:rsidRPr="00CE7054">
        <w:t>the corresponding building regulation.</w:t>
      </w:r>
    </w:p>
    <w:p w14:paraId="6E520E06" w14:textId="3DC8BB80" w:rsidR="00763FFF" w:rsidRDefault="00DB3BC2" w:rsidP="006D12ED">
      <w:pPr>
        <w:spacing w:after="0" w:line="240" w:lineRule="auto"/>
      </w:pPr>
      <w:r>
        <w:t xml:space="preserve">Clause 55.03 - </w:t>
      </w:r>
      <w:r w:rsidR="00CE7DF1">
        <w:t xml:space="preserve">Standard B13 </w:t>
      </w:r>
      <w:r w:rsidR="002801B7">
        <w:t xml:space="preserve">- </w:t>
      </w:r>
      <w:r w:rsidR="00CE7DF1">
        <w:t>Landscaping</w:t>
      </w:r>
      <w:r w:rsidR="00EA343B">
        <w:t xml:space="preserve"> is the only exception to the above. It</w:t>
      </w:r>
      <w:r w:rsidR="00CE7DF1">
        <w:t xml:space="preserve"> only applies to a</w:t>
      </w:r>
      <w:r w:rsidR="00D62B98">
        <w:t>n</w:t>
      </w:r>
      <w:r w:rsidR="00CE7DF1">
        <w:t xml:space="preserve"> </w:t>
      </w:r>
      <w:r w:rsidR="00D62B98">
        <w:t xml:space="preserve">application </w:t>
      </w:r>
      <w:r w:rsidR="00CE7DF1">
        <w:t>for two or more dwellings on a lot.</w:t>
      </w:r>
    </w:p>
    <w:p w14:paraId="2E3748EE" w14:textId="6A5AFAE4" w:rsidR="00941616" w:rsidRPr="00AF6293" w:rsidRDefault="006977B6" w:rsidP="00AF6293">
      <w:pPr>
        <w:spacing w:after="0" w:line="240" w:lineRule="auto"/>
      </w:pPr>
      <w:r>
        <w:t>Figure 4 below illustrates an example of how a schedule variation would interact with the building regulation and clauses 54 and 55.</w:t>
      </w:r>
    </w:p>
    <w:p w14:paraId="5F3BC327" w14:textId="77777777" w:rsidR="00AF6293" w:rsidRDefault="00AF6293">
      <w:pPr>
        <w:spacing w:before="0" w:after="200"/>
        <w:rPr>
          <w:b/>
          <w:bCs/>
          <w:color w:val="5A5A5A"/>
        </w:rPr>
      </w:pPr>
      <w:r>
        <w:br w:type="page"/>
      </w:r>
    </w:p>
    <w:p w14:paraId="360D8080" w14:textId="3BB510FC" w:rsidR="007E6AF4" w:rsidRDefault="00CE7DF1" w:rsidP="00941616">
      <w:pPr>
        <w:pStyle w:val="Figure"/>
        <w:rPr>
          <w:b w:val="0"/>
          <w:bCs w:val="0"/>
        </w:rPr>
      </w:pPr>
      <w:r w:rsidRPr="00CE7DF1">
        <w:lastRenderedPageBreak/>
        <w:t>Figure 4:</w:t>
      </w:r>
      <w:r w:rsidRPr="00AD12D5">
        <w:t xml:space="preserve"> </w:t>
      </w:r>
      <w:r w:rsidR="00EA343B">
        <w:rPr>
          <w:b w:val="0"/>
          <w:bCs w:val="0"/>
        </w:rPr>
        <w:t xml:space="preserve">Example </w:t>
      </w:r>
      <w:r w:rsidR="007D5E3C">
        <w:rPr>
          <w:b w:val="0"/>
          <w:bCs w:val="0"/>
        </w:rPr>
        <w:t xml:space="preserve">minimum </w:t>
      </w:r>
      <w:r w:rsidR="00EA343B">
        <w:rPr>
          <w:b w:val="0"/>
          <w:bCs w:val="0"/>
        </w:rPr>
        <w:t xml:space="preserve">street setback </w:t>
      </w:r>
      <w:r w:rsidRPr="00304A70">
        <w:rPr>
          <w:b w:val="0"/>
          <w:bCs w:val="0"/>
        </w:rPr>
        <w:t>variation</w:t>
      </w:r>
      <w:r w:rsidR="00D96835">
        <w:rPr>
          <w:b w:val="0"/>
          <w:bCs w:val="0"/>
        </w:rPr>
        <w:t xml:space="preserve"> in the building and planning systems</w:t>
      </w:r>
    </w:p>
    <w:p w14:paraId="29C3FE80" w14:textId="67F2044E" w:rsidR="00B5760B" w:rsidRDefault="006C694D" w:rsidP="006C694D">
      <w:pPr>
        <w:pStyle w:val="Figure"/>
        <w:jc w:val="center"/>
      </w:pPr>
      <w:r>
        <w:rPr>
          <w:noProof/>
        </w:rPr>
        <w:drawing>
          <wp:inline distT="0" distB="0" distL="0" distR="0" wp14:anchorId="554C0395" wp14:editId="297C8ED1">
            <wp:extent cx="3779167" cy="2426406"/>
            <wp:effectExtent l="0" t="0" r="2540" b="1905"/>
            <wp:docPr id="6" name="Picture 6" descr="Diagram showing Building System and Planning System relationship:&#10;Residential zone schedule relates to: Building Regulations (replaces regulation 74); and clause 54 (replaces Standard A3) and clause 55 (replaces Standard B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showing Building System and Planning System relationship:&#10;Residential zone schedule relates to: Building Regulations (replaces regulation 74); and clause 54 (replaces Standard A3) and clause 55 (replaces Standard B6) "/>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79167" cy="2426406"/>
                    </a:xfrm>
                    <a:prstGeom prst="rect">
                      <a:avLst/>
                    </a:prstGeom>
                  </pic:spPr>
                </pic:pic>
              </a:graphicData>
            </a:graphic>
          </wp:inline>
        </w:drawing>
      </w:r>
    </w:p>
    <w:p w14:paraId="5AA4EAA7" w14:textId="5E5CD72A" w:rsidR="00CE7DF1" w:rsidRDefault="00CE7DF1" w:rsidP="00597D89">
      <w:r w:rsidRPr="00CF37BB">
        <w:rPr>
          <w:b/>
          <w:bCs/>
        </w:rPr>
        <w:t>When assessing a building permit application</w:t>
      </w:r>
      <w:r w:rsidRPr="00AD12D5">
        <w:t xml:space="preserve">, </w:t>
      </w:r>
      <w:r>
        <w:t>a</w:t>
      </w:r>
      <w:r w:rsidRPr="00AD12D5">
        <w:t xml:space="preserve"> building practitioner must use the value in the schedule to the residential zone</w:t>
      </w:r>
      <w:r w:rsidR="006D12ED">
        <w:t>,</w:t>
      </w:r>
      <w:r w:rsidRPr="00AD12D5">
        <w:t xml:space="preserve"> instead of the value expressed in the relevant building regulation. Schedule 6 to the Building Regulations identifies which planning schemes have schedules that specify a local value.</w:t>
      </w:r>
    </w:p>
    <w:p w14:paraId="03CAE476" w14:textId="77777777" w:rsidR="00CE7DF1" w:rsidRDefault="00CE7DF1" w:rsidP="00597D89">
      <w:r w:rsidRPr="00CF37BB">
        <w:rPr>
          <w:b/>
          <w:bCs/>
        </w:rPr>
        <w:t>When assessing a planning permit application</w:t>
      </w:r>
      <w:r w:rsidRPr="00AD12D5">
        <w:t>, the vari</w:t>
      </w:r>
      <w:r>
        <w:t xml:space="preserve">ed standard </w:t>
      </w:r>
      <w:r w:rsidRPr="00AD12D5">
        <w:t>continues to be read with the relevant objective and decision guidelines in clause 54 and clause 55. The schedule simply substitutes one value for another</w:t>
      </w:r>
      <w:r>
        <w:t>. T</w:t>
      </w:r>
      <w:r w:rsidRPr="00AD12D5">
        <w:t xml:space="preserve">he remainder of the standard </w:t>
      </w:r>
      <w:r>
        <w:t xml:space="preserve">in clause 54 and clause 55 </w:t>
      </w:r>
      <w:r w:rsidRPr="00AD12D5">
        <w:t xml:space="preserve">continues to apply. </w:t>
      </w:r>
    </w:p>
    <w:p w14:paraId="19AB238A" w14:textId="5B74DDE0" w:rsidR="00CE7DF1" w:rsidRDefault="00CE7DF1" w:rsidP="00597D89">
      <w:r w:rsidRPr="00AD12D5">
        <w:t xml:space="preserve">When a </w:t>
      </w:r>
      <w:r w:rsidR="00B5760B">
        <w:t xml:space="preserve">new </w:t>
      </w:r>
      <w:r w:rsidRPr="00AD12D5">
        <w:t>residential zone</w:t>
      </w:r>
      <w:r w:rsidR="006D12ED">
        <w:t xml:space="preserve"> that is</w:t>
      </w:r>
      <w:r w:rsidRPr="00AD12D5">
        <w:t xml:space="preserve"> not currently </w:t>
      </w:r>
      <w:r>
        <w:t xml:space="preserve">used </w:t>
      </w:r>
      <w:r w:rsidRPr="00AD12D5">
        <w:t>in the planning scheme</w:t>
      </w:r>
      <w:r>
        <w:t xml:space="preserve"> is proposed</w:t>
      </w:r>
      <w:r w:rsidRPr="00AD12D5">
        <w:t>,</w:t>
      </w:r>
      <w:r>
        <w:t xml:space="preserve"> and a clause 54 standard is proposed to be varied</w:t>
      </w:r>
      <w:r w:rsidRPr="00AD12D5">
        <w:t>, a consequential amendment to Schedule 6 to the Building Regulations is also necessary</w:t>
      </w:r>
      <w:r w:rsidR="00763FFF">
        <w:t xml:space="preserve">. This is required </w:t>
      </w:r>
      <w:r w:rsidRPr="00AD12D5">
        <w:t xml:space="preserve">to </w:t>
      </w:r>
      <w:r>
        <w:t xml:space="preserve">apply </w:t>
      </w:r>
      <w:r w:rsidRPr="00AD12D5">
        <w:t xml:space="preserve">the planning scheme change </w:t>
      </w:r>
      <w:r>
        <w:t>to a</w:t>
      </w:r>
      <w:r w:rsidRPr="00AD12D5">
        <w:t xml:space="preserve"> </w:t>
      </w:r>
      <w:r>
        <w:t>single dwelling that does not require a planning permit in the new residential zone.</w:t>
      </w:r>
    </w:p>
    <w:p w14:paraId="557F201A" w14:textId="2F000951" w:rsidR="00CE7DF1" w:rsidRPr="00AD12D5" w:rsidRDefault="00CE7DF1" w:rsidP="00597D89">
      <w:r w:rsidRPr="00AD12D5">
        <w:t xml:space="preserve">If the </w:t>
      </w:r>
      <w:r>
        <w:t xml:space="preserve">schedule to the </w:t>
      </w:r>
      <w:r w:rsidRPr="00AD12D5">
        <w:t xml:space="preserve">building regulations </w:t>
      </w:r>
      <w:r>
        <w:t>is</w:t>
      </w:r>
      <w:r w:rsidRPr="00AD12D5">
        <w:t xml:space="preserve"> not amended to reference the new residential zone in the planning scheme, </w:t>
      </w:r>
      <w:r>
        <w:t>the varied standard</w:t>
      </w:r>
      <w:r w:rsidRPr="00AD12D5">
        <w:t xml:space="preserve"> will </w:t>
      </w:r>
      <w:r>
        <w:t xml:space="preserve">not </w:t>
      </w:r>
      <w:r w:rsidRPr="00AD12D5">
        <w:t xml:space="preserve">apply to a single dwelling </w:t>
      </w:r>
      <w:r>
        <w:t>that does</w:t>
      </w:r>
      <w:r w:rsidRPr="00AD12D5">
        <w:t xml:space="preserve"> not </w:t>
      </w:r>
      <w:r>
        <w:t xml:space="preserve">require </w:t>
      </w:r>
      <w:r w:rsidRPr="00AD12D5">
        <w:t>a planning permit.</w:t>
      </w:r>
    </w:p>
    <w:p w14:paraId="08FF5D6A" w14:textId="77777777" w:rsidR="00CE7DF1" w:rsidRDefault="00CE7DF1" w:rsidP="00597D89">
      <w:r w:rsidRPr="00AD12D5">
        <w:t>This is undesirable because</w:t>
      </w:r>
      <w:r>
        <w:t xml:space="preserve"> it</w:t>
      </w:r>
      <w:r w:rsidRPr="00AD12D5">
        <w:t>:</w:t>
      </w:r>
    </w:p>
    <w:p w14:paraId="47AF686D" w14:textId="77777777" w:rsidR="00CE7DF1" w:rsidRDefault="00CE7DF1" w:rsidP="00597D89">
      <w:pPr>
        <w:pStyle w:val="ListBullet"/>
      </w:pPr>
      <w:r>
        <w:t xml:space="preserve">undermines the strategic intent that </w:t>
      </w:r>
      <w:r w:rsidRPr="00AD12D5">
        <w:t xml:space="preserve">all dwellings are </w:t>
      </w:r>
      <w:r>
        <w:t>developed to achieve the preferred neighbourhood character outcomes for an area</w:t>
      </w:r>
    </w:p>
    <w:p w14:paraId="2F45EAED" w14:textId="6DAE0312" w:rsidR="00CE7DF1" w:rsidRDefault="00CE7DF1" w:rsidP="00597D89">
      <w:pPr>
        <w:pStyle w:val="ListBullet"/>
      </w:pPr>
      <w:r w:rsidRPr="00AD12D5">
        <w:t>adds complexity and confusion to the application of the standards between the two approval systems.</w:t>
      </w:r>
    </w:p>
    <w:p w14:paraId="78127011" w14:textId="77777777" w:rsidR="00CE7DF1" w:rsidRPr="004122C6" w:rsidRDefault="00CE7DF1" w:rsidP="00B5476C">
      <w:pPr>
        <w:pStyle w:val="Heading3"/>
      </w:pPr>
      <w:r>
        <w:t>Writing varied standards</w:t>
      </w:r>
    </w:p>
    <w:p w14:paraId="76623EEC" w14:textId="77777777" w:rsidR="00CE7DF1" w:rsidRPr="00AD12D5" w:rsidRDefault="00CE7DF1" w:rsidP="00597D89">
      <w:r w:rsidRPr="00AD12D5">
        <w:t xml:space="preserve">The schedule cannot be used to vary the objective or decision guideline of the </w:t>
      </w:r>
      <w:r>
        <w:t xml:space="preserve">relevant </w:t>
      </w:r>
      <w:r w:rsidRPr="00AD12D5">
        <w:t xml:space="preserve">standard in </w:t>
      </w:r>
      <w:r>
        <w:t>c</w:t>
      </w:r>
      <w:r w:rsidRPr="00AD12D5">
        <w:t xml:space="preserve">lause 54 and </w:t>
      </w:r>
      <w:r>
        <w:t xml:space="preserve">clause </w:t>
      </w:r>
      <w:r w:rsidRPr="00AD12D5">
        <w:t>55.</w:t>
      </w:r>
    </w:p>
    <w:p w14:paraId="3214E297" w14:textId="5C1371BA" w:rsidR="00CE7DF1" w:rsidRDefault="00CE7DF1" w:rsidP="00597D89">
      <w:r w:rsidRPr="00AD12D5">
        <w:t>It is not possible to apply different standards for different types of residential development in the schedule</w:t>
      </w:r>
      <w:r>
        <w:t>,</w:t>
      </w:r>
      <w:r w:rsidRPr="00AD12D5">
        <w:t xml:space="preserve"> except for private open space</w:t>
      </w:r>
      <w:r w:rsidR="00720F34">
        <w:t xml:space="preserve"> (standards </w:t>
      </w:r>
      <w:r w:rsidR="00720F34" w:rsidRPr="00720F34">
        <w:t>A17 and B28</w:t>
      </w:r>
      <w:r w:rsidR="00720F34">
        <w:t>)</w:t>
      </w:r>
      <w:r w:rsidRPr="00AD12D5">
        <w:t xml:space="preserve"> which allows </w:t>
      </w:r>
      <w:r>
        <w:t xml:space="preserve">for </w:t>
      </w:r>
      <w:r w:rsidRPr="00AD12D5">
        <w:t>a distinction between single dwellings</w:t>
      </w:r>
      <w:r>
        <w:t xml:space="preserve"> and two or more dwellings on a lot</w:t>
      </w:r>
      <w:r w:rsidRPr="00AD12D5">
        <w:t>.</w:t>
      </w:r>
      <w:r>
        <w:t xml:space="preserve"> This is because a </w:t>
      </w:r>
      <w:r>
        <w:lastRenderedPageBreak/>
        <w:t>different method of measurement applies for calculating open space for one dwelling on a lot under the building regulations.</w:t>
      </w:r>
    </w:p>
    <w:p w14:paraId="66458243" w14:textId="77777777" w:rsidR="00CE7DF1" w:rsidRPr="00AD12D5" w:rsidRDefault="00CE7DF1" w:rsidP="00597D89">
      <w:r w:rsidRPr="00AD12D5">
        <w:t xml:space="preserve">When varying clause 54 and clause 55 standards in the schedule, it is important to </w:t>
      </w:r>
      <w:r>
        <w:t>use</w:t>
      </w:r>
      <w:r w:rsidRPr="00AD12D5">
        <w:t xml:space="preserve"> the</w:t>
      </w:r>
      <w:r>
        <w:t xml:space="preserve"> existing</w:t>
      </w:r>
      <w:r w:rsidRPr="00AD12D5">
        <w:t xml:space="preserve"> standard to determine what value can be</w:t>
      </w:r>
      <w:r>
        <w:t xml:space="preserve"> substituted or varied</w:t>
      </w:r>
      <w:r w:rsidRPr="00AD12D5">
        <w:t xml:space="preserve">. The substituted value may be a dimension, area, </w:t>
      </w:r>
      <w:proofErr w:type="gramStart"/>
      <w:r w:rsidRPr="00AD12D5">
        <w:t>distance</w:t>
      </w:r>
      <w:proofErr w:type="gramEnd"/>
      <w:r w:rsidRPr="00AD12D5">
        <w:t xml:space="preserve"> or percentage.</w:t>
      </w:r>
    </w:p>
    <w:p w14:paraId="13A32227" w14:textId="0A42C9BA" w:rsidR="00CE7DF1" w:rsidRPr="00AD12D5" w:rsidRDefault="00CE7DF1" w:rsidP="00597D89">
      <w:r w:rsidRPr="00AD12D5">
        <w:t xml:space="preserve">It is important to ensure that the variation can be understood without reference to the </w:t>
      </w:r>
      <w:r>
        <w:t xml:space="preserve">state </w:t>
      </w:r>
      <w:r w:rsidRPr="00AD12D5">
        <w:t>standard</w:t>
      </w:r>
      <w:r>
        <w:t xml:space="preserve"> or relevant building regulation.</w:t>
      </w:r>
      <w:r w:rsidR="00F71339">
        <w:t xml:space="preserve"> See Table 9 below for examples.</w:t>
      </w:r>
      <w:r>
        <w:t xml:space="preserve"> V</w:t>
      </w:r>
      <w:r w:rsidRPr="00AD12D5">
        <w:t xml:space="preserve">ariations to clause 54 standards must be clear and legible for a building practitioner when issuing a building permit for </w:t>
      </w:r>
      <w:r>
        <w:t>one</w:t>
      </w:r>
      <w:r w:rsidRPr="00AD12D5">
        <w:t xml:space="preserve"> dwelling </w:t>
      </w:r>
      <w:r>
        <w:t xml:space="preserve">on a lot </w:t>
      </w:r>
      <w:r w:rsidRPr="00AD12D5">
        <w:t>that does not require a planning permit.</w:t>
      </w:r>
    </w:p>
    <w:p w14:paraId="7461F587" w14:textId="77777777" w:rsidR="00CE7DF1" w:rsidRPr="00AD12D5" w:rsidRDefault="00CE7DF1" w:rsidP="00597D89">
      <w:r w:rsidRPr="00AD12D5">
        <w:t xml:space="preserve">Any omission of text or values between the clause 54 and clause 55 standard and the variation </w:t>
      </w:r>
      <w:r>
        <w:t>may</w:t>
      </w:r>
      <w:r w:rsidRPr="00AD12D5">
        <w:t xml:space="preserve"> have unintended consequences. It is therefore important that the variation uses the format and language of the relevant standard to ensure that there is no confusion.</w:t>
      </w:r>
    </w:p>
    <w:p w14:paraId="6D152132" w14:textId="51C638C1" w:rsidR="00CE7DF1" w:rsidRDefault="00CE7DF1" w:rsidP="00597D89">
      <w:r w:rsidRPr="00AD12D5">
        <w:t xml:space="preserve">Only the numerical value of the relevant standard </w:t>
      </w:r>
      <w:r>
        <w:t>should</w:t>
      </w:r>
      <w:r w:rsidRPr="00AD12D5">
        <w:t xml:space="preserve"> be changed. The schedule cannot be used to apply a different value to only some land in the zone because the building regulations refer to the application of the variation uniformly throughout the zone. </w:t>
      </w:r>
      <w:r>
        <w:t>A building certifier’s point of reference is what the land is zoned in the planning scheme.</w:t>
      </w:r>
    </w:p>
    <w:p w14:paraId="02C66EC6" w14:textId="77777777" w:rsidR="00597D89" w:rsidRPr="00770906" w:rsidRDefault="00597D89" w:rsidP="00C9740B">
      <w:pPr>
        <w:pStyle w:val="TableName"/>
        <w:spacing w:after="120"/>
      </w:pPr>
      <w:r w:rsidRPr="00770906">
        <w:t xml:space="preserve">Table 9: </w:t>
      </w:r>
      <w:r w:rsidRPr="00C9740B">
        <w:rPr>
          <w:b w:val="0"/>
          <w:bCs w:val="0"/>
        </w:rPr>
        <w:t>Drafting clause 54 and clause 55 variations</w:t>
      </w:r>
    </w:p>
    <w:tbl>
      <w:tblPr>
        <w:tblStyle w:val="Table1"/>
        <w:tblpPr w:leftFromText="180" w:rightFromText="180" w:vertAnchor="text" w:horzAnchor="margin" w:tblpY="32"/>
        <w:tblW w:w="0" w:type="auto"/>
        <w:tblBorders>
          <w:left w:val="none" w:sz="0" w:space="0" w:color="auto"/>
          <w:right w:val="none" w:sz="0" w:space="0" w:color="auto"/>
        </w:tblBorders>
        <w:tblLook w:val="04A0" w:firstRow="1" w:lastRow="0" w:firstColumn="1" w:lastColumn="0" w:noHBand="0" w:noVBand="1"/>
      </w:tblPr>
      <w:tblGrid>
        <w:gridCol w:w="1701"/>
        <w:gridCol w:w="3969"/>
        <w:gridCol w:w="3686"/>
      </w:tblGrid>
      <w:tr w:rsidR="00597D89" w:rsidRPr="001150C9" w14:paraId="382CE0BB" w14:textId="77777777" w:rsidTr="00E506F4">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1701" w:type="dxa"/>
          </w:tcPr>
          <w:p w14:paraId="72DDFAB5" w14:textId="5E59EFE1" w:rsidR="00597D89" w:rsidRPr="008C1254" w:rsidRDefault="00597D89" w:rsidP="00597D89">
            <w:pPr>
              <w:pStyle w:val="Tableheader"/>
              <w:framePr w:hSpace="0" w:wrap="auto" w:vAnchor="margin" w:hAnchor="text" w:yAlign="inline"/>
              <w:rPr>
                <w:b/>
                <w:szCs w:val="20"/>
              </w:rPr>
            </w:pPr>
            <w:r w:rsidRPr="008C1254">
              <w:rPr>
                <w:b/>
                <w:szCs w:val="20"/>
              </w:rPr>
              <w:t>Standard</w:t>
            </w:r>
          </w:p>
        </w:tc>
        <w:tc>
          <w:tcPr>
            <w:tcW w:w="3969" w:type="dxa"/>
          </w:tcPr>
          <w:p w14:paraId="48E7EB5D" w14:textId="4DACB7FC" w:rsidR="00597D89" w:rsidRPr="008C1254" w:rsidRDefault="0080372A" w:rsidP="00597D89">
            <w:pPr>
              <w:pStyle w:val="Tableheader"/>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b/>
                <w:szCs w:val="20"/>
              </w:rPr>
            </w:pPr>
            <w:r w:rsidRPr="008C1254">
              <w:rPr>
                <w:b/>
                <w:szCs w:val="20"/>
              </w:rPr>
              <w:sym w:font="Wingdings" w:char="F0FC"/>
            </w:r>
          </w:p>
        </w:tc>
        <w:tc>
          <w:tcPr>
            <w:tcW w:w="3686" w:type="dxa"/>
          </w:tcPr>
          <w:p w14:paraId="043D2123" w14:textId="761B1576" w:rsidR="00597D89" w:rsidRPr="008C1254" w:rsidRDefault="0080372A" w:rsidP="00597D89">
            <w:pPr>
              <w:pStyle w:val="Tableheader"/>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b/>
                <w:szCs w:val="20"/>
              </w:rPr>
            </w:pPr>
            <w:r w:rsidRPr="008C1254">
              <w:rPr>
                <w:b/>
                <w:szCs w:val="20"/>
              </w:rPr>
              <w:sym w:font="Wingdings" w:char="F0FB"/>
            </w:r>
          </w:p>
        </w:tc>
      </w:tr>
      <w:tr w:rsidR="00597D89" w:rsidRPr="001150C9" w14:paraId="289DEE7D" w14:textId="77777777" w:rsidTr="00E506F4">
        <w:tc>
          <w:tcPr>
            <w:tcW w:w="1701" w:type="dxa"/>
          </w:tcPr>
          <w:p w14:paraId="2CB6356F" w14:textId="11336D22" w:rsidR="00597D89" w:rsidRPr="008C1254" w:rsidRDefault="00597D89" w:rsidP="00E506F4">
            <w:pPr>
              <w:pStyle w:val="Tablesecondheading"/>
              <w:spacing w:before="120" w:after="120"/>
              <w:rPr>
                <w:szCs w:val="20"/>
              </w:rPr>
            </w:pPr>
            <w:r w:rsidRPr="008C1254">
              <w:rPr>
                <w:szCs w:val="20"/>
              </w:rPr>
              <w:t>A3 and B6</w:t>
            </w:r>
            <w:r w:rsidR="0080372A" w:rsidRPr="008C1254">
              <w:rPr>
                <w:szCs w:val="20"/>
              </w:rPr>
              <w:t xml:space="preserve"> - </w:t>
            </w:r>
            <w:proofErr w:type="gramStart"/>
            <w:r w:rsidRPr="008C1254">
              <w:rPr>
                <w:szCs w:val="20"/>
              </w:rPr>
              <w:t>Minimum street</w:t>
            </w:r>
            <w:proofErr w:type="gramEnd"/>
            <w:r w:rsidRPr="008C1254">
              <w:rPr>
                <w:szCs w:val="20"/>
              </w:rPr>
              <w:t xml:space="preserve"> setback</w:t>
            </w:r>
          </w:p>
        </w:tc>
        <w:tc>
          <w:tcPr>
            <w:tcW w:w="3969" w:type="dxa"/>
          </w:tcPr>
          <w:p w14:paraId="427AAEBA" w14:textId="77777777" w:rsidR="00597D89" w:rsidRPr="001150C9" w:rsidRDefault="00597D89" w:rsidP="00E506F4">
            <w:pPr>
              <w:pStyle w:val="Tabletext"/>
              <w:framePr w:hSpace="0" w:wrap="auto" w:vAnchor="margin" w:hAnchor="text" w:yAlign="inline"/>
              <w:spacing w:before="120" w:after="120"/>
              <w:jc w:val="left"/>
            </w:pPr>
            <w:r w:rsidRPr="001150C9">
              <w:t xml:space="preserve">Walls of buildings should be set back at least </w:t>
            </w:r>
            <w:r w:rsidRPr="001150C9">
              <w:rPr>
                <w:b/>
                <w:bCs/>
              </w:rPr>
              <w:t>3 metres</w:t>
            </w:r>
            <w:r w:rsidRPr="001150C9">
              <w:t xml:space="preserve"> from the front street including corner sites.</w:t>
            </w:r>
          </w:p>
          <w:p w14:paraId="778DE3A4" w14:textId="77777777" w:rsidR="00597D89" w:rsidRPr="001150C9" w:rsidRDefault="00597D89" w:rsidP="00E506F4">
            <w:pPr>
              <w:pStyle w:val="Tabletext"/>
              <w:framePr w:hSpace="0" w:wrap="auto" w:vAnchor="margin" w:hAnchor="text" w:yAlign="inline"/>
              <w:spacing w:before="120" w:after="120"/>
              <w:jc w:val="left"/>
            </w:pPr>
            <w:r w:rsidRPr="001150C9">
              <w:t>No encroachments are allowed into this setback.</w:t>
            </w:r>
          </w:p>
          <w:p w14:paraId="652CB272" w14:textId="19631520" w:rsidR="00597D89" w:rsidRPr="001150C9" w:rsidRDefault="00597D89" w:rsidP="00E506F4">
            <w:pPr>
              <w:pStyle w:val="Tabletext"/>
              <w:framePr w:hSpace="0" w:wrap="auto" w:vAnchor="margin" w:hAnchor="text" w:yAlign="inline"/>
              <w:spacing w:before="120" w:after="120"/>
              <w:jc w:val="left"/>
            </w:pPr>
            <w:r w:rsidRPr="001150C9">
              <w:t>Side street setback requirements specified in the table to standards A3 and B6 continue to apply.</w:t>
            </w:r>
          </w:p>
        </w:tc>
        <w:tc>
          <w:tcPr>
            <w:tcW w:w="3686" w:type="dxa"/>
          </w:tcPr>
          <w:p w14:paraId="48BDA0B0" w14:textId="77777777" w:rsidR="00597D89" w:rsidRPr="001150C9" w:rsidRDefault="00597D89" w:rsidP="00E506F4">
            <w:pPr>
              <w:pStyle w:val="Tabletext"/>
              <w:framePr w:hSpace="0" w:wrap="auto" w:vAnchor="margin" w:hAnchor="text" w:yAlign="inline"/>
              <w:spacing w:before="120" w:after="120"/>
              <w:jc w:val="left"/>
              <w:rPr>
                <w:b/>
                <w:bCs/>
              </w:rPr>
            </w:pPr>
            <w:r w:rsidRPr="001150C9">
              <w:rPr>
                <w:b/>
                <w:bCs/>
              </w:rPr>
              <w:t>3 metres</w:t>
            </w:r>
          </w:p>
          <w:p w14:paraId="2DCA5761" w14:textId="77777777" w:rsidR="00597D89" w:rsidRPr="001150C9" w:rsidRDefault="00597D89" w:rsidP="00E506F4">
            <w:pPr>
              <w:pStyle w:val="Tabletext"/>
              <w:framePr w:hSpace="0" w:wrap="auto" w:vAnchor="margin" w:hAnchor="text" w:yAlign="inline"/>
              <w:spacing w:before="120" w:after="120"/>
              <w:jc w:val="left"/>
              <w:rPr>
                <w:color w:val="008393"/>
              </w:rPr>
            </w:pPr>
            <w:r w:rsidRPr="001150C9">
              <w:rPr>
                <w:color w:val="008393"/>
              </w:rPr>
              <w:t>This variation is inadequately expressed, and its application may be confusing as it is unclear if the street setback standard applies to all street contexts.</w:t>
            </w:r>
          </w:p>
          <w:p w14:paraId="7EC6B86B" w14:textId="092E1A8F" w:rsidR="00597D89" w:rsidRPr="001150C9" w:rsidRDefault="00597D89" w:rsidP="00E506F4">
            <w:pPr>
              <w:pStyle w:val="Tabletext"/>
              <w:framePr w:hSpace="0" w:wrap="auto" w:vAnchor="margin" w:hAnchor="text" w:yAlign="inline"/>
              <w:spacing w:before="120" w:after="120"/>
              <w:jc w:val="left"/>
            </w:pPr>
          </w:p>
        </w:tc>
      </w:tr>
      <w:tr w:rsidR="00597D89" w:rsidRPr="001150C9" w14:paraId="6BB6EBAA" w14:textId="77777777" w:rsidTr="00E506F4">
        <w:tc>
          <w:tcPr>
            <w:tcW w:w="1701" w:type="dxa"/>
          </w:tcPr>
          <w:p w14:paraId="4DD2F093" w14:textId="0E0BAADF" w:rsidR="00597D89" w:rsidRPr="008C1254" w:rsidRDefault="00597D89" w:rsidP="00E506F4">
            <w:pPr>
              <w:pStyle w:val="Tablesecondheading"/>
              <w:spacing w:before="120" w:after="120"/>
              <w:rPr>
                <w:szCs w:val="20"/>
              </w:rPr>
            </w:pPr>
            <w:r w:rsidRPr="008C1254">
              <w:rPr>
                <w:szCs w:val="20"/>
              </w:rPr>
              <w:t>A5 and B8</w:t>
            </w:r>
            <w:r w:rsidR="0080372A" w:rsidRPr="008C1254">
              <w:rPr>
                <w:szCs w:val="20"/>
              </w:rPr>
              <w:t xml:space="preserve"> - </w:t>
            </w:r>
            <w:r w:rsidRPr="008C1254">
              <w:rPr>
                <w:szCs w:val="20"/>
              </w:rPr>
              <w:t>Site coverage</w:t>
            </w:r>
          </w:p>
        </w:tc>
        <w:tc>
          <w:tcPr>
            <w:tcW w:w="3969" w:type="dxa"/>
          </w:tcPr>
          <w:p w14:paraId="306415F7" w14:textId="0180C6DB" w:rsidR="00597D89" w:rsidRPr="001150C9" w:rsidRDefault="00597D89" w:rsidP="00E506F4">
            <w:pPr>
              <w:pStyle w:val="Tabletext"/>
              <w:framePr w:hSpace="0" w:wrap="auto" w:vAnchor="margin" w:hAnchor="text" w:yAlign="inline"/>
              <w:spacing w:before="120" w:after="120"/>
              <w:jc w:val="left"/>
            </w:pPr>
            <w:r w:rsidRPr="001150C9">
              <w:t xml:space="preserve">The site area covered by buildings should not exceed </w:t>
            </w:r>
            <w:r w:rsidRPr="001150C9">
              <w:rPr>
                <w:b/>
                <w:bCs/>
              </w:rPr>
              <w:t>50 per cent.</w:t>
            </w:r>
          </w:p>
        </w:tc>
        <w:tc>
          <w:tcPr>
            <w:tcW w:w="3686" w:type="dxa"/>
          </w:tcPr>
          <w:p w14:paraId="00C41CC6" w14:textId="77777777" w:rsidR="00597D89" w:rsidRPr="001150C9" w:rsidRDefault="00597D89" w:rsidP="00E506F4">
            <w:pPr>
              <w:pStyle w:val="Tabletext"/>
              <w:framePr w:hSpace="0" w:wrap="auto" w:vAnchor="margin" w:hAnchor="text" w:yAlign="inline"/>
              <w:spacing w:before="120" w:after="120"/>
              <w:jc w:val="left"/>
              <w:rPr>
                <w:b/>
              </w:rPr>
            </w:pPr>
            <w:r w:rsidRPr="001150C9">
              <w:rPr>
                <w:b/>
              </w:rPr>
              <w:t xml:space="preserve">50%, including all buildings, swimming pools, tennis courts, paving and other hard surfaces. </w:t>
            </w:r>
          </w:p>
          <w:p w14:paraId="0AAB610D" w14:textId="7E908D20" w:rsidR="00597D89" w:rsidRPr="001150C9" w:rsidRDefault="00597D89" w:rsidP="00E506F4">
            <w:pPr>
              <w:pStyle w:val="Tabletext"/>
              <w:framePr w:hSpace="0" w:wrap="auto" w:vAnchor="margin" w:hAnchor="text" w:yAlign="inline"/>
              <w:spacing w:before="120" w:after="120"/>
              <w:jc w:val="left"/>
            </w:pPr>
            <w:r w:rsidRPr="001150C9">
              <w:rPr>
                <w:color w:val="008393"/>
              </w:rPr>
              <w:t>Site coverage and permeability are separate standards and should not be combined.</w:t>
            </w:r>
          </w:p>
        </w:tc>
      </w:tr>
      <w:tr w:rsidR="00597D89" w:rsidRPr="001150C9" w14:paraId="7B2FAC71" w14:textId="77777777" w:rsidTr="00E506F4">
        <w:tc>
          <w:tcPr>
            <w:tcW w:w="1701" w:type="dxa"/>
          </w:tcPr>
          <w:p w14:paraId="1DD03327" w14:textId="6708A9F1" w:rsidR="00597D89" w:rsidRPr="008C1254" w:rsidRDefault="00597D89" w:rsidP="0065637E">
            <w:pPr>
              <w:pStyle w:val="Tablesecondheading"/>
              <w:spacing w:before="120" w:after="120"/>
              <w:rPr>
                <w:szCs w:val="20"/>
              </w:rPr>
            </w:pPr>
            <w:r w:rsidRPr="008C1254">
              <w:rPr>
                <w:szCs w:val="20"/>
              </w:rPr>
              <w:t>A17</w:t>
            </w:r>
            <w:r w:rsidR="0080372A" w:rsidRPr="008C1254">
              <w:rPr>
                <w:szCs w:val="20"/>
              </w:rPr>
              <w:t xml:space="preserve"> - </w:t>
            </w:r>
            <w:r w:rsidRPr="008C1254">
              <w:rPr>
                <w:szCs w:val="20"/>
              </w:rPr>
              <w:t>Private open space</w:t>
            </w:r>
          </w:p>
        </w:tc>
        <w:tc>
          <w:tcPr>
            <w:tcW w:w="3969" w:type="dxa"/>
          </w:tcPr>
          <w:p w14:paraId="57471CE8" w14:textId="52DF24B7" w:rsidR="00597D89" w:rsidRPr="001150C9" w:rsidRDefault="00597D89" w:rsidP="0065637E">
            <w:pPr>
              <w:pStyle w:val="Tabletext"/>
              <w:framePr w:hSpace="0" w:wrap="auto" w:vAnchor="margin" w:hAnchor="text" w:yAlign="inline"/>
              <w:spacing w:before="120" w:after="120"/>
              <w:jc w:val="left"/>
            </w:pPr>
            <w:r w:rsidRPr="001150C9">
              <w:t xml:space="preserve">A dwelling should have private open space consisting of an area of 80 square metres or 20 per cent of the area of the lot, whichever is the lesser, but not less than 40 square metres. At least one part of the private open space should consist of secluded private open space with a minimum area of 25 square metres and a </w:t>
            </w:r>
            <w:r w:rsidRPr="001150C9">
              <w:rPr>
                <w:b/>
                <w:bCs/>
              </w:rPr>
              <w:t>minimum dimension of 4 metres</w:t>
            </w:r>
            <w:r w:rsidRPr="001150C9">
              <w:t xml:space="preserve"> at the </w:t>
            </w:r>
            <w:r w:rsidRPr="001150C9">
              <w:lastRenderedPageBreak/>
              <w:t>side or rear of the dwelling with convenient access from a living room.</w:t>
            </w:r>
          </w:p>
        </w:tc>
        <w:tc>
          <w:tcPr>
            <w:tcW w:w="3686" w:type="dxa"/>
          </w:tcPr>
          <w:p w14:paraId="7BB65432" w14:textId="77777777" w:rsidR="00597D89" w:rsidRPr="001150C9" w:rsidRDefault="00597D89" w:rsidP="0065637E">
            <w:pPr>
              <w:pStyle w:val="Tabletext"/>
              <w:framePr w:hSpace="0" w:wrap="auto" w:vAnchor="margin" w:hAnchor="text" w:yAlign="inline"/>
              <w:spacing w:before="120" w:after="120"/>
              <w:jc w:val="left"/>
              <w:rPr>
                <w:b/>
              </w:rPr>
            </w:pPr>
            <w:r w:rsidRPr="001150C9">
              <w:rPr>
                <w:b/>
              </w:rPr>
              <w:lastRenderedPageBreak/>
              <w:t xml:space="preserve">Minimum dimension of 4 metres. </w:t>
            </w:r>
          </w:p>
          <w:p w14:paraId="1CC90C69" w14:textId="5449D033" w:rsidR="00597D89" w:rsidRPr="001150C9" w:rsidRDefault="00597D89" w:rsidP="0065637E">
            <w:pPr>
              <w:pStyle w:val="Tabletext"/>
              <w:framePr w:hSpace="0" w:wrap="auto" w:vAnchor="margin" w:hAnchor="text" w:yAlign="inline"/>
              <w:spacing w:before="120" w:after="120"/>
              <w:jc w:val="left"/>
              <w:rPr>
                <w:color w:val="008393"/>
              </w:rPr>
            </w:pPr>
            <w:r w:rsidRPr="001150C9">
              <w:rPr>
                <w:color w:val="008393"/>
              </w:rPr>
              <w:t>Even if only partially modified, for clarity</w:t>
            </w:r>
            <w:r w:rsidR="003C287A" w:rsidRPr="001150C9">
              <w:rPr>
                <w:color w:val="008393"/>
              </w:rPr>
              <w:t>,</w:t>
            </w:r>
            <w:r w:rsidRPr="001150C9">
              <w:rPr>
                <w:color w:val="008393"/>
              </w:rPr>
              <w:t xml:space="preserve"> all parts of standard A17 that can be modified should be included in the schedule.</w:t>
            </w:r>
          </w:p>
          <w:p w14:paraId="5E2CE3E5" w14:textId="77777777" w:rsidR="00597D89" w:rsidRPr="001150C9" w:rsidRDefault="00597D89" w:rsidP="0065637E">
            <w:pPr>
              <w:pStyle w:val="Tabletext"/>
              <w:framePr w:hSpace="0" w:wrap="auto" w:vAnchor="margin" w:hAnchor="text" w:yAlign="inline"/>
              <w:spacing w:before="120" w:after="120"/>
              <w:jc w:val="left"/>
            </w:pPr>
          </w:p>
        </w:tc>
      </w:tr>
      <w:tr w:rsidR="00597D89" w:rsidRPr="001150C9" w14:paraId="2B6AB118" w14:textId="77777777" w:rsidTr="00E506F4">
        <w:tc>
          <w:tcPr>
            <w:tcW w:w="1701" w:type="dxa"/>
          </w:tcPr>
          <w:p w14:paraId="746126C8" w14:textId="003AD80F" w:rsidR="00597D89" w:rsidRPr="008C1254" w:rsidRDefault="00597D89" w:rsidP="00E506F4">
            <w:pPr>
              <w:pStyle w:val="Tablesecondheading"/>
              <w:spacing w:before="120" w:after="120"/>
              <w:rPr>
                <w:szCs w:val="20"/>
              </w:rPr>
            </w:pPr>
            <w:r w:rsidRPr="008C1254">
              <w:rPr>
                <w:szCs w:val="20"/>
              </w:rPr>
              <w:t>A20 and B32</w:t>
            </w:r>
            <w:r w:rsidR="0080372A" w:rsidRPr="008C1254">
              <w:rPr>
                <w:szCs w:val="20"/>
              </w:rPr>
              <w:t xml:space="preserve"> - </w:t>
            </w:r>
            <w:r w:rsidRPr="008C1254">
              <w:rPr>
                <w:szCs w:val="20"/>
              </w:rPr>
              <w:t>Front fence height</w:t>
            </w:r>
          </w:p>
        </w:tc>
        <w:tc>
          <w:tcPr>
            <w:tcW w:w="3969" w:type="dxa"/>
          </w:tcPr>
          <w:p w14:paraId="289073A9" w14:textId="77777777" w:rsidR="00597D89" w:rsidRPr="001150C9" w:rsidRDefault="00597D89" w:rsidP="00E506F4">
            <w:pPr>
              <w:pStyle w:val="Tabletext"/>
              <w:framePr w:hSpace="0" w:wrap="auto" w:vAnchor="margin" w:hAnchor="text" w:yAlign="inline"/>
              <w:spacing w:before="120" w:after="120"/>
              <w:jc w:val="left"/>
            </w:pPr>
            <w:r w:rsidRPr="001150C9">
              <w:t xml:space="preserve">A front fence within 3 metres of a road in a Road Zone, Category 1 should not exceed </w:t>
            </w:r>
            <w:r w:rsidRPr="006433A3">
              <w:rPr>
                <w:b/>
                <w:bCs/>
              </w:rPr>
              <w:t>1.5 metres</w:t>
            </w:r>
            <w:r w:rsidRPr="001150C9">
              <w:t xml:space="preserve"> in height, or </w:t>
            </w:r>
            <w:r w:rsidRPr="001150C9">
              <w:rPr>
                <w:b/>
                <w:bCs/>
              </w:rPr>
              <w:t>1.2 metres</w:t>
            </w:r>
            <w:r w:rsidRPr="001150C9">
              <w:t xml:space="preserve"> for all other streets.</w:t>
            </w:r>
          </w:p>
          <w:p w14:paraId="4E19AD15" w14:textId="77777777" w:rsidR="00597D89" w:rsidRPr="001150C9" w:rsidRDefault="00597D89" w:rsidP="00E506F4">
            <w:pPr>
              <w:pStyle w:val="Tabletext"/>
              <w:framePr w:hSpace="0" w:wrap="auto" w:vAnchor="margin" w:hAnchor="text" w:yAlign="inline"/>
              <w:spacing w:before="120" w:after="120"/>
              <w:jc w:val="left"/>
            </w:pPr>
          </w:p>
        </w:tc>
        <w:tc>
          <w:tcPr>
            <w:tcW w:w="3686" w:type="dxa"/>
          </w:tcPr>
          <w:p w14:paraId="48B1D24A" w14:textId="77777777" w:rsidR="00597D89" w:rsidRPr="001150C9" w:rsidRDefault="00597D89" w:rsidP="00E506F4">
            <w:pPr>
              <w:pStyle w:val="Tabletext"/>
              <w:framePr w:hSpace="0" w:wrap="auto" w:vAnchor="margin" w:hAnchor="text" w:yAlign="inline"/>
              <w:spacing w:before="120" w:after="120"/>
              <w:jc w:val="left"/>
              <w:rPr>
                <w:b/>
                <w:bCs/>
              </w:rPr>
            </w:pPr>
            <w:r w:rsidRPr="001150C9">
              <w:rPr>
                <w:b/>
                <w:bCs/>
              </w:rPr>
              <w:t xml:space="preserve">Front fences should be at least 50% transparent and constructed from timber. </w:t>
            </w:r>
          </w:p>
          <w:p w14:paraId="4A11E428" w14:textId="68DD4E0D" w:rsidR="00597D89" w:rsidRPr="001150C9" w:rsidRDefault="00597D89" w:rsidP="00E506F4">
            <w:pPr>
              <w:pStyle w:val="Tabletext"/>
              <w:framePr w:hSpace="0" w:wrap="auto" w:vAnchor="margin" w:hAnchor="text" w:yAlign="inline"/>
              <w:spacing w:before="120" w:after="120"/>
              <w:jc w:val="left"/>
            </w:pPr>
            <w:r w:rsidRPr="001150C9">
              <w:rPr>
                <w:color w:val="008393"/>
              </w:rPr>
              <w:t>The standard does not regulate the design of the fence, only the height. Additional planning controls like an overlay are required to regulate design and materials.</w:t>
            </w:r>
          </w:p>
        </w:tc>
      </w:tr>
    </w:tbl>
    <w:p w14:paraId="362BDF3B" w14:textId="78324886" w:rsidR="00CE7DF1" w:rsidRPr="00941616" w:rsidRDefault="00CE7DF1" w:rsidP="009C3847">
      <w:pPr>
        <w:rPr>
          <w:sz w:val="16"/>
          <w:szCs w:val="16"/>
        </w:rPr>
      </w:pPr>
    </w:p>
    <w:tbl>
      <w:tblPr>
        <w:tblStyle w:val="Break-outbox"/>
        <w:tblW w:w="0" w:type="auto"/>
        <w:tblLook w:val="04A0" w:firstRow="1" w:lastRow="0" w:firstColumn="1" w:lastColumn="0" w:noHBand="0" w:noVBand="1"/>
      </w:tblPr>
      <w:tblGrid>
        <w:gridCol w:w="9346"/>
      </w:tblGrid>
      <w:tr w:rsidR="00754FB9" w:rsidRPr="00DF6331" w14:paraId="231F1F65" w14:textId="77777777" w:rsidTr="00754FB9">
        <w:tc>
          <w:tcPr>
            <w:tcW w:w="9346" w:type="dxa"/>
          </w:tcPr>
          <w:p w14:paraId="5825F2C1" w14:textId="77777777" w:rsidR="00754FB9" w:rsidRPr="00962E50" w:rsidRDefault="00754FB9" w:rsidP="00754FB9">
            <w:pPr>
              <w:pStyle w:val="Break-outboxheading"/>
            </w:pPr>
            <w:r w:rsidRPr="00962E50">
              <w:t>Remember</w:t>
            </w:r>
          </w:p>
          <w:p w14:paraId="42DEC6E1" w14:textId="77777777" w:rsidR="00754FB9" w:rsidRPr="00E74CE3" w:rsidRDefault="00754FB9" w:rsidP="00B5760B">
            <w:pPr>
              <w:pStyle w:val="Break-outboxtext"/>
              <w:numPr>
                <w:ilvl w:val="0"/>
                <w:numId w:val="24"/>
              </w:numPr>
              <w:ind w:left="309" w:hanging="284"/>
            </w:pPr>
            <w:r w:rsidRPr="00E74CE3">
              <w:t>The residential zone schedule simply substitutes one value for another</w:t>
            </w:r>
            <w:r>
              <w:t>. T</w:t>
            </w:r>
            <w:r w:rsidRPr="00E74CE3">
              <w:t>he remainder of the standard continues to apply</w:t>
            </w:r>
            <w:r>
              <w:t xml:space="preserve"> to dwellings that require a planning permit under the residential zone</w:t>
            </w:r>
            <w:r w:rsidRPr="00E74CE3">
              <w:t>.</w:t>
            </w:r>
          </w:p>
          <w:p w14:paraId="77808DBC" w14:textId="0A946A4E" w:rsidR="00754FB9" w:rsidRPr="00E74CE3" w:rsidRDefault="00754FB9" w:rsidP="00B5760B">
            <w:pPr>
              <w:pStyle w:val="Break-outboxtext"/>
              <w:numPr>
                <w:ilvl w:val="0"/>
                <w:numId w:val="24"/>
              </w:numPr>
              <w:ind w:left="309" w:hanging="284"/>
            </w:pPr>
            <w:r w:rsidRPr="00E74CE3">
              <w:t xml:space="preserve">When a </w:t>
            </w:r>
            <w:r>
              <w:t xml:space="preserve">varied </w:t>
            </w:r>
            <w:r w:rsidRPr="00E74CE3">
              <w:t>standard is specified</w:t>
            </w:r>
            <w:r w:rsidR="00ED72B3">
              <w:t>,</w:t>
            </w:r>
            <w:r w:rsidRPr="00E74CE3">
              <w:t xml:space="preserve"> it applies to all dwellings in both the planning and building systems.</w:t>
            </w:r>
          </w:p>
          <w:p w14:paraId="19CA69FF" w14:textId="459C8C12" w:rsidR="00754FB9" w:rsidRPr="00E74CE3" w:rsidRDefault="00754FB9" w:rsidP="00B5760B">
            <w:pPr>
              <w:pStyle w:val="Break-outboxtext"/>
              <w:numPr>
                <w:ilvl w:val="0"/>
                <w:numId w:val="24"/>
              </w:numPr>
              <w:ind w:left="309" w:hanging="284"/>
            </w:pPr>
            <w:r w:rsidRPr="00E74CE3">
              <w:t xml:space="preserve">When assessing a building permit application, a building </w:t>
            </w:r>
            <w:r>
              <w:t>certifier</w:t>
            </w:r>
            <w:r w:rsidRPr="00E74CE3">
              <w:t xml:space="preserve"> must use the </w:t>
            </w:r>
            <w:r>
              <w:t>varied</w:t>
            </w:r>
            <w:r w:rsidRPr="00E74CE3">
              <w:t xml:space="preserve"> standard specified in the schedule to the residential zone</w:t>
            </w:r>
            <w:r w:rsidR="00ED72B3">
              <w:t>,</w:t>
            </w:r>
            <w:r w:rsidRPr="00E74CE3">
              <w:t xml:space="preserve"> instead of the value expressed in the relevant building regulation.</w:t>
            </w:r>
          </w:p>
          <w:p w14:paraId="0551297E" w14:textId="77777777" w:rsidR="00754FB9" w:rsidRPr="00E74CE3" w:rsidRDefault="00754FB9" w:rsidP="00B5760B">
            <w:pPr>
              <w:pStyle w:val="Break-outboxtext"/>
              <w:numPr>
                <w:ilvl w:val="0"/>
                <w:numId w:val="24"/>
              </w:numPr>
              <w:ind w:left="309" w:hanging="284"/>
            </w:pPr>
            <w:r w:rsidRPr="00E74CE3">
              <w:t>When assessing a planning permit application, the variation continues to be read with the relevant objective and decision guidelines in clause 54 and clause 55.</w:t>
            </w:r>
          </w:p>
          <w:p w14:paraId="15B16FB0" w14:textId="77777777" w:rsidR="00754FB9" w:rsidRPr="00E74CE3" w:rsidRDefault="00754FB9" w:rsidP="00B5760B">
            <w:pPr>
              <w:pStyle w:val="Break-outboxtext"/>
              <w:numPr>
                <w:ilvl w:val="0"/>
                <w:numId w:val="24"/>
              </w:numPr>
              <w:ind w:left="309" w:hanging="284"/>
            </w:pPr>
            <w:r w:rsidRPr="00E74CE3">
              <w:t>The schedule cannot be used to vary the objective or decision guideline of the standard in clauses 54 and 55.</w:t>
            </w:r>
          </w:p>
          <w:p w14:paraId="53166D28" w14:textId="2B7EC476" w:rsidR="00754FB9" w:rsidRPr="00E74CE3" w:rsidRDefault="00754FB9" w:rsidP="00B5760B">
            <w:pPr>
              <w:pStyle w:val="Break-outboxtext"/>
              <w:numPr>
                <w:ilvl w:val="0"/>
                <w:numId w:val="24"/>
              </w:numPr>
              <w:ind w:left="309" w:hanging="284"/>
            </w:pPr>
            <w:r>
              <w:t>A17 and B28 P</w:t>
            </w:r>
            <w:r w:rsidRPr="00E74CE3">
              <w:t xml:space="preserve">rivate open space </w:t>
            </w:r>
            <w:r>
              <w:t xml:space="preserve">is the only standard </w:t>
            </w:r>
            <w:r w:rsidR="00720F34">
              <w:t>that</w:t>
            </w:r>
            <w:r w:rsidRPr="00E74CE3">
              <w:t xml:space="preserve"> allows a different </w:t>
            </w:r>
            <w:r>
              <w:t>standard</w:t>
            </w:r>
            <w:r w:rsidRPr="00E74CE3">
              <w:t xml:space="preserve"> to be specified for each of clause 54 and clause 55.</w:t>
            </w:r>
          </w:p>
          <w:p w14:paraId="1E66768B" w14:textId="2AC0F050" w:rsidR="00754FB9" w:rsidRPr="00E74CE3" w:rsidRDefault="00754FB9" w:rsidP="00B5760B">
            <w:pPr>
              <w:pStyle w:val="Break-outboxtext"/>
              <w:numPr>
                <w:ilvl w:val="0"/>
                <w:numId w:val="24"/>
              </w:numPr>
              <w:ind w:left="309" w:hanging="284"/>
            </w:pPr>
            <w:r w:rsidRPr="00E74CE3">
              <w:t>It is not possible to specify a variation to the landscaping standard</w:t>
            </w:r>
            <w:r w:rsidR="00720F34">
              <w:t xml:space="preserve"> (B13)</w:t>
            </w:r>
            <w:r w:rsidRPr="00E74CE3">
              <w:t xml:space="preserve"> for </w:t>
            </w:r>
            <w:r>
              <w:t xml:space="preserve">a </w:t>
            </w:r>
            <w:r w:rsidRPr="00E74CE3">
              <w:t>single dwelling.</w:t>
            </w:r>
          </w:p>
          <w:p w14:paraId="0F21EA1D" w14:textId="5BDE7242" w:rsidR="00754FB9" w:rsidRPr="000366E5" w:rsidRDefault="00754FB9" w:rsidP="00B5760B">
            <w:pPr>
              <w:pStyle w:val="Break-outboxtext"/>
              <w:numPr>
                <w:ilvl w:val="0"/>
                <w:numId w:val="24"/>
              </w:numPr>
              <w:ind w:left="309" w:hanging="284"/>
            </w:pPr>
            <w:r w:rsidRPr="00E74CE3">
              <w:t xml:space="preserve">When drafting variations to </w:t>
            </w:r>
            <w:r>
              <w:t xml:space="preserve">a </w:t>
            </w:r>
            <w:r w:rsidRPr="00E74CE3">
              <w:t>clause 54 and clause 55 standard, it is best to start by including the variation in its entirety and modifying the numeric values of the standard as required.</w:t>
            </w:r>
          </w:p>
        </w:tc>
      </w:tr>
    </w:tbl>
    <w:p w14:paraId="54587B8B" w14:textId="073DF4B2" w:rsidR="00754FB9" w:rsidRPr="0022153E" w:rsidRDefault="00754FB9" w:rsidP="00840A30">
      <w:pPr>
        <w:pStyle w:val="Heading2"/>
      </w:pPr>
      <w:r>
        <w:t xml:space="preserve">Maximum </w:t>
      </w:r>
      <w:r w:rsidRPr="005A05DB">
        <w:t>building</w:t>
      </w:r>
      <w:r>
        <w:t xml:space="preserve"> height</w:t>
      </w:r>
    </w:p>
    <w:p w14:paraId="6188583D" w14:textId="2927F135" w:rsidR="00754FB9" w:rsidRDefault="00754FB9" w:rsidP="00754FB9">
      <w:r>
        <w:t>Maximum building height is managed in different ways</w:t>
      </w:r>
      <w:r w:rsidR="00D22B49">
        <w:t>,</w:t>
      </w:r>
      <w:r>
        <w:t xml:space="preserve"> according to the role and purpose of each residential zone.</w:t>
      </w:r>
    </w:p>
    <w:p w14:paraId="46AE06B5" w14:textId="77777777" w:rsidR="00754FB9" w:rsidRDefault="00754FB9" w:rsidP="00754FB9">
      <w:r w:rsidRPr="00AD12D5">
        <w:t xml:space="preserve">A schedule must not specify a height </w:t>
      </w:r>
      <w:r>
        <w:t>or</w:t>
      </w:r>
      <w:r w:rsidRPr="00AD12D5">
        <w:t xml:space="preserve"> number of storeys lower than the height and number of storeys specified in the zone.</w:t>
      </w:r>
      <w:r>
        <w:t xml:space="preserve"> </w:t>
      </w:r>
      <w:r w:rsidRPr="00AD12D5">
        <w:t>Only one maximum building height</w:t>
      </w:r>
      <w:r>
        <w:t xml:space="preserve"> and number of storeys (where applicable)</w:t>
      </w:r>
      <w:r w:rsidRPr="00AD12D5">
        <w:t xml:space="preserve"> may be specified in each schedule.</w:t>
      </w:r>
    </w:p>
    <w:p w14:paraId="1D4432D6" w14:textId="77777777" w:rsidR="00754FB9" w:rsidRPr="00AD12D5" w:rsidRDefault="00754FB9" w:rsidP="00754FB9">
      <w:r w:rsidRPr="00AD12D5">
        <w:t xml:space="preserve">The maximum building height only applies to a dwelling or residential building, except in the </w:t>
      </w:r>
      <w:r>
        <w:t>MUZ</w:t>
      </w:r>
      <w:r w:rsidRPr="00AD12D5">
        <w:t xml:space="preserve"> where it applies to all buildings.</w:t>
      </w:r>
    </w:p>
    <w:p w14:paraId="5C5EF07E" w14:textId="77777777" w:rsidR="00754FB9" w:rsidRDefault="00754FB9" w:rsidP="00754FB9">
      <w:r w:rsidRPr="00AD12D5">
        <w:t xml:space="preserve">The maximum building height is always mandatory when specified in a schedule to the </w:t>
      </w:r>
      <w:r>
        <w:t xml:space="preserve">TZ, MUZ, </w:t>
      </w:r>
      <w:r w:rsidRPr="00AD12D5">
        <w:t>RGZ, GRZ and NRZ</w:t>
      </w:r>
      <w:r>
        <w:t>.</w:t>
      </w:r>
    </w:p>
    <w:p w14:paraId="413CE6D1" w14:textId="77777777" w:rsidR="00754FB9" w:rsidRPr="00AD12D5" w:rsidRDefault="00754FB9" w:rsidP="00754FB9">
      <w:r w:rsidRPr="00AD12D5">
        <w:lastRenderedPageBreak/>
        <w:t>A schedule to the GRZ or NRZ should specify a maximum building height in both metres and storeys. A schedule to the MUZ, TZ and RGZ should only specify a maximum building height in metres.</w:t>
      </w:r>
    </w:p>
    <w:p w14:paraId="5224FB24" w14:textId="43159234" w:rsidR="00754FB9" w:rsidRPr="00AD12D5" w:rsidRDefault="00754FB9" w:rsidP="00754FB9">
      <w:r w:rsidRPr="00AD12D5">
        <w:t xml:space="preserve">If a </w:t>
      </w:r>
      <w:r>
        <w:t xml:space="preserve">higher </w:t>
      </w:r>
      <w:r w:rsidRPr="00AD12D5">
        <w:t xml:space="preserve">discretionary maximum building height is sought in the RGZ, the schedule should not </w:t>
      </w:r>
      <w:r>
        <w:t xml:space="preserve">be used as </w:t>
      </w:r>
      <w:r w:rsidRPr="00AD12D5">
        <w:t>specify</w:t>
      </w:r>
      <w:r>
        <w:t>ing</w:t>
      </w:r>
      <w:r w:rsidRPr="00AD12D5">
        <w:t xml:space="preserve"> a </w:t>
      </w:r>
      <w:r w:rsidRPr="004529C5">
        <w:t>maximum building height in the schedule makes the maximum building height mandatory.</w:t>
      </w:r>
      <w:r w:rsidR="00A41290" w:rsidRPr="004529C5">
        <w:t xml:space="preserve"> </w:t>
      </w:r>
      <w:r w:rsidRPr="005C11D4">
        <w:t>If a discretionary maximum building height greater than 13.5 metres is sought in the RGZ, another VPP tool such as a local policy or overlay should be used to specify an appropriate discretionary maximum building height above</w:t>
      </w:r>
      <w:r w:rsidRPr="00AD12D5">
        <w:t xml:space="preserve"> 13.5 metres.</w:t>
      </w:r>
    </w:p>
    <w:p w14:paraId="6FC370B0" w14:textId="153CB600" w:rsidR="00754FB9" w:rsidRDefault="00754FB9" w:rsidP="00605675">
      <w:pPr>
        <w:spacing w:line="240" w:lineRule="auto"/>
      </w:pPr>
      <w:r w:rsidRPr="00AD12D5">
        <w:t xml:space="preserve">The operation of maximum building heights and number of </w:t>
      </w:r>
      <w:proofErr w:type="spellStart"/>
      <w:r w:rsidRPr="00AD12D5">
        <w:t>storeys</w:t>
      </w:r>
      <w:proofErr w:type="spellEnd"/>
      <w:r w:rsidRPr="00AD12D5">
        <w:t xml:space="preserve"> in the residential zones is set out in Table </w:t>
      </w:r>
      <w:r>
        <w:t>10</w:t>
      </w:r>
      <w:r w:rsidRPr="00AD12D5">
        <w:t>.</w:t>
      </w:r>
    </w:p>
    <w:p w14:paraId="3C152BB9" w14:textId="66EEF401" w:rsidR="00754FB9" w:rsidRPr="00605675" w:rsidRDefault="00754FB9" w:rsidP="00EB138C">
      <w:pPr>
        <w:pStyle w:val="TableName"/>
        <w:rPr>
          <w:b w:val="0"/>
          <w:bCs w:val="0"/>
        </w:rPr>
      </w:pPr>
      <w:r w:rsidRPr="00605675">
        <w:t>Table 10:</w:t>
      </w:r>
      <w:r w:rsidRPr="00605675">
        <w:rPr>
          <w:b w:val="0"/>
          <w:bCs w:val="0"/>
        </w:rPr>
        <w:t xml:space="preserve"> </w:t>
      </w:r>
      <w:r w:rsidRPr="00C9740B">
        <w:rPr>
          <w:b w:val="0"/>
          <w:bCs w:val="0"/>
        </w:rPr>
        <w:t>Operation of maximum building heights</w:t>
      </w:r>
      <w:r w:rsidR="001344DC">
        <w:rPr>
          <w:b w:val="0"/>
          <w:bCs w:val="0"/>
        </w:rPr>
        <w:t xml:space="preserve"> and number of storeys</w:t>
      </w:r>
    </w:p>
    <w:tbl>
      <w:tblPr>
        <w:tblStyle w:val="Table1"/>
        <w:tblpPr w:leftFromText="180" w:rightFromText="180" w:vertAnchor="text" w:horzAnchor="margin" w:tblpY="71"/>
        <w:tblW w:w="9351" w:type="dxa"/>
        <w:tblLook w:val="04A0" w:firstRow="1" w:lastRow="0" w:firstColumn="1" w:lastColumn="0" w:noHBand="0" w:noVBand="1"/>
      </w:tblPr>
      <w:tblGrid>
        <w:gridCol w:w="846"/>
        <w:gridCol w:w="8505"/>
      </w:tblGrid>
      <w:tr w:rsidR="00754FB9" w:rsidRPr="007766C3" w14:paraId="21CD52CA" w14:textId="77777777" w:rsidTr="0065694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846" w:type="dxa"/>
            <w:tcBorders>
              <w:top w:val="single" w:sz="4" w:space="0" w:color="00857F"/>
              <w:bottom w:val="single" w:sz="4" w:space="0" w:color="00857F"/>
              <w:right w:val="single" w:sz="4" w:space="0" w:color="00857F"/>
            </w:tcBorders>
          </w:tcPr>
          <w:p w14:paraId="78550340" w14:textId="00A1F540" w:rsidR="00754FB9" w:rsidRPr="00530587" w:rsidRDefault="00605675" w:rsidP="00530587">
            <w:pPr>
              <w:pStyle w:val="List"/>
              <w:spacing w:after="120"/>
            </w:pPr>
            <w:r>
              <w:t>Zone</w:t>
            </w:r>
          </w:p>
        </w:tc>
        <w:tc>
          <w:tcPr>
            <w:tcW w:w="8505" w:type="dxa"/>
            <w:tcBorders>
              <w:top w:val="single" w:sz="4" w:space="0" w:color="00857F"/>
              <w:left w:val="single" w:sz="4" w:space="0" w:color="00857F"/>
              <w:bottom w:val="single" w:sz="4" w:space="0" w:color="00857F"/>
              <w:right w:val="single" w:sz="4" w:space="0" w:color="00857F"/>
            </w:tcBorders>
          </w:tcPr>
          <w:p w14:paraId="706AA456" w14:textId="16D4CD07" w:rsidR="00754FB9" w:rsidRPr="00754FB9" w:rsidRDefault="00D53EE0" w:rsidP="00530587">
            <w:pPr>
              <w:pStyle w:val="List"/>
              <w:spacing w:after="120"/>
              <w:cnfStyle w:val="100000000000" w:firstRow="1" w:lastRow="0" w:firstColumn="0" w:lastColumn="0" w:oddVBand="0" w:evenVBand="0" w:oddHBand="0" w:evenHBand="0" w:firstRowFirstColumn="0" w:firstRowLastColumn="0" w:lastRowFirstColumn="0" w:lastRowLastColumn="0"/>
            </w:pPr>
            <w:r>
              <w:t>Operation</w:t>
            </w:r>
          </w:p>
        </w:tc>
      </w:tr>
      <w:tr w:rsidR="007A08DF" w:rsidRPr="007766C3" w14:paraId="7BC54556" w14:textId="77777777" w:rsidTr="0065694D">
        <w:tc>
          <w:tcPr>
            <w:tcW w:w="846" w:type="dxa"/>
            <w:tcBorders>
              <w:top w:val="single" w:sz="4" w:space="0" w:color="00857F"/>
              <w:left w:val="single" w:sz="4" w:space="0" w:color="00857F"/>
              <w:bottom w:val="single" w:sz="4" w:space="0" w:color="00857F"/>
              <w:right w:val="single" w:sz="4" w:space="0" w:color="00857F"/>
            </w:tcBorders>
            <w:shd w:val="clear" w:color="auto" w:fill="00857F"/>
          </w:tcPr>
          <w:p w14:paraId="3531B3E5" w14:textId="37E194D5" w:rsidR="007A08DF" w:rsidRPr="00D53EE0" w:rsidRDefault="007A08DF" w:rsidP="007A08DF">
            <w:pPr>
              <w:pStyle w:val="List"/>
              <w:spacing w:after="120"/>
              <w:rPr>
                <w:b/>
                <w:bCs/>
                <w:color w:val="FFFFFF" w:themeColor="background1"/>
              </w:rPr>
            </w:pPr>
            <w:r w:rsidRPr="00D53EE0">
              <w:rPr>
                <w:b/>
                <w:bCs/>
                <w:color w:val="FFFFFF" w:themeColor="background1"/>
              </w:rPr>
              <w:t>LDRZ</w:t>
            </w:r>
          </w:p>
        </w:tc>
        <w:tc>
          <w:tcPr>
            <w:tcW w:w="8505" w:type="dxa"/>
            <w:tcBorders>
              <w:top w:val="single" w:sz="4" w:space="0" w:color="00857F"/>
              <w:left w:val="single" w:sz="4" w:space="0" w:color="00857F"/>
              <w:right w:val="nil"/>
            </w:tcBorders>
          </w:tcPr>
          <w:p w14:paraId="64178578" w14:textId="77777777" w:rsidR="007A08DF" w:rsidRPr="00E22994" w:rsidRDefault="007A08DF" w:rsidP="007A08DF">
            <w:pPr>
              <w:pStyle w:val="Tabletext"/>
              <w:framePr w:hSpace="0" w:wrap="auto" w:vAnchor="margin" w:hAnchor="text" w:yAlign="inline"/>
              <w:spacing w:before="120" w:after="120"/>
              <w:jc w:val="left"/>
            </w:pPr>
            <w:r w:rsidRPr="00754FB9">
              <w:t>No height control applies.</w:t>
            </w:r>
          </w:p>
          <w:p w14:paraId="4ECF24D8" w14:textId="7568417B" w:rsidR="007A08DF" w:rsidRPr="0042376C" w:rsidRDefault="007A08DF" w:rsidP="007A08DF">
            <w:pPr>
              <w:pStyle w:val="Tabletext"/>
              <w:framePr w:hSpace="0" w:wrap="auto" w:vAnchor="margin" w:hAnchor="text" w:yAlign="inline"/>
              <w:spacing w:before="120" w:after="120"/>
              <w:jc w:val="left"/>
            </w:pPr>
            <w:r w:rsidRPr="00754FB9">
              <w:t>Maximum building height cannot be specified in a schedule.</w:t>
            </w:r>
          </w:p>
        </w:tc>
      </w:tr>
      <w:tr w:rsidR="007A08DF" w:rsidRPr="007766C3" w14:paraId="68E24AAB" w14:textId="77777777" w:rsidTr="0065694D">
        <w:tc>
          <w:tcPr>
            <w:tcW w:w="846" w:type="dxa"/>
            <w:tcBorders>
              <w:top w:val="single" w:sz="4" w:space="0" w:color="00857F"/>
              <w:left w:val="single" w:sz="4" w:space="0" w:color="00857F"/>
              <w:bottom w:val="single" w:sz="4" w:space="0" w:color="00857F"/>
              <w:right w:val="single" w:sz="4" w:space="0" w:color="00857F"/>
            </w:tcBorders>
            <w:shd w:val="clear" w:color="auto" w:fill="00857F"/>
          </w:tcPr>
          <w:p w14:paraId="622EEE7B" w14:textId="3BA4F34F" w:rsidR="007A08DF" w:rsidRPr="00D53EE0" w:rsidRDefault="007A08DF" w:rsidP="007A08DF">
            <w:pPr>
              <w:pStyle w:val="List"/>
              <w:spacing w:after="120"/>
              <w:rPr>
                <w:b/>
                <w:bCs/>
                <w:color w:val="FFFFFF" w:themeColor="background1"/>
              </w:rPr>
            </w:pPr>
            <w:r w:rsidRPr="00D53EE0">
              <w:rPr>
                <w:b/>
                <w:bCs/>
                <w:color w:val="FFFFFF" w:themeColor="background1"/>
              </w:rPr>
              <w:t>MUZ</w:t>
            </w:r>
          </w:p>
        </w:tc>
        <w:tc>
          <w:tcPr>
            <w:tcW w:w="8505" w:type="dxa"/>
            <w:tcBorders>
              <w:left w:val="single" w:sz="4" w:space="0" w:color="00857F"/>
              <w:right w:val="nil"/>
            </w:tcBorders>
          </w:tcPr>
          <w:p w14:paraId="4216FFA1" w14:textId="77777777" w:rsidR="007A08DF" w:rsidRPr="0042376C" w:rsidRDefault="007A08DF" w:rsidP="007A08DF">
            <w:pPr>
              <w:pStyle w:val="Tabletext"/>
              <w:framePr w:hSpace="0" w:wrap="auto" w:vAnchor="margin" w:hAnchor="text" w:yAlign="inline"/>
              <w:spacing w:before="120" w:after="120"/>
              <w:jc w:val="left"/>
            </w:pPr>
            <w:r w:rsidRPr="0042376C">
              <w:t>No maximum building height in the zone.</w:t>
            </w:r>
          </w:p>
          <w:p w14:paraId="0759ACD7" w14:textId="77777777" w:rsidR="007A08DF" w:rsidRPr="0042376C" w:rsidRDefault="007A08DF" w:rsidP="007A08DF">
            <w:pPr>
              <w:pStyle w:val="Tabletext"/>
              <w:framePr w:hSpace="0" w:wrap="auto" w:vAnchor="margin" w:hAnchor="text" w:yAlign="inline"/>
              <w:spacing w:before="120" w:after="120"/>
              <w:jc w:val="left"/>
            </w:pPr>
            <w:r w:rsidRPr="0042376C">
              <w:t>No control over the number of storeys.</w:t>
            </w:r>
          </w:p>
          <w:p w14:paraId="3D7FBF7F" w14:textId="1648766B" w:rsidR="007A08DF" w:rsidRPr="0042376C" w:rsidRDefault="007A08DF" w:rsidP="007A08DF">
            <w:pPr>
              <w:pStyle w:val="Tabletext"/>
              <w:framePr w:hSpace="0" w:wrap="auto" w:vAnchor="margin" w:hAnchor="text" w:yAlign="inline"/>
              <w:spacing w:before="120" w:after="120"/>
              <w:jc w:val="left"/>
            </w:pPr>
            <w:r>
              <w:t>Maximum</w:t>
            </w:r>
            <w:r w:rsidRPr="0042376C">
              <w:t xml:space="preserve"> building height may be specified in the schedule. When specified it applies to all development and is </w:t>
            </w:r>
            <w:r w:rsidRPr="005C11D4">
              <w:t>a mandatory maximum building height.</w:t>
            </w:r>
          </w:p>
        </w:tc>
      </w:tr>
      <w:tr w:rsidR="00754FB9" w:rsidRPr="007766C3" w14:paraId="14108996" w14:textId="77777777" w:rsidTr="0065694D">
        <w:tc>
          <w:tcPr>
            <w:tcW w:w="846" w:type="dxa"/>
            <w:tcBorders>
              <w:top w:val="single" w:sz="4" w:space="0" w:color="00857F"/>
              <w:left w:val="single" w:sz="4" w:space="0" w:color="00857F"/>
              <w:bottom w:val="single" w:sz="4" w:space="0" w:color="00857F"/>
              <w:right w:val="single" w:sz="4" w:space="0" w:color="00857F"/>
            </w:tcBorders>
            <w:shd w:val="clear" w:color="auto" w:fill="00857F"/>
          </w:tcPr>
          <w:p w14:paraId="03086794" w14:textId="748FED3F" w:rsidR="00754FB9" w:rsidRPr="00530587" w:rsidRDefault="00D53EE0" w:rsidP="00530587">
            <w:pPr>
              <w:pStyle w:val="List"/>
              <w:spacing w:after="120"/>
              <w:rPr>
                <w:b/>
                <w:bCs/>
              </w:rPr>
            </w:pPr>
            <w:r w:rsidRPr="00D53EE0">
              <w:rPr>
                <w:b/>
                <w:bCs/>
                <w:color w:val="FFFFFF" w:themeColor="background1"/>
              </w:rPr>
              <w:t>TZ</w:t>
            </w:r>
          </w:p>
        </w:tc>
        <w:tc>
          <w:tcPr>
            <w:tcW w:w="8505" w:type="dxa"/>
            <w:tcBorders>
              <w:left w:val="single" w:sz="4" w:space="0" w:color="00857F"/>
              <w:right w:val="nil"/>
            </w:tcBorders>
          </w:tcPr>
          <w:p w14:paraId="5589AE92" w14:textId="09903A64" w:rsidR="00754FB9" w:rsidRDefault="00754FB9" w:rsidP="00605675">
            <w:pPr>
              <w:pStyle w:val="Tabletext"/>
              <w:framePr w:hSpace="0" w:wrap="auto" w:vAnchor="margin" w:hAnchor="text" w:yAlign="inline"/>
              <w:spacing w:before="120" w:after="120"/>
              <w:jc w:val="left"/>
            </w:pPr>
            <w:r w:rsidRPr="0042376C">
              <w:t xml:space="preserve">A discretionary maximum building height of 9 metres applies to </w:t>
            </w:r>
            <w:r>
              <w:t>a dwelling or residential building</w:t>
            </w:r>
            <w:r w:rsidRPr="0042376C">
              <w:t>.</w:t>
            </w:r>
          </w:p>
          <w:p w14:paraId="400E8CDE" w14:textId="2FD1EABF" w:rsidR="00754FB9" w:rsidRDefault="00754FB9" w:rsidP="00605675">
            <w:pPr>
              <w:pStyle w:val="Tabletext"/>
              <w:framePr w:hSpace="0" w:wrap="auto" w:vAnchor="margin" w:hAnchor="text" w:yAlign="inline"/>
              <w:spacing w:before="120" w:after="120"/>
              <w:jc w:val="left"/>
            </w:pPr>
            <w:r w:rsidRPr="0042376C">
              <w:t>No control over the number of storeys.</w:t>
            </w:r>
          </w:p>
          <w:p w14:paraId="747A54B5" w14:textId="1DFAF826" w:rsidR="00754FB9" w:rsidRDefault="00754FB9" w:rsidP="00605675">
            <w:pPr>
              <w:pStyle w:val="Tabletext"/>
              <w:framePr w:hSpace="0" w:wrap="auto" w:vAnchor="margin" w:hAnchor="text" w:yAlign="inline"/>
              <w:spacing w:before="120" w:after="120"/>
              <w:jc w:val="left"/>
            </w:pPr>
            <w:r>
              <w:t>Maximum</w:t>
            </w:r>
            <w:r w:rsidRPr="0042376C">
              <w:t xml:space="preserve"> building height may be specified in the schedule. When specified it applies to </w:t>
            </w:r>
            <w:r>
              <w:t>a dwelling or residential building</w:t>
            </w:r>
            <w:r w:rsidRPr="0042376C">
              <w:t xml:space="preserve"> and is a </w:t>
            </w:r>
            <w:r w:rsidRPr="005C11D4">
              <w:t>mandatory maximum building height.</w:t>
            </w:r>
          </w:p>
        </w:tc>
      </w:tr>
      <w:tr w:rsidR="00754FB9" w:rsidRPr="007766C3" w14:paraId="34F7F209" w14:textId="77777777" w:rsidTr="0065694D">
        <w:tc>
          <w:tcPr>
            <w:tcW w:w="846" w:type="dxa"/>
            <w:tcBorders>
              <w:top w:val="single" w:sz="4" w:space="0" w:color="00857F"/>
              <w:bottom w:val="single" w:sz="4" w:space="0" w:color="00857F"/>
            </w:tcBorders>
            <w:shd w:val="clear" w:color="auto" w:fill="00857F"/>
          </w:tcPr>
          <w:p w14:paraId="0F098C73" w14:textId="44559348" w:rsidR="00754FB9" w:rsidRPr="00530587" w:rsidRDefault="00754FB9" w:rsidP="00530587">
            <w:pPr>
              <w:pStyle w:val="List"/>
              <w:spacing w:after="120"/>
              <w:rPr>
                <w:b/>
                <w:bCs/>
              </w:rPr>
            </w:pPr>
            <w:r w:rsidRPr="00530587">
              <w:rPr>
                <w:b/>
                <w:bCs/>
                <w:color w:val="FFFFFF" w:themeColor="background1"/>
              </w:rPr>
              <w:t>RGZ</w:t>
            </w:r>
          </w:p>
        </w:tc>
        <w:tc>
          <w:tcPr>
            <w:tcW w:w="8505" w:type="dxa"/>
            <w:tcBorders>
              <w:bottom w:val="single" w:sz="4" w:space="0" w:color="00857F"/>
              <w:right w:val="nil"/>
            </w:tcBorders>
          </w:tcPr>
          <w:p w14:paraId="21FFF8A4" w14:textId="77777777" w:rsidR="00754FB9" w:rsidRPr="00BF5DA3" w:rsidRDefault="00754FB9" w:rsidP="00605675">
            <w:pPr>
              <w:pStyle w:val="Tabletext"/>
              <w:framePr w:hSpace="0" w:wrap="auto" w:vAnchor="margin" w:hAnchor="text" w:yAlign="inline"/>
              <w:spacing w:before="120" w:after="120"/>
              <w:jc w:val="left"/>
            </w:pPr>
            <w:r w:rsidRPr="00BF5DA3">
              <w:t>A discretionary maximum building height of 13.5 metres applies to a dwelling or residential building.</w:t>
            </w:r>
          </w:p>
          <w:p w14:paraId="35D91AE1" w14:textId="30897B6B" w:rsidR="00754FB9" w:rsidRPr="00BF5DA3" w:rsidRDefault="00754FB9" w:rsidP="00605675">
            <w:pPr>
              <w:pStyle w:val="Tabletext"/>
              <w:framePr w:hSpace="0" w:wrap="auto" w:vAnchor="margin" w:hAnchor="text" w:yAlign="inline"/>
              <w:spacing w:before="120" w:after="120"/>
              <w:jc w:val="left"/>
            </w:pPr>
            <w:r w:rsidRPr="00BF5DA3">
              <w:t>No control over the number of storeys.</w:t>
            </w:r>
          </w:p>
          <w:p w14:paraId="7C5DC914" w14:textId="1F05C493" w:rsidR="00754FB9" w:rsidRDefault="00754FB9" w:rsidP="00605675">
            <w:pPr>
              <w:pStyle w:val="Tabletext"/>
              <w:framePr w:hSpace="0" w:wrap="auto" w:vAnchor="margin" w:hAnchor="text" w:yAlign="inline"/>
              <w:spacing w:before="120" w:after="120"/>
              <w:jc w:val="left"/>
            </w:pPr>
            <w:r w:rsidRPr="00BF5DA3">
              <w:t>Maximum building height may be specified in the schedule. When specified it applies to a dwelling or residential building and is a mandatory maximum building height.</w:t>
            </w:r>
          </w:p>
        </w:tc>
      </w:tr>
      <w:tr w:rsidR="00754FB9" w:rsidRPr="007766C3" w14:paraId="62513CC1" w14:textId="77777777" w:rsidTr="0065694D">
        <w:tc>
          <w:tcPr>
            <w:tcW w:w="846" w:type="dxa"/>
            <w:tcBorders>
              <w:top w:val="single" w:sz="4" w:space="0" w:color="00857F"/>
              <w:left w:val="single" w:sz="4" w:space="0" w:color="00857F"/>
              <w:bottom w:val="single" w:sz="4" w:space="0" w:color="00857F"/>
              <w:right w:val="single" w:sz="4" w:space="0" w:color="00857F"/>
            </w:tcBorders>
            <w:shd w:val="clear" w:color="auto" w:fill="00857F"/>
          </w:tcPr>
          <w:p w14:paraId="144EC4A6" w14:textId="563BC47A" w:rsidR="00754FB9" w:rsidRPr="00605675" w:rsidRDefault="00754FB9" w:rsidP="00C878DA">
            <w:pPr>
              <w:pStyle w:val="Tablesecondheading"/>
              <w:rPr>
                <w:color w:val="FFFFFF" w:themeColor="background1"/>
              </w:rPr>
            </w:pPr>
            <w:r w:rsidRPr="00605675">
              <w:rPr>
                <w:color w:val="FFFFFF" w:themeColor="background1"/>
              </w:rPr>
              <w:t>GRZ</w:t>
            </w:r>
          </w:p>
        </w:tc>
        <w:tc>
          <w:tcPr>
            <w:tcW w:w="8505" w:type="dxa"/>
            <w:tcBorders>
              <w:left w:val="single" w:sz="4" w:space="0" w:color="00857F"/>
              <w:right w:val="nil"/>
            </w:tcBorders>
          </w:tcPr>
          <w:p w14:paraId="4DA11BAA" w14:textId="42D90173" w:rsidR="00754FB9" w:rsidRDefault="00754FB9" w:rsidP="00605675">
            <w:pPr>
              <w:pStyle w:val="Tabletext"/>
              <w:framePr w:hSpace="0" w:wrap="auto" w:vAnchor="margin" w:hAnchor="text" w:yAlign="inline"/>
              <w:spacing w:before="120" w:after="120"/>
              <w:jc w:val="left"/>
            </w:pPr>
            <w:r w:rsidRPr="00BF5DA3">
              <w:t>A mandatory maximum building height of 11 metres and 3 storeys (excluding a basement) applies to a dwelling or residential building.</w:t>
            </w:r>
          </w:p>
          <w:p w14:paraId="2CDAD605" w14:textId="093EE9EF" w:rsidR="00754FB9" w:rsidRDefault="00754FB9" w:rsidP="00605675">
            <w:pPr>
              <w:pStyle w:val="Tabletext"/>
              <w:framePr w:hSpace="0" w:wrap="auto" w:vAnchor="margin" w:hAnchor="text" w:yAlign="inline"/>
              <w:spacing w:before="120" w:after="120"/>
              <w:jc w:val="left"/>
            </w:pPr>
            <w:r w:rsidRPr="00BF5DA3">
              <w:t>Maximum building height or number of storeys may be specified in the schedule. When specified it applies to a dwelling or residential building and is a mandatory maximum building height or number of storeys.</w:t>
            </w:r>
          </w:p>
        </w:tc>
      </w:tr>
      <w:tr w:rsidR="00754FB9" w:rsidRPr="007766C3" w14:paraId="53D1A81F" w14:textId="77777777" w:rsidTr="0065694D">
        <w:tc>
          <w:tcPr>
            <w:tcW w:w="846" w:type="dxa"/>
            <w:tcBorders>
              <w:top w:val="single" w:sz="4" w:space="0" w:color="00857F"/>
              <w:left w:val="single" w:sz="4" w:space="0" w:color="00857F"/>
              <w:bottom w:val="single" w:sz="4" w:space="0" w:color="00857F"/>
              <w:right w:val="single" w:sz="4" w:space="0" w:color="00857F"/>
            </w:tcBorders>
            <w:shd w:val="clear" w:color="auto" w:fill="00857F"/>
          </w:tcPr>
          <w:p w14:paraId="4DB2B916" w14:textId="27D5472A" w:rsidR="00754FB9" w:rsidRPr="00605675" w:rsidRDefault="00754FB9" w:rsidP="00C878DA">
            <w:pPr>
              <w:pStyle w:val="Tablesecondheading"/>
              <w:rPr>
                <w:color w:val="FFFFFF" w:themeColor="background1"/>
              </w:rPr>
            </w:pPr>
            <w:r w:rsidRPr="00605675">
              <w:rPr>
                <w:color w:val="FFFFFF" w:themeColor="background1"/>
              </w:rPr>
              <w:t>NRZ</w:t>
            </w:r>
          </w:p>
        </w:tc>
        <w:tc>
          <w:tcPr>
            <w:tcW w:w="8505" w:type="dxa"/>
            <w:tcBorders>
              <w:left w:val="single" w:sz="4" w:space="0" w:color="00857F"/>
              <w:right w:val="nil"/>
            </w:tcBorders>
          </w:tcPr>
          <w:p w14:paraId="3C17EA54" w14:textId="77777777" w:rsidR="00754FB9" w:rsidRPr="00BF5DA3" w:rsidRDefault="00754FB9" w:rsidP="00605675">
            <w:pPr>
              <w:pStyle w:val="Tabletext"/>
              <w:framePr w:hSpace="0" w:wrap="auto" w:vAnchor="margin" w:hAnchor="text" w:yAlign="inline"/>
              <w:spacing w:before="120" w:after="120"/>
              <w:jc w:val="left"/>
            </w:pPr>
            <w:r w:rsidRPr="00BF5DA3">
              <w:t>A mandatory maximum building height of 9 metres and 2 storeys (excluding a basement) applies to a dwelling or residential building.</w:t>
            </w:r>
          </w:p>
          <w:p w14:paraId="5C737162" w14:textId="7C856AB5" w:rsidR="00754FB9" w:rsidRDefault="00754FB9" w:rsidP="00605675">
            <w:pPr>
              <w:pStyle w:val="Tabletext"/>
              <w:framePr w:hSpace="0" w:wrap="auto" w:vAnchor="margin" w:hAnchor="text" w:yAlign="inline"/>
              <w:spacing w:before="120" w:after="120"/>
              <w:jc w:val="left"/>
            </w:pPr>
            <w:r w:rsidRPr="00BF5DA3">
              <w:t>Maximum building height or number of storeys may be specified in the schedule. When specified it applies to a dwelling or residential building and is a mandatory maximum building height or number of storeys.</w:t>
            </w:r>
          </w:p>
        </w:tc>
      </w:tr>
    </w:tbl>
    <w:p w14:paraId="281CF077" w14:textId="77777777" w:rsidR="00ED1922" w:rsidRDefault="00ED1922" w:rsidP="00840A30">
      <w:pPr>
        <w:pStyle w:val="Heading2"/>
      </w:pPr>
      <w:r>
        <w:lastRenderedPageBreak/>
        <w:t xml:space="preserve">Writing application </w:t>
      </w:r>
      <w:r w:rsidRPr="005A05DB">
        <w:t>requirements</w:t>
      </w:r>
      <w:r>
        <w:t xml:space="preserve"> and decision guidelines</w:t>
      </w:r>
    </w:p>
    <w:p w14:paraId="6B013649" w14:textId="0AEACC8E" w:rsidR="00ED1922" w:rsidRPr="00AD12D5" w:rsidRDefault="00ED1922" w:rsidP="00ED1922">
      <w:pPr>
        <w:spacing w:after="0" w:line="240" w:lineRule="auto"/>
      </w:pPr>
      <w:r w:rsidRPr="00AD12D5">
        <w:t>Application requirements set out information and other materials required to accompany a planning permit application.</w:t>
      </w:r>
    </w:p>
    <w:p w14:paraId="288C6BF5" w14:textId="0BF37C21" w:rsidR="00ED1922" w:rsidRPr="00AD12D5" w:rsidRDefault="00FC202F" w:rsidP="00ED1922">
      <w:pPr>
        <w:spacing w:after="0" w:line="240" w:lineRule="auto"/>
      </w:pPr>
      <w:r>
        <w:t>A s</w:t>
      </w:r>
      <w:r w:rsidR="00ED1922" w:rsidRPr="00AD12D5">
        <w:t xml:space="preserve">chedule may specify additional application requirements to supplement those in a residential zone. </w:t>
      </w:r>
      <w:r>
        <w:t>A s</w:t>
      </w:r>
      <w:r w:rsidR="00ED1922" w:rsidRPr="00AD12D5">
        <w:t>chedule should not repeat application requirements in other planning provisions. Application requirements should have a clear nexus with the provisions of the schedule, and not require information about matters that are not controlled by a schedule to a residential zone.</w:t>
      </w:r>
    </w:p>
    <w:p w14:paraId="2E165CF6" w14:textId="77777777" w:rsidR="00ED1922" w:rsidRPr="00AD12D5" w:rsidRDefault="00ED1922" w:rsidP="00ED1922">
      <w:pPr>
        <w:spacing w:after="0" w:line="240" w:lineRule="auto"/>
      </w:pPr>
      <w:r w:rsidRPr="00AD12D5">
        <w:t>Decision guidelines provide greater certainty about decision</w:t>
      </w:r>
      <w:r>
        <w:t xml:space="preserve"> </w:t>
      </w:r>
      <w:r w:rsidRPr="00AD12D5">
        <w:t>making for planning permit applications.</w:t>
      </w:r>
    </w:p>
    <w:p w14:paraId="2AF923BB" w14:textId="2B5C5019" w:rsidR="00ED1922" w:rsidRDefault="009B6FA8" w:rsidP="00ED1922">
      <w:pPr>
        <w:spacing w:after="0" w:line="240" w:lineRule="auto"/>
      </w:pPr>
      <w:r>
        <w:t>A s</w:t>
      </w:r>
      <w:r w:rsidR="00ED1922" w:rsidRPr="00AD12D5">
        <w:t xml:space="preserve">chedule may specify additional decision guidelines to supplement those in a residential zone. </w:t>
      </w:r>
      <w:r>
        <w:t>A s</w:t>
      </w:r>
      <w:r w:rsidR="00ED1922" w:rsidRPr="00AD12D5">
        <w:t>chedule should not repeat general decision guidelines, or decision guidelines in other planning provisions. Decision guidelines should have a clear nexus with the provisions of the schedule.</w:t>
      </w:r>
    </w:p>
    <w:p w14:paraId="6576B010" w14:textId="5FF65A5B" w:rsidR="00ED1922" w:rsidRPr="00AD12D5" w:rsidRDefault="00ED1922" w:rsidP="00ED1922">
      <w:pPr>
        <w:spacing w:after="0" w:line="240" w:lineRule="auto"/>
      </w:pPr>
      <w:r w:rsidRPr="00AD12D5">
        <w:t xml:space="preserve">Some principles for drafting decision guidelines are included in Table </w:t>
      </w:r>
      <w:r>
        <w:t>11</w:t>
      </w:r>
      <w:r w:rsidRPr="00AD12D5">
        <w:t>.</w:t>
      </w:r>
    </w:p>
    <w:p w14:paraId="6851850D" w14:textId="77777777" w:rsidR="00ED1922" w:rsidRPr="00AD12D5" w:rsidRDefault="00ED1922" w:rsidP="00EF78A1">
      <w:pPr>
        <w:pStyle w:val="TableName"/>
      </w:pPr>
      <w:r w:rsidRPr="00ED1922">
        <w:t>Table 11:</w:t>
      </w:r>
      <w:r w:rsidRPr="00AD12D5">
        <w:t xml:space="preserve"> </w:t>
      </w:r>
      <w:r w:rsidRPr="00A71B76">
        <w:rPr>
          <w:b w:val="0"/>
          <w:bCs w:val="0"/>
        </w:rPr>
        <w:t>Principles for drafting decision guidelines</w:t>
      </w:r>
    </w:p>
    <w:tbl>
      <w:tblPr>
        <w:tblStyle w:val="Table1"/>
        <w:tblpPr w:leftFromText="180" w:rightFromText="180" w:vertAnchor="text" w:horzAnchor="margin" w:tblpY="191"/>
        <w:tblW w:w="0" w:type="auto"/>
        <w:tblBorders>
          <w:left w:val="none" w:sz="0" w:space="0" w:color="auto"/>
          <w:right w:val="none" w:sz="0" w:space="0" w:color="auto"/>
        </w:tblBorders>
        <w:tblLook w:val="04A0" w:firstRow="1" w:lastRow="0" w:firstColumn="1" w:lastColumn="0" w:noHBand="0" w:noVBand="1"/>
      </w:tblPr>
      <w:tblGrid>
        <w:gridCol w:w="3002"/>
        <w:gridCol w:w="3001"/>
        <w:gridCol w:w="3343"/>
      </w:tblGrid>
      <w:tr w:rsidR="00B47193" w:rsidRPr="007766C3" w14:paraId="526E6956" w14:textId="77777777" w:rsidTr="00D662CD">
        <w:trPr>
          <w:cnfStyle w:val="100000000000" w:firstRow="1" w:lastRow="0" w:firstColumn="0" w:lastColumn="0" w:oddVBand="0" w:evenVBand="0" w:oddHBand="0" w:evenHBand="0" w:firstRowFirstColumn="0" w:firstRowLastColumn="0" w:lastRowFirstColumn="0" w:lastRowLastColumn="0"/>
          <w:tblHeader/>
        </w:trPr>
        <w:tc>
          <w:tcPr>
            <w:cnfStyle w:val="000000000100" w:firstRow="0" w:lastRow="0" w:firstColumn="0" w:lastColumn="0" w:oddVBand="0" w:evenVBand="0" w:oddHBand="0" w:evenHBand="0" w:firstRowFirstColumn="1" w:firstRowLastColumn="0" w:lastRowFirstColumn="0" w:lastRowLastColumn="0"/>
            <w:tcW w:w="3002" w:type="dxa"/>
          </w:tcPr>
          <w:p w14:paraId="07F40621" w14:textId="57956CAF" w:rsidR="0083199E" w:rsidRPr="0083199E" w:rsidRDefault="00B47193" w:rsidP="00B47193">
            <w:pPr>
              <w:pStyle w:val="Tableheader"/>
              <w:framePr w:hSpace="0" w:wrap="auto" w:vAnchor="margin" w:hAnchor="text" w:yAlign="inline"/>
            </w:pPr>
            <w:r w:rsidRPr="00B47193">
              <w:rPr>
                <w:b/>
              </w:rPr>
              <w:t>Principle</w:t>
            </w:r>
          </w:p>
        </w:tc>
        <w:tc>
          <w:tcPr>
            <w:tcW w:w="3001" w:type="dxa"/>
          </w:tcPr>
          <w:p w14:paraId="379BD005" w14:textId="0F79A27B" w:rsidR="00B47193" w:rsidRPr="00B47193" w:rsidRDefault="009B6FA8" w:rsidP="00B47193">
            <w:pPr>
              <w:pStyle w:val="Tableheader"/>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b/>
              </w:rPr>
            </w:pPr>
            <w:r w:rsidRPr="009B6FA8">
              <w:rPr>
                <w:b/>
                <w:sz w:val="28"/>
                <w:szCs w:val="28"/>
              </w:rPr>
              <w:sym w:font="Wingdings" w:char="F0FC"/>
            </w:r>
          </w:p>
        </w:tc>
        <w:tc>
          <w:tcPr>
            <w:tcW w:w="3343" w:type="dxa"/>
          </w:tcPr>
          <w:p w14:paraId="6F8813D9" w14:textId="485B0287" w:rsidR="00B47193" w:rsidRPr="00B47193" w:rsidRDefault="009B6FA8" w:rsidP="00B47193">
            <w:pPr>
              <w:pStyle w:val="Tableheader"/>
              <w:framePr w:hSpace="0" w:wrap="auto" w:vAnchor="margin" w:hAnchor="text" w:yAlign="inline"/>
              <w:cnfStyle w:val="100000000000" w:firstRow="1" w:lastRow="0" w:firstColumn="0" w:lastColumn="0" w:oddVBand="0" w:evenVBand="0" w:oddHBand="0" w:evenHBand="0" w:firstRowFirstColumn="0" w:firstRowLastColumn="0" w:lastRowFirstColumn="0" w:lastRowLastColumn="0"/>
              <w:rPr>
                <w:b/>
              </w:rPr>
            </w:pPr>
            <w:r w:rsidRPr="009B6FA8">
              <w:rPr>
                <w:b/>
                <w:sz w:val="28"/>
                <w:szCs w:val="28"/>
              </w:rPr>
              <w:sym w:font="Wingdings" w:char="F0FB"/>
            </w:r>
          </w:p>
        </w:tc>
      </w:tr>
      <w:tr w:rsidR="00B47193" w:rsidRPr="007766C3" w14:paraId="4C45E7B5" w14:textId="77777777" w:rsidTr="00D662CD">
        <w:tc>
          <w:tcPr>
            <w:tcW w:w="3002" w:type="dxa"/>
          </w:tcPr>
          <w:p w14:paraId="70CBEBAB" w14:textId="667CD792" w:rsidR="00B47193" w:rsidRPr="00B47193" w:rsidRDefault="00295EE4" w:rsidP="008C1254">
            <w:pPr>
              <w:pStyle w:val="Tabletext"/>
              <w:framePr w:hSpace="0" w:wrap="auto" w:vAnchor="margin" w:hAnchor="text" w:yAlign="inline"/>
              <w:jc w:val="left"/>
            </w:pPr>
            <w:r>
              <w:t>O</w:t>
            </w:r>
            <w:r w:rsidR="00B47193" w:rsidRPr="007A20E0">
              <w:t>ther clauses in the planning scheme</w:t>
            </w:r>
            <w:r>
              <w:t xml:space="preserve"> should not be referenced</w:t>
            </w:r>
            <w:r w:rsidR="009A293F">
              <w:t>.</w:t>
            </w:r>
          </w:p>
        </w:tc>
        <w:tc>
          <w:tcPr>
            <w:tcW w:w="3001" w:type="dxa"/>
          </w:tcPr>
          <w:p w14:paraId="5A1D00BF" w14:textId="32611DCB" w:rsidR="00B47193" w:rsidRPr="006118BD" w:rsidRDefault="00B47193" w:rsidP="008C1254">
            <w:pPr>
              <w:pStyle w:val="Tabletext"/>
              <w:framePr w:hSpace="0" w:wrap="auto" w:vAnchor="margin" w:hAnchor="text" w:yAlign="inline"/>
              <w:jc w:val="left"/>
            </w:pPr>
            <w:r w:rsidRPr="007A20E0">
              <w:t>Whether garages and upper floors are appropriately set back.</w:t>
            </w:r>
          </w:p>
        </w:tc>
        <w:tc>
          <w:tcPr>
            <w:tcW w:w="3343" w:type="dxa"/>
          </w:tcPr>
          <w:p w14:paraId="25B28285" w14:textId="4A157E6A" w:rsidR="00B47193" w:rsidRPr="007766C3" w:rsidRDefault="00B47193" w:rsidP="008C1254">
            <w:pPr>
              <w:pStyle w:val="Tabletext"/>
              <w:framePr w:hSpace="0" w:wrap="auto" w:vAnchor="margin" w:hAnchor="text" w:yAlign="inline"/>
              <w:jc w:val="left"/>
            </w:pPr>
            <w:r w:rsidRPr="007A20E0">
              <w:t>Whether the development meets the objectives and standards of clause 54 or clause 55.</w:t>
            </w:r>
          </w:p>
        </w:tc>
      </w:tr>
      <w:tr w:rsidR="00B47193" w:rsidRPr="007766C3" w14:paraId="0591301A" w14:textId="77777777" w:rsidTr="00D662CD">
        <w:tc>
          <w:tcPr>
            <w:tcW w:w="3002" w:type="dxa"/>
          </w:tcPr>
          <w:p w14:paraId="30D6D7DB" w14:textId="2F15D1A3" w:rsidR="00B47193" w:rsidRPr="00B47193" w:rsidRDefault="00295EE4" w:rsidP="008C1254">
            <w:pPr>
              <w:pStyle w:val="Tabletext"/>
              <w:framePr w:hSpace="0" w:wrap="auto" w:vAnchor="margin" w:hAnchor="text" w:yAlign="inline"/>
              <w:jc w:val="left"/>
            </w:pPr>
            <w:r>
              <w:t>B</w:t>
            </w:r>
            <w:r w:rsidR="00B47193" w:rsidRPr="007A20E0">
              <w:t>ackground documents</w:t>
            </w:r>
            <w:r>
              <w:t xml:space="preserve"> should not be referenced as decision guideline criteria</w:t>
            </w:r>
            <w:r w:rsidR="009A293F">
              <w:t>.</w:t>
            </w:r>
          </w:p>
        </w:tc>
        <w:tc>
          <w:tcPr>
            <w:tcW w:w="3001" w:type="dxa"/>
          </w:tcPr>
          <w:p w14:paraId="3D23C2E0" w14:textId="3A76CA28" w:rsidR="00B47193" w:rsidRPr="007766C3" w:rsidRDefault="00B47193" w:rsidP="008C1254">
            <w:pPr>
              <w:pStyle w:val="Tabletext"/>
              <w:framePr w:hSpace="0" w:wrap="auto" w:vAnchor="margin" w:hAnchor="text" w:yAlign="inline"/>
              <w:jc w:val="left"/>
            </w:pPr>
            <w:r w:rsidRPr="007A20E0">
              <w:t>Whether the development provides an appropriate response to the public realm.</w:t>
            </w:r>
          </w:p>
        </w:tc>
        <w:tc>
          <w:tcPr>
            <w:tcW w:w="3343" w:type="dxa"/>
          </w:tcPr>
          <w:p w14:paraId="1FF7EECF" w14:textId="0B8735EA" w:rsidR="00B47193" w:rsidRPr="007766C3" w:rsidRDefault="00B47193" w:rsidP="008C1254">
            <w:pPr>
              <w:pStyle w:val="Tabletext"/>
              <w:framePr w:hSpace="0" w:wrap="auto" w:vAnchor="margin" w:hAnchor="text" w:yAlign="inline"/>
              <w:jc w:val="left"/>
            </w:pPr>
            <w:r w:rsidRPr="007A20E0">
              <w:t xml:space="preserve">Whether the development is consistent with the </w:t>
            </w:r>
            <w:r w:rsidRPr="00BF5DA3">
              <w:rPr>
                <w:i/>
              </w:rPr>
              <w:t>Gumnut Town Centre Structure Plan, 2002.</w:t>
            </w:r>
          </w:p>
        </w:tc>
      </w:tr>
      <w:tr w:rsidR="00B47193" w:rsidRPr="007766C3" w14:paraId="471C3C3F" w14:textId="77777777" w:rsidTr="00D662CD">
        <w:tc>
          <w:tcPr>
            <w:tcW w:w="3002" w:type="dxa"/>
          </w:tcPr>
          <w:p w14:paraId="52A1ABFB" w14:textId="0197BA03" w:rsidR="00B47193" w:rsidRPr="007A20E0" w:rsidRDefault="00B47193" w:rsidP="008C1254">
            <w:pPr>
              <w:pStyle w:val="Tabletext"/>
              <w:framePr w:hSpace="0" w:wrap="auto" w:vAnchor="margin" w:hAnchor="text" w:yAlign="inline"/>
              <w:jc w:val="left"/>
            </w:pPr>
            <w:r w:rsidRPr="007A20E0">
              <w:t xml:space="preserve">Use neutral expression and avoid </w:t>
            </w:r>
            <w:r w:rsidR="0083199E">
              <w:t>introducing</w:t>
            </w:r>
            <w:r w:rsidRPr="007A20E0">
              <w:t xml:space="preserve"> additional requirements</w:t>
            </w:r>
            <w:r w:rsidR="009A293F">
              <w:t>.</w:t>
            </w:r>
          </w:p>
        </w:tc>
        <w:tc>
          <w:tcPr>
            <w:tcW w:w="3001" w:type="dxa"/>
          </w:tcPr>
          <w:p w14:paraId="1F4F9F2B" w14:textId="0F8059C7" w:rsidR="00B47193" w:rsidRPr="007A20E0" w:rsidRDefault="00B47193" w:rsidP="008C1254">
            <w:pPr>
              <w:pStyle w:val="Tabletext"/>
              <w:framePr w:hSpace="0" w:wrap="auto" w:vAnchor="margin" w:hAnchor="text" w:yAlign="inline"/>
              <w:jc w:val="left"/>
            </w:pPr>
            <w:r w:rsidRPr="007A20E0">
              <w:t>Whether the development provides adequate storage to meet the needs of future occupants.</w:t>
            </w:r>
          </w:p>
        </w:tc>
        <w:tc>
          <w:tcPr>
            <w:tcW w:w="3343" w:type="dxa"/>
          </w:tcPr>
          <w:p w14:paraId="4C99E613" w14:textId="2EBAE65B" w:rsidR="00B47193" w:rsidRPr="007A20E0" w:rsidRDefault="00B47193" w:rsidP="008C1254">
            <w:pPr>
              <w:pStyle w:val="Tabletext"/>
              <w:framePr w:hSpace="0" w:wrap="auto" w:vAnchor="margin" w:hAnchor="text" w:yAlign="inline"/>
              <w:jc w:val="left"/>
            </w:pPr>
            <w:r w:rsidRPr="007A20E0">
              <w:t>Whether the development provides 10 square metres of storage.</w:t>
            </w:r>
          </w:p>
        </w:tc>
      </w:tr>
    </w:tbl>
    <w:p w14:paraId="45F46079" w14:textId="77777777" w:rsidR="00B47193" w:rsidRPr="00AD12D5" w:rsidRDefault="00B47193" w:rsidP="00840A30">
      <w:pPr>
        <w:pStyle w:val="Heading1"/>
      </w:pPr>
      <w:r>
        <w:t>More information</w:t>
      </w:r>
    </w:p>
    <w:p w14:paraId="3386EDC8" w14:textId="77777777" w:rsidR="00C3159F" w:rsidRDefault="00C3159F" w:rsidP="00C3159F">
      <w:pPr>
        <w:pStyle w:val="ListBullet"/>
        <w:numPr>
          <w:ilvl w:val="0"/>
          <w:numId w:val="0"/>
        </w:numPr>
      </w:pPr>
      <w:bookmarkStart w:id="6" w:name="_Hlk27657042"/>
      <w:r>
        <w:t>Related planning practice notes include:</w:t>
      </w:r>
    </w:p>
    <w:p w14:paraId="116A87A3" w14:textId="77777777" w:rsidR="00B47193" w:rsidRPr="00C224F0" w:rsidRDefault="00B47193" w:rsidP="00862323">
      <w:pPr>
        <w:pStyle w:val="ListBullet"/>
      </w:pPr>
      <w:bookmarkStart w:id="7" w:name="_Hlk27576247"/>
      <w:r w:rsidRPr="00C224F0">
        <w:t>PPN27: Understanding the residential development provisions</w:t>
      </w:r>
    </w:p>
    <w:p w14:paraId="3EE22027" w14:textId="77777777" w:rsidR="00B47193" w:rsidRPr="00C224F0" w:rsidRDefault="00B47193" w:rsidP="00E14112">
      <w:pPr>
        <w:pStyle w:val="ListBullet"/>
      </w:pPr>
      <w:r w:rsidRPr="00C224F0">
        <w:t>PPN43: Understanding neighbourhood character</w:t>
      </w:r>
    </w:p>
    <w:bookmarkEnd w:id="7"/>
    <w:p w14:paraId="675DD4AF" w14:textId="4B4A1A15" w:rsidR="00B47193" w:rsidRDefault="00B47193" w:rsidP="00B47193">
      <w:pPr>
        <w:pStyle w:val="ListBullet"/>
      </w:pPr>
      <w:r w:rsidRPr="00C224F0">
        <w:t>PPN84: Applying the minimum garden area requirement</w:t>
      </w:r>
    </w:p>
    <w:p w14:paraId="74D773F0" w14:textId="4914C815" w:rsidR="00F316E3" w:rsidRPr="00211A50" w:rsidRDefault="00F316E3" w:rsidP="007733B1">
      <w:pPr>
        <w:pStyle w:val="ListBullet"/>
      </w:pPr>
      <w:r w:rsidRPr="00211A50">
        <w:t>PPN9</w:t>
      </w:r>
      <w:r w:rsidR="00211A50" w:rsidRPr="00211A50">
        <w:t>0: Planning for housing</w:t>
      </w:r>
      <w:r w:rsidR="009A293F">
        <w:t>.</w:t>
      </w:r>
    </w:p>
    <w:bookmarkEnd w:id="6"/>
    <w:p w14:paraId="51B9BCD1" w14:textId="158B9569" w:rsidR="003C287A" w:rsidRDefault="003C287A" w:rsidP="003C287A">
      <w:r>
        <w:t>See these and other</w:t>
      </w:r>
      <w:r w:rsidRPr="00D07332">
        <w:t xml:space="preserve"> planning practice notes </w:t>
      </w:r>
      <w:r>
        <w:rPr>
          <w:lang w:eastAsia="en-AU"/>
        </w:rPr>
        <w:t xml:space="preserve">on the </w:t>
      </w:r>
      <w:r w:rsidRPr="00D07332">
        <w:rPr>
          <w:lang w:eastAsia="en-AU"/>
        </w:rPr>
        <w:t>planning</w:t>
      </w:r>
      <w:r>
        <w:rPr>
          <w:lang w:eastAsia="en-AU"/>
        </w:rPr>
        <w:t xml:space="preserve"> </w:t>
      </w:r>
      <w:r w:rsidRPr="00D07332">
        <w:rPr>
          <w:lang w:eastAsia="en-AU"/>
        </w:rPr>
        <w:t>practice</w:t>
      </w:r>
      <w:r>
        <w:rPr>
          <w:lang w:eastAsia="en-AU"/>
        </w:rPr>
        <w:t xml:space="preserve"> </w:t>
      </w:r>
      <w:r w:rsidRPr="00D07332">
        <w:rPr>
          <w:lang w:eastAsia="en-AU"/>
        </w:rPr>
        <w:t>notes</w:t>
      </w:r>
      <w:r>
        <w:rPr>
          <w:lang w:eastAsia="en-AU"/>
        </w:rPr>
        <w:t xml:space="preserve"> page at </w:t>
      </w:r>
      <w:hyperlink r:id="rId21" w:history="1">
        <w:r w:rsidRPr="004C634A">
          <w:rPr>
            <w:rStyle w:val="Hyperlink"/>
            <w:lang w:eastAsia="en-AU"/>
          </w:rPr>
          <w:t>planning.vic.gov.au</w:t>
        </w:r>
      </w:hyperlink>
      <w:r w:rsidR="009A293F">
        <w:rPr>
          <w:rStyle w:val="Hyperlink"/>
          <w:lang w:eastAsia="en-AU"/>
        </w:rPr>
        <w:t>.</w:t>
      </w:r>
    </w:p>
    <w:p w14:paraId="15C84210" w14:textId="77777777" w:rsidR="00CD36CD" w:rsidRDefault="00CD36CD">
      <w:pPr>
        <w:spacing w:before="0" w:after="200"/>
        <w:rPr>
          <w:rFonts w:eastAsiaTheme="majorEastAsia" w:cstheme="majorBidi"/>
          <w:b/>
          <w:color w:val="5A5A5A"/>
          <w:sz w:val="24"/>
          <w:szCs w:val="24"/>
        </w:rPr>
      </w:pPr>
      <w:r>
        <w:br w:type="page"/>
      </w:r>
    </w:p>
    <w:p w14:paraId="606CA260" w14:textId="4E2FAB37" w:rsidR="00B47193" w:rsidRPr="00BF5DA3" w:rsidRDefault="00B47193" w:rsidP="00840A30">
      <w:pPr>
        <w:pStyle w:val="Heading2"/>
      </w:pPr>
      <w:r w:rsidRPr="00BF5DA3">
        <w:lastRenderedPageBreak/>
        <w:t>Reformed residential zones</w:t>
      </w:r>
    </w:p>
    <w:bookmarkStart w:id="8" w:name="_Hlk27576284"/>
    <w:bookmarkStart w:id="9" w:name="_Hlk27576256"/>
    <w:p w14:paraId="1A6608CD" w14:textId="0D92D507" w:rsidR="00E14112" w:rsidRPr="00322F6D" w:rsidRDefault="00322F6D" w:rsidP="00E14112">
      <w:pPr>
        <w:pStyle w:val="ListBullet"/>
        <w:rPr>
          <w:rStyle w:val="Hyperlink"/>
        </w:rPr>
      </w:pPr>
      <w:r>
        <w:fldChar w:fldCharType="begin"/>
      </w:r>
      <w:r>
        <w:instrText xml:space="preserve"> HYPERLINK "https://planning-schemes.app.planning.vic.gov.au/All%20schemes/amendments/VC110?schemeCode=alpi" </w:instrText>
      </w:r>
      <w:r>
        <w:fldChar w:fldCharType="separate"/>
      </w:r>
      <w:r w:rsidR="00E14112" w:rsidRPr="00322F6D">
        <w:rPr>
          <w:rStyle w:val="Hyperlink"/>
        </w:rPr>
        <w:t>Amendment VC110</w:t>
      </w:r>
      <w:bookmarkEnd w:id="8"/>
      <w:bookmarkEnd w:id="9"/>
    </w:p>
    <w:p w14:paraId="576C736B" w14:textId="1AEC88F4" w:rsidR="00E14112" w:rsidRPr="00E14112" w:rsidRDefault="00322F6D" w:rsidP="00E14112">
      <w:pPr>
        <w:pStyle w:val="ListBullet"/>
        <w:rPr>
          <w:rStyle w:val="Hyperlink"/>
        </w:rPr>
      </w:pPr>
      <w:r>
        <w:fldChar w:fldCharType="end"/>
      </w:r>
      <w:r w:rsidR="00E14112">
        <w:fldChar w:fldCharType="begin"/>
      </w:r>
      <w:r w:rsidR="009328C9">
        <w:instrText>HYPERLINK "https://www.planning.vic.gov.au/__data/assets/pdf_file/0011/32132/DELWP0055_-ResidentialZoneReview_v8_weba.pdf"</w:instrText>
      </w:r>
      <w:r w:rsidR="00E14112">
        <w:fldChar w:fldCharType="separate"/>
      </w:r>
      <w:r w:rsidR="00E14112" w:rsidRPr="00E14112">
        <w:rPr>
          <w:rStyle w:val="Hyperlink"/>
        </w:rPr>
        <w:t xml:space="preserve">Reformed residential zones booklet </w:t>
      </w:r>
    </w:p>
    <w:bookmarkStart w:id="10" w:name="_Hlk27576263"/>
    <w:p w14:paraId="7694ACA1" w14:textId="4B8F40E6" w:rsidR="00E14112" w:rsidRPr="00BF5DA3" w:rsidRDefault="00E14112" w:rsidP="00E14112">
      <w:pPr>
        <w:pStyle w:val="ListBullet"/>
      </w:pPr>
      <w:r>
        <w:fldChar w:fldCharType="end"/>
      </w:r>
      <w:hyperlink r:id="rId22" w:history="1">
        <w:r w:rsidRPr="00E14112">
          <w:rPr>
            <w:rStyle w:val="Hyperlink"/>
          </w:rPr>
          <w:t xml:space="preserve">Amendment VC143 </w:t>
        </w:r>
      </w:hyperlink>
      <w:r w:rsidRPr="00BF5DA3">
        <w:t xml:space="preserve"> </w:t>
      </w:r>
    </w:p>
    <w:bookmarkEnd w:id="10"/>
    <w:p w14:paraId="40AF97BF" w14:textId="78BB266D" w:rsidR="00E14112" w:rsidRPr="00E14112" w:rsidRDefault="00322F6D" w:rsidP="00E14112">
      <w:pPr>
        <w:pStyle w:val="ListBullet"/>
      </w:pPr>
      <w:r>
        <w:fldChar w:fldCharType="begin"/>
      </w:r>
      <w:r>
        <w:instrText xml:space="preserve"> HYPERLINK "https://www.planning.vic.gov.au/guides-and-resources/guides/planning-advisory-notes" </w:instrText>
      </w:r>
      <w:r>
        <w:fldChar w:fldCharType="separate"/>
      </w:r>
      <w:r w:rsidR="00E14112" w:rsidRPr="00322F6D">
        <w:rPr>
          <w:rStyle w:val="Hyperlink"/>
        </w:rPr>
        <w:t>Planning Advisory Note 69 Amendment VC143</w:t>
      </w:r>
      <w:r>
        <w:fldChar w:fldCharType="end"/>
      </w:r>
    </w:p>
    <w:tbl>
      <w:tblPr>
        <w:tblStyle w:val="TableGrid"/>
        <w:tblpPr w:leftFromText="180" w:rightFromText="180" w:vertAnchor="text" w:horzAnchor="margin" w:tblpY="6872"/>
        <w:tblW w:w="9604" w:type="dxa"/>
        <w:tblBorders>
          <w:top w:val="single" w:sz="4" w:space="0" w:color="00B2A9"/>
          <w:left w:val="none" w:sz="0" w:space="0" w:color="auto"/>
          <w:bottom w:val="none" w:sz="0" w:space="0" w:color="auto"/>
          <w:right w:val="none" w:sz="0" w:space="0" w:color="auto"/>
          <w:insideH w:val="none" w:sz="0" w:space="0" w:color="auto"/>
          <w:insideV w:val="none" w:sz="0" w:space="0" w:color="auto"/>
        </w:tblBorders>
        <w:tblCellMar>
          <w:top w:w="142" w:type="dxa"/>
        </w:tblCellMar>
        <w:tblLook w:val="04A0" w:firstRow="1" w:lastRow="0" w:firstColumn="1" w:lastColumn="0" w:noHBand="0" w:noVBand="1"/>
      </w:tblPr>
      <w:tblGrid>
        <w:gridCol w:w="5939"/>
        <w:gridCol w:w="3665"/>
      </w:tblGrid>
      <w:tr w:rsidR="00CD36CD" w14:paraId="66F89207" w14:textId="77777777" w:rsidTr="0078503C">
        <w:trPr>
          <w:trHeight w:val="4096"/>
        </w:trPr>
        <w:tc>
          <w:tcPr>
            <w:tcW w:w="5939" w:type="dxa"/>
          </w:tcPr>
          <w:p w14:paraId="7D1C8575" w14:textId="376EBE81" w:rsidR="00CD36CD" w:rsidRPr="0045784C" w:rsidRDefault="00CD36CD" w:rsidP="0078503C">
            <w:pPr>
              <w:pStyle w:val="SmallBodyText"/>
              <w:spacing w:line="240" w:lineRule="auto"/>
              <w:ind w:left="35"/>
              <w:rPr>
                <w:rFonts w:ascii="VIC" w:hAnsi="VIC"/>
                <w:color w:val="53565A"/>
                <w:sz w:val="16"/>
                <w:szCs w:val="16"/>
              </w:rPr>
            </w:pPr>
            <w:r w:rsidRPr="0045784C">
              <w:rPr>
                <w:rFonts w:ascii="VIC" w:hAnsi="VIC"/>
                <w:color w:val="53565A"/>
                <w:sz w:val="16"/>
                <w:szCs w:val="16"/>
              </w:rPr>
              <w:t xml:space="preserve">© The State of Victoria </w:t>
            </w:r>
            <w:r>
              <w:rPr>
                <w:rFonts w:ascii="VIC" w:hAnsi="VIC"/>
                <w:color w:val="53565A"/>
                <w:sz w:val="16"/>
                <w:szCs w:val="16"/>
              </w:rPr>
              <w:t xml:space="preserve">- </w:t>
            </w:r>
            <w:r w:rsidRPr="0045784C">
              <w:rPr>
                <w:rFonts w:ascii="VIC" w:hAnsi="VIC"/>
                <w:color w:val="53565A"/>
                <w:sz w:val="16"/>
                <w:szCs w:val="16"/>
              </w:rPr>
              <w:t xml:space="preserve">Department of </w:t>
            </w:r>
            <w:r>
              <w:rPr>
                <w:rFonts w:ascii="VIC" w:hAnsi="VIC"/>
                <w:color w:val="53565A"/>
                <w:sz w:val="16"/>
                <w:szCs w:val="16"/>
              </w:rPr>
              <w:t>Transport and Planning</w:t>
            </w:r>
            <w:r w:rsidRPr="0045784C">
              <w:rPr>
                <w:rFonts w:ascii="VIC" w:hAnsi="VIC"/>
                <w:color w:val="53565A"/>
                <w:sz w:val="16"/>
                <w:szCs w:val="16"/>
              </w:rPr>
              <w:t xml:space="preserve">, </w:t>
            </w:r>
            <w:r w:rsidRPr="00977C07">
              <w:rPr>
                <w:rFonts w:ascii="VIC" w:hAnsi="VIC"/>
                <w:color w:val="auto"/>
                <w:sz w:val="16"/>
                <w:szCs w:val="16"/>
              </w:rPr>
              <w:t>July</w:t>
            </w:r>
            <w:r w:rsidRPr="0082713C">
              <w:rPr>
                <w:rFonts w:ascii="VIC" w:hAnsi="VIC"/>
                <w:color w:val="FF0000"/>
                <w:sz w:val="16"/>
                <w:szCs w:val="16"/>
              </w:rPr>
              <w:t xml:space="preserve"> </w:t>
            </w:r>
            <w:r w:rsidRPr="0045784C">
              <w:rPr>
                <w:rFonts w:ascii="VIC" w:hAnsi="VIC"/>
                <w:color w:val="53565A"/>
                <w:sz w:val="16"/>
                <w:szCs w:val="16"/>
              </w:rPr>
              <w:fldChar w:fldCharType="begin"/>
            </w:r>
            <w:r w:rsidRPr="0045784C">
              <w:rPr>
                <w:rFonts w:ascii="VIC" w:hAnsi="VIC"/>
                <w:color w:val="53565A"/>
                <w:sz w:val="16"/>
                <w:szCs w:val="16"/>
              </w:rPr>
              <w:instrText xml:space="preserve"> DATE  \@ "yyyy" \* MERGEFORMAT </w:instrText>
            </w:r>
            <w:r w:rsidRPr="0045784C">
              <w:rPr>
                <w:rFonts w:ascii="VIC" w:hAnsi="VIC"/>
                <w:color w:val="53565A"/>
                <w:sz w:val="16"/>
                <w:szCs w:val="16"/>
              </w:rPr>
              <w:fldChar w:fldCharType="separate"/>
            </w:r>
            <w:r w:rsidR="009328C9">
              <w:rPr>
                <w:rFonts w:ascii="VIC" w:hAnsi="VIC"/>
                <w:noProof/>
                <w:color w:val="53565A"/>
                <w:sz w:val="16"/>
                <w:szCs w:val="16"/>
              </w:rPr>
              <w:t>2023</w:t>
            </w:r>
            <w:r w:rsidRPr="0045784C">
              <w:rPr>
                <w:rFonts w:ascii="VIC" w:hAnsi="VIC"/>
                <w:color w:val="53565A"/>
                <w:sz w:val="16"/>
                <w:szCs w:val="16"/>
              </w:rPr>
              <w:fldChar w:fldCharType="end"/>
            </w:r>
          </w:p>
          <w:p w14:paraId="4A38C2DA" w14:textId="77777777" w:rsidR="00CD36CD" w:rsidRPr="0045784C" w:rsidRDefault="00CD36CD" w:rsidP="0078503C">
            <w:pPr>
              <w:pStyle w:val="SmallBodyText"/>
              <w:spacing w:line="240" w:lineRule="auto"/>
              <w:ind w:left="35"/>
              <w:rPr>
                <w:rFonts w:ascii="VIC" w:hAnsi="VIC"/>
                <w:color w:val="53565A"/>
                <w:sz w:val="16"/>
                <w:szCs w:val="16"/>
              </w:rPr>
            </w:pPr>
            <w:r w:rsidRPr="0045784C">
              <w:rPr>
                <w:rFonts w:ascii="VIC" w:hAnsi="VIC"/>
                <w:noProof/>
                <w:color w:val="53565A"/>
                <w:sz w:val="16"/>
                <w:szCs w:val="16"/>
              </w:rPr>
              <w:drawing>
                <wp:anchor distT="0" distB="0" distL="114300" distR="36195" simplePos="0" relativeHeight="251659264" behindDoc="0" locked="1" layoutInCell="1" allowOverlap="1" wp14:anchorId="69070DC0" wp14:editId="4EA77E94">
                  <wp:simplePos x="0" y="0"/>
                  <wp:positionH relativeFrom="column">
                    <wp:posOffset>0</wp:posOffset>
                  </wp:positionH>
                  <wp:positionV relativeFrom="paragraph">
                    <wp:posOffset>28575</wp:posOffset>
                  </wp:positionV>
                  <wp:extent cx="658800" cy="237600"/>
                  <wp:effectExtent l="0" t="0" r="8255" b="0"/>
                  <wp:wrapSquare wrapText="bothSides"/>
                  <wp:docPr id="5" name="Picture 5"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3">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bookmarkStart w:id="11" w:name="_ImprintPageOne"/>
            <w:bookmarkEnd w:id="11"/>
            <w:r w:rsidRPr="0045784C">
              <w:rPr>
                <w:rFonts w:ascii="VIC" w:hAnsi="VIC"/>
                <w:color w:val="53565A"/>
                <w:sz w:val="16"/>
                <w:szCs w:val="16"/>
              </w:rPr>
              <w:t xml:space="preserve">This work is licensed under a Creative Commons Attribution 4.0 International licence. You are free to re-use the work under that licence, on the condition that you credit the State of Victoria as author. The licence does not apply to any images, </w:t>
            </w:r>
            <w:proofErr w:type="gramStart"/>
            <w:r w:rsidRPr="0045784C">
              <w:rPr>
                <w:rFonts w:ascii="VIC" w:hAnsi="VIC"/>
                <w:color w:val="53565A"/>
                <w:sz w:val="16"/>
                <w:szCs w:val="16"/>
              </w:rPr>
              <w:t>photographs</w:t>
            </w:r>
            <w:proofErr w:type="gramEnd"/>
            <w:r w:rsidRPr="0045784C">
              <w:rPr>
                <w:rFonts w:ascii="VIC" w:hAnsi="VIC"/>
                <w:color w:val="53565A"/>
                <w:sz w:val="16"/>
                <w:szCs w:val="16"/>
              </w:rPr>
              <w:t xml:space="preserve"> or branding, including the Victorian Coat of Arms, the Victorian Government logo and the Department of </w:t>
            </w:r>
            <w:r>
              <w:rPr>
                <w:rFonts w:ascii="VIC" w:hAnsi="VIC"/>
                <w:color w:val="53565A"/>
                <w:sz w:val="16"/>
                <w:szCs w:val="16"/>
              </w:rPr>
              <w:t>Transport</w:t>
            </w:r>
            <w:r w:rsidRPr="0045784C">
              <w:rPr>
                <w:rFonts w:ascii="VIC" w:hAnsi="VIC"/>
                <w:color w:val="53565A"/>
                <w:sz w:val="16"/>
                <w:szCs w:val="16"/>
              </w:rPr>
              <w:t xml:space="preserve"> and Planning (D</w:t>
            </w:r>
            <w:r>
              <w:rPr>
                <w:rFonts w:ascii="VIC" w:hAnsi="VIC"/>
                <w:color w:val="53565A"/>
                <w:sz w:val="16"/>
                <w:szCs w:val="16"/>
              </w:rPr>
              <w:t>TP</w:t>
            </w:r>
            <w:r w:rsidRPr="0045784C">
              <w:rPr>
                <w:rFonts w:ascii="VIC" w:hAnsi="VIC"/>
                <w:color w:val="53565A"/>
                <w:sz w:val="16"/>
                <w:szCs w:val="16"/>
              </w:rPr>
              <w:t xml:space="preserve">) logo. To view a copy of this licence, visit </w:t>
            </w:r>
            <w:hyperlink r:id="rId24" w:history="1">
              <w:r w:rsidRPr="0045784C">
                <w:rPr>
                  <w:rStyle w:val="Hyperlink"/>
                  <w:rFonts w:ascii="VIC" w:hAnsi="VIC"/>
                  <w:color w:val="53565A"/>
                  <w:sz w:val="16"/>
                  <w:szCs w:val="16"/>
                  <w:u w:val="none"/>
                </w:rPr>
                <w:t>http://creativecommons.org/licenses/by/4.0/</w:t>
              </w:r>
            </w:hyperlink>
          </w:p>
          <w:p w14:paraId="7E980E04" w14:textId="77777777" w:rsidR="00CD36CD" w:rsidRPr="0045784C" w:rsidRDefault="00CD36CD" w:rsidP="0078503C">
            <w:pPr>
              <w:pStyle w:val="SmallBodyText"/>
              <w:spacing w:before="120" w:after="120" w:line="240" w:lineRule="auto"/>
              <w:ind w:left="35"/>
              <w:rPr>
                <w:rFonts w:ascii="VIC" w:hAnsi="VIC"/>
                <w:color w:val="53565A"/>
                <w:sz w:val="16"/>
                <w:szCs w:val="16"/>
              </w:rPr>
            </w:pPr>
            <w:r w:rsidRPr="0045784C">
              <w:rPr>
                <w:rFonts w:ascii="VIC" w:hAnsi="VIC"/>
                <w:color w:val="53565A"/>
                <w:sz w:val="16"/>
                <w:szCs w:val="16"/>
              </w:rPr>
              <w:t>ISBN</w:t>
            </w:r>
            <w:r w:rsidRPr="001B79C6">
              <w:rPr>
                <w:rFonts w:ascii="VIC" w:hAnsi="VIC"/>
                <w:color w:val="FF0000"/>
                <w:sz w:val="16"/>
                <w:szCs w:val="16"/>
              </w:rPr>
              <w:t xml:space="preserve"> </w:t>
            </w:r>
            <w:r w:rsidRPr="00977C07">
              <w:rPr>
                <w:rFonts w:ascii="VIC" w:hAnsi="VIC"/>
                <w:color w:val="53565A"/>
                <w:sz w:val="16"/>
                <w:szCs w:val="16"/>
              </w:rPr>
              <w:t>978-0-7311-9270-0</w:t>
            </w:r>
            <w:r>
              <w:rPr>
                <w:rFonts w:ascii="Arial" w:hAnsi="Arial"/>
                <w:color w:val="000000"/>
              </w:rPr>
              <w:t xml:space="preserve"> </w:t>
            </w:r>
            <w:r w:rsidRPr="0045784C">
              <w:rPr>
                <w:rFonts w:ascii="VIC" w:hAnsi="VIC"/>
                <w:color w:val="53565A"/>
                <w:sz w:val="16"/>
                <w:szCs w:val="16"/>
              </w:rPr>
              <w:t>(pdf/online/MS word)</w:t>
            </w:r>
            <w:r w:rsidRPr="0045784C">
              <w:rPr>
                <w:rFonts w:ascii="VIC" w:hAnsi="VIC"/>
                <w:color w:val="53565A"/>
                <w:sz w:val="16"/>
                <w:szCs w:val="16"/>
              </w:rPr>
              <w:tab/>
            </w:r>
          </w:p>
          <w:p w14:paraId="2A5EB414" w14:textId="77777777" w:rsidR="00CD36CD" w:rsidRPr="0045784C" w:rsidRDefault="00CD36CD" w:rsidP="0078503C">
            <w:pPr>
              <w:pStyle w:val="SmallHeading"/>
              <w:spacing w:line="240" w:lineRule="auto"/>
              <w:ind w:left="35"/>
              <w:rPr>
                <w:rFonts w:ascii="VIC" w:hAnsi="VIC"/>
                <w:color w:val="53565A"/>
                <w:sz w:val="16"/>
                <w:szCs w:val="16"/>
              </w:rPr>
            </w:pPr>
            <w:r w:rsidRPr="0045784C">
              <w:rPr>
                <w:rFonts w:ascii="VIC" w:hAnsi="VIC"/>
                <w:color w:val="53565A"/>
                <w:sz w:val="16"/>
                <w:szCs w:val="16"/>
              </w:rPr>
              <w:t>Disclaimer</w:t>
            </w:r>
          </w:p>
          <w:p w14:paraId="0E2F2A3A" w14:textId="77777777" w:rsidR="00CD36CD" w:rsidRPr="0045784C" w:rsidRDefault="00CD36CD" w:rsidP="0078503C">
            <w:pPr>
              <w:pStyle w:val="SmallBodyText"/>
              <w:spacing w:line="240" w:lineRule="auto"/>
              <w:ind w:left="35"/>
              <w:rPr>
                <w:color w:val="53565A"/>
              </w:rPr>
            </w:pPr>
            <w:r w:rsidRPr="0045784C">
              <w:rPr>
                <w:rFonts w:ascii="VIC" w:hAnsi="VIC"/>
                <w:color w:val="53565A"/>
                <w:sz w:val="16"/>
                <w:szCs w:val="16"/>
              </w:rPr>
              <w:t xml:space="preserve">This publication may be of assistance to </w:t>
            </w:r>
            <w:proofErr w:type="gramStart"/>
            <w:r w:rsidRPr="0045784C">
              <w:rPr>
                <w:rFonts w:ascii="VIC" w:hAnsi="VIC"/>
                <w:color w:val="53565A"/>
                <w:sz w:val="16"/>
                <w:szCs w:val="16"/>
              </w:rPr>
              <w:t>you</w:t>
            </w:r>
            <w:proofErr w:type="gramEnd"/>
            <w:r w:rsidRPr="0045784C">
              <w:rPr>
                <w:rFonts w:ascii="VIC" w:hAnsi="VIC"/>
                <w:color w:val="53565A"/>
                <w:sz w:val="16"/>
                <w:szCs w:val="16"/>
              </w:rPr>
              <w:t xml:space="preserve">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tc>
        <w:tc>
          <w:tcPr>
            <w:tcW w:w="3665" w:type="dxa"/>
          </w:tcPr>
          <w:p w14:paraId="4273A712" w14:textId="77777777" w:rsidR="00CD36CD" w:rsidRPr="0045784C" w:rsidRDefault="00CD36CD" w:rsidP="0078503C">
            <w:pPr>
              <w:pStyle w:val="xAccessibilityHeading"/>
              <w:rPr>
                <w:color w:val="53565A"/>
              </w:rPr>
            </w:pPr>
            <w:r w:rsidRPr="0045784C">
              <w:rPr>
                <w:rFonts w:ascii="VIC" w:hAnsi="VIC"/>
                <w:color w:val="53565A"/>
              </w:rPr>
              <w:t>Accessibility</w:t>
            </w:r>
          </w:p>
          <w:p w14:paraId="69DD39A0" w14:textId="77777777" w:rsidR="00CD36CD" w:rsidRPr="00203E55" w:rsidRDefault="00CD36CD" w:rsidP="0078503C">
            <w:r w:rsidRPr="0045784C">
              <w:rPr>
                <w:color w:val="53565A"/>
              </w:rPr>
              <w:t>If you would like to receive this publication in an alternative format,</w:t>
            </w:r>
            <w:r>
              <w:rPr>
                <w:color w:val="53565A"/>
              </w:rPr>
              <w:t xml:space="preserve"> please</w:t>
            </w:r>
            <w:r w:rsidRPr="0045784C">
              <w:rPr>
                <w:color w:val="53565A"/>
              </w:rPr>
              <w:t xml:space="preserve"> </w:t>
            </w:r>
            <w:r>
              <w:rPr>
                <w:color w:val="53565A"/>
              </w:rPr>
              <w:t xml:space="preserve">go to </w:t>
            </w:r>
            <w:hyperlink r:id="rId25" w:history="1">
              <w:r>
                <w:rPr>
                  <w:rStyle w:val="Hyperlink"/>
                </w:rPr>
                <w:t>planning.vic.gov.au</w:t>
              </w:r>
            </w:hyperlink>
            <w:r>
              <w:rPr>
                <w:color w:val="53565A"/>
              </w:rPr>
              <w:t xml:space="preserve"> or </w:t>
            </w:r>
            <w:r w:rsidRPr="0045784C">
              <w:rPr>
                <w:color w:val="53565A"/>
              </w:rPr>
              <w:t xml:space="preserve">contact our Customer Service Centre on </w:t>
            </w:r>
            <w:r w:rsidRPr="0045784C">
              <w:rPr>
                <w:color w:val="53565A"/>
              </w:rPr>
              <w:br/>
              <w:t xml:space="preserve">136 186 or email </w:t>
            </w:r>
            <w:hyperlink r:id="rId26" w:history="1">
              <w:r w:rsidRPr="00071BC4">
                <w:rPr>
                  <w:rStyle w:val="Hyperlink"/>
                </w:rPr>
                <w:t>customer.service@delwp.vic.gov.au</w:t>
              </w:r>
            </w:hyperlink>
          </w:p>
        </w:tc>
      </w:tr>
    </w:tbl>
    <w:p w14:paraId="2B5D4C96" w14:textId="57B1329B" w:rsidR="00E14112" w:rsidRPr="00E14112" w:rsidRDefault="009328C9" w:rsidP="00E14112">
      <w:pPr>
        <w:pStyle w:val="ListBullet"/>
      </w:pPr>
      <w:hyperlink r:id="rId27" w:history="1">
        <w:r w:rsidR="00E14112" w:rsidRPr="00E14112">
          <w:rPr>
            <w:rStyle w:val="Hyperlink"/>
          </w:rPr>
          <w:t>Amendment VC169</w:t>
        </w:r>
      </w:hyperlink>
    </w:p>
    <w:p w14:paraId="73B62C73" w14:textId="77777777" w:rsidR="00724AB9" w:rsidRPr="00724AB9" w:rsidRDefault="00724AB9" w:rsidP="00AF6293"/>
    <w:sectPr w:rsidR="00724AB9" w:rsidRPr="00724AB9" w:rsidSect="009475CA">
      <w:headerReference w:type="default" r:id="rId28"/>
      <w:footerReference w:type="default" r:id="rId29"/>
      <w:type w:val="continuous"/>
      <w:pgSz w:w="11900" w:h="16840"/>
      <w:pgMar w:top="1440" w:right="1444" w:bottom="1440" w:left="1100" w:header="680" w:footer="340" w:gutter="0"/>
      <w:cols w:space="6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75E5B4" w14:textId="77777777" w:rsidR="00206051" w:rsidRDefault="00206051" w:rsidP="009C3847">
      <w:r>
        <w:separator/>
      </w:r>
    </w:p>
  </w:endnote>
  <w:endnote w:type="continuationSeparator" w:id="0">
    <w:p w14:paraId="5F6A49A6" w14:textId="77777777" w:rsidR="00206051" w:rsidRDefault="00206051" w:rsidP="009C3847">
      <w:r>
        <w:continuationSeparator/>
      </w:r>
    </w:p>
  </w:endnote>
  <w:endnote w:type="continuationNotice" w:id="1">
    <w:p w14:paraId="6D140515" w14:textId="77777777" w:rsidR="00206051" w:rsidRDefault="0020605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4383D71-53ED-4FE4-B8C1-D99B61A86793}"/>
    <w:embedBold r:id="rId2" w:fontKey="{C5E45ED5-F253-4BCF-A311-BC73833B625B}"/>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embedRegular r:id="rId3" w:fontKey="{96CF849A-4713-4966-9A59-9C19E5CBC971}"/>
    <w:embedBold r:id="rId4" w:fontKey="{D0541C8D-0B82-4FF7-A685-33A9DDF2436F}"/>
    <w:embedItalic r:id="rId5" w:fontKey="{F79F5694-B8EB-480B-B13B-67CB550694A1}"/>
    <w:embedBoldItalic r:id="rId6" w:fontKey="{61152B7E-44B3-4785-AC91-269F88729F87}"/>
  </w:font>
  <w:font w:name="VIC SemiBold">
    <w:panose1 w:val="00000700000000000000"/>
    <w:charset w:val="00"/>
    <w:family w:val="auto"/>
    <w:pitch w:val="variable"/>
    <w:sig w:usb0="00000007" w:usb1="00000000" w:usb2="00000000" w:usb3="00000000" w:csb0="00000093" w:csb1="00000000"/>
    <w:embedBold r:id="rId7" w:fontKey="{681DE232-4444-415D-BB4D-EF813233CE81}"/>
  </w:font>
  <w:font w:name="Times New Roman (Body CS)">
    <w:altName w:val="Times New Roman"/>
    <w:charset w:val="00"/>
    <w:family w:val="roman"/>
    <w:pitch w:val="default"/>
  </w:font>
  <w:font w:name="Arial Narrow">
    <w:panose1 w:val="020B0606020202030204"/>
    <w:charset w:val="00"/>
    <w:family w:val="swiss"/>
    <w:pitch w:val="variable"/>
    <w:sig w:usb0="00000287" w:usb1="00000800" w:usb2="00000000" w:usb3="00000000" w:csb0="0000009F" w:csb1="00000000"/>
    <w:embedItalic r:id="rId8" w:fontKey="{0AEED03C-B0BC-4D5F-8573-8A1F6AA2782F}"/>
  </w:font>
  <w:font w:name="Segoe UI">
    <w:panose1 w:val="020B0502040204020203"/>
    <w:charset w:val="00"/>
    <w:family w:val="swiss"/>
    <w:pitch w:val="variable"/>
    <w:sig w:usb0="E4002EFF" w:usb1="C000E47F" w:usb2="00000009" w:usb3="00000000" w:csb0="000001FF" w:csb1="00000000"/>
    <w:embedRegular r:id="rId9" w:fontKey="{29FDAAC5-C1A5-4E58-AE05-24F25769FCF7}"/>
  </w:font>
  <w:font w:name="Segoe UI Symbol">
    <w:panose1 w:val="020B0502040204020203"/>
    <w:charset w:val="00"/>
    <w:family w:val="swiss"/>
    <w:pitch w:val="variable"/>
    <w:sig w:usb0="800001E3" w:usb1="1200FFEF" w:usb2="00040000" w:usb3="00000000" w:csb0="00000001" w:csb1="00000000"/>
    <w:embedRegular r:id="rId10" w:fontKey="{28C94EEE-DB65-4246-A8DF-C30337E08CD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AA5FB" w14:textId="3F6A1D0C" w:rsidR="00CE3C6B" w:rsidRDefault="000172DB" w:rsidP="00840A30">
    <w:pPr>
      <w:pStyle w:val="Coverfootertext"/>
    </w:pPr>
    <w:r>
      <w:rPr>
        <w:noProof/>
      </w:rPr>
      <mc:AlternateContent>
        <mc:Choice Requires="wps">
          <w:drawing>
            <wp:anchor distT="0" distB="0" distL="114300" distR="114300" simplePos="0" relativeHeight="251659269" behindDoc="0" locked="0" layoutInCell="0" allowOverlap="1" wp14:anchorId="64E9259B" wp14:editId="503DA70A">
              <wp:simplePos x="0" y="0"/>
              <wp:positionH relativeFrom="page">
                <wp:posOffset>0</wp:posOffset>
              </wp:positionH>
              <wp:positionV relativeFrom="page">
                <wp:posOffset>10229215</wp:posOffset>
              </wp:positionV>
              <wp:extent cx="7556500" cy="273050"/>
              <wp:effectExtent l="0" t="0" r="0" b="12700"/>
              <wp:wrapNone/>
              <wp:docPr id="10" name="MSIPCM3fd942978834b9e4fad82d7a"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C25AD1A" w14:textId="13FDA5ED" w:rsidR="000172DB" w:rsidRPr="000172DB" w:rsidRDefault="000172DB" w:rsidP="000172DB">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4E9259B" id="_x0000_t202" coordsize="21600,21600" o:spt="202" path="m,l,21600r21600,l21600,xe">
              <v:stroke joinstyle="miter"/>
              <v:path gradientshapeok="t" o:connecttype="rect"/>
            </v:shapetype>
            <v:shape id="MSIPCM3fd942978834b9e4fad82d7a" o:spid="_x0000_s1026" type="#_x0000_t202" alt="{&quot;HashCode&quot;:-1264680268,&quot;Height&quot;:842.0,&quot;Width&quot;:595.0,&quot;Placement&quot;:&quot;Footer&quot;,&quot;Index&quot;:&quot;Primary&quot;,&quot;Section&quot;:1,&quot;Top&quot;:0.0,&quot;Left&quot;:0.0}" style="position:absolute;margin-left:0;margin-top:805.45pt;width:595pt;height:21.5pt;z-index:25165926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dNEwIAACQEAAAOAAAAZHJzL2Uyb0RvYy54bWysU99v2jAQfp+0/8Hy+0ighX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" o:allowincell="f" filled="f" stroked="f" strokeweight=".5pt">
              <v:textbox inset=",0,,0">
                <w:txbxContent>
                  <w:p w14:paraId="4C25AD1A" w14:textId="13FDA5ED" w:rsidR="000172DB" w:rsidRPr="000172DB" w:rsidRDefault="000172DB" w:rsidP="000172DB">
                    <w:pPr>
                      <w:spacing w:before="0" w:after="0"/>
                      <w:jc w:val="center"/>
                      <w:rPr>
                        <w:rFonts w:ascii="Calibri" w:hAnsi="Calibri" w:cs="Calibri"/>
                        <w:color w:val="000000"/>
                        <w:sz w:val="24"/>
                      </w:rPr>
                    </w:pPr>
                  </w:p>
                </w:txbxContent>
              </v:textbox>
              <w10:wrap anchorx="page" anchory="page"/>
            </v:shape>
          </w:pict>
        </mc:Fallback>
      </mc:AlternateContent>
    </w:r>
    <w:r w:rsidR="00CE3C6B" w:rsidRPr="007766C3">
      <w:rPr>
        <w:noProof/>
      </w:rPr>
      <w:drawing>
        <wp:anchor distT="0" distB="0" distL="114300" distR="114300" simplePos="0" relativeHeight="251658243" behindDoc="1" locked="0" layoutInCell="1" allowOverlap="1" wp14:anchorId="37D39843" wp14:editId="35208570">
          <wp:simplePos x="0" y="0"/>
          <wp:positionH relativeFrom="page">
            <wp:posOffset>-57150</wp:posOffset>
          </wp:positionH>
          <wp:positionV relativeFrom="paragraph">
            <wp:posOffset>600075</wp:posOffset>
          </wp:positionV>
          <wp:extent cx="7613650" cy="1205230"/>
          <wp:effectExtent l="0" t="0" r="6350" b="0"/>
          <wp:wrapNone/>
          <wp:docPr id="37" name="Picture 37" descr="A picture containing aqua, turquoise, teal,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aqua, turquoise, teal, blu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36562" cy="1208857"/>
                  </a:xfrm>
                  <a:prstGeom prst="rect">
                    <a:avLst/>
                  </a:prstGeom>
                </pic:spPr>
              </pic:pic>
            </a:graphicData>
          </a:graphic>
          <wp14:sizeRelH relativeFrom="margin">
            <wp14:pctWidth>0</wp14:pctWidth>
          </wp14:sizeRelH>
          <wp14:sizeRelV relativeFrom="margin">
            <wp14:pctHeight>0</wp14:pctHeight>
          </wp14:sizeRelV>
        </wp:anchor>
      </w:drawing>
    </w:r>
  </w:p>
  <w:p w14:paraId="3A2C7678" w14:textId="4EC14E65" w:rsidR="00CE3C6B" w:rsidRPr="00FA4EB2" w:rsidRDefault="00CE3C6B" w:rsidP="00840A30">
    <w:pPr>
      <w:pStyle w:val="Coverfootertext"/>
    </w:pPr>
    <w:r w:rsidRPr="007766C3">
      <w:rPr>
        <w:noProof/>
      </w:rPr>
      <w:drawing>
        <wp:anchor distT="0" distB="0" distL="114300" distR="114300" simplePos="0" relativeHeight="251658244" behindDoc="0" locked="0" layoutInCell="1" allowOverlap="1" wp14:anchorId="614B42AF" wp14:editId="54CB89EB">
          <wp:simplePos x="0" y="0"/>
          <wp:positionH relativeFrom="column">
            <wp:posOffset>4724400</wp:posOffset>
          </wp:positionH>
          <wp:positionV relativeFrom="paragraph">
            <wp:posOffset>133350</wp:posOffset>
          </wp:positionV>
          <wp:extent cx="1581150" cy="482600"/>
          <wp:effectExtent l="0" t="0" r="0" b="0"/>
          <wp:wrapSquare wrapText="bothSides"/>
          <wp:docPr id="38" name="Picture 38" descr="Logo department of transport and plan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go department of transport and planning"/>
                  <pic:cNvPicPr/>
                </pic:nvPicPr>
                <pic:blipFill>
                  <a:blip r:embed="rId2">
                    <a:extLst>
                      <a:ext uri="{28A0092B-C50C-407E-A947-70E740481C1C}">
                        <a14:useLocalDpi xmlns:a14="http://schemas.microsoft.com/office/drawing/2010/main" val="0"/>
                      </a:ext>
                    </a:extLst>
                  </a:blip>
                  <a:stretch>
                    <a:fillRect/>
                  </a:stretch>
                </pic:blipFill>
                <pic:spPr>
                  <a:xfrm>
                    <a:off x="0" y="0"/>
                    <a:ext cx="1581150" cy="482600"/>
                  </a:xfrm>
                  <a:prstGeom prst="rect">
                    <a:avLst/>
                  </a:prstGeom>
                </pic:spPr>
              </pic:pic>
            </a:graphicData>
          </a:graphic>
          <wp14:sizeRelH relativeFrom="page">
            <wp14:pctWidth>0</wp14:pctWidth>
          </wp14:sizeRelH>
          <wp14:sizeRelV relativeFrom="page">
            <wp14:pctHeight>0</wp14:pctHeight>
          </wp14:sizeRelV>
        </wp:anchor>
      </w:drawing>
    </w:r>
    <w:r w:rsidRPr="007766C3">
      <w:rPr>
        <w:noProof/>
      </w:rPr>
      <mc:AlternateContent>
        <mc:Choice Requires="wps">
          <w:drawing>
            <wp:anchor distT="0" distB="0" distL="114300" distR="114300" simplePos="0" relativeHeight="251658245" behindDoc="0" locked="0" layoutInCell="1" allowOverlap="1" wp14:anchorId="7A66C558" wp14:editId="102A2249">
              <wp:simplePos x="0" y="0"/>
              <wp:positionH relativeFrom="column">
                <wp:posOffset>-914400</wp:posOffset>
              </wp:positionH>
              <wp:positionV relativeFrom="paragraph">
                <wp:posOffset>1430655</wp:posOffset>
              </wp:positionV>
              <wp:extent cx="7556500" cy="1066800"/>
              <wp:effectExtent l="0" t="0" r="12700" b="12700"/>
              <wp:wrapNone/>
              <wp:docPr id="8" name="Rectangle 8"/>
              <wp:cNvGraphicFramePr/>
              <a:graphic xmlns:a="http://schemas.openxmlformats.org/drawingml/2006/main">
                <a:graphicData uri="http://schemas.microsoft.com/office/word/2010/wordprocessingShape">
                  <wps:wsp>
                    <wps:cNvSpPr/>
                    <wps:spPr>
                      <a:xfrm>
                        <a:off x="0" y="0"/>
                        <a:ext cx="7556500" cy="1066800"/>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050977" id="Rectangle 8" o:spid="_x0000_s1026" style="position:absolute;margin-left:-1in;margin-top:112.65pt;width:595pt;height:84pt;z-index:25165824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" fillcolor="#ed7d31 [3205]" strokecolor="#1f3763 [1604]" strokeweight="1pt"/>
          </w:pict>
        </mc:Fallback>
      </mc:AlternateContent>
    </w:r>
    <w:hyperlink r:id="rId3" w:history="1">
      <w:r w:rsidRPr="007766C3">
        <w:rPr>
          <w:rStyle w:val="Hyperlink"/>
          <w:color w:val="53565A"/>
          <w:u w:val="none"/>
        </w:rPr>
        <w:t>planning.vic.gov.au</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B5C22" w14:textId="643A8850" w:rsidR="00384A4A" w:rsidRPr="003C4213" w:rsidRDefault="000172DB" w:rsidP="00E12ADA">
    <w:pPr>
      <w:pStyle w:val="Footerinsidepages"/>
      <w:jc w:val="left"/>
    </w:pPr>
    <w:r>
      <w:rPr>
        <w:noProof/>
      </w:rPr>
      <mc:AlternateContent>
        <mc:Choice Requires="wps">
          <w:drawing>
            <wp:anchor distT="0" distB="0" distL="114300" distR="114300" simplePos="0" relativeHeight="251660293" behindDoc="0" locked="0" layoutInCell="0" allowOverlap="1" wp14:anchorId="09EB740C" wp14:editId="20A3F436">
              <wp:simplePos x="0" y="0"/>
              <wp:positionH relativeFrom="page">
                <wp:posOffset>0</wp:posOffset>
              </wp:positionH>
              <wp:positionV relativeFrom="page">
                <wp:posOffset>10229215</wp:posOffset>
              </wp:positionV>
              <wp:extent cx="7556500" cy="273050"/>
              <wp:effectExtent l="0" t="0" r="0" b="12700"/>
              <wp:wrapNone/>
              <wp:docPr id="13" name="MSIPCM0e0442f289c61d99150eb754"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695ECB7" w14:textId="557C134F" w:rsidR="000172DB" w:rsidRPr="000172DB" w:rsidRDefault="000172DB" w:rsidP="000172DB">
                          <w:pPr>
                            <w:spacing w:before="0" w:after="0"/>
                            <w:jc w:val="center"/>
                            <w:rPr>
                              <w:rFonts w:ascii="Calibri" w:hAnsi="Calibri" w:cs="Calibri"/>
                              <w:color w:val="000000"/>
                              <w:sz w:val="24"/>
                            </w:rPr>
                          </w:pP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9EB740C" id="_x0000_t202" coordsize="21600,21600" o:spt="202" path="m,l,21600r21600,l21600,xe">
              <v:stroke joinstyle="miter"/>
              <v:path gradientshapeok="t" o:connecttype="rect"/>
            </v:shapetype>
            <v:shape id="MSIPCM0e0442f289c61d99150eb754" o:spid="_x0000_s1027" type="#_x0000_t202" alt="{&quot;HashCode&quot;:-1264680268,&quot;Height&quot;:842.0,&quot;Width&quot;:595.0,&quot;Placement&quot;:&quot;Footer&quot;,&quot;Index&quot;:&quot;Primary&quot;,&quot;Section&quot;:2,&quot;Top&quot;:0.0,&quot;Left&quot;:0.0}" style="position:absolute;margin-left:0;margin-top:805.45pt;width:595pt;height:21.5pt;z-index:25166029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" o:allowincell="f" filled="f" stroked="f" strokeweight=".5pt">
              <v:textbox inset=",0,,0">
                <w:txbxContent>
                  <w:p w14:paraId="4695ECB7" w14:textId="557C134F" w:rsidR="000172DB" w:rsidRPr="000172DB" w:rsidRDefault="000172DB" w:rsidP="000172DB">
                    <w:pPr>
                      <w:spacing w:before="0" w:after="0"/>
                      <w:jc w:val="center"/>
                      <w:rPr>
                        <w:rFonts w:ascii="Calibri" w:hAnsi="Calibri" w:cs="Calibri"/>
                        <w:color w:val="000000"/>
                        <w:sz w:val="24"/>
                      </w:rPr>
                    </w:pPr>
                  </w:p>
                </w:txbxContent>
              </v:textbox>
              <w10:wrap anchorx="page" anchory="page"/>
            </v:shape>
          </w:pict>
        </mc:Fallback>
      </mc:AlternateContent>
    </w:r>
    <w:r w:rsidR="00E12ADA">
      <w:t xml:space="preserve"> </w:t>
    </w:r>
    <w:r w:rsidR="00376FB3" w:rsidRPr="003C4213">
      <w:t xml:space="preserve">Planning </w:t>
    </w:r>
    <w:r w:rsidR="00376FB3" w:rsidRPr="00995980">
      <w:t>Practice</w:t>
    </w:r>
    <w:r w:rsidR="00376FB3" w:rsidRPr="003C4213">
      <w:t xml:space="preserve"> Note</w:t>
    </w:r>
    <w:r w:rsidR="001564C8">
      <w:t xml:space="preserve"> 91 | Using the </w:t>
    </w:r>
    <w:r w:rsidR="003B4307">
      <w:t>R</w:t>
    </w:r>
    <w:r w:rsidR="001564C8">
      <w:t xml:space="preserve">esidential </w:t>
    </w:r>
    <w:r w:rsidR="003B4307">
      <w:t>Z</w:t>
    </w:r>
    <w:r w:rsidR="001564C8">
      <w:t>ones</w:t>
    </w:r>
    <w:r w:rsidR="00140CF0">
      <w:t xml:space="preserve"> </w:t>
    </w:r>
    <w:r w:rsidR="00E12ADA">
      <w:rPr>
        <w:color w:val="FF0000"/>
      </w:rPr>
      <w:t xml:space="preserve">       </w:t>
    </w:r>
    <w:sdt>
      <w:sdtPr>
        <w:id w:val="1067373429"/>
        <w:docPartObj>
          <w:docPartGallery w:val="Page Numbers (Bottom of Page)"/>
          <w:docPartUnique/>
        </w:docPartObj>
      </w:sdtPr>
      <w:sdtEndPr/>
      <w:sdtContent>
        <w:sdt>
          <w:sdtPr>
            <w:id w:val="-1769616900"/>
            <w:docPartObj>
              <w:docPartGallery w:val="Page Numbers (Top of Page)"/>
              <w:docPartUnique/>
            </w:docPartObj>
          </w:sdtPr>
          <w:sdtEndPr/>
          <w:sdtContent>
            <w:r w:rsidR="003C4213" w:rsidRPr="003C4213">
              <w:tab/>
              <w:t xml:space="preserve">Page </w:t>
            </w:r>
            <w:r w:rsidR="003C4213" w:rsidRPr="003C4213">
              <w:rPr>
                <w:b/>
                <w:bCs/>
              </w:rPr>
              <w:fldChar w:fldCharType="begin"/>
            </w:r>
            <w:r w:rsidR="003C4213" w:rsidRPr="003C4213">
              <w:rPr>
                <w:b/>
                <w:bCs/>
              </w:rPr>
              <w:instrText xml:space="preserve"> PAGE </w:instrText>
            </w:r>
            <w:r w:rsidR="003C4213" w:rsidRPr="003C4213">
              <w:rPr>
                <w:b/>
                <w:bCs/>
              </w:rPr>
              <w:fldChar w:fldCharType="separate"/>
            </w:r>
            <w:r w:rsidR="003C4213" w:rsidRPr="003C4213">
              <w:rPr>
                <w:b/>
                <w:bCs/>
              </w:rPr>
              <w:t>2</w:t>
            </w:r>
            <w:r w:rsidR="003C4213" w:rsidRPr="003C4213">
              <w:rPr>
                <w:b/>
                <w:bCs/>
              </w:rPr>
              <w:fldChar w:fldCharType="end"/>
            </w:r>
            <w:r w:rsidR="003C4213" w:rsidRPr="003C4213">
              <w:t xml:space="preserve"> of </w:t>
            </w:r>
            <w:r w:rsidR="003C4213" w:rsidRPr="003C4213">
              <w:rPr>
                <w:b/>
                <w:bCs/>
              </w:rPr>
              <w:fldChar w:fldCharType="begin"/>
            </w:r>
            <w:r w:rsidR="003C4213" w:rsidRPr="003C4213">
              <w:rPr>
                <w:b/>
                <w:bCs/>
              </w:rPr>
              <w:instrText xml:space="preserve"> NUMPAGES  </w:instrText>
            </w:r>
            <w:r w:rsidR="003C4213" w:rsidRPr="003C4213">
              <w:rPr>
                <w:b/>
                <w:bCs/>
              </w:rPr>
              <w:fldChar w:fldCharType="separate"/>
            </w:r>
            <w:r w:rsidR="003C4213" w:rsidRPr="003C4213">
              <w:rPr>
                <w:b/>
                <w:bCs/>
              </w:rPr>
              <w:t>3</w:t>
            </w:r>
            <w:r w:rsidR="003C4213" w:rsidRPr="003C4213">
              <w:rPr>
                <w:b/>
                <w:bCs/>
              </w:rPr>
              <w:fldChar w:fldCharType="end"/>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8D589E" w14:textId="77777777" w:rsidR="00206051" w:rsidRDefault="00206051" w:rsidP="009C3847">
      <w:r>
        <w:separator/>
      </w:r>
    </w:p>
  </w:footnote>
  <w:footnote w:type="continuationSeparator" w:id="0">
    <w:p w14:paraId="5E64CA25" w14:textId="77777777" w:rsidR="00206051" w:rsidRDefault="00206051" w:rsidP="009C3847">
      <w:r>
        <w:continuationSeparator/>
      </w:r>
    </w:p>
  </w:footnote>
  <w:footnote w:type="continuationNotice" w:id="1">
    <w:p w14:paraId="693C78FD" w14:textId="77777777" w:rsidR="00206051" w:rsidRDefault="0020605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F0E28" w14:textId="5A3E91EE" w:rsidR="002843BB" w:rsidRDefault="002B5FF5" w:rsidP="002843BB">
    <w:pPr>
      <w:pStyle w:val="planningpracticenotetext"/>
      <w:rPr>
        <w:color w:val="FFFFFF" w:themeColor="background1"/>
      </w:rPr>
    </w:pPr>
    <w:r w:rsidRPr="002B5FF5">
      <w:rPr>
        <w:noProof/>
        <w:color w:val="FFFFFF" w:themeColor="background1"/>
      </w:rPr>
      <w:drawing>
        <wp:anchor distT="0" distB="0" distL="114300" distR="114300" simplePos="0" relativeHeight="251658240" behindDoc="1" locked="0" layoutInCell="1" allowOverlap="1" wp14:anchorId="71744A43" wp14:editId="1551EE32">
          <wp:simplePos x="0" y="0"/>
          <wp:positionH relativeFrom="page">
            <wp:align>right</wp:align>
          </wp:positionH>
          <wp:positionV relativeFrom="paragraph">
            <wp:posOffset>-386715</wp:posOffset>
          </wp:positionV>
          <wp:extent cx="7556500" cy="1710592"/>
          <wp:effectExtent l="0" t="0" r="6350"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6500" cy="1710592"/>
                  </a:xfrm>
                  <a:prstGeom prst="rect">
                    <a:avLst/>
                  </a:prstGeom>
                </pic:spPr>
              </pic:pic>
            </a:graphicData>
          </a:graphic>
          <wp14:sizeRelH relativeFrom="margin">
            <wp14:pctWidth>0</wp14:pctWidth>
          </wp14:sizeRelH>
          <wp14:sizeRelV relativeFrom="margin">
            <wp14:pctHeight>0</wp14:pctHeight>
          </wp14:sizeRelV>
        </wp:anchor>
      </w:drawing>
    </w:r>
    <w:r w:rsidR="000A459F" w:rsidRPr="002B5FF5">
      <w:rPr>
        <w:noProof/>
        <w:color w:val="FFFFFF" w:themeColor="background1"/>
      </w:rPr>
      <w:drawing>
        <wp:anchor distT="0" distB="0" distL="114300" distR="114300" simplePos="0" relativeHeight="251658241" behindDoc="0" locked="0" layoutInCell="1" allowOverlap="1" wp14:anchorId="032B9F67" wp14:editId="3B8EDE7A">
          <wp:simplePos x="0" y="0"/>
          <wp:positionH relativeFrom="column">
            <wp:posOffset>4276090</wp:posOffset>
          </wp:positionH>
          <wp:positionV relativeFrom="paragraph">
            <wp:posOffset>-635000</wp:posOffset>
          </wp:positionV>
          <wp:extent cx="2035175" cy="2019300"/>
          <wp:effectExtent l="0" t="0" r="0" b="0"/>
          <wp:wrapSquare wrapText="bothSides"/>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035175" cy="2019300"/>
                  </a:xfrm>
                  <a:prstGeom prst="rect">
                    <a:avLst/>
                  </a:prstGeom>
                </pic:spPr>
              </pic:pic>
            </a:graphicData>
          </a:graphic>
          <wp14:sizeRelH relativeFrom="page">
            <wp14:pctWidth>0</wp14:pctWidth>
          </wp14:sizeRelH>
          <wp14:sizeRelV relativeFrom="page">
            <wp14:pctHeight>0</wp14:pctHeight>
          </wp14:sizeRelV>
        </wp:anchor>
      </w:drawing>
    </w:r>
    <w:r w:rsidR="00E0489B" w:rsidRPr="002B5FF5">
      <w:rPr>
        <w:color w:val="FFFFFF" w:themeColor="background1"/>
      </w:rPr>
      <w:t>Planning Practice Note</w:t>
    </w:r>
    <w:r w:rsidR="000A459F" w:rsidRPr="002B5FF5">
      <w:rPr>
        <w:color w:val="FFFFFF" w:themeColor="background1"/>
      </w:rPr>
      <w:t xml:space="preserve"> </w:t>
    </w:r>
    <w:r w:rsidR="002843BB">
      <w:rPr>
        <w:color w:val="FFFFFF" w:themeColor="background1"/>
      </w:rPr>
      <w:t>91</w:t>
    </w:r>
  </w:p>
  <w:p w14:paraId="6AA1742F" w14:textId="3B296AC8" w:rsidR="002843BB" w:rsidRPr="002843BB" w:rsidRDefault="002843BB" w:rsidP="002843BB">
    <w:pPr>
      <w:pStyle w:val="Documentheading"/>
    </w:pPr>
    <w:r w:rsidRPr="002843BB">
      <w:t xml:space="preserve">Using the </w:t>
    </w:r>
    <w:r w:rsidR="003B4307">
      <w:t>R</w:t>
    </w:r>
    <w:r w:rsidRPr="002843BB">
      <w:t xml:space="preserve">esidential </w:t>
    </w:r>
    <w:r w:rsidR="003B4307">
      <w:t>Z</w:t>
    </w:r>
    <w:r w:rsidRPr="002843BB">
      <w:t>ones</w:t>
    </w:r>
  </w:p>
  <w:p w14:paraId="17B263AF" w14:textId="5AD59C02" w:rsidR="00B33159" w:rsidRPr="00D552BC" w:rsidRDefault="00D659A0" w:rsidP="000366E5">
    <w:pPr>
      <w:pStyle w:val="Date1"/>
      <w:rPr>
        <w:rFonts w:ascii="VIC" w:hAnsi="VIC"/>
        <w:noProof/>
      </w:rPr>
    </w:pPr>
    <w:r w:rsidRPr="00D552BC">
      <w:t>July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3378A" w14:textId="48A97988" w:rsidR="0045784C" w:rsidRPr="0045784C" w:rsidRDefault="00DA5366" w:rsidP="00295EE4">
    <w:pPr>
      <w:pStyle w:val="Header"/>
      <w:spacing w:after="720"/>
    </w:pPr>
    <w:r w:rsidRPr="000F4C63">
      <w:rPr>
        <w:noProof/>
      </w:rPr>
      <w:drawing>
        <wp:anchor distT="0" distB="0" distL="114300" distR="114300" simplePos="0" relativeHeight="251658242" behindDoc="0" locked="0" layoutInCell="1" allowOverlap="1" wp14:anchorId="72F9C0AB" wp14:editId="72614280">
          <wp:simplePos x="0" y="0"/>
          <wp:positionH relativeFrom="column">
            <wp:posOffset>-791845</wp:posOffset>
          </wp:positionH>
          <wp:positionV relativeFrom="paragraph">
            <wp:posOffset>-532765</wp:posOffset>
          </wp:positionV>
          <wp:extent cx="1555200" cy="1080000"/>
          <wp:effectExtent l="0" t="0" r="0" b="6350"/>
          <wp:wrapSquare wrapText="bothSides"/>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55200" cy="1080000"/>
                  </a:xfrm>
                  <a:prstGeom prst="rect">
                    <a:avLst/>
                  </a:prstGeom>
                </pic:spPr>
              </pic:pic>
            </a:graphicData>
          </a:graphic>
          <wp14:sizeRelH relativeFrom="page">
            <wp14:pctWidth>0</wp14:pctWidth>
          </wp14:sizeRelH>
          <wp14:sizeRelV relativeFrom="page">
            <wp14:pctHeight>0</wp14:pctHeight>
          </wp14:sizeRelV>
        </wp:anchor>
      </w:drawing>
    </w:r>
    <w:r w:rsidR="00384A4A">
      <w:t xml:space="preserve">Department of Transport and </w:t>
    </w:r>
    <w:r w:rsidR="00FE7608" w:rsidRPr="000F4C63">
      <w:t>Planning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28E371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D5A5E93"/>
    <w:multiLevelType w:val="multilevel"/>
    <w:tmpl w:val="1646C884"/>
    <w:numStyleLink w:val="Bullets"/>
  </w:abstractNum>
  <w:abstractNum w:abstractNumId="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22A0A5D"/>
    <w:multiLevelType w:val="hybridMultilevel"/>
    <w:tmpl w:val="9962C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6155739"/>
    <w:multiLevelType w:val="multilevel"/>
    <w:tmpl w:val="9EB4ECA6"/>
    <w:styleLink w:val="LetteredList"/>
    <w:lvl w:ilvl="0">
      <w:start w:val="1"/>
      <w:numFmt w:val="lowerLetter"/>
      <w:lvlText w:val="%1."/>
      <w:lvlJc w:val="left"/>
      <w:pPr>
        <w:ind w:left="284" w:hanging="284"/>
      </w:pPr>
      <w:rPr>
        <w:rFonts w:hint="default"/>
      </w:rPr>
    </w:lvl>
    <w:lvl w:ilvl="1">
      <w:start w:val="1"/>
      <w:numFmt w:val="lowerRoman"/>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D754BF0"/>
    <w:multiLevelType w:val="hybridMultilevel"/>
    <w:tmpl w:val="70AA9024"/>
    <w:lvl w:ilvl="0" w:tplc="244CC4DE">
      <w:start w:val="16"/>
      <w:numFmt w:val="bullet"/>
      <w:pStyle w:val="Bullettext"/>
      <w:lvlText w:val=""/>
      <w:lvlJc w:val="left"/>
      <w:pPr>
        <w:ind w:left="360" w:hanging="360"/>
      </w:pPr>
      <w:rPr>
        <w:rFonts w:ascii="Symbol" w:hAnsi="Symbol" w:hint="default"/>
        <w:color w:val="auto"/>
        <w:sz w:val="16"/>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FE67574"/>
    <w:multiLevelType w:val="hybridMultilevel"/>
    <w:tmpl w:val="5D4ECD90"/>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20C5F8F"/>
    <w:multiLevelType w:val="hybridMultilevel"/>
    <w:tmpl w:val="57D28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2C50763"/>
    <w:multiLevelType w:val="hybridMultilevel"/>
    <w:tmpl w:val="0E448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44E5715"/>
    <w:multiLevelType w:val="hybridMultilevel"/>
    <w:tmpl w:val="22404590"/>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10" w15:restartNumberingAfterBreak="0">
    <w:nsid w:val="37880AF7"/>
    <w:multiLevelType w:val="hybridMultilevel"/>
    <w:tmpl w:val="7EB8BCD6"/>
    <w:lvl w:ilvl="0" w:tplc="FB02020A">
      <w:start w:val="1"/>
      <w:numFmt w:val="bullet"/>
      <w:pStyle w:val="Bullets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8892975"/>
    <w:multiLevelType w:val="hybridMultilevel"/>
    <w:tmpl w:val="5ECE8D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2DF2E04"/>
    <w:multiLevelType w:val="hybridMultilevel"/>
    <w:tmpl w:val="47FAA198"/>
    <w:lvl w:ilvl="0" w:tplc="9904B586">
      <w:start w:val="1"/>
      <w:numFmt w:val="bullet"/>
      <w:lvlText w:val=""/>
      <w:lvlJc w:val="left"/>
      <w:pPr>
        <w:ind w:left="360" w:hanging="360"/>
      </w:pPr>
      <w:rPr>
        <w:rFonts w:ascii="Symbol" w:hAnsi="Symbol"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43294906"/>
    <w:multiLevelType w:val="hybridMultilevel"/>
    <w:tmpl w:val="7C7AB7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C005F54"/>
    <w:multiLevelType w:val="hybridMultilevel"/>
    <w:tmpl w:val="2C38CADA"/>
    <w:lvl w:ilvl="0" w:tplc="64908922">
      <w:start w:val="1"/>
      <w:numFmt w:val="bullet"/>
      <w:lvlText w:val="×"/>
      <w:lvlJc w:val="left"/>
      <w:pPr>
        <w:ind w:left="720" w:hanging="360"/>
      </w:pPr>
      <w:rPr>
        <w:rFonts w:ascii="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24F5959"/>
    <w:multiLevelType w:val="hybridMultilevel"/>
    <w:tmpl w:val="C644A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4FB5DCF"/>
    <w:multiLevelType w:val="hybridMultilevel"/>
    <w:tmpl w:val="570CF9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8741B8A"/>
    <w:multiLevelType w:val="hybridMultilevel"/>
    <w:tmpl w:val="6FD84E48"/>
    <w:lvl w:ilvl="0" w:tplc="9904B586">
      <w:start w:val="1"/>
      <w:numFmt w:val="bullet"/>
      <w:lvlText w:val=""/>
      <w:lvlJc w:val="left"/>
      <w:pPr>
        <w:ind w:left="360" w:hanging="360"/>
      </w:pPr>
      <w:rPr>
        <w:rFonts w:ascii="Symbol" w:hAnsi="Symbol" w:hint="default"/>
        <w:color w:val="FF000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96A0C8C"/>
    <w:multiLevelType w:val="multilevel"/>
    <w:tmpl w:val="97DAEA0E"/>
    <w:numStyleLink w:val="Numbering"/>
  </w:abstractNum>
  <w:abstractNum w:abstractNumId="19"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0" w15:restartNumberingAfterBreak="0">
    <w:nsid w:val="635279B9"/>
    <w:multiLevelType w:val="hybridMultilevel"/>
    <w:tmpl w:val="EB7A6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454475C"/>
    <w:multiLevelType w:val="hybridMultilevel"/>
    <w:tmpl w:val="9ADA2F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61F06EB"/>
    <w:multiLevelType w:val="hybridMultilevel"/>
    <w:tmpl w:val="2FAAE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315104"/>
    <w:multiLevelType w:val="hybridMultilevel"/>
    <w:tmpl w:val="F4142FC4"/>
    <w:lvl w:ilvl="0" w:tplc="FED4BE8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1D53845"/>
    <w:multiLevelType w:val="hybridMultilevel"/>
    <w:tmpl w:val="5BB8F61E"/>
    <w:lvl w:ilvl="0" w:tplc="BB66D5E8">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7DE63A5D"/>
    <w:multiLevelType w:val="hybridMultilevel"/>
    <w:tmpl w:val="1286074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E391588"/>
    <w:multiLevelType w:val="hybridMultilevel"/>
    <w:tmpl w:val="5122DD9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1581281">
    <w:abstractNumId w:val="19"/>
  </w:num>
  <w:num w:numId="2" w16cid:durableId="1099443855">
    <w:abstractNumId w:val="2"/>
  </w:num>
  <w:num w:numId="3" w16cid:durableId="32389649">
    <w:abstractNumId w:val="1"/>
  </w:num>
  <w:num w:numId="4" w16cid:durableId="1362169332">
    <w:abstractNumId w:val="18"/>
  </w:num>
  <w:num w:numId="5" w16cid:durableId="392848154">
    <w:abstractNumId w:val="4"/>
  </w:num>
  <w:num w:numId="6" w16cid:durableId="1921450000">
    <w:abstractNumId w:val="5"/>
  </w:num>
  <w:num w:numId="7" w16cid:durableId="1758747984">
    <w:abstractNumId w:val="17"/>
  </w:num>
  <w:num w:numId="8" w16cid:durableId="1588533250">
    <w:abstractNumId w:val="12"/>
  </w:num>
  <w:num w:numId="9" w16cid:durableId="1147555861">
    <w:abstractNumId w:val="18"/>
  </w:num>
  <w:num w:numId="10" w16cid:durableId="1124809666">
    <w:abstractNumId w:val="10"/>
  </w:num>
  <w:num w:numId="11" w16cid:durableId="1680892584">
    <w:abstractNumId w:val="15"/>
  </w:num>
  <w:num w:numId="12" w16cid:durableId="1834878849">
    <w:abstractNumId w:val="1"/>
  </w:num>
  <w:num w:numId="13" w16cid:durableId="454758509">
    <w:abstractNumId w:val="22"/>
  </w:num>
  <w:num w:numId="14" w16cid:durableId="1525753853">
    <w:abstractNumId w:val="1"/>
  </w:num>
  <w:num w:numId="15" w16cid:durableId="1219631614">
    <w:abstractNumId w:val="9"/>
  </w:num>
  <w:num w:numId="16" w16cid:durableId="28261589">
    <w:abstractNumId w:val="23"/>
  </w:num>
  <w:num w:numId="17" w16cid:durableId="22100308">
    <w:abstractNumId w:val="1"/>
  </w:num>
  <w:num w:numId="18" w16cid:durableId="1302154274">
    <w:abstractNumId w:val="1"/>
  </w:num>
  <w:num w:numId="19" w16cid:durableId="1333952188">
    <w:abstractNumId w:val="8"/>
  </w:num>
  <w:num w:numId="20" w16cid:durableId="585919030">
    <w:abstractNumId w:val="7"/>
  </w:num>
  <w:num w:numId="21" w16cid:durableId="1231422539">
    <w:abstractNumId w:val="1"/>
  </w:num>
  <w:num w:numId="22" w16cid:durableId="1210915964">
    <w:abstractNumId w:val="11"/>
  </w:num>
  <w:num w:numId="23" w16cid:durableId="1205406877">
    <w:abstractNumId w:val="14"/>
  </w:num>
  <w:num w:numId="24" w16cid:durableId="718167082">
    <w:abstractNumId w:val="20"/>
  </w:num>
  <w:num w:numId="25" w16cid:durableId="1690793104">
    <w:abstractNumId w:val="1"/>
  </w:num>
  <w:num w:numId="26" w16cid:durableId="878977032">
    <w:abstractNumId w:val="3"/>
  </w:num>
  <w:num w:numId="27" w16cid:durableId="22173756">
    <w:abstractNumId w:val="1"/>
  </w:num>
  <w:num w:numId="28" w16cid:durableId="1216744451">
    <w:abstractNumId w:val="1"/>
  </w:num>
  <w:num w:numId="29" w16cid:durableId="1895895685">
    <w:abstractNumId w:val="26"/>
  </w:num>
  <w:num w:numId="30" w16cid:durableId="625165034">
    <w:abstractNumId w:val="0"/>
  </w:num>
  <w:num w:numId="31" w16cid:durableId="1850486064">
    <w:abstractNumId w:val="16"/>
  </w:num>
  <w:num w:numId="32" w16cid:durableId="387725629">
    <w:abstractNumId w:val="13"/>
  </w:num>
  <w:num w:numId="33" w16cid:durableId="1913543308">
    <w:abstractNumId w:val="21"/>
  </w:num>
  <w:num w:numId="34" w16cid:durableId="1349672254">
    <w:abstractNumId w:val="24"/>
  </w:num>
  <w:num w:numId="35" w16cid:durableId="1307932972">
    <w:abstractNumId w:val="6"/>
  </w:num>
  <w:num w:numId="36" w16cid:durableId="203680935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43BB"/>
    <w:rsid w:val="0000191D"/>
    <w:rsid w:val="00002674"/>
    <w:rsid w:val="00005ED8"/>
    <w:rsid w:val="000172DB"/>
    <w:rsid w:val="00023F25"/>
    <w:rsid w:val="00033C88"/>
    <w:rsid w:val="000366E5"/>
    <w:rsid w:val="0004119D"/>
    <w:rsid w:val="00046046"/>
    <w:rsid w:val="00047944"/>
    <w:rsid w:val="00051441"/>
    <w:rsid w:val="00052DD2"/>
    <w:rsid w:val="0005760F"/>
    <w:rsid w:val="00066511"/>
    <w:rsid w:val="00070399"/>
    <w:rsid w:val="00071FC8"/>
    <w:rsid w:val="00075A59"/>
    <w:rsid w:val="0007670F"/>
    <w:rsid w:val="00082083"/>
    <w:rsid w:val="000852FA"/>
    <w:rsid w:val="000870FF"/>
    <w:rsid w:val="00090585"/>
    <w:rsid w:val="00090E53"/>
    <w:rsid w:val="00097318"/>
    <w:rsid w:val="000A1B62"/>
    <w:rsid w:val="000A3697"/>
    <w:rsid w:val="000A459F"/>
    <w:rsid w:val="000B02D0"/>
    <w:rsid w:val="000B4FAC"/>
    <w:rsid w:val="000B5280"/>
    <w:rsid w:val="000C2FCF"/>
    <w:rsid w:val="000C375D"/>
    <w:rsid w:val="000D1D75"/>
    <w:rsid w:val="000E48BC"/>
    <w:rsid w:val="000F151C"/>
    <w:rsid w:val="000F4C63"/>
    <w:rsid w:val="000F7B46"/>
    <w:rsid w:val="00100C2B"/>
    <w:rsid w:val="0011193C"/>
    <w:rsid w:val="001150C9"/>
    <w:rsid w:val="00120A4E"/>
    <w:rsid w:val="00124047"/>
    <w:rsid w:val="0012547A"/>
    <w:rsid w:val="0012567C"/>
    <w:rsid w:val="00125A17"/>
    <w:rsid w:val="001305CF"/>
    <w:rsid w:val="001344DC"/>
    <w:rsid w:val="00140CF0"/>
    <w:rsid w:val="001522D3"/>
    <w:rsid w:val="001564C8"/>
    <w:rsid w:val="0016570A"/>
    <w:rsid w:val="00167731"/>
    <w:rsid w:val="00172817"/>
    <w:rsid w:val="00177851"/>
    <w:rsid w:val="0018294F"/>
    <w:rsid w:val="00186901"/>
    <w:rsid w:val="001B4B6F"/>
    <w:rsid w:val="001B79C6"/>
    <w:rsid w:val="001C19B5"/>
    <w:rsid w:val="001D0DA1"/>
    <w:rsid w:val="001E220E"/>
    <w:rsid w:val="001E6997"/>
    <w:rsid w:val="001F0982"/>
    <w:rsid w:val="001F5820"/>
    <w:rsid w:val="001F58FF"/>
    <w:rsid w:val="0020334C"/>
    <w:rsid w:val="00204C70"/>
    <w:rsid w:val="00206051"/>
    <w:rsid w:val="00211A50"/>
    <w:rsid w:val="00214FA9"/>
    <w:rsid w:val="00216741"/>
    <w:rsid w:val="00223623"/>
    <w:rsid w:val="00243300"/>
    <w:rsid w:val="00253AF1"/>
    <w:rsid w:val="00255007"/>
    <w:rsid w:val="00261D9F"/>
    <w:rsid w:val="00263934"/>
    <w:rsid w:val="0026689E"/>
    <w:rsid w:val="00267B84"/>
    <w:rsid w:val="00272F7B"/>
    <w:rsid w:val="002801B7"/>
    <w:rsid w:val="00281784"/>
    <w:rsid w:val="0028211D"/>
    <w:rsid w:val="002843BB"/>
    <w:rsid w:val="00295EE4"/>
    <w:rsid w:val="00296A02"/>
    <w:rsid w:val="002A1E4C"/>
    <w:rsid w:val="002A4163"/>
    <w:rsid w:val="002B56B0"/>
    <w:rsid w:val="002B5FF5"/>
    <w:rsid w:val="002B7068"/>
    <w:rsid w:val="002B74C2"/>
    <w:rsid w:val="002C5159"/>
    <w:rsid w:val="002D6C06"/>
    <w:rsid w:val="002D730E"/>
    <w:rsid w:val="002E00CE"/>
    <w:rsid w:val="003008C0"/>
    <w:rsid w:val="00303392"/>
    <w:rsid w:val="00303B4B"/>
    <w:rsid w:val="00304A70"/>
    <w:rsid w:val="00322F6D"/>
    <w:rsid w:val="003309BF"/>
    <w:rsid w:val="003325CE"/>
    <w:rsid w:val="00340F28"/>
    <w:rsid w:val="00342496"/>
    <w:rsid w:val="00342A86"/>
    <w:rsid w:val="00345A7F"/>
    <w:rsid w:val="00357D06"/>
    <w:rsid w:val="003650A4"/>
    <w:rsid w:val="00370F8E"/>
    <w:rsid w:val="00373A43"/>
    <w:rsid w:val="00376FB3"/>
    <w:rsid w:val="00384A4A"/>
    <w:rsid w:val="00396209"/>
    <w:rsid w:val="003A0658"/>
    <w:rsid w:val="003B4307"/>
    <w:rsid w:val="003C287A"/>
    <w:rsid w:val="003C4213"/>
    <w:rsid w:val="003D0FD5"/>
    <w:rsid w:val="003D0FF8"/>
    <w:rsid w:val="003E55A8"/>
    <w:rsid w:val="00420434"/>
    <w:rsid w:val="00427A0D"/>
    <w:rsid w:val="00436D86"/>
    <w:rsid w:val="00443324"/>
    <w:rsid w:val="004517F5"/>
    <w:rsid w:val="004527A9"/>
    <w:rsid w:val="004529C5"/>
    <w:rsid w:val="0045673C"/>
    <w:rsid w:val="0045784C"/>
    <w:rsid w:val="004632B5"/>
    <w:rsid w:val="0046419E"/>
    <w:rsid w:val="00466DE4"/>
    <w:rsid w:val="00471481"/>
    <w:rsid w:val="004723D6"/>
    <w:rsid w:val="00473706"/>
    <w:rsid w:val="00494AC8"/>
    <w:rsid w:val="004A66B0"/>
    <w:rsid w:val="004A6A82"/>
    <w:rsid w:val="004A6FAE"/>
    <w:rsid w:val="004B6D01"/>
    <w:rsid w:val="004C4EBC"/>
    <w:rsid w:val="004C52BA"/>
    <w:rsid w:val="004C634A"/>
    <w:rsid w:val="004C70E3"/>
    <w:rsid w:val="004D04AA"/>
    <w:rsid w:val="004D0D9C"/>
    <w:rsid w:val="004D1B3A"/>
    <w:rsid w:val="004E0569"/>
    <w:rsid w:val="004E29D3"/>
    <w:rsid w:val="004F518F"/>
    <w:rsid w:val="004F6E3C"/>
    <w:rsid w:val="005026EF"/>
    <w:rsid w:val="0050475F"/>
    <w:rsid w:val="0052359E"/>
    <w:rsid w:val="00530587"/>
    <w:rsid w:val="005403DE"/>
    <w:rsid w:val="00540529"/>
    <w:rsid w:val="0054376C"/>
    <w:rsid w:val="00552725"/>
    <w:rsid w:val="00554E59"/>
    <w:rsid w:val="005616ED"/>
    <w:rsid w:val="00561706"/>
    <w:rsid w:val="00571D8B"/>
    <w:rsid w:val="0057747F"/>
    <w:rsid w:val="00583694"/>
    <w:rsid w:val="00597302"/>
    <w:rsid w:val="00597518"/>
    <w:rsid w:val="00597D89"/>
    <w:rsid w:val="005A2AD1"/>
    <w:rsid w:val="005A6C84"/>
    <w:rsid w:val="005B715B"/>
    <w:rsid w:val="005C0FD8"/>
    <w:rsid w:val="005C5ACB"/>
    <w:rsid w:val="005D4B23"/>
    <w:rsid w:val="005E3F30"/>
    <w:rsid w:val="005E6025"/>
    <w:rsid w:val="005F1AEF"/>
    <w:rsid w:val="005F655C"/>
    <w:rsid w:val="00605675"/>
    <w:rsid w:val="006111DB"/>
    <w:rsid w:val="006118BD"/>
    <w:rsid w:val="00612516"/>
    <w:rsid w:val="006157AD"/>
    <w:rsid w:val="0062449F"/>
    <w:rsid w:val="006433A3"/>
    <w:rsid w:val="00650556"/>
    <w:rsid w:val="0065637E"/>
    <w:rsid w:val="0065694D"/>
    <w:rsid w:val="006624A5"/>
    <w:rsid w:val="006664BC"/>
    <w:rsid w:val="00671157"/>
    <w:rsid w:val="0067565F"/>
    <w:rsid w:val="00684697"/>
    <w:rsid w:val="00686900"/>
    <w:rsid w:val="00687455"/>
    <w:rsid w:val="00687692"/>
    <w:rsid w:val="006923BD"/>
    <w:rsid w:val="006977B6"/>
    <w:rsid w:val="006A12AD"/>
    <w:rsid w:val="006B757C"/>
    <w:rsid w:val="006C14E0"/>
    <w:rsid w:val="006C694D"/>
    <w:rsid w:val="006C7CBD"/>
    <w:rsid w:val="006D12ED"/>
    <w:rsid w:val="006D4871"/>
    <w:rsid w:val="006D7A8B"/>
    <w:rsid w:val="006E5B8C"/>
    <w:rsid w:val="006E5C20"/>
    <w:rsid w:val="006E6D3C"/>
    <w:rsid w:val="006F2D65"/>
    <w:rsid w:val="00700D8E"/>
    <w:rsid w:val="00720F34"/>
    <w:rsid w:val="00724AB9"/>
    <w:rsid w:val="00736C7E"/>
    <w:rsid w:val="007425CB"/>
    <w:rsid w:val="00742FB4"/>
    <w:rsid w:val="007534B9"/>
    <w:rsid w:val="00754FB9"/>
    <w:rsid w:val="00755EBA"/>
    <w:rsid w:val="00763FFF"/>
    <w:rsid w:val="00770906"/>
    <w:rsid w:val="00770E3F"/>
    <w:rsid w:val="007766C3"/>
    <w:rsid w:val="0078218A"/>
    <w:rsid w:val="0078503C"/>
    <w:rsid w:val="00787BC9"/>
    <w:rsid w:val="007A08DF"/>
    <w:rsid w:val="007A1781"/>
    <w:rsid w:val="007A2DD5"/>
    <w:rsid w:val="007A4023"/>
    <w:rsid w:val="007A6F98"/>
    <w:rsid w:val="007B11C4"/>
    <w:rsid w:val="007B1EC2"/>
    <w:rsid w:val="007D3872"/>
    <w:rsid w:val="007D5E3C"/>
    <w:rsid w:val="007E2164"/>
    <w:rsid w:val="007E2945"/>
    <w:rsid w:val="007E6AF4"/>
    <w:rsid w:val="007E7D44"/>
    <w:rsid w:val="007F19BA"/>
    <w:rsid w:val="007F671D"/>
    <w:rsid w:val="007F7299"/>
    <w:rsid w:val="0080372A"/>
    <w:rsid w:val="008048FA"/>
    <w:rsid w:val="00811BD3"/>
    <w:rsid w:val="00824738"/>
    <w:rsid w:val="0082713C"/>
    <w:rsid w:val="00830531"/>
    <w:rsid w:val="0083199E"/>
    <w:rsid w:val="008332B4"/>
    <w:rsid w:val="008349DC"/>
    <w:rsid w:val="00840A30"/>
    <w:rsid w:val="008439DC"/>
    <w:rsid w:val="00845028"/>
    <w:rsid w:val="008478D0"/>
    <w:rsid w:val="00853537"/>
    <w:rsid w:val="0085554B"/>
    <w:rsid w:val="0086410A"/>
    <w:rsid w:val="00887220"/>
    <w:rsid w:val="00890613"/>
    <w:rsid w:val="0089067A"/>
    <w:rsid w:val="00891D0D"/>
    <w:rsid w:val="00896CEE"/>
    <w:rsid w:val="008A1671"/>
    <w:rsid w:val="008C1254"/>
    <w:rsid w:val="008C1C8C"/>
    <w:rsid w:val="008C42B2"/>
    <w:rsid w:val="008C4921"/>
    <w:rsid w:val="008D3594"/>
    <w:rsid w:val="008D3F86"/>
    <w:rsid w:val="008D6D86"/>
    <w:rsid w:val="008F0CB0"/>
    <w:rsid w:val="009044FC"/>
    <w:rsid w:val="0091204F"/>
    <w:rsid w:val="0091503D"/>
    <w:rsid w:val="00915C65"/>
    <w:rsid w:val="00923EF0"/>
    <w:rsid w:val="009319C0"/>
    <w:rsid w:val="0093271E"/>
    <w:rsid w:val="009328C9"/>
    <w:rsid w:val="00941616"/>
    <w:rsid w:val="00943EAE"/>
    <w:rsid w:val="00945280"/>
    <w:rsid w:val="00946180"/>
    <w:rsid w:val="009475CA"/>
    <w:rsid w:val="00973175"/>
    <w:rsid w:val="00977C07"/>
    <w:rsid w:val="009839A2"/>
    <w:rsid w:val="0099086F"/>
    <w:rsid w:val="009948C1"/>
    <w:rsid w:val="00994B6E"/>
    <w:rsid w:val="00994C60"/>
    <w:rsid w:val="00995980"/>
    <w:rsid w:val="009A293F"/>
    <w:rsid w:val="009A3E3C"/>
    <w:rsid w:val="009A5D2D"/>
    <w:rsid w:val="009B6FA8"/>
    <w:rsid w:val="009C1F14"/>
    <w:rsid w:val="009C3847"/>
    <w:rsid w:val="009E1E70"/>
    <w:rsid w:val="009F0FEF"/>
    <w:rsid w:val="009F4AAC"/>
    <w:rsid w:val="009F53CB"/>
    <w:rsid w:val="00A02CD6"/>
    <w:rsid w:val="00A059F7"/>
    <w:rsid w:val="00A05A94"/>
    <w:rsid w:val="00A06BD3"/>
    <w:rsid w:val="00A16DD7"/>
    <w:rsid w:val="00A26D65"/>
    <w:rsid w:val="00A3128D"/>
    <w:rsid w:val="00A33D9C"/>
    <w:rsid w:val="00A34584"/>
    <w:rsid w:val="00A41290"/>
    <w:rsid w:val="00A4610B"/>
    <w:rsid w:val="00A4797A"/>
    <w:rsid w:val="00A5174E"/>
    <w:rsid w:val="00A53D64"/>
    <w:rsid w:val="00A54FCD"/>
    <w:rsid w:val="00A71B76"/>
    <w:rsid w:val="00A73152"/>
    <w:rsid w:val="00A749E2"/>
    <w:rsid w:val="00A8558C"/>
    <w:rsid w:val="00A86D08"/>
    <w:rsid w:val="00A87783"/>
    <w:rsid w:val="00A9397B"/>
    <w:rsid w:val="00A9438F"/>
    <w:rsid w:val="00A970CA"/>
    <w:rsid w:val="00AA53BB"/>
    <w:rsid w:val="00AB155C"/>
    <w:rsid w:val="00AB174B"/>
    <w:rsid w:val="00AB1F22"/>
    <w:rsid w:val="00AC03E3"/>
    <w:rsid w:val="00AD0027"/>
    <w:rsid w:val="00AD1F8E"/>
    <w:rsid w:val="00AD2E07"/>
    <w:rsid w:val="00AD4860"/>
    <w:rsid w:val="00AF02DE"/>
    <w:rsid w:val="00AF0543"/>
    <w:rsid w:val="00AF2C2A"/>
    <w:rsid w:val="00AF4D8D"/>
    <w:rsid w:val="00AF6293"/>
    <w:rsid w:val="00B01B04"/>
    <w:rsid w:val="00B04D16"/>
    <w:rsid w:val="00B05AC7"/>
    <w:rsid w:val="00B07EB5"/>
    <w:rsid w:val="00B14AA0"/>
    <w:rsid w:val="00B14EAC"/>
    <w:rsid w:val="00B213B1"/>
    <w:rsid w:val="00B21EAE"/>
    <w:rsid w:val="00B23261"/>
    <w:rsid w:val="00B278FF"/>
    <w:rsid w:val="00B33159"/>
    <w:rsid w:val="00B33436"/>
    <w:rsid w:val="00B403BD"/>
    <w:rsid w:val="00B42F95"/>
    <w:rsid w:val="00B47193"/>
    <w:rsid w:val="00B50B01"/>
    <w:rsid w:val="00B5476C"/>
    <w:rsid w:val="00B555B0"/>
    <w:rsid w:val="00B5760B"/>
    <w:rsid w:val="00B616E2"/>
    <w:rsid w:val="00B64ACA"/>
    <w:rsid w:val="00B70652"/>
    <w:rsid w:val="00B755A3"/>
    <w:rsid w:val="00B82D12"/>
    <w:rsid w:val="00B84303"/>
    <w:rsid w:val="00B92B3C"/>
    <w:rsid w:val="00BA11ED"/>
    <w:rsid w:val="00BA206C"/>
    <w:rsid w:val="00BB27E2"/>
    <w:rsid w:val="00BC63D8"/>
    <w:rsid w:val="00BD6BCE"/>
    <w:rsid w:val="00BE1322"/>
    <w:rsid w:val="00BE40BF"/>
    <w:rsid w:val="00BE6500"/>
    <w:rsid w:val="00BF60BE"/>
    <w:rsid w:val="00BF76A5"/>
    <w:rsid w:val="00C00D47"/>
    <w:rsid w:val="00C251C7"/>
    <w:rsid w:val="00C3159F"/>
    <w:rsid w:val="00C315BF"/>
    <w:rsid w:val="00C341D7"/>
    <w:rsid w:val="00C402C2"/>
    <w:rsid w:val="00C47E94"/>
    <w:rsid w:val="00C535E1"/>
    <w:rsid w:val="00C545CD"/>
    <w:rsid w:val="00C60454"/>
    <w:rsid w:val="00C6157B"/>
    <w:rsid w:val="00C66B40"/>
    <w:rsid w:val="00C77C9E"/>
    <w:rsid w:val="00C878DA"/>
    <w:rsid w:val="00C90548"/>
    <w:rsid w:val="00C954FF"/>
    <w:rsid w:val="00C95806"/>
    <w:rsid w:val="00C9740B"/>
    <w:rsid w:val="00CA004C"/>
    <w:rsid w:val="00CA4111"/>
    <w:rsid w:val="00CB284B"/>
    <w:rsid w:val="00CB4C63"/>
    <w:rsid w:val="00CB7B7D"/>
    <w:rsid w:val="00CC0C24"/>
    <w:rsid w:val="00CC6304"/>
    <w:rsid w:val="00CC6EDF"/>
    <w:rsid w:val="00CD0459"/>
    <w:rsid w:val="00CD1B2C"/>
    <w:rsid w:val="00CD1D4D"/>
    <w:rsid w:val="00CD2669"/>
    <w:rsid w:val="00CD36CD"/>
    <w:rsid w:val="00CD41D4"/>
    <w:rsid w:val="00CD52E8"/>
    <w:rsid w:val="00CD544A"/>
    <w:rsid w:val="00CE3C6B"/>
    <w:rsid w:val="00CE6BB8"/>
    <w:rsid w:val="00CE7BE1"/>
    <w:rsid w:val="00CE7DF1"/>
    <w:rsid w:val="00CF0C29"/>
    <w:rsid w:val="00CF1A3D"/>
    <w:rsid w:val="00CF2EA6"/>
    <w:rsid w:val="00CF37BB"/>
    <w:rsid w:val="00CF3B86"/>
    <w:rsid w:val="00CF59FD"/>
    <w:rsid w:val="00D03F34"/>
    <w:rsid w:val="00D06A78"/>
    <w:rsid w:val="00D11DB0"/>
    <w:rsid w:val="00D22B49"/>
    <w:rsid w:val="00D22FB6"/>
    <w:rsid w:val="00D31C5D"/>
    <w:rsid w:val="00D4085A"/>
    <w:rsid w:val="00D42B57"/>
    <w:rsid w:val="00D44826"/>
    <w:rsid w:val="00D45DFB"/>
    <w:rsid w:val="00D46B96"/>
    <w:rsid w:val="00D53EE0"/>
    <w:rsid w:val="00D552BC"/>
    <w:rsid w:val="00D606FD"/>
    <w:rsid w:val="00D62B98"/>
    <w:rsid w:val="00D659A0"/>
    <w:rsid w:val="00D65CB1"/>
    <w:rsid w:val="00D662CD"/>
    <w:rsid w:val="00D839C4"/>
    <w:rsid w:val="00D87A89"/>
    <w:rsid w:val="00D96835"/>
    <w:rsid w:val="00DA1A33"/>
    <w:rsid w:val="00DA31C7"/>
    <w:rsid w:val="00DA4E88"/>
    <w:rsid w:val="00DA5366"/>
    <w:rsid w:val="00DA5E70"/>
    <w:rsid w:val="00DB3BC2"/>
    <w:rsid w:val="00DD399E"/>
    <w:rsid w:val="00DE0A63"/>
    <w:rsid w:val="00DF3F35"/>
    <w:rsid w:val="00DF6331"/>
    <w:rsid w:val="00DF77D0"/>
    <w:rsid w:val="00E0489B"/>
    <w:rsid w:val="00E11ED1"/>
    <w:rsid w:val="00E125F5"/>
    <w:rsid w:val="00E12ADA"/>
    <w:rsid w:val="00E14112"/>
    <w:rsid w:val="00E16447"/>
    <w:rsid w:val="00E175C8"/>
    <w:rsid w:val="00E17D84"/>
    <w:rsid w:val="00E20A1B"/>
    <w:rsid w:val="00E22994"/>
    <w:rsid w:val="00E23C0C"/>
    <w:rsid w:val="00E25B04"/>
    <w:rsid w:val="00E2794C"/>
    <w:rsid w:val="00E321A3"/>
    <w:rsid w:val="00E345BB"/>
    <w:rsid w:val="00E506F4"/>
    <w:rsid w:val="00E53BDC"/>
    <w:rsid w:val="00E54675"/>
    <w:rsid w:val="00E563B8"/>
    <w:rsid w:val="00E65426"/>
    <w:rsid w:val="00E6612B"/>
    <w:rsid w:val="00E751F0"/>
    <w:rsid w:val="00E764C1"/>
    <w:rsid w:val="00E811C2"/>
    <w:rsid w:val="00E845BD"/>
    <w:rsid w:val="00E87247"/>
    <w:rsid w:val="00E924D2"/>
    <w:rsid w:val="00E934CF"/>
    <w:rsid w:val="00E94243"/>
    <w:rsid w:val="00E95380"/>
    <w:rsid w:val="00EA23A5"/>
    <w:rsid w:val="00EA343B"/>
    <w:rsid w:val="00EA6FC3"/>
    <w:rsid w:val="00EB138C"/>
    <w:rsid w:val="00EB7C96"/>
    <w:rsid w:val="00EC31DF"/>
    <w:rsid w:val="00ED1922"/>
    <w:rsid w:val="00ED1D14"/>
    <w:rsid w:val="00ED35BD"/>
    <w:rsid w:val="00ED3FC5"/>
    <w:rsid w:val="00ED5AA3"/>
    <w:rsid w:val="00ED72B3"/>
    <w:rsid w:val="00EE5ABD"/>
    <w:rsid w:val="00EE78D9"/>
    <w:rsid w:val="00EF78A1"/>
    <w:rsid w:val="00F000D8"/>
    <w:rsid w:val="00F11244"/>
    <w:rsid w:val="00F11852"/>
    <w:rsid w:val="00F14DA7"/>
    <w:rsid w:val="00F2683A"/>
    <w:rsid w:val="00F316E3"/>
    <w:rsid w:val="00F36DD2"/>
    <w:rsid w:val="00F4248D"/>
    <w:rsid w:val="00F5591C"/>
    <w:rsid w:val="00F603A3"/>
    <w:rsid w:val="00F61D33"/>
    <w:rsid w:val="00F629EC"/>
    <w:rsid w:val="00F64DFA"/>
    <w:rsid w:val="00F670EE"/>
    <w:rsid w:val="00F71339"/>
    <w:rsid w:val="00F732F0"/>
    <w:rsid w:val="00F845F5"/>
    <w:rsid w:val="00F90DF4"/>
    <w:rsid w:val="00F925C8"/>
    <w:rsid w:val="00FC14B0"/>
    <w:rsid w:val="00FC202F"/>
    <w:rsid w:val="00FC44B0"/>
    <w:rsid w:val="00FD01CF"/>
    <w:rsid w:val="00FD1617"/>
    <w:rsid w:val="00FD24BE"/>
    <w:rsid w:val="00FD4FA3"/>
    <w:rsid w:val="00FD7768"/>
    <w:rsid w:val="00FE1A27"/>
    <w:rsid w:val="00FE7608"/>
    <w:rsid w:val="00FF1213"/>
    <w:rsid w:val="00FF2F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DDB482"/>
  <w15:chartTrackingRefBased/>
  <w15:docId w15:val="{A716C84C-AF12-4506-B790-FAE1FC231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6B0"/>
    <w:pPr>
      <w:spacing w:before="120" w:after="120"/>
    </w:pPr>
    <w:rPr>
      <w:rFonts w:ascii="VIC" w:hAnsi="VIC" w:cs="Arial"/>
      <w:sz w:val="20"/>
      <w:szCs w:val="22"/>
    </w:rPr>
  </w:style>
  <w:style w:type="paragraph" w:styleId="Heading1">
    <w:name w:val="heading 1"/>
    <w:basedOn w:val="Normal"/>
    <w:next w:val="Normal"/>
    <w:link w:val="Heading1Char"/>
    <w:uiPriority w:val="9"/>
    <w:qFormat/>
    <w:rsid w:val="009839A2"/>
    <w:pPr>
      <w:keepNext/>
      <w:keepLines/>
      <w:spacing w:before="180"/>
      <w:outlineLvl w:val="0"/>
    </w:pPr>
    <w:rPr>
      <w:rFonts w:eastAsiaTheme="majorEastAsia" w:cstheme="majorBidi"/>
      <w:b/>
      <w:bCs/>
      <w:color w:val="017D7D"/>
      <w:sz w:val="28"/>
      <w:szCs w:val="28"/>
    </w:rPr>
  </w:style>
  <w:style w:type="paragraph" w:styleId="Heading2">
    <w:name w:val="heading 2"/>
    <w:basedOn w:val="Normal"/>
    <w:next w:val="Normal"/>
    <w:link w:val="Heading2Char"/>
    <w:uiPriority w:val="9"/>
    <w:unhideWhenUsed/>
    <w:qFormat/>
    <w:rsid w:val="00840A30"/>
    <w:pPr>
      <w:keepNext/>
      <w:keepLines/>
      <w:spacing w:before="180"/>
      <w:outlineLvl w:val="1"/>
    </w:pPr>
    <w:rPr>
      <w:rFonts w:eastAsiaTheme="majorEastAsia" w:cstheme="majorBidi"/>
      <w:b/>
      <w:color w:val="5A5A5A"/>
      <w:sz w:val="24"/>
      <w:szCs w:val="24"/>
    </w:rPr>
  </w:style>
  <w:style w:type="paragraph" w:styleId="Heading3">
    <w:name w:val="heading 3"/>
    <w:basedOn w:val="Normal"/>
    <w:next w:val="Normal"/>
    <w:link w:val="Heading3Char"/>
    <w:uiPriority w:val="9"/>
    <w:unhideWhenUsed/>
    <w:qFormat/>
    <w:rsid w:val="009C3847"/>
    <w:pPr>
      <w:keepNext/>
      <w:keepLines/>
      <w:spacing w:before="180"/>
      <w:outlineLvl w:val="2"/>
    </w:pPr>
    <w:rPr>
      <w:rFonts w:eastAsiaTheme="majorEastAsia" w:cstheme="majorBidi"/>
      <w:b/>
      <w:color w:val="017D7D"/>
      <w:sz w:val="22"/>
    </w:rPr>
  </w:style>
  <w:style w:type="paragraph" w:styleId="Heading4">
    <w:name w:val="heading 4"/>
    <w:basedOn w:val="Normal"/>
    <w:next w:val="Normal"/>
    <w:link w:val="Heading4Char"/>
    <w:uiPriority w:val="9"/>
    <w:unhideWhenUsed/>
    <w:qFormat/>
    <w:rsid w:val="00EE78D9"/>
    <w:pPr>
      <w:keepNext/>
      <w:keepLines/>
      <w:spacing w:before="180"/>
      <w:outlineLvl w:val="3"/>
    </w:pPr>
    <w:rPr>
      <w:rFonts w:eastAsiaTheme="majorEastAsia"/>
      <w:b/>
      <w:i/>
      <w:iCs/>
      <w:color w:val="5A5A5A"/>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E7608"/>
    <w:pPr>
      <w:tabs>
        <w:tab w:val="center" w:pos="4513"/>
        <w:tab w:val="right" w:pos="9026"/>
      </w:tabs>
      <w:jc w:val="right"/>
    </w:pPr>
  </w:style>
  <w:style w:type="character" w:customStyle="1" w:styleId="HeaderChar">
    <w:name w:val="Header Char"/>
    <w:basedOn w:val="DefaultParagraphFont"/>
    <w:link w:val="Header"/>
    <w:uiPriority w:val="99"/>
    <w:rsid w:val="00FE7608"/>
    <w:rPr>
      <w:rFonts w:ascii="VIC" w:hAnsi="VIC"/>
      <w:sz w:val="20"/>
      <w:szCs w:val="22"/>
    </w:rPr>
  </w:style>
  <w:style w:type="paragraph" w:styleId="Footer">
    <w:name w:val="footer"/>
    <w:basedOn w:val="Normal"/>
    <w:link w:val="FooterChar"/>
    <w:uiPriority w:val="99"/>
    <w:unhideWhenUsed/>
    <w:rsid w:val="00E0489B"/>
    <w:pPr>
      <w:tabs>
        <w:tab w:val="center" w:pos="4513"/>
        <w:tab w:val="right" w:pos="9026"/>
      </w:tabs>
    </w:pPr>
  </w:style>
  <w:style w:type="character" w:customStyle="1" w:styleId="FooterChar">
    <w:name w:val="Footer Char"/>
    <w:basedOn w:val="DefaultParagraphFont"/>
    <w:link w:val="Footer"/>
    <w:uiPriority w:val="99"/>
    <w:rsid w:val="00E0489B"/>
  </w:style>
  <w:style w:type="character" w:customStyle="1" w:styleId="Heading2Char">
    <w:name w:val="Heading 2 Char"/>
    <w:basedOn w:val="DefaultParagraphFont"/>
    <w:link w:val="Heading2"/>
    <w:uiPriority w:val="9"/>
    <w:rsid w:val="00840A30"/>
    <w:rPr>
      <w:rFonts w:ascii="VIC" w:eastAsiaTheme="majorEastAsia" w:hAnsi="VIC" w:cstheme="majorBidi"/>
      <w:b/>
      <w:color w:val="5A5A5A"/>
    </w:rPr>
  </w:style>
  <w:style w:type="paragraph" w:styleId="Date">
    <w:name w:val="Date"/>
    <w:basedOn w:val="Normal"/>
    <w:next w:val="Normal"/>
    <w:link w:val="DateChar"/>
    <w:uiPriority w:val="99"/>
    <w:unhideWhenUsed/>
    <w:rsid w:val="00E0489B"/>
  </w:style>
  <w:style w:type="character" w:customStyle="1" w:styleId="DateChar">
    <w:name w:val="Date Char"/>
    <w:basedOn w:val="DefaultParagraphFont"/>
    <w:link w:val="Date"/>
    <w:uiPriority w:val="99"/>
    <w:rsid w:val="00E0489B"/>
    <w:rPr>
      <w:sz w:val="20"/>
      <w:szCs w:val="22"/>
    </w:rPr>
  </w:style>
  <w:style w:type="character" w:styleId="Strong">
    <w:name w:val="Strong"/>
    <w:basedOn w:val="DefaultParagraphFont"/>
    <w:uiPriority w:val="22"/>
    <w:rsid w:val="00E0489B"/>
    <w:rPr>
      <w:b/>
      <w:bCs/>
    </w:rPr>
  </w:style>
  <w:style w:type="character" w:styleId="Hyperlink">
    <w:name w:val="Hyperlink"/>
    <w:basedOn w:val="DefaultParagraphFont"/>
    <w:uiPriority w:val="99"/>
    <w:unhideWhenUsed/>
    <w:rsid w:val="00BE40BF"/>
    <w:rPr>
      <w:color w:val="017D7D"/>
      <w:u w:val="single"/>
    </w:rPr>
  </w:style>
  <w:style w:type="character" w:styleId="UnresolvedMention">
    <w:name w:val="Unresolved Mention"/>
    <w:basedOn w:val="DefaultParagraphFont"/>
    <w:uiPriority w:val="99"/>
    <w:unhideWhenUsed/>
    <w:rsid w:val="000A459F"/>
    <w:rPr>
      <w:color w:val="605E5C"/>
      <w:shd w:val="clear" w:color="auto" w:fill="E1DFDD"/>
    </w:rPr>
  </w:style>
  <w:style w:type="character" w:customStyle="1" w:styleId="Heading1Char">
    <w:name w:val="Heading 1 Char"/>
    <w:basedOn w:val="DefaultParagraphFont"/>
    <w:link w:val="Heading1"/>
    <w:uiPriority w:val="9"/>
    <w:rsid w:val="009839A2"/>
    <w:rPr>
      <w:rFonts w:ascii="VIC" w:eastAsiaTheme="majorEastAsia" w:hAnsi="VIC" w:cstheme="majorBidi"/>
      <w:b/>
      <w:bCs/>
      <w:color w:val="017D7D"/>
      <w:sz w:val="28"/>
      <w:szCs w:val="28"/>
    </w:rPr>
  </w:style>
  <w:style w:type="character" w:customStyle="1" w:styleId="Heading3Char">
    <w:name w:val="Heading 3 Char"/>
    <w:basedOn w:val="DefaultParagraphFont"/>
    <w:link w:val="Heading3"/>
    <w:uiPriority w:val="9"/>
    <w:rsid w:val="009C3847"/>
    <w:rPr>
      <w:rFonts w:ascii="VIC" w:eastAsiaTheme="majorEastAsia" w:hAnsi="VIC" w:cstheme="majorBidi"/>
      <w:b/>
      <w:color w:val="017D7D"/>
      <w:sz w:val="22"/>
      <w:szCs w:val="22"/>
    </w:rPr>
  </w:style>
  <w:style w:type="character" w:customStyle="1" w:styleId="Heading4Char">
    <w:name w:val="Heading 4 Char"/>
    <w:basedOn w:val="DefaultParagraphFont"/>
    <w:link w:val="Heading4"/>
    <w:uiPriority w:val="9"/>
    <w:rsid w:val="00EE78D9"/>
    <w:rPr>
      <w:rFonts w:ascii="VIC" w:eastAsiaTheme="majorEastAsia" w:hAnsi="VIC" w:cs="Arial"/>
      <w:b/>
      <w:i/>
      <w:iCs/>
      <w:color w:val="5A5A5A"/>
      <w:sz w:val="20"/>
      <w:szCs w:val="20"/>
    </w:rPr>
  </w:style>
  <w:style w:type="paragraph" w:styleId="ListBullet">
    <w:name w:val="List Bullet"/>
    <w:basedOn w:val="Normal"/>
    <w:uiPriority w:val="99"/>
    <w:unhideWhenUsed/>
    <w:qFormat/>
    <w:rsid w:val="00B82D12"/>
    <w:pPr>
      <w:numPr>
        <w:numId w:val="3"/>
      </w:numPr>
      <w:spacing w:after="0" w:line="240" w:lineRule="auto"/>
    </w:pPr>
  </w:style>
  <w:style w:type="paragraph" w:styleId="ListBullet2">
    <w:name w:val="List Bullet 2"/>
    <w:basedOn w:val="Normal"/>
    <w:uiPriority w:val="99"/>
    <w:unhideWhenUsed/>
    <w:qFormat/>
    <w:rsid w:val="00303B4B"/>
    <w:pPr>
      <w:numPr>
        <w:ilvl w:val="1"/>
        <w:numId w:val="3"/>
      </w:numPr>
      <w:contextualSpacing/>
    </w:pPr>
  </w:style>
  <w:style w:type="paragraph" w:styleId="ListNumber">
    <w:name w:val="List Number"/>
    <w:aliases w:val="List - Number"/>
    <w:basedOn w:val="Normal"/>
    <w:uiPriority w:val="99"/>
    <w:unhideWhenUsed/>
    <w:qFormat/>
    <w:rsid w:val="00B82D12"/>
    <w:pPr>
      <w:numPr>
        <w:numId w:val="4"/>
      </w:numPr>
      <w:spacing w:after="0" w:line="240" w:lineRule="auto"/>
    </w:pPr>
  </w:style>
  <w:style w:type="numbering" w:customStyle="1" w:styleId="Bullets">
    <w:name w:val="Bullets"/>
    <w:uiPriority w:val="99"/>
    <w:rsid w:val="00303B4B"/>
    <w:pPr>
      <w:numPr>
        <w:numId w:val="1"/>
      </w:numPr>
    </w:pPr>
  </w:style>
  <w:style w:type="paragraph" w:styleId="ListNumber2">
    <w:name w:val="List Number 2"/>
    <w:basedOn w:val="Normal"/>
    <w:link w:val="ListNumber2Char"/>
    <w:uiPriority w:val="99"/>
    <w:unhideWhenUsed/>
    <w:rsid w:val="00824738"/>
    <w:pPr>
      <w:numPr>
        <w:ilvl w:val="1"/>
        <w:numId w:val="4"/>
      </w:numPr>
      <w:contextualSpacing/>
    </w:pPr>
  </w:style>
  <w:style w:type="numbering" w:customStyle="1" w:styleId="Numbering">
    <w:name w:val="Numbering"/>
    <w:uiPriority w:val="99"/>
    <w:rsid w:val="00303B4B"/>
    <w:pPr>
      <w:numPr>
        <w:numId w:val="2"/>
      </w:numPr>
    </w:pPr>
  </w:style>
  <w:style w:type="paragraph" w:styleId="ListBullet3">
    <w:name w:val="List Bullet 3"/>
    <w:basedOn w:val="Normal"/>
    <w:uiPriority w:val="99"/>
    <w:unhideWhenUsed/>
    <w:rsid w:val="00303B4B"/>
    <w:pPr>
      <w:numPr>
        <w:ilvl w:val="2"/>
        <w:numId w:val="3"/>
      </w:numPr>
      <w:contextualSpacing/>
    </w:pPr>
  </w:style>
  <w:style w:type="paragraph" w:styleId="ListContinue2">
    <w:name w:val="List Continue 2"/>
    <w:basedOn w:val="Normal"/>
    <w:uiPriority w:val="99"/>
    <w:unhideWhenUsed/>
    <w:rsid w:val="00303B4B"/>
    <w:pPr>
      <w:ind w:left="566"/>
      <w:contextualSpacing/>
    </w:pPr>
  </w:style>
  <w:style w:type="paragraph" w:styleId="ListNumber3">
    <w:name w:val="List Number 3"/>
    <w:basedOn w:val="Normal"/>
    <w:uiPriority w:val="99"/>
    <w:unhideWhenUsed/>
    <w:rsid w:val="00303B4B"/>
    <w:pPr>
      <w:numPr>
        <w:ilvl w:val="2"/>
        <w:numId w:val="4"/>
      </w:numPr>
      <w:contextualSpacing/>
    </w:pPr>
  </w:style>
  <w:style w:type="paragraph" w:styleId="ListNumber4">
    <w:name w:val="List Number 4"/>
    <w:basedOn w:val="Normal"/>
    <w:uiPriority w:val="99"/>
    <w:unhideWhenUsed/>
    <w:rsid w:val="00303B4B"/>
    <w:pPr>
      <w:numPr>
        <w:ilvl w:val="3"/>
        <w:numId w:val="4"/>
      </w:numPr>
      <w:contextualSpacing/>
    </w:pPr>
  </w:style>
  <w:style w:type="paragraph" w:styleId="ListNumber5">
    <w:name w:val="List Number 5"/>
    <w:basedOn w:val="Normal"/>
    <w:uiPriority w:val="99"/>
    <w:unhideWhenUsed/>
    <w:rsid w:val="00303B4B"/>
    <w:pPr>
      <w:numPr>
        <w:ilvl w:val="4"/>
        <w:numId w:val="4"/>
      </w:numPr>
      <w:contextualSpacing/>
    </w:pPr>
  </w:style>
  <w:style w:type="paragraph" w:styleId="ListContinue">
    <w:name w:val="List Continue"/>
    <w:basedOn w:val="Normal"/>
    <w:uiPriority w:val="99"/>
    <w:unhideWhenUsed/>
    <w:qFormat/>
    <w:rsid w:val="00303B4B"/>
    <w:pPr>
      <w:ind w:left="283"/>
      <w:contextualSpacing/>
    </w:pPr>
  </w:style>
  <w:style w:type="paragraph" w:styleId="ListContinue3">
    <w:name w:val="List Continue 3"/>
    <w:basedOn w:val="Normal"/>
    <w:uiPriority w:val="99"/>
    <w:unhideWhenUsed/>
    <w:rsid w:val="00303B4B"/>
    <w:pPr>
      <w:ind w:left="849"/>
      <w:contextualSpacing/>
    </w:pPr>
  </w:style>
  <w:style w:type="paragraph" w:customStyle="1" w:styleId="Pull-outQuote">
    <w:name w:val="Pull-out Quote"/>
    <w:basedOn w:val="Normal"/>
    <w:link w:val="Pull-outQuoteChar"/>
    <w:uiPriority w:val="19"/>
    <w:qFormat/>
    <w:rsid w:val="002B56B0"/>
    <w:pPr>
      <w:pBdr>
        <w:top w:val="single" w:sz="4" w:space="4" w:color="44546A" w:themeColor="text2"/>
        <w:left w:val="single" w:sz="4" w:space="4" w:color="44546A" w:themeColor="text2"/>
        <w:bottom w:val="single" w:sz="4" w:space="4" w:color="44546A" w:themeColor="text2"/>
        <w:right w:val="single" w:sz="4" w:space="4" w:color="44546A" w:themeColor="text2"/>
      </w:pBdr>
      <w:shd w:val="clear" w:color="auto" w:fill="E1EEF9"/>
      <w:ind w:left="113" w:right="113"/>
    </w:pPr>
    <w:rPr>
      <w:color w:val="53565A"/>
    </w:rPr>
  </w:style>
  <w:style w:type="paragraph" w:customStyle="1" w:styleId="Pull-outQuoteHeading">
    <w:name w:val="Pull-out Quote Heading"/>
    <w:basedOn w:val="Pull-outQuote"/>
    <w:next w:val="Pull-outQuote"/>
    <w:link w:val="Pull-outQuoteHeadingChar"/>
    <w:uiPriority w:val="19"/>
    <w:qFormat/>
    <w:rsid w:val="002B56B0"/>
    <w:pPr>
      <w:pBdr>
        <w:top w:val="single" w:sz="4" w:space="4" w:color="53565A"/>
        <w:left w:val="single" w:sz="4" w:space="4" w:color="53565A"/>
        <w:bottom w:val="single" w:sz="4" w:space="4" w:color="53565A"/>
        <w:right w:val="single" w:sz="4" w:space="4" w:color="53565A"/>
      </w:pBdr>
    </w:pPr>
    <w:rPr>
      <w:b/>
    </w:rPr>
  </w:style>
  <w:style w:type="character" w:customStyle="1" w:styleId="Pull-outQuoteChar">
    <w:name w:val="Pull-out Quote Char"/>
    <w:basedOn w:val="DefaultParagraphFont"/>
    <w:link w:val="Pull-outQuote"/>
    <w:uiPriority w:val="19"/>
    <w:rsid w:val="002B56B0"/>
    <w:rPr>
      <w:rFonts w:ascii="VIC" w:hAnsi="VIC" w:cs="Arial"/>
      <w:color w:val="53565A"/>
      <w:sz w:val="20"/>
      <w:szCs w:val="22"/>
      <w:shd w:val="clear" w:color="auto" w:fill="E1EEF9"/>
    </w:rPr>
  </w:style>
  <w:style w:type="character" w:customStyle="1" w:styleId="Pull-outQuoteHeadingChar">
    <w:name w:val="Pull-out Quote Heading Char"/>
    <w:basedOn w:val="Pull-outQuoteChar"/>
    <w:link w:val="Pull-outQuoteHeading"/>
    <w:uiPriority w:val="19"/>
    <w:rsid w:val="002B56B0"/>
    <w:rPr>
      <w:rFonts w:ascii="VIC" w:hAnsi="VIC" w:cs="Arial"/>
      <w:b/>
      <w:color w:val="53565A"/>
      <w:sz w:val="20"/>
      <w:szCs w:val="22"/>
      <w:shd w:val="clear" w:color="auto" w:fill="E1EEF9"/>
    </w:rPr>
  </w:style>
  <w:style w:type="paragraph" w:styleId="List">
    <w:name w:val="List"/>
    <w:aliases w:val="List Alpha"/>
    <w:basedOn w:val="Normal"/>
    <w:uiPriority w:val="99"/>
    <w:unhideWhenUsed/>
    <w:qFormat/>
    <w:rsid w:val="00B82D12"/>
    <w:pPr>
      <w:spacing w:after="0" w:line="240" w:lineRule="auto"/>
    </w:pPr>
  </w:style>
  <w:style w:type="paragraph" w:styleId="List2">
    <w:name w:val="List 2"/>
    <w:basedOn w:val="Normal"/>
    <w:uiPriority w:val="99"/>
    <w:unhideWhenUsed/>
    <w:rsid w:val="00824738"/>
    <w:pPr>
      <w:contextualSpacing/>
    </w:pPr>
  </w:style>
  <w:style w:type="numbering" w:customStyle="1" w:styleId="LetteredList">
    <w:name w:val="Lettered List"/>
    <w:uiPriority w:val="99"/>
    <w:rsid w:val="00303B4B"/>
    <w:pPr>
      <w:numPr>
        <w:numId w:val="5"/>
      </w:numPr>
    </w:pPr>
  </w:style>
  <w:style w:type="paragraph" w:styleId="NoSpacing">
    <w:name w:val="No Spacing"/>
    <w:uiPriority w:val="1"/>
    <w:rsid w:val="00303B4B"/>
    <w:rPr>
      <w:sz w:val="20"/>
      <w:szCs w:val="22"/>
    </w:rPr>
  </w:style>
  <w:style w:type="character" w:styleId="IntenseEmphasis">
    <w:name w:val="Intense Emphasis"/>
    <w:basedOn w:val="DefaultParagraphFont"/>
    <w:uiPriority w:val="21"/>
    <w:rsid w:val="008D3F86"/>
    <w:rPr>
      <w:rFonts w:asciiTheme="minorHAnsi" w:hAnsiTheme="minorHAnsi"/>
      <w:i/>
      <w:iCs/>
      <w:color w:val="017D7D"/>
    </w:rPr>
  </w:style>
  <w:style w:type="paragraph" w:styleId="IntenseQuote">
    <w:name w:val="Intense Quote"/>
    <w:basedOn w:val="Normal"/>
    <w:next w:val="Normal"/>
    <w:link w:val="IntenseQuoteChar"/>
    <w:uiPriority w:val="30"/>
    <w:rsid w:val="00BE40BF"/>
    <w:pPr>
      <w:pBdr>
        <w:top w:val="single" w:sz="4" w:space="10" w:color="4472C4" w:themeColor="accent1"/>
        <w:bottom w:val="single" w:sz="4" w:space="10" w:color="4472C4" w:themeColor="accent1"/>
      </w:pBdr>
      <w:spacing w:before="360" w:after="360"/>
      <w:ind w:left="864" w:right="864"/>
      <w:jc w:val="center"/>
    </w:pPr>
    <w:rPr>
      <w:i/>
      <w:iCs/>
      <w:color w:val="017D7D"/>
    </w:rPr>
  </w:style>
  <w:style w:type="character" w:customStyle="1" w:styleId="IntenseQuoteChar">
    <w:name w:val="Intense Quote Char"/>
    <w:basedOn w:val="DefaultParagraphFont"/>
    <w:link w:val="IntenseQuote"/>
    <w:uiPriority w:val="30"/>
    <w:rsid w:val="00BE40BF"/>
    <w:rPr>
      <w:i/>
      <w:iCs/>
      <w:color w:val="017D7D"/>
      <w:sz w:val="20"/>
      <w:szCs w:val="22"/>
    </w:rPr>
  </w:style>
  <w:style w:type="character" w:styleId="IntenseReference">
    <w:name w:val="Intense Reference"/>
    <w:basedOn w:val="DefaultParagraphFont"/>
    <w:uiPriority w:val="32"/>
    <w:rsid w:val="00BE40BF"/>
    <w:rPr>
      <w:b/>
      <w:bCs/>
      <w:smallCaps/>
      <w:color w:val="017D7D"/>
      <w:spacing w:val="5"/>
    </w:rPr>
  </w:style>
  <w:style w:type="paragraph" w:customStyle="1" w:styleId="Documentheading">
    <w:name w:val="Document heading"/>
    <w:qFormat/>
    <w:rsid w:val="000366E5"/>
    <w:pPr>
      <w:tabs>
        <w:tab w:val="left" w:pos="5415"/>
      </w:tabs>
      <w:ind w:left="-340"/>
    </w:pPr>
    <w:rPr>
      <w:rFonts w:ascii="VIC SemiBold" w:hAnsi="VIC SemiBold" w:cs="Times New Roman (Body CS)"/>
      <w:b/>
      <w:bCs/>
      <w:color w:val="FFFFFF" w:themeColor="background1"/>
      <w:sz w:val="44"/>
      <w:szCs w:val="44"/>
    </w:rPr>
  </w:style>
  <w:style w:type="paragraph" w:customStyle="1" w:styleId="Date1">
    <w:name w:val="Date1"/>
    <w:qFormat/>
    <w:rsid w:val="000366E5"/>
    <w:pPr>
      <w:ind w:left="-340"/>
    </w:pPr>
    <w:rPr>
      <w:rFonts w:ascii="VIC SemiBold" w:hAnsi="VIC SemiBold"/>
      <w:b/>
      <w:bCs/>
      <w:color w:val="FFFFFF" w:themeColor="background1"/>
      <w:sz w:val="28"/>
      <w:szCs w:val="28"/>
    </w:rPr>
  </w:style>
  <w:style w:type="paragraph" w:customStyle="1" w:styleId="planningpracticenotetext">
    <w:name w:val="planning practice note text"/>
    <w:rsid w:val="00CC6EDF"/>
    <w:pPr>
      <w:ind w:left="-340"/>
    </w:pPr>
    <w:rPr>
      <w:rFonts w:ascii="VIC" w:hAnsi="VIC" w:cs="Times New Roman (Body CS)"/>
      <w:color w:val="53565A"/>
    </w:rPr>
  </w:style>
  <w:style w:type="paragraph" w:styleId="Subtitle">
    <w:name w:val="Subtitle"/>
    <w:basedOn w:val="Normal"/>
    <w:next w:val="Normal"/>
    <w:link w:val="SubtitleChar"/>
    <w:uiPriority w:val="11"/>
    <w:rsid w:val="00FE7608"/>
    <w:pPr>
      <w:numPr>
        <w:ilvl w:val="1"/>
      </w:numPr>
      <w:spacing w:after="160"/>
      <w:ind w:left="-340"/>
    </w:pPr>
    <w:rPr>
      <w:rFonts w:eastAsiaTheme="minorEastAsia"/>
      <w:color w:val="5A5A5A" w:themeColor="text1" w:themeTint="A5"/>
      <w:spacing w:val="15"/>
      <w:sz w:val="22"/>
    </w:rPr>
  </w:style>
  <w:style w:type="character" w:customStyle="1" w:styleId="SubtitleChar">
    <w:name w:val="Subtitle Char"/>
    <w:basedOn w:val="DefaultParagraphFont"/>
    <w:link w:val="Subtitle"/>
    <w:uiPriority w:val="11"/>
    <w:rsid w:val="00FE7608"/>
    <w:rPr>
      <w:rFonts w:eastAsiaTheme="minorEastAsia"/>
      <w:color w:val="5A5A5A" w:themeColor="text1" w:themeTint="A5"/>
      <w:spacing w:val="15"/>
      <w:sz w:val="22"/>
      <w:szCs w:val="22"/>
    </w:rPr>
  </w:style>
  <w:style w:type="paragraph" w:customStyle="1" w:styleId="Bullettext">
    <w:name w:val="Bullet text"/>
    <w:basedOn w:val="ListParagraph"/>
    <w:rsid w:val="008D3F86"/>
    <w:pPr>
      <w:widowControl w:val="0"/>
      <w:numPr>
        <w:numId w:val="6"/>
      </w:numPr>
      <w:spacing w:after="0" w:line="240" w:lineRule="auto"/>
      <w:ind w:left="567" w:right="113" w:hanging="425"/>
      <w:contextualSpacing w:val="0"/>
    </w:pPr>
    <w:rPr>
      <w:rFonts w:eastAsia="Times New Roman" w:cs="Times New Roman"/>
      <w:color w:val="363534"/>
      <w:szCs w:val="20"/>
      <w:lang w:eastAsia="en-AU"/>
    </w:rPr>
  </w:style>
  <w:style w:type="paragraph" w:customStyle="1" w:styleId="Captiontext">
    <w:name w:val="Caption text"/>
    <w:basedOn w:val="Normal"/>
    <w:link w:val="CaptiontextChar"/>
    <w:rsid w:val="008D3F86"/>
    <w:pPr>
      <w:widowControl w:val="0"/>
      <w:spacing w:before="240" w:after="60" w:line="220" w:lineRule="atLeast"/>
      <w:ind w:left="113" w:right="113"/>
    </w:pPr>
    <w:rPr>
      <w:rFonts w:eastAsia="Times New Roman" w:cs="Times New Roman"/>
      <w:b/>
      <w:bCs/>
      <w:color w:val="642667"/>
      <w:szCs w:val="20"/>
      <w:lang w:eastAsia="en-AU"/>
      <w14:textFill>
        <w14:solidFill>
          <w14:srgbClr w14:val="642667">
            <w14:lumMod w14:val="75000"/>
          </w14:srgbClr>
        </w14:solidFill>
      </w14:textFill>
    </w:rPr>
  </w:style>
  <w:style w:type="character" w:customStyle="1" w:styleId="CaptiontextChar">
    <w:name w:val="Caption text Char"/>
    <w:basedOn w:val="DefaultParagraphFont"/>
    <w:link w:val="Captiontext"/>
    <w:rsid w:val="008D3F86"/>
    <w:rPr>
      <w:rFonts w:ascii="VIC" w:eastAsia="Times New Roman" w:hAnsi="VIC" w:cs="Times New Roman"/>
      <w:b/>
      <w:bCs/>
      <w:color w:val="642667"/>
      <w:sz w:val="20"/>
      <w:szCs w:val="20"/>
      <w:lang w:eastAsia="en-AU"/>
      <w14:textFill>
        <w14:solidFill>
          <w14:srgbClr w14:val="642667">
            <w14:lumMod w14:val="75000"/>
          </w14:srgbClr>
        </w14:solidFill>
      </w14:textFill>
    </w:rPr>
  </w:style>
  <w:style w:type="character" w:styleId="Emphasis">
    <w:name w:val="Emphasis"/>
    <w:uiPriority w:val="20"/>
    <w:rsid w:val="008D3F86"/>
    <w:rPr>
      <w:rFonts w:ascii="Arial Narrow" w:hAnsi="Arial Narrow"/>
      <w:i/>
      <w:iCs/>
      <w:color w:val="FF0000"/>
    </w:rPr>
  </w:style>
  <w:style w:type="paragraph" w:styleId="ListParagraph">
    <w:name w:val="List Paragraph"/>
    <w:basedOn w:val="Normal"/>
    <w:uiPriority w:val="34"/>
    <w:rsid w:val="008D3F86"/>
    <w:pPr>
      <w:ind w:left="720"/>
      <w:contextualSpacing/>
    </w:pPr>
  </w:style>
  <w:style w:type="table" w:styleId="TableGrid">
    <w:name w:val="Table Grid"/>
    <w:basedOn w:val="TableNormal"/>
    <w:uiPriority w:val="39"/>
    <w:rsid w:val="00DA53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aliases w:val="Table"/>
    <w:basedOn w:val="TableNormal"/>
    <w:uiPriority w:val="46"/>
    <w:rsid w:val="00A87783"/>
    <w:pPr>
      <w:spacing w:after="0" w:line="240" w:lineRule="auto"/>
    </w:pPr>
    <w:tblPr>
      <w:tblStyleRowBandSize w:val="1"/>
      <w:tblStyleColBandSize w:val="1"/>
      <w:tblBorders>
        <w:top w:val="single" w:sz="4" w:space="0" w:color="017D7D"/>
        <w:left w:val="single" w:sz="4" w:space="0" w:color="017D7D"/>
        <w:bottom w:val="single" w:sz="4" w:space="0" w:color="017D7D"/>
        <w:right w:val="single" w:sz="4" w:space="0" w:color="017D7D"/>
        <w:insideH w:val="single" w:sz="4" w:space="0" w:color="017D7D"/>
        <w:insideV w:val="single" w:sz="4" w:space="0" w:color="017D7D"/>
      </w:tblBorders>
    </w:tblPr>
    <w:tcPr>
      <w:shd w:val="clear" w:color="auto" w:fill="auto"/>
    </w:tcPr>
    <w:tblStylePr w:type="firstRow">
      <w:rPr>
        <w:rFonts w:asciiTheme="majorHAnsi" w:hAnsiTheme="majorHAnsi"/>
        <w:b/>
        <w:bCs/>
        <w:color w:val="FFFFFF" w:themeColor="background1"/>
      </w:rPr>
      <w:tblPr/>
      <w:tcPr>
        <w:shd w:val="clear" w:color="auto" w:fill="017D7D"/>
      </w:tcPr>
    </w:tblStylePr>
    <w:tblStylePr w:type="lastRow">
      <w:rPr>
        <w:rFonts w:ascii="Arial" w:hAnsi="Arial"/>
        <w:b/>
        <w:bCs/>
        <w:i w:val="0"/>
      </w:rPr>
      <w:tblPr/>
      <w:tcPr>
        <w:tcBorders>
          <w:top w:val="single" w:sz="4" w:space="0" w:color="017D7D"/>
          <w:left w:val="single" w:sz="4" w:space="0" w:color="017D7D"/>
          <w:bottom w:val="single" w:sz="4" w:space="0" w:color="017D7D"/>
          <w:right w:val="single" w:sz="4" w:space="0" w:color="017D7D"/>
          <w:insideH w:val="nil"/>
        </w:tcBorders>
        <w:shd w:val="clear" w:color="auto" w:fill="auto"/>
      </w:tcPr>
    </w:tblStylePr>
    <w:tblStylePr w:type="firstCol">
      <w:rPr>
        <w:b/>
        <w:bCs/>
      </w:rPr>
    </w:tblStylePr>
    <w:tblStylePr w:type="lastCol">
      <w:rPr>
        <w:b/>
        <w:bCs/>
      </w:rPr>
    </w:tblStylePr>
  </w:style>
  <w:style w:type="paragraph" w:customStyle="1" w:styleId="Tableheader">
    <w:name w:val="Table header"/>
    <w:basedOn w:val="Normal"/>
    <w:qFormat/>
    <w:rsid w:val="006118BD"/>
    <w:pPr>
      <w:framePr w:hSpace="180" w:wrap="around" w:vAnchor="text" w:hAnchor="margin" w:y="1491"/>
      <w:spacing w:before="60" w:after="60" w:line="240" w:lineRule="auto"/>
    </w:pPr>
    <w:rPr>
      <w:b/>
      <w:bCs/>
      <w:color w:val="FFFFFF" w:themeColor="background1"/>
    </w:rPr>
  </w:style>
  <w:style w:type="paragraph" w:customStyle="1" w:styleId="Tablesecondheading">
    <w:name w:val="Table second heading"/>
    <w:basedOn w:val="Normal"/>
    <w:link w:val="TablesecondheadingChar"/>
    <w:qFormat/>
    <w:rsid w:val="0062449F"/>
    <w:pPr>
      <w:spacing w:before="240" w:after="0" w:line="240" w:lineRule="auto"/>
    </w:pPr>
    <w:rPr>
      <w:b/>
      <w:bCs/>
      <w:color w:val="53565A"/>
    </w:rPr>
  </w:style>
  <w:style w:type="paragraph" w:customStyle="1" w:styleId="Tabletext">
    <w:name w:val="Table text"/>
    <w:basedOn w:val="Normal"/>
    <w:qFormat/>
    <w:rsid w:val="0062449F"/>
    <w:pPr>
      <w:framePr w:hSpace="180" w:wrap="around" w:vAnchor="text" w:hAnchor="margin" w:y="491"/>
      <w:spacing w:before="60" w:after="60" w:line="240" w:lineRule="auto"/>
      <w:jc w:val="center"/>
    </w:pPr>
    <w:rPr>
      <w:color w:val="53565A"/>
      <w:sz w:val="18"/>
      <w:szCs w:val="18"/>
    </w:rPr>
  </w:style>
  <w:style w:type="paragraph" w:customStyle="1" w:styleId="Officialtag">
    <w:name w:val="Official tag"/>
    <w:basedOn w:val="Normal"/>
    <w:link w:val="OfficialtagChar"/>
    <w:rsid w:val="00F603A3"/>
    <w:pPr>
      <w:jc w:val="center"/>
    </w:pPr>
    <w:rPr>
      <w:rFonts w:asciiTheme="majorHAnsi" w:hAnsiTheme="majorHAnsi" w:cstheme="majorHAnsi"/>
    </w:rPr>
  </w:style>
  <w:style w:type="paragraph" w:customStyle="1" w:styleId="SmallBodyText">
    <w:name w:val="Small Body Text"/>
    <w:basedOn w:val="Normal"/>
    <w:rsid w:val="0004119D"/>
    <w:pPr>
      <w:spacing w:before="40" w:after="40" w:line="160" w:lineRule="atLeast"/>
      <w:ind w:right="340"/>
    </w:pPr>
    <w:rPr>
      <w:rFonts w:asciiTheme="minorHAnsi" w:eastAsia="Times New Roman" w:hAnsiTheme="minorHAnsi"/>
      <w:color w:val="000000" w:themeColor="text1"/>
      <w:spacing w:val="2"/>
      <w:sz w:val="12"/>
      <w:szCs w:val="20"/>
      <w:lang w:eastAsia="en-AU"/>
    </w:rPr>
  </w:style>
  <w:style w:type="character" w:customStyle="1" w:styleId="OfficialtagChar">
    <w:name w:val="Official tag Char"/>
    <w:basedOn w:val="DefaultParagraphFont"/>
    <w:link w:val="Officialtag"/>
    <w:rsid w:val="00F603A3"/>
    <w:rPr>
      <w:rFonts w:asciiTheme="majorHAnsi" w:hAnsiTheme="majorHAnsi" w:cstheme="majorHAnsi"/>
      <w:sz w:val="20"/>
      <w:szCs w:val="22"/>
    </w:rPr>
  </w:style>
  <w:style w:type="paragraph" w:customStyle="1" w:styleId="SmallHeading">
    <w:name w:val="Small Heading"/>
    <w:basedOn w:val="Normal"/>
    <w:next w:val="SmallBodyText"/>
    <w:rsid w:val="0004119D"/>
    <w:pPr>
      <w:spacing w:before="60" w:after="0" w:line="160" w:lineRule="atLeast"/>
      <w:ind w:right="3119"/>
    </w:pPr>
    <w:rPr>
      <w:rFonts w:asciiTheme="minorHAnsi" w:eastAsia="Times New Roman" w:hAnsiTheme="minorHAnsi"/>
      <w:b/>
      <w:color w:val="000000" w:themeColor="text1"/>
      <w:sz w:val="12"/>
      <w:szCs w:val="20"/>
      <w:lang w:eastAsia="en-AU"/>
    </w:rPr>
  </w:style>
  <w:style w:type="paragraph" w:customStyle="1" w:styleId="xAccessibilityHeading">
    <w:name w:val="xAccessibility Heading"/>
    <w:basedOn w:val="Normal"/>
    <w:semiHidden/>
    <w:qFormat/>
    <w:rsid w:val="0004119D"/>
    <w:pPr>
      <w:spacing w:before="0" w:after="0" w:line="300" w:lineRule="exact"/>
    </w:pPr>
    <w:rPr>
      <w:rFonts w:asciiTheme="minorHAnsi" w:eastAsia="Times New Roman" w:hAnsiTheme="minorHAnsi"/>
      <w:b/>
      <w:color w:val="000000" w:themeColor="text1"/>
      <w:sz w:val="22"/>
      <w:szCs w:val="20"/>
      <w:lang w:eastAsia="en-AU"/>
    </w:rPr>
  </w:style>
  <w:style w:type="paragraph" w:customStyle="1" w:styleId="Footerinsidepages">
    <w:name w:val="Footer inside pages"/>
    <w:basedOn w:val="Footer"/>
    <w:link w:val="FooterinsidepagesChar"/>
    <w:qFormat/>
    <w:rsid w:val="00DF6331"/>
    <w:pPr>
      <w:tabs>
        <w:tab w:val="clear" w:pos="9026"/>
        <w:tab w:val="right" w:pos="8931"/>
      </w:tabs>
      <w:jc w:val="right"/>
    </w:pPr>
    <w:rPr>
      <w:sz w:val="18"/>
      <w:szCs w:val="18"/>
    </w:rPr>
  </w:style>
  <w:style w:type="paragraph" w:customStyle="1" w:styleId="Coverfootertext">
    <w:name w:val="Cover footer text"/>
    <w:basedOn w:val="Heading2"/>
    <w:link w:val="CoverfootertextChar"/>
    <w:rsid w:val="00BA206C"/>
    <w:pPr>
      <w:spacing w:before="560" w:after="200"/>
    </w:pPr>
    <w:rPr>
      <w:color w:val="53565A"/>
    </w:rPr>
  </w:style>
  <w:style w:type="character" w:customStyle="1" w:styleId="FooterinsidepagesChar">
    <w:name w:val="Footer inside pages Char"/>
    <w:basedOn w:val="FooterChar"/>
    <w:link w:val="Footerinsidepages"/>
    <w:rsid w:val="00DF6331"/>
    <w:rPr>
      <w:rFonts w:ascii="VIC" w:hAnsi="VIC" w:cs="Arial"/>
      <w:sz w:val="18"/>
      <w:szCs w:val="18"/>
    </w:rPr>
  </w:style>
  <w:style w:type="character" w:customStyle="1" w:styleId="CoverfootertextChar">
    <w:name w:val="Cover footer text Char"/>
    <w:basedOn w:val="Heading2Char"/>
    <w:link w:val="Coverfootertext"/>
    <w:rsid w:val="00BA206C"/>
    <w:rPr>
      <w:rFonts w:ascii="VIC" w:eastAsiaTheme="majorEastAsia" w:hAnsi="VIC" w:cstheme="majorBidi"/>
      <w:b/>
      <w:color w:val="53565A"/>
      <w:sz w:val="22"/>
      <w:szCs w:val="26"/>
    </w:rPr>
  </w:style>
  <w:style w:type="character" w:styleId="CommentReference">
    <w:name w:val="annotation reference"/>
    <w:basedOn w:val="DefaultParagraphFont"/>
    <w:uiPriority w:val="99"/>
    <w:semiHidden/>
    <w:unhideWhenUsed/>
    <w:rsid w:val="006C7CBD"/>
    <w:rPr>
      <w:sz w:val="16"/>
      <w:szCs w:val="16"/>
    </w:rPr>
  </w:style>
  <w:style w:type="paragraph" w:styleId="CommentText">
    <w:name w:val="annotation text"/>
    <w:basedOn w:val="Normal"/>
    <w:link w:val="CommentTextChar"/>
    <w:uiPriority w:val="99"/>
    <w:semiHidden/>
    <w:unhideWhenUsed/>
    <w:rsid w:val="006C7CBD"/>
    <w:pPr>
      <w:spacing w:line="240" w:lineRule="auto"/>
    </w:pPr>
    <w:rPr>
      <w:szCs w:val="20"/>
    </w:rPr>
  </w:style>
  <w:style w:type="character" w:customStyle="1" w:styleId="CommentTextChar">
    <w:name w:val="Comment Text Char"/>
    <w:basedOn w:val="DefaultParagraphFont"/>
    <w:link w:val="CommentText"/>
    <w:uiPriority w:val="99"/>
    <w:semiHidden/>
    <w:rsid w:val="006C7CBD"/>
    <w:rPr>
      <w:rFonts w:ascii="VIC" w:hAnsi="VIC" w:cs="Arial"/>
      <w:sz w:val="20"/>
      <w:szCs w:val="20"/>
    </w:rPr>
  </w:style>
  <w:style w:type="paragraph" w:styleId="CommentSubject">
    <w:name w:val="annotation subject"/>
    <w:basedOn w:val="CommentText"/>
    <w:next w:val="CommentText"/>
    <w:link w:val="CommentSubjectChar"/>
    <w:uiPriority w:val="99"/>
    <w:semiHidden/>
    <w:unhideWhenUsed/>
    <w:rsid w:val="006C7CBD"/>
    <w:rPr>
      <w:b/>
      <w:bCs/>
    </w:rPr>
  </w:style>
  <w:style w:type="character" w:customStyle="1" w:styleId="CommentSubjectChar">
    <w:name w:val="Comment Subject Char"/>
    <w:basedOn w:val="CommentTextChar"/>
    <w:link w:val="CommentSubject"/>
    <w:uiPriority w:val="99"/>
    <w:semiHidden/>
    <w:rsid w:val="006C7CBD"/>
    <w:rPr>
      <w:rFonts w:ascii="VIC" w:hAnsi="VIC" w:cs="Arial"/>
      <w:b/>
      <w:bCs/>
      <w:sz w:val="20"/>
      <w:szCs w:val="20"/>
    </w:rPr>
  </w:style>
  <w:style w:type="paragraph" w:styleId="Revision">
    <w:name w:val="Revision"/>
    <w:hidden/>
    <w:uiPriority w:val="99"/>
    <w:semiHidden/>
    <w:rsid w:val="006C7CBD"/>
    <w:pPr>
      <w:spacing w:after="0" w:line="240" w:lineRule="auto"/>
    </w:pPr>
    <w:rPr>
      <w:rFonts w:ascii="VIC" w:hAnsi="VIC" w:cs="Arial"/>
      <w:sz w:val="20"/>
      <w:szCs w:val="22"/>
    </w:rPr>
  </w:style>
  <w:style w:type="paragraph" w:customStyle="1" w:styleId="PPNTitle">
    <w:name w:val="PPN Title"/>
    <w:basedOn w:val="Header"/>
    <w:link w:val="PPNTitleChar"/>
    <w:qFormat/>
    <w:rsid w:val="000366E5"/>
    <w:pPr>
      <w:spacing w:after="0" w:line="240" w:lineRule="auto"/>
    </w:pPr>
    <w:rPr>
      <w:rFonts w:cstheme="minorBidi"/>
      <w:b/>
      <w:bCs/>
      <w:color w:val="FFFFFF" w:themeColor="background1"/>
      <w:sz w:val="40"/>
      <w:szCs w:val="40"/>
    </w:rPr>
  </w:style>
  <w:style w:type="character" w:customStyle="1" w:styleId="PPNTitleChar">
    <w:name w:val="PPN Title Char"/>
    <w:basedOn w:val="HeaderChar"/>
    <w:link w:val="PPNTitle"/>
    <w:rsid w:val="000366E5"/>
    <w:rPr>
      <w:rFonts w:ascii="VIC" w:hAnsi="VIC"/>
      <w:b/>
      <w:bCs/>
      <w:color w:val="FFFFFF" w:themeColor="background1"/>
      <w:sz w:val="40"/>
      <w:szCs w:val="40"/>
    </w:rPr>
  </w:style>
  <w:style w:type="paragraph" w:customStyle="1" w:styleId="Break-outboxheading">
    <w:name w:val="Break-out box heading"/>
    <w:basedOn w:val="Normal"/>
    <w:link w:val="Break-outboxheadingChar"/>
    <w:qFormat/>
    <w:rsid w:val="00473706"/>
    <w:pPr>
      <w:spacing w:line="240" w:lineRule="auto"/>
    </w:pPr>
    <w:rPr>
      <w:rFonts w:cstheme="minorBidi"/>
      <w:b/>
      <w:bCs/>
      <w:color w:val="017D7D"/>
      <w:sz w:val="18"/>
      <w:szCs w:val="18"/>
    </w:rPr>
  </w:style>
  <w:style w:type="character" w:customStyle="1" w:styleId="Break-outboxheadingChar">
    <w:name w:val="Break-out box heading Char"/>
    <w:basedOn w:val="DefaultParagraphFont"/>
    <w:link w:val="Break-outboxheading"/>
    <w:rsid w:val="00473706"/>
    <w:rPr>
      <w:rFonts w:ascii="VIC" w:hAnsi="VIC"/>
      <w:b/>
      <w:bCs/>
      <w:color w:val="017D7D"/>
      <w:sz w:val="18"/>
      <w:szCs w:val="18"/>
    </w:rPr>
  </w:style>
  <w:style w:type="paragraph" w:customStyle="1" w:styleId="Break-outboxtext">
    <w:name w:val="Break-out box text"/>
    <w:basedOn w:val="Break-outboxheading"/>
    <w:link w:val="Break-outboxtextChar"/>
    <w:qFormat/>
    <w:rsid w:val="000366E5"/>
    <w:rPr>
      <w:b w:val="0"/>
      <w:bCs w:val="0"/>
    </w:rPr>
  </w:style>
  <w:style w:type="paragraph" w:customStyle="1" w:styleId="ListNumberL2">
    <w:name w:val="List Number L2"/>
    <w:basedOn w:val="ListNumber2"/>
    <w:link w:val="ListNumberL2Char"/>
    <w:qFormat/>
    <w:rsid w:val="00B82D12"/>
    <w:pPr>
      <w:spacing w:before="60" w:after="0" w:line="240" w:lineRule="auto"/>
      <w:ind w:left="709" w:hanging="454"/>
      <w:contextualSpacing w:val="0"/>
    </w:pPr>
  </w:style>
  <w:style w:type="character" w:customStyle="1" w:styleId="Break-outboxtextChar">
    <w:name w:val="Break-out box text Char"/>
    <w:basedOn w:val="Break-outboxheadingChar"/>
    <w:link w:val="Break-outboxtext"/>
    <w:rsid w:val="000366E5"/>
    <w:rPr>
      <w:rFonts w:ascii="VIC" w:hAnsi="VIC"/>
      <w:b w:val="0"/>
      <w:bCs w:val="0"/>
      <w:color w:val="017D7D"/>
      <w:sz w:val="18"/>
      <w:szCs w:val="18"/>
    </w:rPr>
  </w:style>
  <w:style w:type="character" w:customStyle="1" w:styleId="ListNumber2Char">
    <w:name w:val="List Number 2 Char"/>
    <w:basedOn w:val="DefaultParagraphFont"/>
    <w:link w:val="ListNumber2"/>
    <w:uiPriority w:val="99"/>
    <w:rsid w:val="00571D8B"/>
    <w:rPr>
      <w:rFonts w:ascii="VIC" w:hAnsi="VIC" w:cs="Arial"/>
      <w:sz w:val="20"/>
      <w:szCs w:val="22"/>
    </w:rPr>
  </w:style>
  <w:style w:type="character" w:customStyle="1" w:styleId="ListNumberL2Char">
    <w:name w:val="List Number L2 Char"/>
    <w:basedOn w:val="ListNumber2Char"/>
    <w:link w:val="ListNumberL2"/>
    <w:rsid w:val="00B82D12"/>
    <w:rPr>
      <w:rFonts w:ascii="VIC" w:hAnsi="VIC" w:cs="Arial"/>
      <w:sz w:val="20"/>
      <w:szCs w:val="22"/>
    </w:rPr>
  </w:style>
  <w:style w:type="table" w:customStyle="1" w:styleId="Break-outbox">
    <w:name w:val="Break-out box"/>
    <w:basedOn w:val="TableNormal"/>
    <w:uiPriority w:val="99"/>
    <w:rsid w:val="0012567C"/>
    <w:pPr>
      <w:spacing w:after="0" w:line="240" w:lineRule="auto"/>
    </w:pPr>
    <w:rPr>
      <w:color w:val="00857F"/>
    </w:rPr>
    <w:tblPr>
      <w:tblBorders>
        <w:top w:val="single" w:sz="4" w:space="0" w:color="00857F"/>
        <w:left w:val="single" w:sz="4" w:space="0" w:color="00857F"/>
        <w:bottom w:val="single" w:sz="4" w:space="0" w:color="00857F"/>
        <w:right w:val="single" w:sz="4" w:space="0" w:color="00857F"/>
      </w:tblBorders>
    </w:tblPr>
    <w:tcPr>
      <w:shd w:val="clear" w:color="auto" w:fill="EFF7FB"/>
    </w:tcPr>
  </w:style>
  <w:style w:type="table" w:customStyle="1" w:styleId="Table1">
    <w:name w:val="Table1"/>
    <w:basedOn w:val="TableNormal"/>
    <w:uiPriority w:val="99"/>
    <w:rsid w:val="0012567C"/>
    <w:pPr>
      <w:spacing w:after="0" w:line="240" w:lineRule="auto"/>
    </w:pPr>
    <w:rPr>
      <w:color w:val="000000" w:themeColor="text1"/>
      <w:sz w:val="20"/>
    </w:rPr>
    <w:tblPr>
      <w:tblBorders>
        <w:top w:val="single" w:sz="4" w:space="0" w:color="00857F"/>
        <w:left w:val="single" w:sz="4" w:space="0" w:color="00857F"/>
        <w:bottom w:val="single" w:sz="4" w:space="0" w:color="00857F"/>
        <w:right w:val="single" w:sz="4" w:space="0" w:color="00857F"/>
        <w:insideH w:val="single" w:sz="4" w:space="0" w:color="00857F"/>
        <w:insideV w:val="single" w:sz="4" w:space="0" w:color="00857F"/>
      </w:tblBorders>
    </w:tblPr>
    <w:tcPr>
      <w:shd w:val="clear" w:color="auto" w:fill="auto"/>
    </w:tcPr>
    <w:tblStylePr w:type="firstRow">
      <w:rPr>
        <w:rFonts w:asciiTheme="majorHAnsi" w:hAnsiTheme="majorHAnsi"/>
        <w:b/>
        <w:color w:val="FFFFFF" w:themeColor="background1"/>
      </w:rPr>
      <w:tblPr/>
      <w:tcPr>
        <w:shd w:val="clear" w:color="auto" w:fill="00857F"/>
      </w:tcPr>
    </w:tblStylePr>
    <w:tblStylePr w:type="nwCell">
      <w:rPr>
        <w:rFonts w:asciiTheme="majorHAnsi" w:hAnsiTheme="majorHAnsi"/>
        <w:b/>
        <w:color w:val="FFFFFF" w:themeColor="background1"/>
        <w:sz w:val="20"/>
      </w:rPr>
    </w:tblStylePr>
  </w:style>
  <w:style w:type="paragraph" w:customStyle="1" w:styleId="Bullets1">
    <w:name w:val="Bullets1"/>
    <w:basedOn w:val="Normal"/>
    <w:link w:val="Bullets1Char"/>
    <w:qFormat/>
    <w:rsid w:val="002843BB"/>
    <w:pPr>
      <w:numPr>
        <w:numId w:val="10"/>
      </w:numPr>
      <w:spacing w:before="0" w:after="0" w:line="240" w:lineRule="auto"/>
      <w:contextualSpacing/>
    </w:pPr>
    <w:rPr>
      <w:rFonts w:ascii="Calibri" w:eastAsia="Calibri" w:hAnsi="Calibri" w:cs="Times New Roman"/>
      <w:sz w:val="22"/>
    </w:rPr>
  </w:style>
  <w:style w:type="paragraph" w:customStyle="1" w:styleId="PPN91Title">
    <w:name w:val="PPN91 Title"/>
    <w:basedOn w:val="Normal"/>
    <w:link w:val="PPN91TitleChar"/>
    <w:qFormat/>
    <w:rsid w:val="002843BB"/>
    <w:pPr>
      <w:spacing w:before="0" w:after="160" w:line="259" w:lineRule="auto"/>
    </w:pPr>
    <w:rPr>
      <w:rFonts w:ascii="Arial" w:hAnsi="Arial" w:cstheme="minorBidi"/>
      <w:b/>
      <w:sz w:val="44"/>
    </w:rPr>
  </w:style>
  <w:style w:type="character" w:customStyle="1" w:styleId="PPN91TitleChar">
    <w:name w:val="PPN91 Title Char"/>
    <w:basedOn w:val="DefaultParagraphFont"/>
    <w:link w:val="PPN91Title"/>
    <w:rsid w:val="002843BB"/>
    <w:rPr>
      <w:rFonts w:ascii="Arial" w:hAnsi="Arial"/>
      <w:b/>
      <w:sz w:val="44"/>
      <w:szCs w:val="22"/>
    </w:rPr>
  </w:style>
  <w:style w:type="paragraph" w:customStyle="1" w:styleId="PPN91bodytext">
    <w:name w:val="PPN91 body text"/>
    <w:basedOn w:val="Normal"/>
    <w:link w:val="PPN91bodytextChar"/>
    <w:qFormat/>
    <w:rsid w:val="002843BB"/>
    <w:pPr>
      <w:spacing w:before="0" w:after="160" w:line="259" w:lineRule="auto"/>
    </w:pPr>
    <w:rPr>
      <w:rFonts w:ascii="Arial" w:hAnsi="Arial" w:cstheme="minorBidi"/>
    </w:rPr>
  </w:style>
  <w:style w:type="character" w:customStyle="1" w:styleId="PPN91bodytextChar">
    <w:name w:val="PPN91 body text Char"/>
    <w:basedOn w:val="DefaultParagraphFont"/>
    <w:link w:val="PPN91bodytext"/>
    <w:rsid w:val="002843BB"/>
    <w:rPr>
      <w:rFonts w:ascii="Arial" w:hAnsi="Arial"/>
      <w:sz w:val="20"/>
      <w:szCs w:val="22"/>
    </w:rPr>
  </w:style>
  <w:style w:type="paragraph" w:customStyle="1" w:styleId="PPN91bodytextbullets">
    <w:name w:val="PPN91 body text bullets"/>
    <w:basedOn w:val="Bullets1"/>
    <w:link w:val="PPN91bodytextbulletsChar"/>
    <w:qFormat/>
    <w:rsid w:val="002843BB"/>
    <w:pPr>
      <w:numPr>
        <w:numId w:val="0"/>
      </w:numPr>
      <w:ind w:left="426" w:hanging="284"/>
    </w:pPr>
    <w:rPr>
      <w:rFonts w:ascii="Arial" w:hAnsi="Arial" w:cs="Calibri"/>
      <w:sz w:val="20"/>
    </w:rPr>
  </w:style>
  <w:style w:type="character" w:customStyle="1" w:styleId="Bullets1Char">
    <w:name w:val="Bullets1 Char"/>
    <w:basedOn w:val="DefaultParagraphFont"/>
    <w:link w:val="Bullets1"/>
    <w:rsid w:val="002843BB"/>
    <w:rPr>
      <w:rFonts w:ascii="Calibri" w:eastAsia="Calibri" w:hAnsi="Calibri" w:cs="Times New Roman"/>
      <w:sz w:val="22"/>
      <w:szCs w:val="22"/>
    </w:rPr>
  </w:style>
  <w:style w:type="character" w:customStyle="1" w:styleId="PPN91bodytextbulletsChar">
    <w:name w:val="PPN91 body text bullets Char"/>
    <w:basedOn w:val="Bullets1Char"/>
    <w:link w:val="PPN91bodytextbullets"/>
    <w:rsid w:val="002843BB"/>
    <w:rPr>
      <w:rFonts w:ascii="Arial" w:eastAsia="Calibri" w:hAnsi="Arial" w:cs="Calibri"/>
      <w:sz w:val="20"/>
      <w:szCs w:val="22"/>
    </w:rPr>
  </w:style>
  <w:style w:type="paragraph" w:customStyle="1" w:styleId="PPN91Heading1">
    <w:name w:val="PPN91 Heading 1"/>
    <w:basedOn w:val="PPN91bodytext"/>
    <w:link w:val="PPN91Heading1Char"/>
    <w:qFormat/>
    <w:rsid w:val="00742FB4"/>
    <w:rPr>
      <w:b/>
      <w:sz w:val="36"/>
    </w:rPr>
  </w:style>
  <w:style w:type="character" w:customStyle="1" w:styleId="PPN91Heading1Char">
    <w:name w:val="PPN91 Heading 1 Char"/>
    <w:basedOn w:val="PPN91bodytextChar"/>
    <w:link w:val="PPN91Heading1"/>
    <w:rsid w:val="00742FB4"/>
    <w:rPr>
      <w:rFonts w:ascii="Arial" w:hAnsi="Arial"/>
      <w:b/>
      <w:sz w:val="36"/>
      <w:szCs w:val="22"/>
    </w:rPr>
  </w:style>
  <w:style w:type="paragraph" w:customStyle="1" w:styleId="PPN91tablebodytext">
    <w:name w:val="PPN91 table body text"/>
    <w:basedOn w:val="Normal"/>
    <w:link w:val="PPN91tablebodytextChar"/>
    <w:qFormat/>
    <w:rsid w:val="005B715B"/>
    <w:pPr>
      <w:spacing w:before="0" w:after="0" w:line="240" w:lineRule="auto"/>
      <w:contextualSpacing/>
    </w:pPr>
    <w:rPr>
      <w:rFonts w:ascii="Arial" w:eastAsia="Calibri" w:hAnsi="Arial" w:cs="Calibri"/>
    </w:rPr>
  </w:style>
  <w:style w:type="character" w:customStyle="1" w:styleId="PPN91tablebodytextChar">
    <w:name w:val="PPN91 table body text Char"/>
    <w:basedOn w:val="DefaultParagraphFont"/>
    <w:link w:val="PPN91tablebodytext"/>
    <w:rsid w:val="005B715B"/>
    <w:rPr>
      <w:rFonts w:ascii="Arial" w:eastAsia="Calibri" w:hAnsi="Arial" w:cs="Calibri"/>
      <w:sz w:val="20"/>
      <w:szCs w:val="22"/>
    </w:rPr>
  </w:style>
  <w:style w:type="paragraph" w:customStyle="1" w:styleId="PPN91Tablebodytextbullets">
    <w:name w:val="PPN91 Table body text bullets"/>
    <w:basedOn w:val="ListBullet"/>
    <w:link w:val="PPN91TablebodytextbulletsChar"/>
    <w:qFormat/>
    <w:rsid w:val="00F629EC"/>
    <w:rPr>
      <w:color w:val="5A5A5A"/>
      <w:sz w:val="18"/>
      <w:szCs w:val="18"/>
    </w:rPr>
  </w:style>
  <w:style w:type="paragraph" w:customStyle="1" w:styleId="PPN91Tablebodytextbold">
    <w:name w:val="PPN91 Table body text bold"/>
    <w:basedOn w:val="Normal"/>
    <w:link w:val="PPN91TablebodytextboldChar"/>
    <w:qFormat/>
    <w:rsid w:val="005B715B"/>
    <w:pPr>
      <w:spacing w:before="0" w:after="0" w:line="240" w:lineRule="auto"/>
      <w:contextualSpacing/>
    </w:pPr>
    <w:rPr>
      <w:rFonts w:ascii="Arial" w:eastAsia="Calibri" w:hAnsi="Arial" w:cs="Calibri"/>
      <w:b/>
    </w:rPr>
  </w:style>
  <w:style w:type="character" w:customStyle="1" w:styleId="PPN91TablebodytextboldChar">
    <w:name w:val="PPN91 Table body text bold Char"/>
    <w:basedOn w:val="DefaultParagraphFont"/>
    <w:link w:val="PPN91Tablebodytextbold"/>
    <w:rsid w:val="005B715B"/>
    <w:rPr>
      <w:rFonts w:ascii="Arial" w:eastAsia="Calibri" w:hAnsi="Arial" w:cs="Calibri"/>
      <w:b/>
      <w:sz w:val="20"/>
      <w:szCs w:val="22"/>
    </w:rPr>
  </w:style>
  <w:style w:type="paragraph" w:styleId="BalloonText">
    <w:name w:val="Balloon Text"/>
    <w:basedOn w:val="Normal"/>
    <w:link w:val="BalloonTextChar"/>
    <w:uiPriority w:val="99"/>
    <w:semiHidden/>
    <w:unhideWhenUsed/>
    <w:rsid w:val="005B715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15B"/>
    <w:rPr>
      <w:rFonts w:ascii="Segoe UI" w:hAnsi="Segoe UI" w:cs="Segoe UI"/>
      <w:sz w:val="18"/>
      <w:szCs w:val="18"/>
    </w:rPr>
  </w:style>
  <w:style w:type="paragraph" w:customStyle="1" w:styleId="PPN91Heading2">
    <w:name w:val="PPN91 Heading 2"/>
    <w:basedOn w:val="Heading2"/>
    <w:link w:val="PPN91Heading2Char"/>
    <w:qFormat/>
    <w:rsid w:val="009475CA"/>
    <w:pPr>
      <w:spacing w:before="40" w:after="0" w:line="259" w:lineRule="auto"/>
    </w:pPr>
    <w:rPr>
      <w:rFonts w:ascii="Arial" w:hAnsi="Arial"/>
      <w:sz w:val="28"/>
      <w:szCs w:val="26"/>
    </w:rPr>
  </w:style>
  <w:style w:type="character" w:customStyle="1" w:styleId="PPN91Heading2Char">
    <w:name w:val="PPN91 Heading 2 Char"/>
    <w:basedOn w:val="Heading2Char"/>
    <w:link w:val="PPN91Heading2"/>
    <w:rsid w:val="009475CA"/>
    <w:rPr>
      <w:rFonts w:ascii="Arial" w:eastAsiaTheme="majorEastAsia" w:hAnsi="Arial" w:cstheme="majorBidi"/>
      <w:b/>
      <w:color w:val="5A5A5A"/>
      <w:sz w:val="28"/>
      <w:szCs w:val="26"/>
    </w:rPr>
  </w:style>
  <w:style w:type="paragraph" w:customStyle="1" w:styleId="PPN91bodytextbold">
    <w:name w:val="PPN91 body text bold"/>
    <w:basedOn w:val="Normal"/>
    <w:link w:val="PPN91bodytextboldChar"/>
    <w:qFormat/>
    <w:rsid w:val="009475CA"/>
    <w:pPr>
      <w:spacing w:before="0" w:line="240" w:lineRule="auto"/>
      <w:contextualSpacing/>
    </w:pPr>
    <w:rPr>
      <w:rFonts w:ascii="Arial" w:eastAsia="Calibri" w:hAnsi="Arial" w:cs="Calibri"/>
      <w:b/>
      <w:bCs/>
      <w:szCs w:val="20"/>
    </w:rPr>
  </w:style>
  <w:style w:type="character" w:customStyle="1" w:styleId="PPN91bodytextboldChar">
    <w:name w:val="PPN91 body text bold Char"/>
    <w:basedOn w:val="DefaultParagraphFont"/>
    <w:link w:val="PPN91bodytextbold"/>
    <w:rsid w:val="009475CA"/>
    <w:rPr>
      <w:rFonts w:ascii="Arial" w:eastAsia="Calibri" w:hAnsi="Arial" w:cs="Calibri"/>
      <w:b/>
      <w:bCs/>
      <w:sz w:val="20"/>
      <w:szCs w:val="20"/>
    </w:rPr>
  </w:style>
  <w:style w:type="paragraph" w:customStyle="1" w:styleId="PPN91Heading4">
    <w:name w:val="PPN91 Heading 4"/>
    <w:basedOn w:val="Heading4"/>
    <w:link w:val="PPN91Heading4Char"/>
    <w:qFormat/>
    <w:rsid w:val="009475CA"/>
    <w:pPr>
      <w:spacing w:before="40" w:after="0" w:line="259" w:lineRule="auto"/>
    </w:pPr>
    <w:rPr>
      <w:rFonts w:ascii="Arial" w:hAnsi="Arial"/>
      <w:sz w:val="22"/>
      <w:szCs w:val="22"/>
    </w:rPr>
  </w:style>
  <w:style w:type="character" w:customStyle="1" w:styleId="PPN91Heading4Char">
    <w:name w:val="PPN91 Heading 4 Char"/>
    <w:basedOn w:val="Heading4Char"/>
    <w:link w:val="PPN91Heading4"/>
    <w:rsid w:val="009475CA"/>
    <w:rPr>
      <w:rFonts w:ascii="Arial" w:eastAsiaTheme="majorEastAsia" w:hAnsi="Arial" w:cs="Arial"/>
      <w:b/>
      <w:i/>
      <w:iCs/>
      <w:color w:val="757575"/>
      <w:sz w:val="22"/>
      <w:szCs w:val="22"/>
    </w:rPr>
  </w:style>
  <w:style w:type="paragraph" w:customStyle="1" w:styleId="PPN91Heading3">
    <w:name w:val="PPN91 Heading 3"/>
    <w:basedOn w:val="Normal"/>
    <w:link w:val="PPN91Heading3Char"/>
    <w:qFormat/>
    <w:rsid w:val="005E3F30"/>
    <w:pPr>
      <w:keepNext/>
      <w:keepLines/>
      <w:spacing w:before="200" w:after="0"/>
      <w:outlineLvl w:val="1"/>
    </w:pPr>
    <w:rPr>
      <w:rFonts w:ascii="Arial" w:eastAsia="Times New Roman" w:hAnsi="Arial"/>
      <w:b/>
      <w:bCs/>
      <w:sz w:val="24"/>
    </w:rPr>
  </w:style>
  <w:style w:type="character" w:customStyle="1" w:styleId="PPN91Heading3Char">
    <w:name w:val="PPN91 Heading 3 Char"/>
    <w:basedOn w:val="DefaultParagraphFont"/>
    <w:link w:val="PPN91Heading3"/>
    <w:rsid w:val="005E3F30"/>
    <w:rPr>
      <w:rFonts w:ascii="Arial" w:eastAsia="Times New Roman" w:hAnsi="Arial" w:cs="Arial"/>
      <w:b/>
      <w:bCs/>
      <w:szCs w:val="22"/>
    </w:rPr>
  </w:style>
  <w:style w:type="character" w:customStyle="1" w:styleId="PPN91TablebodytextbulletsChar">
    <w:name w:val="PPN91 Table body text bullets Char"/>
    <w:basedOn w:val="DefaultParagraphFont"/>
    <w:link w:val="PPN91Tablebodytextbullets"/>
    <w:rsid w:val="00F629EC"/>
    <w:rPr>
      <w:rFonts w:ascii="VIC" w:hAnsi="VIC" w:cs="Arial"/>
      <w:color w:val="5A5A5A"/>
      <w:sz w:val="18"/>
      <w:szCs w:val="18"/>
    </w:rPr>
  </w:style>
  <w:style w:type="paragraph" w:customStyle="1" w:styleId="BodyText1">
    <w:name w:val="BodyText1"/>
    <w:basedOn w:val="Normal"/>
    <w:link w:val="BodyText1Char"/>
    <w:qFormat/>
    <w:rsid w:val="00754FB9"/>
    <w:pPr>
      <w:spacing w:before="0" w:after="0" w:line="240" w:lineRule="auto"/>
      <w:contextualSpacing/>
    </w:pPr>
    <w:rPr>
      <w:rFonts w:ascii="Calibri" w:eastAsia="Calibri" w:hAnsi="Calibri" w:cs="Times New Roman"/>
      <w:sz w:val="22"/>
    </w:rPr>
  </w:style>
  <w:style w:type="character" w:customStyle="1" w:styleId="BodyText1Char">
    <w:name w:val="BodyText1 Char"/>
    <w:basedOn w:val="DefaultParagraphFont"/>
    <w:link w:val="BodyText1"/>
    <w:rsid w:val="00754FB9"/>
    <w:rPr>
      <w:rFonts w:ascii="Calibri" w:eastAsia="Calibri" w:hAnsi="Calibri" w:cs="Times New Roman"/>
      <w:sz w:val="22"/>
      <w:szCs w:val="22"/>
    </w:rPr>
  </w:style>
  <w:style w:type="character" w:styleId="FollowedHyperlink">
    <w:name w:val="FollowedHyperlink"/>
    <w:basedOn w:val="DefaultParagraphFont"/>
    <w:uiPriority w:val="99"/>
    <w:semiHidden/>
    <w:unhideWhenUsed/>
    <w:rsid w:val="00E14112"/>
    <w:rPr>
      <w:color w:val="954F72" w:themeColor="followedHyperlink"/>
      <w:u w:val="single"/>
    </w:rPr>
  </w:style>
  <w:style w:type="paragraph" w:customStyle="1" w:styleId="Preface">
    <w:name w:val="Preface"/>
    <w:basedOn w:val="Heading3"/>
    <w:link w:val="PrefaceChar"/>
    <w:qFormat/>
    <w:rsid w:val="00C545CD"/>
    <w:rPr>
      <w:color w:val="5A5A5A"/>
    </w:rPr>
  </w:style>
  <w:style w:type="paragraph" w:customStyle="1" w:styleId="Figure">
    <w:name w:val="Figure"/>
    <w:basedOn w:val="Normal"/>
    <w:link w:val="FigureChar"/>
    <w:qFormat/>
    <w:rsid w:val="00840A30"/>
    <w:rPr>
      <w:b/>
      <w:bCs/>
      <w:color w:val="5A5A5A"/>
    </w:rPr>
  </w:style>
  <w:style w:type="character" w:customStyle="1" w:styleId="PrefaceChar">
    <w:name w:val="Preface Char"/>
    <w:basedOn w:val="Heading3Char"/>
    <w:link w:val="Preface"/>
    <w:rsid w:val="00C545CD"/>
    <w:rPr>
      <w:rFonts w:ascii="VIC" w:eastAsiaTheme="majorEastAsia" w:hAnsi="VIC" w:cstheme="majorBidi"/>
      <w:b/>
      <w:color w:val="5A5A5A"/>
      <w:sz w:val="22"/>
      <w:szCs w:val="22"/>
    </w:rPr>
  </w:style>
  <w:style w:type="character" w:customStyle="1" w:styleId="FigureChar">
    <w:name w:val="Figure Char"/>
    <w:basedOn w:val="DefaultParagraphFont"/>
    <w:link w:val="Figure"/>
    <w:rsid w:val="00840A30"/>
    <w:rPr>
      <w:rFonts w:ascii="VIC" w:hAnsi="VIC" w:cs="Arial"/>
      <w:b/>
      <w:bCs/>
      <w:color w:val="5A5A5A"/>
      <w:sz w:val="20"/>
      <w:szCs w:val="22"/>
    </w:rPr>
  </w:style>
  <w:style w:type="paragraph" w:customStyle="1" w:styleId="TableName">
    <w:name w:val="Table Name"/>
    <w:basedOn w:val="Tablesecondheading"/>
    <w:link w:val="TableNameChar"/>
    <w:qFormat/>
    <w:rsid w:val="00C878DA"/>
  </w:style>
  <w:style w:type="character" w:customStyle="1" w:styleId="TablesecondheadingChar">
    <w:name w:val="Table second heading Char"/>
    <w:basedOn w:val="DefaultParagraphFont"/>
    <w:link w:val="Tablesecondheading"/>
    <w:rsid w:val="0062449F"/>
    <w:rPr>
      <w:rFonts w:ascii="VIC" w:hAnsi="VIC" w:cs="Arial"/>
      <w:b/>
      <w:bCs/>
      <w:color w:val="53565A"/>
      <w:sz w:val="20"/>
      <w:szCs w:val="22"/>
    </w:rPr>
  </w:style>
  <w:style w:type="character" w:customStyle="1" w:styleId="TableNameChar">
    <w:name w:val="Table Name Char"/>
    <w:basedOn w:val="TablesecondheadingChar"/>
    <w:link w:val="TableName"/>
    <w:rsid w:val="00C878DA"/>
    <w:rPr>
      <w:rFonts w:ascii="VIC" w:hAnsi="VIC" w:cs="Arial"/>
      <w:b/>
      <w:bCs/>
      <w:color w:val="5A5A5A"/>
      <w:sz w:val="20"/>
      <w:szCs w:val="22"/>
    </w:rPr>
  </w:style>
  <w:style w:type="paragraph" w:styleId="NormalWeb">
    <w:name w:val="Normal (Web)"/>
    <w:basedOn w:val="Normal"/>
    <w:uiPriority w:val="99"/>
    <w:semiHidden/>
    <w:unhideWhenUsed/>
    <w:rsid w:val="00FD1617"/>
    <w:pPr>
      <w:spacing w:before="100" w:beforeAutospacing="1" w:after="100" w:afterAutospacing="1" w:line="240" w:lineRule="auto"/>
    </w:pPr>
    <w:rPr>
      <w:rFonts w:ascii="Calibri" w:hAnsi="Calibri" w:cs="Calibri"/>
      <w:sz w:val="22"/>
      <w:lang w:eastAsia="en-AU"/>
    </w:rPr>
  </w:style>
  <w:style w:type="character" w:styleId="Mention">
    <w:name w:val="Mention"/>
    <w:basedOn w:val="DefaultParagraphFont"/>
    <w:uiPriority w:val="99"/>
    <w:unhideWhenUsed/>
    <w:rsid w:val="00C341D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9993202">
      <w:bodyDiv w:val="1"/>
      <w:marLeft w:val="0"/>
      <w:marRight w:val="0"/>
      <w:marTop w:val="0"/>
      <w:marBottom w:val="0"/>
      <w:divBdr>
        <w:top w:val="none" w:sz="0" w:space="0" w:color="auto"/>
        <w:left w:val="none" w:sz="0" w:space="0" w:color="auto"/>
        <w:bottom w:val="none" w:sz="0" w:space="0" w:color="auto"/>
        <w:right w:val="none" w:sz="0" w:space="0" w:color="auto"/>
      </w:divBdr>
    </w:div>
    <w:div w:id="1141800357">
      <w:bodyDiv w:val="1"/>
      <w:marLeft w:val="0"/>
      <w:marRight w:val="0"/>
      <w:marTop w:val="0"/>
      <w:marBottom w:val="0"/>
      <w:divBdr>
        <w:top w:val="none" w:sz="0" w:space="0" w:color="auto"/>
        <w:left w:val="none" w:sz="0" w:space="0" w:color="auto"/>
        <w:bottom w:val="none" w:sz="0" w:space="0" w:color="auto"/>
        <w:right w:val="none" w:sz="0" w:space="0" w:color="auto"/>
      </w:divBdr>
    </w:div>
    <w:div w:id="1415779648">
      <w:bodyDiv w:val="1"/>
      <w:marLeft w:val="0"/>
      <w:marRight w:val="0"/>
      <w:marTop w:val="0"/>
      <w:marBottom w:val="0"/>
      <w:divBdr>
        <w:top w:val="none" w:sz="0" w:space="0" w:color="auto"/>
        <w:left w:val="none" w:sz="0" w:space="0" w:color="auto"/>
        <w:bottom w:val="none" w:sz="0" w:space="0" w:color="auto"/>
        <w:right w:val="none" w:sz="0" w:space="0" w:color="auto"/>
      </w:divBdr>
    </w:div>
    <w:div w:id="1467354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s://australia.icomos.org/publications/burra-charter-practice-notes/" TargetMode="External"/><Relationship Id="rId26" Type="http://schemas.openxmlformats.org/officeDocument/2006/relationships/hyperlink" Target="mailto:customer.service@delwp.vic.gov.au" TargetMode="External"/><Relationship Id="rId3" Type="http://schemas.openxmlformats.org/officeDocument/2006/relationships/customXml" Target="../customXml/item3.xml"/><Relationship Id="rId21" Type="http://schemas.openxmlformats.org/officeDocument/2006/relationships/hyperlink" Target="https://www.planning.vic.gov.au/resource-library/planning-practice-notes"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7.png"/><Relationship Id="rId25" Type="http://schemas.openxmlformats.org/officeDocument/2006/relationships/hyperlink" Target="https://www.planning.vic.gov.au/"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creativecommons.org/licenses/by/4.0/" TargetMode="External"/><Relationship Id="rId5" Type="http://schemas.openxmlformats.org/officeDocument/2006/relationships/customXml" Target="../customXml/item5.xml"/><Relationship Id="rId15" Type="http://schemas.openxmlformats.org/officeDocument/2006/relationships/image" Target="media/image5.jpeg"/><Relationship Id="rId23" Type="http://schemas.openxmlformats.org/officeDocument/2006/relationships/image" Target="media/image9.emf"/><Relationship Id="rId28" Type="http://schemas.openxmlformats.org/officeDocument/2006/relationships/header" Target="header2.xml"/><Relationship Id="rId10" Type="http://schemas.openxmlformats.org/officeDocument/2006/relationships/webSettings" Target="webSettings.xml"/><Relationship Id="rId19" Type="http://schemas.openxmlformats.org/officeDocument/2006/relationships/hyperlink" Target="https://www.planning.vic.gov.au/guides-and-resources/guides/ministerial-directions"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yperlink" Target="https://planning-schemes.app.planning.vic.gov.au/All%20schemes/amendments/VC143?schemeCode=alpi" TargetMode="External"/><Relationship Id="rId27" Type="http://schemas.openxmlformats.org/officeDocument/2006/relationships/hyperlink" Target="https://planning-schemes.app.planning.vic.gov.au/Victoria%20Planning%20Provisions/amendments/VC169"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hyperlink" Target="file:///\\internal.vic.gov.au\DEPI\HomeDirs1\dm4i\Documents\planning.vic.gov.au" TargetMode="External"/><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c3f\Department%20of%20Environment,%20Land,%20Water%20and%20Planning\O365-GRP-Planning%20Guidance%20-%20Planning%20Practice%20Notes\PPN91%20-%20Using%20the%20residential%20zones\PPN91-Using-the-residential-zon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file>

<file path=customXml/item3.xml><?xml version="1.0" encoding="utf-8"?>
<?mso-contentType ?>
<SharedContentType xmlns="Microsoft.SharePoint.Taxonomy.ContentTypeSync" SourceId="797aeec6-0273-40f2-ab3e-beee73212332" ContentTypeId="0x0101" PreviousValue="false"/>
</file>

<file path=customXml/item4.xml><?xml version="1.0" encoding="utf-8"?>
<ct:contentTypeSchema xmlns:ct="http://schemas.microsoft.com/office/2006/metadata/contentType" xmlns:ma="http://schemas.microsoft.com/office/2006/metadata/properties/metaAttributes" ct:_="" ma:_="" ma:contentTypeName="Document" ma:contentTypeID="0x01010044AE49B90340AF44A07AA5C348D70C22" ma:contentTypeVersion="21" ma:contentTypeDescription="Create a new document." ma:contentTypeScope="" ma:versionID="084e27ca2e9270401843875cf8d76b7f">
  <xsd:schema xmlns:xsd="http://www.w3.org/2001/XMLSchema" xmlns:xs="http://www.w3.org/2001/XMLSchema" xmlns:p="http://schemas.microsoft.com/office/2006/metadata/properties" xmlns:ns2="a5f32de4-e402-4188-b034-e71ca7d22e54" xmlns:ns3="dcba8cd8-4ab0-4252-839b-82aa47f9fc8a" xmlns:ns4="9fd47c19-1c4a-4d7d-b342-c10cef269344" xmlns:ns5="6fb2e63c-2bd9-440f-a689-992b6b9291d9" targetNamespace="http://schemas.microsoft.com/office/2006/metadata/properties" ma:root="true" ma:fieldsID="e473ca70715a4774052b80d708f4e4a8" ns2:_="" ns3:_="" ns4:_="" ns5:_="">
    <xsd:import namespace="a5f32de4-e402-4188-b034-e71ca7d22e54"/>
    <xsd:import namespace="dcba8cd8-4ab0-4252-839b-82aa47f9fc8a"/>
    <xsd:import namespace="9fd47c19-1c4a-4d7d-b342-c10cef269344"/>
    <xsd:import namespace="6fb2e63c-2bd9-440f-a689-992b6b9291d9"/>
    <xsd:element name="properties">
      <xsd:complexType>
        <xsd:sequence>
          <xsd:element name="documentManagement">
            <xsd:complexType>
              <xsd:all>
                <xsd:element ref="ns2:_dlc_DocId" minOccurs="0"/>
                <xsd:element ref="ns2:_dlc_DocIdUrl" minOccurs="0"/>
                <xsd:element ref="ns2:_dlc_DocIdPersistId" minOccurs="0"/>
                <xsd:element ref="ns3:ied385936e7646da9ee9cb5c9a681f3c" minOccurs="0"/>
                <xsd:element ref="ns3:m612677ec3164b4f8c858819e2ed5121" minOccurs="0"/>
                <xsd:element ref="ns4:TaxCatchAll" minOccurs="0"/>
                <xsd:element ref="ns3:MediaServiceMetadata" minOccurs="0"/>
                <xsd:element ref="ns3:MediaServiceFastMetadata" minOccurs="0"/>
                <xsd:element ref="ns3:MediaServiceAutoKeyPoints" minOccurs="0"/>
                <xsd:element ref="ns3:MediaServiceKeyPoints" minOccurs="0"/>
                <xsd:element ref="ns5:SharedWithUsers" minOccurs="0"/>
                <xsd:element ref="ns5:SharedWithDetail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3:MediaServiceDateTake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cba8cd8-4ab0-4252-839b-82aa47f9fc8a" elementFormDefault="qualified">
    <xsd:import namespace="http://schemas.microsoft.com/office/2006/documentManagement/types"/>
    <xsd:import namespace="http://schemas.microsoft.com/office/infopath/2007/PartnerControls"/>
    <xsd:element name="ied385936e7646da9ee9cb5c9a681f3c" ma:index="12" nillable="true" ma:taxonomy="true" ma:internalName="ied385936e7646da9ee9cb5c9a681f3c" ma:taxonomyFieldName="Records_x0020_Purpose" ma:displayName="Records Purpose" ma:default="1;#Minor / routine projects|61f94139-eaaa-400f-b6db-76a98071b4b1" ma:fieldId="{2ed38593-6e76-46da-9ee9-cb5c9a681f3c}" ma:sspId="797aeec6-0273-40f2-ab3e-beee73212332" ma:termSetId="bcf5a239-fe11-49e0-8a78-d51fb720f0dd" ma:anchorId="d9c211bb-4a81-4cc6-9764-6af3d4c88160" ma:open="false" ma:isKeyword="false">
      <xsd:complexType>
        <xsd:sequence>
          <xsd:element ref="pc:Terms" minOccurs="0" maxOccurs="1"/>
        </xsd:sequence>
      </xsd:complexType>
    </xsd:element>
    <xsd:element name="m612677ec3164b4f8c858819e2ed5121" ma:index="13" nillable="true" ma:taxonomy="true" ma:internalName="m612677ec3164b4f8c858819e2ed5121" ma:taxonomyFieldName="Records_x0020_Classification" ma:displayName="Records Classification" ma:default="" ma:fieldId="{6612677e-c316-4b4f-8c85-8819e2ed5121}" ma:sspId="797aeec6-0273-40f2-ab3e-beee73212332" ma:termSetId="4258747f-0974-48f0-ac10-46f208a52cd4" ma:anchorId="00000000-0000-0000-0000-000000000000" ma:open="false" ma:isKeyword="false">
      <xsd:complexType>
        <xsd:sequence>
          <xsd:element ref="pc:Terms" minOccurs="0" maxOccurs="1"/>
        </xsd:sequence>
      </xsd:complexType>
    </xsd:element>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element name="MediaServiceDateTaken" ma:index="28" nillable="true" ma:displayName="MediaServiceDateTaken" ma:hidden="true" ma:internalName="MediaServiceDateTaken" ma:readOnly="true">
      <xsd:simpleType>
        <xsd:restriction base="dms:Text"/>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3bf9ae72-0e53-4fc1-bc15-05fee3a41671}" ma:internalName="TaxCatchAll" ma:showField="CatchAllData" ma:web="6fb2e63c-2bd9-440f-a689-992b6b9291d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b2e63c-2bd9-440f-a689-992b6b9291d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ied385936e7646da9ee9cb5c9a681f3c xmlns="dcba8cd8-4ab0-4252-839b-82aa47f9fc8a">
      <Terms xmlns="http://schemas.microsoft.com/office/infopath/2007/PartnerControls">
        <TermInfo xmlns="http://schemas.microsoft.com/office/infopath/2007/PartnerControls">
          <TermName xmlns="http://schemas.microsoft.com/office/infopath/2007/PartnerControls">Minor / routine projects</TermName>
          <TermId xmlns="http://schemas.microsoft.com/office/infopath/2007/PartnerControls">61f94139-eaaa-400f-b6db-76a98071b4b1</TermId>
        </TermInfo>
      </Terms>
    </ied385936e7646da9ee9cb5c9a681f3c>
    <TaxCatchAll xmlns="9fd47c19-1c4a-4d7d-b342-c10cef269344">
      <Value>1</Value>
    </TaxCatchAll>
    <lcf76f155ced4ddcb4097134ff3c332f xmlns="dcba8cd8-4ab0-4252-839b-82aa47f9fc8a">
      <Terms xmlns="http://schemas.microsoft.com/office/infopath/2007/PartnerControls"/>
    </lcf76f155ced4ddcb4097134ff3c332f>
    <m612677ec3164b4f8c858819e2ed5121 xmlns="dcba8cd8-4ab0-4252-839b-82aa47f9fc8a">
      <Terms xmlns="http://schemas.microsoft.com/office/infopath/2007/PartnerControls"/>
    </m612677ec3164b4f8c858819e2ed5121>
    <SharedWithUsers xmlns="6fb2e63c-2bd9-440f-a689-992b6b9291d9">
      <UserInfo>
        <DisplayName>Daniela Cala (DEECA)</DisplayName>
        <AccountId>31</AccountId>
        <AccountType/>
      </UserInfo>
      <UserInfo>
        <DisplayName>Jenny Dzomba (DEECA)</DisplayName>
        <AccountId>21</AccountId>
        <AccountType/>
      </UserInfo>
    </SharedWithUsers>
  </documentManagement>
</p:properties>
</file>

<file path=customXml/itemProps1.xml><?xml version="1.0" encoding="utf-8"?>
<ds:datastoreItem xmlns:ds="http://schemas.openxmlformats.org/officeDocument/2006/customXml" ds:itemID="{6FC9791D-130F-44C0-92C1-1F04B3850075}">
  <ds:schemaRefs>
    <ds:schemaRef ds:uri="http://schemas.microsoft.com/sharepoint/v3/contenttype/forms"/>
  </ds:schemaRefs>
</ds:datastoreItem>
</file>

<file path=customXml/itemProps2.xml><?xml version="1.0" encoding="utf-8"?>
<ds:datastoreItem xmlns:ds="http://schemas.openxmlformats.org/officeDocument/2006/customXml" ds:itemID="{38F44667-FC61-420D-A010-D142ADA1F731}">
  <ds:schemaRefs>
    <ds:schemaRef ds:uri="http://schemas.microsoft.com/sharepoint/events"/>
  </ds:schemaRefs>
</ds:datastoreItem>
</file>

<file path=customXml/itemProps3.xml><?xml version="1.0" encoding="utf-8"?>
<ds:datastoreItem xmlns:ds="http://schemas.openxmlformats.org/officeDocument/2006/customXml" ds:itemID="{76F76202-4E15-450D-877B-D8155A74529E}">
  <ds:schemaRefs>
    <ds:schemaRef ds:uri="Microsoft.SharePoint.Taxonomy.ContentTypeSync"/>
  </ds:schemaRefs>
</ds:datastoreItem>
</file>

<file path=customXml/itemProps4.xml><?xml version="1.0" encoding="utf-8"?>
<ds:datastoreItem xmlns:ds="http://schemas.openxmlformats.org/officeDocument/2006/customXml" ds:itemID="{6D9B5829-3BE3-421F-82D9-E970ABD30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dcba8cd8-4ab0-4252-839b-82aa47f9fc8a"/>
    <ds:schemaRef ds:uri="9fd47c19-1c4a-4d7d-b342-c10cef269344"/>
    <ds:schemaRef ds:uri="6fb2e63c-2bd9-440f-a689-992b6b9291d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A5114674-E451-46BF-B46F-38633C87F92E}">
  <ds:schemaRefs>
    <ds:schemaRef ds:uri="http://schemas.openxmlformats.org/officeDocument/2006/bibliography"/>
  </ds:schemaRefs>
</ds:datastoreItem>
</file>

<file path=customXml/itemProps6.xml><?xml version="1.0" encoding="utf-8"?>
<ds:datastoreItem xmlns:ds="http://schemas.openxmlformats.org/officeDocument/2006/customXml" ds:itemID="{26A4B98C-2904-4081-9676-D7D3D3D6D73F}">
  <ds:schemaRefs>
    <ds:schemaRef ds:uri="dcba8cd8-4ab0-4252-839b-82aa47f9fc8a"/>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a5f32de4-e402-4188-b034-e71ca7d22e54"/>
    <ds:schemaRef ds:uri="http://purl.org/dc/elements/1.1/"/>
    <ds:schemaRef ds:uri="http://schemas.microsoft.com/office/2006/metadata/properties"/>
    <ds:schemaRef ds:uri="6fb2e63c-2bd9-440f-a689-992b6b9291d9"/>
    <ds:schemaRef ds:uri="9fd47c19-1c4a-4d7d-b342-c10cef26934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PPN91-Using-the-residential-zones.dotx</Template>
  <TotalTime>403</TotalTime>
  <Pages>22</Pages>
  <Words>6551</Words>
  <Characters>37344</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43808</CharactersWithSpaces>
  <SharedDoc>false</SharedDoc>
  <HLinks>
    <vt:vector size="54" baseType="variant">
      <vt:variant>
        <vt:i4>2687044</vt:i4>
      </vt:variant>
      <vt:variant>
        <vt:i4>36</vt:i4>
      </vt:variant>
      <vt:variant>
        <vt:i4>0</vt:i4>
      </vt:variant>
      <vt:variant>
        <vt:i4>5</vt:i4>
      </vt:variant>
      <vt:variant>
        <vt:lpwstr>mailto:customer.service@delwp.vic.gov.au</vt:lpwstr>
      </vt:variant>
      <vt:variant>
        <vt:lpwstr/>
      </vt:variant>
      <vt:variant>
        <vt:i4>917516</vt:i4>
      </vt:variant>
      <vt:variant>
        <vt:i4>33</vt:i4>
      </vt:variant>
      <vt:variant>
        <vt:i4>0</vt:i4>
      </vt:variant>
      <vt:variant>
        <vt:i4>5</vt:i4>
      </vt:variant>
      <vt:variant>
        <vt:lpwstr>https://www.planning.vic.gov.au/</vt:lpwstr>
      </vt:variant>
      <vt:variant>
        <vt:lpwstr/>
      </vt:variant>
      <vt:variant>
        <vt:i4>6488166</vt:i4>
      </vt:variant>
      <vt:variant>
        <vt:i4>30</vt:i4>
      </vt:variant>
      <vt:variant>
        <vt:i4>0</vt:i4>
      </vt:variant>
      <vt:variant>
        <vt:i4>5</vt:i4>
      </vt:variant>
      <vt:variant>
        <vt:lpwstr>http://creativecommons.org/licenses/by/4.0/</vt:lpwstr>
      </vt:variant>
      <vt:variant>
        <vt:lpwstr/>
      </vt:variant>
      <vt:variant>
        <vt:i4>5046365</vt:i4>
      </vt:variant>
      <vt:variant>
        <vt:i4>9</vt:i4>
      </vt:variant>
      <vt:variant>
        <vt:i4>0</vt:i4>
      </vt:variant>
      <vt:variant>
        <vt:i4>5</vt:i4>
      </vt:variant>
      <vt:variant>
        <vt:lpwstr>https://www.planning.vic.gov.au/resource-library/planning-practice-notes</vt:lpwstr>
      </vt:variant>
      <vt:variant>
        <vt:lpwstr/>
      </vt:variant>
      <vt:variant>
        <vt:i4>2883656</vt:i4>
      </vt:variant>
      <vt:variant>
        <vt:i4>6</vt:i4>
      </vt:variant>
      <vt:variant>
        <vt:i4>0</vt:i4>
      </vt:variant>
      <vt:variant>
        <vt:i4>5</vt:i4>
      </vt:variant>
      <vt:variant>
        <vt:lpwstr>https://www.planning.vic.gov.au/__data/assets/pdf_file/0040/599962/5-April-2023-VC231-Ministerial-Direction-section-75.pdf</vt:lpwstr>
      </vt:variant>
      <vt:variant>
        <vt:lpwstr/>
      </vt:variant>
      <vt:variant>
        <vt:i4>8192113</vt:i4>
      </vt:variant>
      <vt:variant>
        <vt:i4>3</vt:i4>
      </vt:variant>
      <vt:variant>
        <vt:i4>0</vt:i4>
      </vt:variant>
      <vt:variant>
        <vt:i4>5</vt:i4>
      </vt:variant>
      <vt:variant>
        <vt:lpwstr>https://australia.icomos.org/publications/burra-charter-practice-notes/</vt:lpwstr>
      </vt:variant>
      <vt:variant>
        <vt:lpwstr/>
      </vt:variant>
      <vt:variant>
        <vt:i4>1507340</vt:i4>
      </vt:variant>
      <vt:variant>
        <vt:i4>0</vt:i4>
      </vt:variant>
      <vt:variant>
        <vt:i4>0</vt:i4>
      </vt:variant>
      <vt:variant>
        <vt:i4>5</vt:i4>
      </vt:variant>
      <vt:variant>
        <vt:lpwstr>https://planning-schemes.app.planning.vic.gov.au/Victoria Planning Provisions/ordinance/15.03</vt:lpwstr>
      </vt:variant>
      <vt:variant>
        <vt:lpwstr/>
      </vt:variant>
      <vt:variant>
        <vt:i4>7340097</vt:i4>
      </vt:variant>
      <vt:variant>
        <vt:i4>0</vt:i4>
      </vt:variant>
      <vt:variant>
        <vt:i4>0</vt:i4>
      </vt:variant>
      <vt:variant>
        <vt:i4>5</vt:i4>
      </vt:variant>
      <vt:variant>
        <vt:lpwstr>\\internal.vic.gov.au\DEPI\HomeDirs1\dm4i\Documents\planning.vic.gov.au</vt:lpwstr>
      </vt:variant>
      <vt:variant>
        <vt:lpwstr/>
      </vt:variant>
      <vt:variant>
        <vt:i4>4259889</vt:i4>
      </vt:variant>
      <vt:variant>
        <vt:i4>0</vt:i4>
      </vt:variant>
      <vt:variant>
        <vt:i4>0</vt:i4>
      </vt:variant>
      <vt:variant>
        <vt:i4>5</vt:i4>
      </vt:variant>
      <vt:variant>
        <vt:lpwstr>mailto:Franca.Tripodi@delwp.vic.gov.au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Cala (DEECA)</dc:creator>
  <cp:keywords/>
  <dc:description/>
  <cp:lastModifiedBy>Daniela Cala (DEECA)</cp:lastModifiedBy>
  <cp:revision>65</cp:revision>
  <cp:lastPrinted>2023-07-25T03:49:00Z</cp:lastPrinted>
  <dcterms:created xsi:type="dcterms:W3CDTF">2023-06-19T05:06:00Z</dcterms:created>
  <dcterms:modified xsi:type="dcterms:W3CDTF">2023-07-25T06:05:00Z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0x01010044AE49B90340AF44A07AA5C348D70C22</vt:lpwstr>
  </property>
  <property fmtid="{D5CDD505-2E9C-101B-9397-08002B2CF9AE}" pid="4" name="Records Purpose">
    <vt:lpwstr>1;#Minor / routine projects|61f94139-eaaa-400f-b6db-76a98071b4b1</vt:lpwstr>
  </property>
  <property fmtid="{D5CDD505-2E9C-101B-9397-08002B2CF9AE}" pid="5" name="Records_x0020_Classification">
    <vt:lpwstr/>
  </property>
  <property fmtid="{D5CDD505-2E9C-101B-9397-08002B2CF9AE}" pid="6" name="Records Classification">
    <vt:lpwstr/>
  </property>
  <property fmtid="{D5CDD505-2E9C-101B-9397-08002B2CF9AE}" pid="7" name="MSIP_Label_4257e2ab-f512-40e2-9c9a-c64247360765_Enabled">
    <vt:lpwstr>true</vt:lpwstr>
  </property>
  <property fmtid="{D5CDD505-2E9C-101B-9397-08002B2CF9AE}" pid="8" name="MSIP_Label_4257e2ab-f512-40e2-9c9a-c64247360765_SetDate">
    <vt:lpwstr>2023-07-19T03:39:35Z</vt:lpwstr>
  </property>
  <property fmtid="{D5CDD505-2E9C-101B-9397-08002B2CF9AE}" pid="9" name="MSIP_Label_4257e2ab-f512-40e2-9c9a-c64247360765_Method">
    <vt:lpwstr>Privileged</vt:lpwstr>
  </property>
  <property fmtid="{D5CDD505-2E9C-101B-9397-08002B2CF9AE}" pid="10" name="MSIP_Label_4257e2ab-f512-40e2-9c9a-c64247360765_Name">
    <vt:lpwstr>OFFICIAL</vt:lpwstr>
  </property>
  <property fmtid="{D5CDD505-2E9C-101B-9397-08002B2CF9AE}" pid="11" name="MSIP_Label_4257e2ab-f512-40e2-9c9a-c64247360765_SiteId">
    <vt:lpwstr>e8bdd6f7-fc18-4e48-a554-7f547927223b</vt:lpwstr>
  </property>
  <property fmtid="{D5CDD505-2E9C-101B-9397-08002B2CF9AE}" pid="12" name="MSIP_Label_4257e2ab-f512-40e2-9c9a-c64247360765_ActionId">
    <vt:lpwstr>5500b32c-060a-477a-820c-9157ddf803df</vt:lpwstr>
  </property>
  <property fmtid="{D5CDD505-2E9C-101B-9397-08002B2CF9AE}" pid="13" name="MSIP_Label_4257e2ab-f512-40e2-9c9a-c64247360765_ContentBits">
    <vt:lpwstr>2</vt:lpwstr>
  </property>
</Properties>
</file>