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1F776" w14:textId="13F8CEBA" w:rsidR="005A2A5D" w:rsidRDefault="008B04E4" w:rsidP="002C296E">
      <w:pPr>
        <w:pStyle w:val="BodyText"/>
      </w:pPr>
      <w:r>
        <w:rPr>
          <w:noProof/>
          <w:lang w:eastAsia="en-AU"/>
        </w:rPr>
        <mc:AlternateContent>
          <mc:Choice Requires="wps">
            <w:drawing>
              <wp:anchor distT="0" distB="0" distL="114300" distR="114300" simplePos="0" relativeHeight="251658245" behindDoc="0" locked="1" layoutInCell="1" allowOverlap="1" wp14:anchorId="5E8D1554" wp14:editId="60643981">
                <wp:simplePos x="0" y="0"/>
                <wp:positionH relativeFrom="page">
                  <wp:posOffset>359410</wp:posOffset>
                </wp:positionH>
                <wp:positionV relativeFrom="page">
                  <wp:posOffset>359410</wp:posOffset>
                </wp:positionV>
                <wp:extent cx="1864800" cy="1976400"/>
                <wp:effectExtent l="0" t="0" r="2540" b="5080"/>
                <wp:wrapNone/>
                <wp:docPr id="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787A2" id="TriangleTop" o:spid="_x0000_s1026" style="position:absolute;margin-left:28.3pt;margin-top:28.3pt;width:146.85pt;height:155.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" path="m,l1469,3114,2939,,,xe" fillcolor="#642667 [3202]" stroked="f">
                <v:path arrowok="t" o:connecttype="custom" o:connectlocs="0,0;932083,1976400;1864800,0;0,0" o:connectangles="0,0,0,0"/>
                <w10:wrap anchorx="page" anchory="page"/>
                <w10:anchorlock/>
              </v:shape>
            </w:pict>
          </mc:Fallback>
        </mc:AlternateContent>
      </w:r>
      <w:r>
        <w:rPr>
          <w:noProof/>
          <w:lang w:eastAsia="en-AU"/>
        </w:rPr>
        <mc:AlternateContent>
          <mc:Choice Requires="wps">
            <w:drawing>
              <wp:anchor distT="0" distB="0" distL="114300" distR="114300" simplePos="0" relativeHeight="251658248" behindDoc="0" locked="1" layoutInCell="1" allowOverlap="1" wp14:anchorId="49EE255A" wp14:editId="0EA541B6">
                <wp:simplePos x="0" y="0"/>
                <wp:positionH relativeFrom="page">
                  <wp:posOffset>365760</wp:posOffset>
                </wp:positionH>
                <wp:positionV relativeFrom="page">
                  <wp:posOffset>3364865</wp:posOffset>
                </wp:positionV>
                <wp:extent cx="4107180" cy="5709285"/>
                <wp:effectExtent l="0" t="0" r="7620" b="5715"/>
                <wp:wrapNone/>
                <wp:docPr id="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180" cy="570928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4E2C8" id="OverlayLeft" o:spid="_x0000_s1026" style="position:absolute;margin-left:28.8pt;margin-top:264.95pt;width:323.4pt;height:449.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" path="m2939,l,,,7482r6467,l2939,xe" fillcolor="#201547" stroked="f">
                <v:fill opacity="19789f"/>
                <v:path arrowok="t" o:connecttype="custom" o:connectlocs="1866554,0;0,0;0,5709285;4107180,5709285;1866554,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58249" behindDoc="0" locked="1" layoutInCell="1" allowOverlap="1" wp14:anchorId="54BCE4B3" wp14:editId="72E12078">
                <wp:simplePos x="0" y="0"/>
                <wp:positionH relativeFrom="page">
                  <wp:posOffset>4462145</wp:posOffset>
                </wp:positionH>
                <wp:positionV relativeFrom="page">
                  <wp:posOffset>3364865</wp:posOffset>
                </wp:positionV>
                <wp:extent cx="2731770" cy="5708650"/>
                <wp:effectExtent l="0" t="0" r="0" b="6350"/>
                <wp:wrapNone/>
                <wp:docPr id="3"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1770" cy="570865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1E43F" id="OverlayRight" o:spid="_x0000_s1026" style="position:absolute;margin-left:351.35pt;margin-top:264.95pt;width:215.1pt;height:44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" path="m3529,r,l,7482r2994,l2994,7477r1270,5l4304,7482r,l4304,7482,4304,,3529,xe" fillcolor="#642667 [3202]" stroked="f">
                <v:fill opacity="19789f"/>
                <v:path arrowok="t" o:connecttype="custom" o:connectlocs="2239874,0;2239874,0;0,5708650;1900307,5708650;1900307,5704835;2706382,5708650;2731770,5708650;2731770,5708650;2731770,5708650;2731770,0;2239874,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75ED88DE" wp14:editId="34A8A5F5">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8682E" w14:textId="77777777" w:rsidR="00FD3FC5" w:rsidRPr="009F69FA" w:rsidRDefault="00FD3FC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D88DE"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5728682E" w14:textId="77777777" w:rsidR="00FD3FC5" w:rsidRPr="009F69FA" w:rsidRDefault="00FD3FC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44F384D7" wp14:editId="4D3C07F8">
                <wp:simplePos x="0" y="0"/>
                <wp:positionH relativeFrom="page">
                  <wp:align>left</wp:align>
                </wp:positionH>
                <wp:positionV relativeFrom="page">
                  <wp:posOffset>8567420</wp:posOffset>
                </wp:positionV>
                <wp:extent cx="5554800" cy="370800"/>
                <wp:effectExtent l="0" t="0" r="8255" b="10795"/>
                <wp:wrapNone/>
                <wp:docPr id="4"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42DD4" w14:textId="77777777" w:rsidR="00FD3FC5" w:rsidRPr="00271B90" w:rsidRDefault="00FD3FC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84D7"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" filled="f" stroked="f" strokeweight=".5pt">
                <v:textbox inset="20mm,0,1mm,0">
                  <w:txbxContent>
                    <w:p w14:paraId="39E42DD4" w14:textId="77777777" w:rsidR="00FD3FC5" w:rsidRPr="00271B90" w:rsidRDefault="00FD3FC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7" behindDoc="1" locked="1" layoutInCell="1" allowOverlap="1" wp14:anchorId="130A8319" wp14:editId="22936A1F">
                <wp:simplePos x="0" y="0"/>
                <wp:positionH relativeFrom="page">
                  <wp:posOffset>357505</wp:posOffset>
                </wp:positionH>
                <wp:positionV relativeFrom="page">
                  <wp:posOffset>9072245</wp:posOffset>
                </wp:positionV>
                <wp:extent cx="6839585" cy="4318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AB015" w14:textId="607971D9" w:rsidR="00FD3FC5" w:rsidRPr="00455A7E" w:rsidRDefault="00FD3FC5" w:rsidP="00455A7E">
                            <w:pPr>
                              <w:pStyle w:val="TitleBarText"/>
                            </w:pPr>
                            <w:r>
                              <w:t>Planning Group</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8319" id="CoverProjectBar" o:spid="_x0000_s1028" type="#_x0000_t202" alt="Title: Decorative Cover Shape" style="position:absolute;margin-left:28.15pt;margin-top:714.35pt;width:538.55pt;height:3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" fillcolor="#201547" stroked="f" strokeweight=".5pt">
                <v:textbox inset="10mm,0,10mm,0">
                  <w:txbxContent>
                    <w:p w14:paraId="14AAB015" w14:textId="607971D9" w:rsidR="00FD3FC5" w:rsidRPr="00455A7E" w:rsidRDefault="00FD3FC5" w:rsidP="00455A7E">
                      <w:pPr>
                        <w:pStyle w:val="TitleBarText"/>
                      </w:pPr>
                      <w:r>
                        <w:t>Planning Group</w:t>
                      </w: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11903C85" wp14:editId="53C94DAA">
                <wp:simplePos x="0" y="0"/>
                <wp:positionH relativeFrom="page">
                  <wp:posOffset>358140</wp:posOffset>
                </wp:positionH>
                <wp:positionV relativeFrom="page">
                  <wp:posOffset>358140</wp:posOffset>
                </wp:positionV>
                <wp:extent cx="6839585" cy="3006090"/>
                <wp:effectExtent l="0" t="0" r="0" b="3810"/>
                <wp:wrapNone/>
                <wp:docPr id="6" name="CoverRectangle"/>
                <wp:cNvGraphicFramePr/>
                <a:graphic xmlns:a="http://schemas.openxmlformats.org/drawingml/2006/main">
                  <a:graphicData uri="http://schemas.microsoft.com/office/word/2010/wordprocessingShape">
                    <wps:wsp>
                      <wps:cNvSpPr/>
                      <wps:spPr>
                        <a:xfrm>
                          <a:off x="0" y="0"/>
                          <a:ext cx="6839585" cy="300609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E17EF" id="CoverRectangle" o:spid="_x0000_s1026" style="position:absolute;margin-left:28.2pt;margin-top:28.2pt;width:538.55pt;height:23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" fillcolor="#00b2a9" stroked="f" strokeweight="2pt">
                <w10:wrap anchorx="page" anchory="page"/>
                <w10:anchorlock/>
              </v:rect>
            </w:pict>
          </mc:Fallback>
        </mc:AlternateContent>
      </w:r>
    </w:p>
    <w:p w14:paraId="374F69B2"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15F2F08D" w14:textId="77777777" w:rsidTr="372C1C62">
        <w:trPr>
          <w:trHeight w:hRule="exact" w:val="2948"/>
        </w:trPr>
        <w:tc>
          <w:tcPr>
            <w:tcW w:w="7369" w:type="dxa"/>
            <w:vAlign w:val="center"/>
          </w:tcPr>
          <w:sdt>
            <w:sdtPr>
              <w:rPr>
                <w:b w:val="0"/>
                <w:iCs/>
                <w:spacing w:val="0"/>
                <w:sz w:val="32"/>
                <w:szCs w:val="24"/>
              </w:rPr>
              <w:alias w:val="CoverTitle"/>
              <w:tag w:val="CoverTitle"/>
              <w:id w:val="360867710"/>
              <w:lock w:val="sdtLocked"/>
              <w:placeholder>
                <w:docPart w:val="D7030B73B6E447D0B63C2295708711EC"/>
              </w:placeholder>
            </w:sdtPr>
            <w:sdtEndPr/>
            <w:sdtContent>
              <w:p w14:paraId="7C96A6DB" w14:textId="6D8A6804" w:rsidR="007C609B" w:rsidRDefault="00574689" w:rsidP="007C609B">
                <w:pPr>
                  <w:pStyle w:val="Title"/>
                </w:pPr>
                <w:r>
                  <w:t>Hous</w:t>
                </w:r>
                <w:r w:rsidR="007160F9">
                  <w:t>i</w:t>
                </w:r>
                <w:r w:rsidR="00335FFE">
                  <w:t>ng outcomes in e</w:t>
                </w:r>
                <w:r>
                  <w:t>stablished Melbourne 2005</w:t>
                </w:r>
                <w:r w:rsidR="00445CB4">
                  <w:t xml:space="preserve"> to 20</w:t>
                </w:r>
                <w:r>
                  <w:t>16</w:t>
                </w:r>
              </w:p>
              <w:p w14:paraId="19A9EB3B" w14:textId="738CD3EC" w:rsidR="00A038C0" w:rsidRDefault="00335FFE" w:rsidP="372C1C62">
                <w:pPr>
                  <w:pStyle w:val="Subtitle"/>
                </w:pPr>
                <w:bookmarkStart w:id="0" w:name="myBookmark"/>
                <w:r>
                  <w:t>Monitoring land use planning o</w:t>
                </w:r>
                <w:r w:rsidR="00A038C0">
                  <w:t xml:space="preserve">utcomes </w:t>
                </w:r>
              </w:p>
              <w:bookmarkEnd w:id="0"/>
              <w:p w14:paraId="3A8C0D8E" w14:textId="657F146E" w:rsidR="007C609B" w:rsidRDefault="007C609B" w:rsidP="372C1C62">
                <w:pPr>
                  <w:pStyle w:val="Subtitle"/>
                </w:pPr>
              </w:p>
              <w:p w14:paraId="29F0CCF1" w14:textId="77777777" w:rsidR="00512DFB" w:rsidRPr="00CB1FB7" w:rsidRDefault="00CA794F" w:rsidP="008734DB">
                <w:pPr>
                  <w:pStyle w:val="Subtitle"/>
                </w:pPr>
              </w:p>
            </w:sdtContent>
          </w:sdt>
          <w:p w14:paraId="05347BD8" w14:textId="77777777" w:rsidR="372C1C62" w:rsidRDefault="372C1C62"/>
        </w:tc>
      </w:tr>
      <w:tr w:rsidR="008B04E4" w14:paraId="24B5433C" w14:textId="77777777" w:rsidTr="372C1C62">
        <w:trPr>
          <w:trHeight w:hRule="exact" w:val="1757"/>
        </w:trPr>
        <w:sdt>
          <w:sdtPr>
            <w:alias w:val="ReportDate"/>
            <w:tag w:val="ReportDate"/>
            <w:id w:val="-2056611747"/>
            <w:placeholder>
              <w:docPart w:val="209BC6F9BB4D49BBA402FDFD2CA9724A"/>
            </w:placeholder>
          </w:sdtPr>
          <w:sdtEndPr/>
          <w:sdtContent>
            <w:tc>
              <w:tcPr>
                <w:tcW w:w="7369" w:type="dxa"/>
                <w:vAlign w:val="center"/>
              </w:tcPr>
              <w:p w14:paraId="24031123" w14:textId="233AE45E" w:rsidR="008B04E4" w:rsidRDefault="00591842" w:rsidP="008734DB">
                <w:pPr>
                  <w:pStyle w:val="Subtitle"/>
                </w:pPr>
                <w:r>
                  <w:t>March 2018</w:t>
                </w:r>
              </w:p>
            </w:tc>
          </w:sdtContent>
        </w:sdt>
      </w:tr>
      <w:tr w:rsidR="008B04E4" w14:paraId="4CED2CC1" w14:textId="77777777" w:rsidTr="372C1C62">
        <w:trPr>
          <w:trHeight w:hRule="exact" w:val="680"/>
        </w:trPr>
        <w:tc>
          <w:tcPr>
            <w:tcW w:w="7369" w:type="dxa"/>
            <w:vAlign w:val="bottom"/>
          </w:tcPr>
          <w:p w14:paraId="58E10E44" w14:textId="706C79F1" w:rsidR="008B04E4" w:rsidRDefault="00591842" w:rsidP="007C609B">
            <w:pPr>
              <w:pStyle w:val="Subtitle"/>
            </w:pPr>
            <w:r>
              <w:rPr>
                <w:noProof/>
              </w:rPr>
              <w:drawing>
                <wp:anchor distT="0" distB="0" distL="114300" distR="114300" simplePos="0" relativeHeight="251661312" behindDoc="1" locked="0" layoutInCell="1" allowOverlap="1" wp14:anchorId="315E3188" wp14:editId="325A7751">
                  <wp:simplePos x="0" y="0"/>
                  <wp:positionH relativeFrom="column">
                    <wp:posOffset>-1865630</wp:posOffset>
                  </wp:positionH>
                  <wp:positionV relativeFrom="paragraph">
                    <wp:posOffset>-425450</wp:posOffset>
                  </wp:positionV>
                  <wp:extent cx="6843395" cy="57200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Croped.JPG"/>
                          <pic:cNvPicPr/>
                        </pic:nvPicPr>
                        <pic:blipFill rotWithShape="1">
                          <a:blip r:embed="rId14"/>
                          <a:srcRect l="10275"/>
                          <a:stretch/>
                        </pic:blipFill>
                        <pic:spPr bwMode="auto">
                          <a:xfrm>
                            <a:off x="0" y="0"/>
                            <a:ext cx="6843395" cy="572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1DAD117" w14:textId="77777777" w:rsidR="00D73B6C" w:rsidRDefault="00D73B6C"/>
    <w:p w14:paraId="02942531" w14:textId="6352895C" w:rsidR="00D73B6C" w:rsidRPr="00D55628" w:rsidRDefault="008F0B33">
      <w:r w:rsidRPr="00D55628">
        <w:rPr>
          <w:noProof/>
        </w:rPr>
        <mc:AlternateContent>
          <mc:Choice Requires="wps">
            <w:drawing>
              <wp:anchor distT="0" distB="0" distL="114300" distR="114300" simplePos="0" relativeHeight="251654144" behindDoc="0" locked="0" layoutInCell="1" allowOverlap="1" wp14:anchorId="5B5C750D" wp14:editId="0503580E">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D3FC5" w:rsidRPr="00AB780B" w14:paraId="025A09F8" w14:textId="77777777" w:rsidTr="00AA4BE4">
                              <w:trPr>
                                <w:trHeight w:hRule="exact" w:val="964"/>
                                <w:tblCellSpacing w:w="71" w:type="dxa"/>
                              </w:trPr>
                              <w:tc>
                                <w:tcPr>
                                  <w:tcW w:w="1204" w:type="dxa"/>
                                  <w:vAlign w:val="bottom"/>
                                </w:tcPr>
                                <w:p w14:paraId="56E905E6" w14:textId="77777777" w:rsidR="00FD3FC5" w:rsidRPr="00D55628" w:rsidRDefault="00FD3FC5" w:rsidP="00D55628">
                                  <w:r w:rsidRPr="00D55628">
                                    <w:rPr>
                                      <w:noProof/>
                                    </w:rPr>
                                    <w:drawing>
                                      <wp:inline distT="0" distB="0" distL="0" distR="0" wp14:anchorId="381D403D" wp14:editId="5536327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49424F1" w14:textId="77777777" w:rsidR="00FD3FC5" w:rsidRPr="00D55628" w:rsidRDefault="00FD3FC5" w:rsidP="00D55628">
                                  <w:r w:rsidRPr="00D55628">
                                    <w:rPr>
                                      <w:noProof/>
                                    </w:rPr>
                                    <w:drawing>
                                      <wp:inline distT="0" distB="0" distL="0" distR="0" wp14:anchorId="1B3AAB97" wp14:editId="34D587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33D2F75" w14:textId="77777777" w:rsidR="00FD3FC5" w:rsidRDefault="00FD3FC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750D" id="CoverCoBranded" o:spid="_x0000_s1029" type="#_x0000_t202" alt="Title: CoBranding Logos" style="position:absolute;margin-left:0;margin-top:0;width:371.35pt;height:89pt;z-index:2516541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D3FC5" w:rsidRPr="00AB780B" w14:paraId="025A09F8" w14:textId="77777777" w:rsidTr="00AA4BE4">
                        <w:trPr>
                          <w:trHeight w:hRule="exact" w:val="964"/>
                          <w:tblCellSpacing w:w="71" w:type="dxa"/>
                        </w:trPr>
                        <w:tc>
                          <w:tcPr>
                            <w:tcW w:w="1204" w:type="dxa"/>
                            <w:vAlign w:val="bottom"/>
                          </w:tcPr>
                          <w:p w14:paraId="56E905E6" w14:textId="77777777" w:rsidR="00FD3FC5" w:rsidRPr="00D55628" w:rsidRDefault="00FD3FC5" w:rsidP="00D55628">
                            <w:r w:rsidRPr="00D55628">
                              <w:rPr>
                                <w:noProof/>
                              </w:rPr>
                              <w:drawing>
                                <wp:inline distT="0" distB="0" distL="0" distR="0" wp14:anchorId="381D403D" wp14:editId="5536327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49424F1" w14:textId="77777777" w:rsidR="00FD3FC5" w:rsidRPr="00D55628" w:rsidRDefault="00FD3FC5" w:rsidP="00D55628">
                            <w:r w:rsidRPr="00D55628">
                              <w:rPr>
                                <w:noProof/>
                              </w:rPr>
                              <w:drawing>
                                <wp:inline distT="0" distB="0" distL="0" distR="0" wp14:anchorId="1B3AAB97" wp14:editId="34D587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33D2F75" w14:textId="77777777" w:rsidR="00FD3FC5" w:rsidRDefault="00FD3FC5"/>
                  </w:txbxContent>
                </v:textbox>
                <w10:wrap anchorx="page" anchory="page"/>
              </v:shape>
            </w:pict>
          </mc:Fallback>
        </mc:AlternateContent>
      </w:r>
    </w:p>
    <w:p w14:paraId="0863875F" w14:textId="1D7C759C" w:rsidR="00D73B6C" w:rsidRPr="00D55628" w:rsidRDefault="00D73B6C">
      <w:pPr>
        <w:sectPr w:rsidR="00D73B6C" w:rsidRPr="00D55628" w:rsidSect="00E542C2">
          <w:headerReference w:type="default" r:id="rId17"/>
          <w:footerReference w:type="even" r:id="rId18"/>
          <w:footerReference w:type="default" r:id="rId19"/>
          <w:footerReference w:type="first" r:id="rId20"/>
          <w:pgSz w:w="11907" w:h="16840" w:code="9"/>
          <w:pgMar w:top="1134" w:right="1134" w:bottom="1134" w:left="1134" w:header="284" w:footer="284" w:gutter="0"/>
          <w:cols w:space="708"/>
          <w:titlePg/>
          <w:docGrid w:linePitch="360"/>
        </w:sectPr>
      </w:pPr>
    </w:p>
    <w:p w14:paraId="6D4CEE53"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8246" behindDoc="0" locked="1" layoutInCell="1" allowOverlap="1" wp14:anchorId="6C55CCE0" wp14:editId="32A1ABA1">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FD3FC5" w:rsidRPr="00AB780B" w14:paraId="6B8F6959" w14:textId="77777777" w:rsidTr="00DC7231">
                              <w:trPr>
                                <w:trHeight w:hRule="exact" w:val="1247"/>
                                <w:tblCellSpacing w:w="71" w:type="dxa"/>
                              </w:trPr>
                              <w:tc>
                                <w:tcPr>
                                  <w:tcW w:w="1601" w:type="dxa"/>
                                  <w:vAlign w:val="center"/>
                                </w:tcPr>
                                <w:p w14:paraId="0F97B7B5" w14:textId="77777777" w:rsidR="00FD3FC5" w:rsidRPr="00D55628" w:rsidRDefault="00FD3FC5" w:rsidP="00D55628">
                                  <w:r w:rsidRPr="00D55628">
                                    <w:rPr>
                                      <w:noProof/>
                                    </w:rPr>
                                    <w:drawing>
                                      <wp:inline distT="0" distB="0" distL="0" distR="0" wp14:anchorId="7EC4325F" wp14:editId="47CD5DDF">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6F53A0" w14:textId="77777777" w:rsidR="00FD3FC5" w:rsidRPr="00D55628" w:rsidRDefault="00FD3FC5" w:rsidP="00D55628">
                                  <w:r w:rsidRPr="00D55628">
                                    <w:rPr>
                                      <w:noProof/>
                                    </w:rPr>
                                    <w:drawing>
                                      <wp:inline distT="0" distB="0" distL="0" distR="0" wp14:anchorId="2C971B7D" wp14:editId="3C065E5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BE7F5CC" w14:textId="77777777" w:rsidR="00FD3FC5" w:rsidRPr="00D55628" w:rsidRDefault="00FD3FC5" w:rsidP="00D55628">
                                  <w:r w:rsidRPr="00D55628">
                                    <w:rPr>
                                      <w:noProof/>
                                    </w:rPr>
                                    <w:drawing>
                                      <wp:inline distT="0" distB="0" distL="0" distR="0" wp14:anchorId="5B5DA723" wp14:editId="32E1D5C3">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CCD5053" w14:textId="77777777" w:rsidR="00FD3FC5" w:rsidRPr="00D55628" w:rsidRDefault="00FD3FC5" w:rsidP="00D55628">
                                  <w:r w:rsidRPr="00D55628">
                                    <w:rPr>
                                      <w:noProof/>
                                    </w:rPr>
                                    <w:drawing>
                                      <wp:inline distT="0" distB="0" distL="0" distR="0" wp14:anchorId="1CD270D6" wp14:editId="503F70CC">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FD3FC5" w:rsidRPr="00AB780B" w14:paraId="4B431B11" w14:textId="77777777" w:rsidTr="00DC7231">
                              <w:trPr>
                                <w:trHeight w:hRule="exact" w:val="1247"/>
                                <w:tblCellSpacing w:w="71" w:type="dxa"/>
                              </w:trPr>
                              <w:tc>
                                <w:tcPr>
                                  <w:tcW w:w="1601" w:type="dxa"/>
                                  <w:vAlign w:val="center"/>
                                </w:tcPr>
                                <w:p w14:paraId="77C97C6E" w14:textId="77777777" w:rsidR="00FD3FC5" w:rsidRPr="00D55628" w:rsidRDefault="00FD3FC5" w:rsidP="00D55628">
                                  <w:pPr>
                                    <w:rPr>
                                      <w:noProof/>
                                    </w:rPr>
                                  </w:pPr>
                                  <w:r>
                                    <w:rPr>
                                      <w:noProof/>
                                    </w:rPr>
                                    <w:drawing>
                                      <wp:inline distT="0" distB="0" distL="0" distR="0" wp14:anchorId="2CD71EA6" wp14:editId="53BF864B">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B786F8" w14:textId="77777777" w:rsidR="00FD3FC5" w:rsidRPr="00D55628" w:rsidRDefault="00FD3FC5" w:rsidP="00D55628">
                                  <w:pPr>
                                    <w:rPr>
                                      <w:noProof/>
                                    </w:rPr>
                                  </w:pPr>
                                  <w:r>
                                    <w:rPr>
                                      <w:noProof/>
                                    </w:rPr>
                                    <w:drawing>
                                      <wp:inline distT="0" distB="0" distL="0" distR="0" wp14:anchorId="758FC9BA" wp14:editId="283AE6A6">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C18713" w14:textId="77777777" w:rsidR="00FD3FC5" w:rsidRPr="00D55628" w:rsidRDefault="00FD3FC5" w:rsidP="00D55628">
                                  <w:pPr>
                                    <w:rPr>
                                      <w:noProof/>
                                    </w:rPr>
                                  </w:pPr>
                                  <w:r>
                                    <w:rPr>
                                      <w:noProof/>
                                    </w:rPr>
                                    <w:drawing>
                                      <wp:inline distT="0" distB="0" distL="0" distR="0" wp14:anchorId="76AF2E5E" wp14:editId="3992B19A">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967B978" w14:textId="77777777" w:rsidR="00FD3FC5" w:rsidRPr="00D55628" w:rsidRDefault="00FD3FC5" w:rsidP="00D55628">
                                  <w:pPr>
                                    <w:rPr>
                                      <w:noProof/>
                                    </w:rPr>
                                  </w:pPr>
                                  <w:r>
                                    <w:rPr>
                                      <w:noProof/>
                                    </w:rPr>
                                    <w:drawing>
                                      <wp:inline distT="0" distB="0" distL="0" distR="0" wp14:anchorId="4BB438B0" wp14:editId="5BEF8650">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8723949" w14:textId="77777777" w:rsidR="00FD3FC5" w:rsidRPr="00D55628" w:rsidRDefault="00FD3FC5"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55CCE0" id="InsideCoverCoBrand" o:spid="_x0000_s1030" type="#_x0000_t202" alt="Title: Co-Branding Logos" style="position:absolute;margin-left:0;margin-top:0;width:595.55pt;height:193.3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FD3FC5" w:rsidRPr="00AB780B" w14:paraId="6B8F6959" w14:textId="77777777" w:rsidTr="00DC7231">
                        <w:trPr>
                          <w:trHeight w:hRule="exact" w:val="1247"/>
                          <w:tblCellSpacing w:w="71" w:type="dxa"/>
                        </w:trPr>
                        <w:tc>
                          <w:tcPr>
                            <w:tcW w:w="1601" w:type="dxa"/>
                            <w:vAlign w:val="center"/>
                          </w:tcPr>
                          <w:p w14:paraId="0F97B7B5" w14:textId="77777777" w:rsidR="00FD3FC5" w:rsidRPr="00D55628" w:rsidRDefault="00FD3FC5" w:rsidP="00D55628">
                            <w:r w:rsidRPr="00D55628">
                              <w:rPr>
                                <w:noProof/>
                              </w:rPr>
                              <w:drawing>
                                <wp:inline distT="0" distB="0" distL="0" distR="0" wp14:anchorId="7EC4325F" wp14:editId="47CD5DDF">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6F53A0" w14:textId="77777777" w:rsidR="00FD3FC5" w:rsidRPr="00D55628" w:rsidRDefault="00FD3FC5" w:rsidP="00D55628">
                            <w:r w:rsidRPr="00D55628">
                              <w:rPr>
                                <w:noProof/>
                              </w:rPr>
                              <w:drawing>
                                <wp:inline distT="0" distB="0" distL="0" distR="0" wp14:anchorId="2C971B7D" wp14:editId="3C065E55">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BE7F5CC" w14:textId="77777777" w:rsidR="00FD3FC5" w:rsidRPr="00D55628" w:rsidRDefault="00FD3FC5" w:rsidP="00D55628">
                            <w:r w:rsidRPr="00D55628">
                              <w:rPr>
                                <w:noProof/>
                              </w:rPr>
                              <w:drawing>
                                <wp:inline distT="0" distB="0" distL="0" distR="0" wp14:anchorId="5B5DA723" wp14:editId="32E1D5C3">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CCD5053" w14:textId="77777777" w:rsidR="00FD3FC5" w:rsidRPr="00D55628" w:rsidRDefault="00FD3FC5" w:rsidP="00D55628">
                            <w:r w:rsidRPr="00D55628">
                              <w:rPr>
                                <w:noProof/>
                              </w:rPr>
                              <w:drawing>
                                <wp:inline distT="0" distB="0" distL="0" distR="0" wp14:anchorId="1CD270D6" wp14:editId="503F70CC">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FD3FC5" w:rsidRPr="00AB780B" w14:paraId="4B431B11" w14:textId="77777777" w:rsidTr="00DC7231">
                        <w:trPr>
                          <w:trHeight w:hRule="exact" w:val="1247"/>
                          <w:tblCellSpacing w:w="71" w:type="dxa"/>
                        </w:trPr>
                        <w:tc>
                          <w:tcPr>
                            <w:tcW w:w="1601" w:type="dxa"/>
                            <w:vAlign w:val="center"/>
                          </w:tcPr>
                          <w:p w14:paraId="77C97C6E" w14:textId="77777777" w:rsidR="00FD3FC5" w:rsidRPr="00D55628" w:rsidRDefault="00FD3FC5" w:rsidP="00D55628">
                            <w:pPr>
                              <w:rPr>
                                <w:noProof/>
                              </w:rPr>
                            </w:pPr>
                            <w:r>
                              <w:rPr>
                                <w:noProof/>
                              </w:rPr>
                              <w:drawing>
                                <wp:inline distT="0" distB="0" distL="0" distR="0" wp14:anchorId="2CD71EA6" wp14:editId="53BF864B">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7B786F8" w14:textId="77777777" w:rsidR="00FD3FC5" w:rsidRPr="00D55628" w:rsidRDefault="00FD3FC5" w:rsidP="00D55628">
                            <w:pPr>
                              <w:rPr>
                                <w:noProof/>
                              </w:rPr>
                            </w:pPr>
                            <w:r>
                              <w:rPr>
                                <w:noProof/>
                              </w:rPr>
                              <w:drawing>
                                <wp:inline distT="0" distB="0" distL="0" distR="0" wp14:anchorId="758FC9BA" wp14:editId="283AE6A6">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C18713" w14:textId="77777777" w:rsidR="00FD3FC5" w:rsidRPr="00D55628" w:rsidRDefault="00FD3FC5" w:rsidP="00D55628">
                            <w:pPr>
                              <w:rPr>
                                <w:noProof/>
                              </w:rPr>
                            </w:pPr>
                            <w:r>
                              <w:rPr>
                                <w:noProof/>
                              </w:rPr>
                              <w:drawing>
                                <wp:inline distT="0" distB="0" distL="0" distR="0" wp14:anchorId="76AF2E5E" wp14:editId="3992B19A">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967B978" w14:textId="77777777" w:rsidR="00FD3FC5" w:rsidRPr="00D55628" w:rsidRDefault="00FD3FC5" w:rsidP="00D55628">
                            <w:pPr>
                              <w:rPr>
                                <w:noProof/>
                              </w:rPr>
                            </w:pPr>
                            <w:r>
                              <w:rPr>
                                <w:noProof/>
                              </w:rPr>
                              <w:drawing>
                                <wp:inline distT="0" distB="0" distL="0" distR="0" wp14:anchorId="4BB438B0" wp14:editId="5BEF8650">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8723949" w14:textId="77777777" w:rsidR="00FD3FC5" w:rsidRPr="00D55628" w:rsidRDefault="00FD3FC5" w:rsidP="005614D2">
                      <w:pPr>
                        <w:pStyle w:val="xDisclaimerText"/>
                      </w:pPr>
                    </w:p>
                  </w:txbxContent>
                </v:textbox>
                <w10:wrap type="topAndBottom" anchorx="page" anchory="page"/>
                <w10:anchorlock/>
              </v:shape>
            </w:pict>
          </mc:Fallback>
        </mc:AlternateContent>
      </w:r>
    </w:p>
    <w:p w14:paraId="3B5FDA6F" w14:textId="77777777" w:rsidR="00AB780B" w:rsidRDefault="372C1C62" w:rsidP="00A04486">
      <w:pPr>
        <w:pStyle w:val="SmallHeading"/>
        <w:spacing w:before="0"/>
      </w:pPr>
      <w:r>
        <w:t>Photo credit</w:t>
      </w:r>
    </w:p>
    <w:p w14:paraId="674B9B6E" w14:textId="77777777" w:rsidR="00BF162E" w:rsidRDefault="372C1C62" w:rsidP="00446920">
      <w:pPr>
        <w:pStyle w:val="SmallBodyText"/>
      </w:pPr>
      <w:r>
        <w:t>© State of Victoria, DELWP.</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983E8AD" w14:textId="77777777" w:rsidTr="372C1C62">
        <w:tc>
          <w:tcPr>
            <w:tcW w:w="5000" w:type="pct"/>
            <w:vAlign w:val="bottom"/>
          </w:tcPr>
          <w:p w14:paraId="5A96B343" w14:textId="5077ADF5" w:rsidR="009E7150" w:rsidRPr="00D55628" w:rsidRDefault="372C1C62" w:rsidP="009E7150">
            <w:pPr>
              <w:pStyle w:val="xDisclaimertext3"/>
            </w:pPr>
            <w:r>
              <w:t xml:space="preserve">© The State of Victoria Department of Environment, Land, Water and </w:t>
            </w:r>
            <w:r w:rsidR="00B26C74">
              <w:t>Planning 2018</w:t>
            </w:r>
          </w:p>
          <w:p w14:paraId="6267E52F" w14:textId="77777777" w:rsidR="009E7150" w:rsidRPr="00D55628" w:rsidRDefault="009E7150" w:rsidP="009E7150">
            <w:pPr>
              <w:pStyle w:val="xDisclaimertext3"/>
            </w:pPr>
            <w:bookmarkStart w:id="4" w:name="_CreativeCommonsMarker"/>
            <w:bookmarkEnd w:id="4"/>
            <w:r w:rsidRPr="00D55628">
              <w:rPr>
                <w:noProof/>
              </w:rPr>
              <w:drawing>
                <wp:anchor distT="0" distB="0" distL="114300" distR="114300" simplePos="0" relativeHeight="251658241" behindDoc="0" locked="1" layoutInCell="1" allowOverlap="1" wp14:anchorId="7F421BDF" wp14:editId="263438C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2" w:history="1">
              <w:r w:rsidRPr="00D55628">
                <w:t>http://creativecommons.org/licenses/by/4.0/</w:t>
              </w:r>
            </w:hyperlink>
            <w:r w:rsidRPr="00D55628">
              <w:t xml:space="preserve"> </w:t>
            </w:r>
          </w:p>
          <w:p w14:paraId="395E12BD" w14:textId="4E83D374" w:rsidR="009E7150" w:rsidRPr="00D55628" w:rsidRDefault="009E7150" w:rsidP="009E7150">
            <w:pPr>
              <w:pStyle w:val="xDisclaimertext3"/>
            </w:pPr>
            <w:r w:rsidRPr="0084503F">
              <w:t xml:space="preserve">ISBN </w:t>
            </w:r>
            <w:r w:rsidR="00F546F2" w:rsidRPr="00F546F2">
              <w:t>978-1-76047-995-4</w:t>
            </w:r>
            <w:r w:rsidRPr="00D55628">
              <w:t xml:space="preserve"> (print)</w:t>
            </w:r>
          </w:p>
          <w:p w14:paraId="6901B346" w14:textId="6D2A4C4B" w:rsidR="009E7150" w:rsidRPr="00D55628" w:rsidRDefault="009E7150" w:rsidP="009E7150">
            <w:pPr>
              <w:pStyle w:val="xDisclaimerText"/>
            </w:pPr>
            <w:r w:rsidRPr="0084503F">
              <w:t xml:space="preserve">ISBN </w:t>
            </w:r>
            <w:r w:rsidR="00F546F2" w:rsidRPr="00F546F2">
              <w:t>978-1-76047-996-1</w:t>
            </w:r>
            <w:r w:rsidRPr="00D55628">
              <w:t xml:space="preserve"> (pdf)</w:t>
            </w:r>
          </w:p>
          <w:p w14:paraId="014783BD" w14:textId="77777777" w:rsidR="009E7150" w:rsidRPr="00D55628" w:rsidRDefault="372C1C62" w:rsidP="009E7150">
            <w:pPr>
              <w:pStyle w:val="xDisclaimerHeading"/>
            </w:pPr>
            <w:r>
              <w:t>Disclaimer</w:t>
            </w:r>
          </w:p>
          <w:p w14:paraId="2F958E14" w14:textId="77777777" w:rsidR="009E7150" w:rsidRPr="00D55628" w:rsidRDefault="372C1C62" w:rsidP="009E7150">
            <w:pPr>
              <w:pStyle w:val="xDisclaimerTex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7785363" w14:textId="77777777" w:rsidR="009E7150" w:rsidRPr="00D55628" w:rsidRDefault="372C1C62" w:rsidP="009E7150">
            <w:pPr>
              <w:pStyle w:val="xAccessibilityHeading"/>
            </w:pPr>
            <w:r>
              <w:t>Accessibility</w:t>
            </w:r>
          </w:p>
          <w:p w14:paraId="7E23ABD4" w14:textId="1CB3ED6E"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3" w:history="1">
              <w:r w:rsidRPr="00D55628">
                <w:t>customer.service@delwp.vic.gov.au</w:t>
              </w:r>
            </w:hyperlink>
            <w:r w:rsidRPr="00D55628">
              <w:t xml:space="preserve"> HYPERLINK "http://www.relayservice.com.au"</w:t>
            </w:r>
            <w:r w:rsidR="372C1C62">
              <w:t>www.relayservice.com.au</w:t>
            </w:r>
            <w:r w:rsidRPr="00D55628">
              <w:t xml:space="preserve">. This document is also available on the internet at </w:t>
            </w:r>
            <w:hyperlink r:id="rId24" w:history="1">
              <w:r w:rsidR="00C55E26" w:rsidRPr="0013527E">
                <w:rPr>
                  <w:rStyle w:val="Hyperlink"/>
                </w:rPr>
                <w:t>www.</w:t>
              </w:r>
              <w:r w:rsidR="00C55E26" w:rsidRPr="0013527E" w:rsidDel="00C55E26">
                <w:rPr>
                  <w:rStyle w:val="Hyperlink"/>
                </w:rPr>
                <w:t>delwp</w:t>
              </w:r>
              <w:r w:rsidR="00C55E26" w:rsidRPr="0013527E">
                <w:rPr>
                  <w:rStyle w:val="Hyperlink"/>
                </w:rPr>
                <w:t>planning.vic.gov.au</w:t>
              </w:r>
            </w:hyperlink>
            <w:r w:rsidRPr="00D55628">
              <w:t>.</w:t>
            </w:r>
          </w:p>
        </w:tc>
      </w:tr>
    </w:tbl>
    <w:p w14:paraId="14821270" w14:textId="77777777" w:rsidR="00A04486" w:rsidRDefault="00A04486">
      <w:pPr>
        <w:sectPr w:rsidR="00A04486" w:rsidSect="00E542C2">
          <w:headerReference w:type="even" r:id="rId25"/>
          <w:footerReference w:type="even" r:id="rId26"/>
          <w:headerReference w:type="first" r:id="rId27"/>
          <w:footerReference w:type="first" r:id="rId28"/>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2BD52CD6" w14:textId="77777777" w:rsidTr="372C1C62">
        <w:tc>
          <w:tcPr>
            <w:tcW w:w="7370" w:type="dxa"/>
            <w:tcMar>
              <w:bottom w:w="567" w:type="dxa"/>
            </w:tcMar>
          </w:tcPr>
          <w:sdt>
            <w:sdtPr>
              <w:rPr>
                <w:b w:val="0"/>
                <w:iCs/>
                <w:spacing w:val="0"/>
                <w:sz w:val="32"/>
                <w:szCs w:val="24"/>
              </w:rPr>
              <w:alias w:val="CoverTitle2"/>
              <w:tag w:val="CoverTitle2"/>
              <w:id w:val="1622960908"/>
              <w:lock w:val="sdtLocked"/>
              <w:placeholder>
                <w:docPart w:val="AB8C947A3358477E9337DD7783F41551"/>
              </w:placeholder>
            </w:sdtPr>
            <w:sdtEndPr/>
            <w:sdtContent>
              <w:p w14:paraId="5D0A0124" w14:textId="4DE0FCBD" w:rsidR="007C609B" w:rsidRDefault="00335FFE" w:rsidP="007C609B">
                <w:pPr>
                  <w:pStyle w:val="TitleBlack"/>
                </w:pPr>
                <w:r>
                  <w:t>Housing outcomes in e</w:t>
                </w:r>
                <w:r w:rsidR="00445CB4">
                  <w:t xml:space="preserve">stablished Melbourne – 2005 to 2016 </w:t>
                </w:r>
              </w:p>
              <w:p w14:paraId="0FED9E7E" w14:textId="0081593D" w:rsidR="00A038C0" w:rsidRDefault="00335FFE" w:rsidP="372C1C62">
                <w:pPr>
                  <w:pStyle w:val="SubtitleBlack"/>
                </w:pPr>
                <w:r>
                  <w:t>Monitoring land use planning o</w:t>
                </w:r>
                <w:r w:rsidR="00A038C0" w:rsidRPr="00A038C0">
                  <w:t xml:space="preserve">utcomes </w:t>
                </w:r>
              </w:p>
              <w:p w14:paraId="5828AF2D" w14:textId="77777777" w:rsidR="00A04486" w:rsidRPr="00556A21" w:rsidRDefault="00CA794F" w:rsidP="003C6351">
                <w:pPr>
                  <w:pStyle w:val="SubtitleBlack"/>
                </w:pPr>
              </w:p>
            </w:sdtContent>
          </w:sdt>
          <w:p w14:paraId="7EEB5BF6" w14:textId="77777777" w:rsidR="372C1C62" w:rsidRDefault="372C1C62"/>
        </w:tc>
      </w:tr>
    </w:tbl>
    <w:p w14:paraId="2C25DF44" w14:textId="77777777" w:rsidR="00A04486" w:rsidRPr="003C6351" w:rsidRDefault="00A04486"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A04486" w14:paraId="40D5F062" w14:textId="77777777" w:rsidTr="372C1C62">
        <w:tc>
          <w:tcPr>
            <w:tcW w:w="9855" w:type="dxa"/>
          </w:tcPr>
          <w:p w14:paraId="43F2FF28" w14:textId="0856EBD3" w:rsidR="00A04486" w:rsidRDefault="00CA794F" w:rsidP="00211CA6">
            <w:pPr>
              <w:pStyle w:val="BodyText"/>
            </w:pPr>
            <w:r>
              <w:fldChar w:fldCharType="begin"/>
            </w:r>
            <w:r>
              <w:instrText xml:space="preserve"> DOCPROPERTY  xDate  \* MERGEFORMAT </w:instrText>
            </w:r>
            <w:r>
              <w:fldChar w:fldCharType="separate"/>
            </w:r>
            <w:r w:rsidR="00C55E26">
              <w:t>March 2018</w:t>
            </w:r>
            <w:r>
              <w:fldChar w:fldCharType="end"/>
            </w:r>
          </w:p>
          <w:p w14:paraId="5C3377FF" w14:textId="77777777" w:rsidR="00A04486" w:rsidRDefault="372C1C62" w:rsidP="00211CA6">
            <w:pPr>
              <w:pStyle w:val="BodyText"/>
              <w:tabs>
                <w:tab w:val="left" w:pos="7185"/>
              </w:tabs>
            </w:pPr>
            <w:r>
              <w:t>Land Use and Population Research, DELWP</w:t>
            </w:r>
          </w:p>
          <w:p w14:paraId="3D8F6301" w14:textId="77777777" w:rsidR="008734DB" w:rsidRDefault="008734DB" w:rsidP="008734DB">
            <w:pPr>
              <w:pStyle w:val="BodyText"/>
            </w:pPr>
          </w:p>
        </w:tc>
      </w:tr>
    </w:tbl>
    <w:p w14:paraId="6A73C354" w14:textId="77777777" w:rsidR="00F16447" w:rsidRDefault="00F16447" w:rsidP="003C6351">
      <w:pPr>
        <w:pStyle w:val="SubtitleBlack"/>
      </w:pPr>
    </w:p>
    <w:p w14:paraId="761964A6" w14:textId="77777777" w:rsidR="00A04486" w:rsidRDefault="00A04486">
      <w:r>
        <w:br w:type="page"/>
      </w:r>
    </w:p>
    <w:p w14:paraId="47372D2A" w14:textId="77777777"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72BB1778" w14:textId="77777777" w:rsidTr="372C1C62">
        <w:tc>
          <w:tcPr>
            <w:tcW w:w="5000" w:type="pct"/>
          </w:tcPr>
          <w:p w14:paraId="2ACC7DA6" w14:textId="77777777" w:rsidR="00A04486" w:rsidRDefault="372C1C62" w:rsidP="00211CA6">
            <w:pPr>
              <w:pStyle w:val="xDisclaimerHeading"/>
            </w:pPr>
            <w:r>
              <w:t>Report produced by:</w:t>
            </w:r>
          </w:p>
          <w:p w14:paraId="01FD1789" w14:textId="77777777" w:rsidR="00A04486" w:rsidRDefault="372C1C62" w:rsidP="00211CA6">
            <w:pPr>
              <w:pStyle w:val="xDisclaimerText"/>
            </w:pPr>
            <w:r>
              <w:t>Land Use and Population Research</w:t>
            </w:r>
          </w:p>
          <w:p w14:paraId="657C8828" w14:textId="77777777" w:rsidR="00A04486" w:rsidRDefault="372C1C62" w:rsidP="00211CA6">
            <w:pPr>
              <w:pStyle w:val="xDisclaimerText"/>
            </w:pPr>
            <w:r>
              <w:t>Department of Environment, Land, Water and Planning</w:t>
            </w:r>
          </w:p>
          <w:p w14:paraId="758058DF" w14:textId="77777777" w:rsidR="00A04486" w:rsidRDefault="372C1C62" w:rsidP="00211CA6">
            <w:pPr>
              <w:pStyle w:val="xDisclaimerText"/>
            </w:pPr>
            <w:r>
              <w:t>8 Nicholson Street</w:t>
            </w:r>
          </w:p>
          <w:p w14:paraId="57DE5AE5" w14:textId="77777777" w:rsidR="00A04486" w:rsidRDefault="372C1C62" w:rsidP="00211CA6">
            <w:pPr>
              <w:pStyle w:val="xDisclaimerText"/>
            </w:pPr>
            <w:r>
              <w:t>East Melbourne, 3002</w:t>
            </w:r>
          </w:p>
          <w:p w14:paraId="0851F503" w14:textId="77777777" w:rsidR="00A04486" w:rsidRDefault="372C1C62" w:rsidP="00211CA6">
            <w:pPr>
              <w:pStyle w:val="xDisclaimerText"/>
            </w:pPr>
            <w:r>
              <w:t>Website: www.delwp.vic.gov.au/</w:t>
            </w:r>
          </w:p>
          <w:p w14:paraId="4B312432" w14:textId="77777777" w:rsidR="00A04486" w:rsidRDefault="372C1C62" w:rsidP="007C609B">
            <w:pPr>
              <w:pStyle w:val="xDisclaimerHeading"/>
            </w:pPr>
            <w:r>
              <w:t>Citation</w:t>
            </w:r>
          </w:p>
          <w:p w14:paraId="37465D2B" w14:textId="292C5E20" w:rsidR="00A04486" w:rsidRDefault="00C55E26" w:rsidP="00211CA6">
            <w:pPr>
              <w:pStyle w:val="xDisclaimerText"/>
            </w:pPr>
            <w:r>
              <w:t>Department of Environment, Land, Water and Planning</w:t>
            </w:r>
            <w:r w:rsidR="00AF2427">
              <w:t>,</w:t>
            </w:r>
            <w:r w:rsidR="00335FFE">
              <w:t xml:space="preserve"> </w:t>
            </w:r>
            <w:r w:rsidR="00AF2427">
              <w:t>2</w:t>
            </w:r>
            <w:r w:rsidR="372C1C62">
              <w:t>018</w:t>
            </w:r>
          </w:p>
          <w:p w14:paraId="21710DA5" w14:textId="7D981B0D" w:rsidR="00A04486" w:rsidRDefault="00C55E26" w:rsidP="00211CA6">
            <w:pPr>
              <w:pStyle w:val="xDisclaimerText"/>
            </w:pPr>
            <w:r>
              <w:t>Housing Outcomes in Established Melbourne 2015 to 2016c – Monitoring Land Use Planning Outcomes</w:t>
            </w:r>
          </w:p>
          <w:p w14:paraId="09253050" w14:textId="15491AC6" w:rsidR="00A04486" w:rsidRDefault="372C1C62" w:rsidP="00211CA6">
            <w:pPr>
              <w:pStyle w:val="xDisclaimerText"/>
            </w:pPr>
            <w:r>
              <w:t>Department of Environment, Land, Wat</w:t>
            </w:r>
            <w:r w:rsidR="00AF2427">
              <w:t>er and Planning, East Melbourne</w:t>
            </w:r>
            <w:r>
              <w:t>, Victoria</w:t>
            </w:r>
          </w:p>
        </w:tc>
      </w:tr>
    </w:tbl>
    <w:p w14:paraId="0E804F75"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6B74EE87" w14:textId="77777777" w:rsidR="00A04486" w:rsidRPr="00A04486" w:rsidRDefault="372C1C62" w:rsidP="00A04486">
      <w:pPr>
        <w:pStyle w:val="TOCHeading"/>
      </w:pPr>
      <w:bookmarkStart w:id="11" w:name="_Toc420521700"/>
      <w:r>
        <w:lastRenderedPageBreak/>
        <w:t>Contents</w:t>
      </w:r>
      <w:bookmarkStart w:id="12" w:name="_TOCMarker"/>
      <w:bookmarkEnd w:id="12"/>
    </w:p>
    <w:p w14:paraId="392AF7D6" w14:textId="6CD3E17D" w:rsidR="00100100" w:rsidRDefault="008734DB">
      <w:pPr>
        <w:pStyle w:val="TOC1"/>
        <w:rPr>
          <w:rFonts w:eastAsiaTheme="minorEastAsia"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hyperlink w:anchor="_Toc506556529" w:history="1">
        <w:r w:rsidR="00100100" w:rsidRPr="00771DB4">
          <w:rPr>
            <w:rStyle w:val="Hyperlink"/>
          </w:rPr>
          <w:t>1. Introduction</w:t>
        </w:r>
        <w:r w:rsidR="00100100">
          <w:rPr>
            <w:webHidden/>
          </w:rPr>
          <w:tab/>
        </w:r>
        <w:r w:rsidR="00100100">
          <w:rPr>
            <w:webHidden/>
          </w:rPr>
          <w:fldChar w:fldCharType="begin"/>
        </w:r>
        <w:r w:rsidR="00100100">
          <w:rPr>
            <w:webHidden/>
          </w:rPr>
          <w:instrText xml:space="preserve"> PAGEREF _Toc506556529 \h </w:instrText>
        </w:r>
        <w:r w:rsidR="00100100">
          <w:rPr>
            <w:webHidden/>
          </w:rPr>
        </w:r>
        <w:r w:rsidR="00100100">
          <w:rPr>
            <w:webHidden/>
          </w:rPr>
          <w:fldChar w:fldCharType="separate"/>
        </w:r>
        <w:r w:rsidR="00A12295">
          <w:rPr>
            <w:webHidden/>
          </w:rPr>
          <w:t>1</w:t>
        </w:r>
        <w:r w:rsidR="00100100">
          <w:rPr>
            <w:webHidden/>
          </w:rPr>
          <w:fldChar w:fldCharType="end"/>
        </w:r>
      </w:hyperlink>
    </w:p>
    <w:p w14:paraId="4072A5E8" w14:textId="68949A14" w:rsidR="00100100" w:rsidRDefault="00CA794F">
      <w:pPr>
        <w:pStyle w:val="TOC2"/>
        <w:rPr>
          <w:rFonts w:eastAsiaTheme="minorEastAsia" w:cstheme="minorBidi"/>
          <w:b w:val="0"/>
          <w:color w:val="auto"/>
          <w:sz w:val="22"/>
          <w:szCs w:val="22"/>
        </w:rPr>
      </w:pPr>
      <w:hyperlink w:anchor="_Toc506556530" w:history="1">
        <w:r w:rsidR="00100100" w:rsidRPr="00771DB4">
          <w:rPr>
            <w:rStyle w:val="Hyperlink"/>
          </w:rPr>
          <w:t>1.1 Context</w:t>
        </w:r>
        <w:r w:rsidR="00100100">
          <w:rPr>
            <w:webHidden/>
          </w:rPr>
          <w:tab/>
        </w:r>
        <w:r w:rsidR="00100100">
          <w:rPr>
            <w:webHidden/>
          </w:rPr>
          <w:fldChar w:fldCharType="begin"/>
        </w:r>
        <w:r w:rsidR="00100100">
          <w:rPr>
            <w:webHidden/>
          </w:rPr>
          <w:instrText xml:space="preserve"> PAGEREF _Toc506556530 \h </w:instrText>
        </w:r>
        <w:r w:rsidR="00100100">
          <w:rPr>
            <w:webHidden/>
          </w:rPr>
        </w:r>
        <w:r w:rsidR="00100100">
          <w:rPr>
            <w:webHidden/>
          </w:rPr>
          <w:fldChar w:fldCharType="separate"/>
        </w:r>
        <w:r w:rsidR="00A12295">
          <w:rPr>
            <w:webHidden/>
          </w:rPr>
          <w:t>1</w:t>
        </w:r>
        <w:r w:rsidR="00100100">
          <w:rPr>
            <w:webHidden/>
          </w:rPr>
          <w:fldChar w:fldCharType="end"/>
        </w:r>
      </w:hyperlink>
    </w:p>
    <w:p w14:paraId="095394F8" w14:textId="060252F8" w:rsidR="00100100" w:rsidRDefault="00CA794F">
      <w:pPr>
        <w:pStyle w:val="TOC2"/>
        <w:rPr>
          <w:rFonts w:eastAsiaTheme="minorEastAsia" w:cstheme="minorBidi"/>
          <w:b w:val="0"/>
          <w:color w:val="auto"/>
          <w:sz w:val="22"/>
          <w:szCs w:val="22"/>
        </w:rPr>
      </w:pPr>
      <w:hyperlink w:anchor="_Toc506556531" w:history="1">
        <w:r w:rsidR="00100100" w:rsidRPr="00771DB4">
          <w:rPr>
            <w:rStyle w:val="Hyperlink"/>
          </w:rPr>
          <w:t>1.2 Why Housing Development Data</w:t>
        </w:r>
        <w:r w:rsidR="00100100">
          <w:rPr>
            <w:webHidden/>
          </w:rPr>
          <w:tab/>
        </w:r>
        <w:r w:rsidR="00100100">
          <w:rPr>
            <w:webHidden/>
          </w:rPr>
          <w:fldChar w:fldCharType="begin"/>
        </w:r>
        <w:r w:rsidR="00100100">
          <w:rPr>
            <w:webHidden/>
          </w:rPr>
          <w:instrText xml:space="preserve"> PAGEREF _Toc506556531 \h </w:instrText>
        </w:r>
        <w:r w:rsidR="00100100">
          <w:rPr>
            <w:webHidden/>
          </w:rPr>
        </w:r>
        <w:r w:rsidR="00100100">
          <w:rPr>
            <w:webHidden/>
          </w:rPr>
          <w:fldChar w:fldCharType="separate"/>
        </w:r>
        <w:r w:rsidR="00A12295">
          <w:rPr>
            <w:webHidden/>
          </w:rPr>
          <w:t>2</w:t>
        </w:r>
        <w:r w:rsidR="00100100">
          <w:rPr>
            <w:webHidden/>
          </w:rPr>
          <w:fldChar w:fldCharType="end"/>
        </w:r>
      </w:hyperlink>
    </w:p>
    <w:p w14:paraId="66869FD8" w14:textId="0252DC38" w:rsidR="00100100" w:rsidRDefault="00CA794F">
      <w:pPr>
        <w:pStyle w:val="TOC1"/>
        <w:rPr>
          <w:rFonts w:eastAsiaTheme="minorEastAsia" w:cstheme="minorBidi"/>
          <w:b w:val="0"/>
          <w:color w:val="auto"/>
          <w:sz w:val="22"/>
          <w:szCs w:val="22"/>
        </w:rPr>
      </w:pPr>
      <w:hyperlink w:anchor="_Toc506556532" w:history="1">
        <w:r w:rsidR="00100100" w:rsidRPr="00771DB4">
          <w:rPr>
            <w:rStyle w:val="Hyperlink"/>
          </w:rPr>
          <w:t>2. The Central City</w:t>
        </w:r>
        <w:r w:rsidR="00100100">
          <w:rPr>
            <w:webHidden/>
          </w:rPr>
          <w:tab/>
        </w:r>
        <w:r w:rsidR="00100100">
          <w:rPr>
            <w:webHidden/>
          </w:rPr>
          <w:fldChar w:fldCharType="begin"/>
        </w:r>
        <w:r w:rsidR="00100100">
          <w:rPr>
            <w:webHidden/>
          </w:rPr>
          <w:instrText xml:space="preserve"> PAGEREF _Toc506556532 \h </w:instrText>
        </w:r>
        <w:r w:rsidR="00100100">
          <w:rPr>
            <w:webHidden/>
          </w:rPr>
        </w:r>
        <w:r w:rsidR="00100100">
          <w:rPr>
            <w:webHidden/>
          </w:rPr>
          <w:fldChar w:fldCharType="separate"/>
        </w:r>
        <w:r w:rsidR="00A12295">
          <w:rPr>
            <w:webHidden/>
          </w:rPr>
          <w:t>3</w:t>
        </w:r>
        <w:r w:rsidR="00100100">
          <w:rPr>
            <w:webHidden/>
          </w:rPr>
          <w:fldChar w:fldCharType="end"/>
        </w:r>
      </w:hyperlink>
    </w:p>
    <w:p w14:paraId="55AF12AF" w14:textId="37AEB5F9" w:rsidR="00100100" w:rsidRDefault="00CA794F">
      <w:pPr>
        <w:pStyle w:val="TOC1"/>
        <w:rPr>
          <w:rFonts w:eastAsiaTheme="minorEastAsia" w:cstheme="minorBidi"/>
          <w:b w:val="0"/>
          <w:color w:val="auto"/>
          <w:sz w:val="22"/>
          <w:szCs w:val="22"/>
        </w:rPr>
      </w:pPr>
      <w:hyperlink w:anchor="_Toc506556533" w:history="1">
        <w:r w:rsidR="00100100" w:rsidRPr="00771DB4">
          <w:rPr>
            <w:rStyle w:val="Hyperlink"/>
          </w:rPr>
          <w:t>3. Activity Centres</w:t>
        </w:r>
        <w:r w:rsidR="00100100">
          <w:rPr>
            <w:webHidden/>
          </w:rPr>
          <w:tab/>
        </w:r>
        <w:r w:rsidR="00100100">
          <w:rPr>
            <w:webHidden/>
          </w:rPr>
          <w:fldChar w:fldCharType="begin"/>
        </w:r>
        <w:r w:rsidR="00100100">
          <w:rPr>
            <w:webHidden/>
          </w:rPr>
          <w:instrText xml:space="preserve"> PAGEREF _Toc506556533 \h </w:instrText>
        </w:r>
        <w:r w:rsidR="00100100">
          <w:rPr>
            <w:webHidden/>
          </w:rPr>
        </w:r>
        <w:r w:rsidR="00100100">
          <w:rPr>
            <w:webHidden/>
          </w:rPr>
          <w:fldChar w:fldCharType="separate"/>
        </w:r>
        <w:r w:rsidR="00A12295">
          <w:rPr>
            <w:webHidden/>
          </w:rPr>
          <w:t>5</w:t>
        </w:r>
        <w:r w:rsidR="00100100">
          <w:rPr>
            <w:webHidden/>
          </w:rPr>
          <w:fldChar w:fldCharType="end"/>
        </w:r>
      </w:hyperlink>
    </w:p>
    <w:p w14:paraId="386CAF06" w14:textId="2A3B783C" w:rsidR="00100100" w:rsidRDefault="00CA794F">
      <w:pPr>
        <w:pStyle w:val="TOC1"/>
        <w:rPr>
          <w:rFonts w:eastAsiaTheme="minorEastAsia" w:cstheme="minorBidi"/>
          <w:b w:val="0"/>
          <w:color w:val="auto"/>
          <w:sz w:val="22"/>
          <w:szCs w:val="22"/>
        </w:rPr>
      </w:pPr>
      <w:hyperlink w:anchor="_Toc506556534" w:history="1">
        <w:r w:rsidR="00100100" w:rsidRPr="00771DB4">
          <w:rPr>
            <w:rStyle w:val="Hyperlink"/>
          </w:rPr>
          <w:t>4. Development Density</w:t>
        </w:r>
        <w:r w:rsidR="00100100">
          <w:rPr>
            <w:webHidden/>
          </w:rPr>
          <w:tab/>
        </w:r>
        <w:r w:rsidR="00100100">
          <w:rPr>
            <w:webHidden/>
          </w:rPr>
          <w:fldChar w:fldCharType="begin"/>
        </w:r>
        <w:r w:rsidR="00100100">
          <w:rPr>
            <w:webHidden/>
          </w:rPr>
          <w:instrText xml:space="preserve"> PAGEREF _Toc506556534 \h </w:instrText>
        </w:r>
        <w:r w:rsidR="00100100">
          <w:rPr>
            <w:webHidden/>
          </w:rPr>
        </w:r>
        <w:r w:rsidR="00100100">
          <w:rPr>
            <w:webHidden/>
          </w:rPr>
          <w:fldChar w:fldCharType="separate"/>
        </w:r>
        <w:r w:rsidR="00A12295">
          <w:rPr>
            <w:webHidden/>
          </w:rPr>
          <w:t>7</w:t>
        </w:r>
        <w:r w:rsidR="00100100">
          <w:rPr>
            <w:webHidden/>
          </w:rPr>
          <w:fldChar w:fldCharType="end"/>
        </w:r>
      </w:hyperlink>
    </w:p>
    <w:p w14:paraId="3C833ECA" w14:textId="476D1BB7" w:rsidR="00100100" w:rsidRDefault="00CA794F">
      <w:pPr>
        <w:pStyle w:val="TOC1"/>
        <w:rPr>
          <w:rFonts w:eastAsiaTheme="minorEastAsia" w:cstheme="minorBidi"/>
          <w:b w:val="0"/>
          <w:color w:val="auto"/>
          <w:sz w:val="22"/>
          <w:szCs w:val="22"/>
        </w:rPr>
      </w:pPr>
      <w:hyperlink w:anchor="_Toc506556535" w:history="1">
        <w:r w:rsidR="00100100" w:rsidRPr="00771DB4">
          <w:rPr>
            <w:rStyle w:val="Hyperlink"/>
          </w:rPr>
          <w:t>5. Development by planning zones</w:t>
        </w:r>
        <w:r w:rsidR="00100100">
          <w:rPr>
            <w:webHidden/>
          </w:rPr>
          <w:tab/>
        </w:r>
        <w:r w:rsidR="00100100">
          <w:rPr>
            <w:webHidden/>
          </w:rPr>
          <w:fldChar w:fldCharType="begin"/>
        </w:r>
        <w:r w:rsidR="00100100">
          <w:rPr>
            <w:webHidden/>
          </w:rPr>
          <w:instrText xml:space="preserve"> PAGEREF _Toc506556535 \h </w:instrText>
        </w:r>
        <w:r w:rsidR="00100100">
          <w:rPr>
            <w:webHidden/>
          </w:rPr>
        </w:r>
        <w:r w:rsidR="00100100">
          <w:rPr>
            <w:webHidden/>
          </w:rPr>
          <w:fldChar w:fldCharType="separate"/>
        </w:r>
        <w:r w:rsidR="00A12295">
          <w:rPr>
            <w:webHidden/>
          </w:rPr>
          <w:t>10</w:t>
        </w:r>
        <w:r w:rsidR="00100100">
          <w:rPr>
            <w:webHidden/>
          </w:rPr>
          <w:fldChar w:fldCharType="end"/>
        </w:r>
      </w:hyperlink>
    </w:p>
    <w:p w14:paraId="120C9B69" w14:textId="3A97F260" w:rsidR="00100100" w:rsidRDefault="00CA794F">
      <w:pPr>
        <w:pStyle w:val="TOC1"/>
        <w:rPr>
          <w:rFonts w:eastAsiaTheme="minorEastAsia" w:cstheme="minorBidi"/>
          <w:b w:val="0"/>
          <w:color w:val="auto"/>
          <w:sz w:val="22"/>
          <w:szCs w:val="22"/>
        </w:rPr>
      </w:pPr>
      <w:hyperlink w:anchor="_Toc506556536" w:history="1">
        <w:r w:rsidR="00100100" w:rsidRPr="00771DB4">
          <w:rPr>
            <w:rStyle w:val="Hyperlink"/>
          </w:rPr>
          <w:t>6. Heritage</w:t>
        </w:r>
        <w:r w:rsidR="00100100">
          <w:rPr>
            <w:webHidden/>
          </w:rPr>
          <w:tab/>
        </w:r>
        <w:r w:rsidR="00100100">
          <w:rPr>
            <w:webHidden/>
          </w:rPr>
          <w:fldChar w:fldCharType="begin"/>
        </w:r>
        <w:r w:rsidR="00100100">
          <w:rPr>
            <w:webHidden/>
          </w:rPr>
          <w:instrText xml:space="preserve"> PAGEREF _Toc506556536 \h </w:instrText>
        </w:r>
        <w:r w:rsidR="00100100">
          <w:rPr>
            <w:webHidden/>
          </w:rPr>
        </w:r>
        <w:r w:rsidR="00100100">
          <w:rPr>
            <w:webHidden/>
          </w:rPr>
          <w:fldChar w:fldCharType="separate"/>
        </w:r>
        <w:r w:rsidR="00A12295">
          <w:rPr>
            <w:webHidden/>
          </w:rPr>
          <w:t>12</w:t>
        </w:r>
        <w:r w:rsidR="00100100">
          <w:rPr>
            <w:webHidden/>
          </w:rPr>
          <w:fldChar w:fldCharType="end"/>
        </w:r>
      </w:hyperlink>
    </w:p>
    <w:p w14:paraId="08B2BE53" w14:textId="39AD2605" w:rsidR="00100100" w:rsidRDefault="00CA794F">
      <w:pPr>
        <w:pStyle w:val="TOC1"/>
        <w:rPr>
          <w:rFonts w:eastAsiaTheme="minorEastAsia" w:cstheme="minorBidi"/>
          <w:b w:val="0"/>
          <w:color w:val="auto"/>
          <w:sz w:val="22"/>
          <w:szCs w:val="22"/>
        </w:rPr>
      </w:pPr>
      <w:hyperlink w:anchor="_Toc506556537" w:history="1">
        <w:r w:rsidR="00100100" w:rsidRPr="00771DB4">
          <w:rPr>
            <w:rStyle w:val="Hyperlink"/>
          </w:rPr>
          <w:t>7. Demolitions of dwellings</w:t>
        </w:r>
        <w:r w:rsidR="00100100">
          <w:rPr>
            <w:webHidden/>
          </w:rPr>
          <w:tab/>
        </w:r>
        <w:r w:rsidR="00100100">
          <w:rPr>
            <w:webHidden/>
          </w:rPr>
          <w:fldChar w:fldCharType="begin"/>
        </w:r>
        <w:r w:rsidR="00100100">
          <w:rPr>
            <w:webHidden/>
          </w:rPr>
          <w:instrText xml:space="preserve"> PAGEREF _Toc506556537 \h </w:instrText>
        </w:r>
        <w:r w:rsidR="00100100">
          <w:rPr>
            <w:webHidden/>
          </w:rPr>
        </w:r>
        <w:r w:rsidR="00100100">
          <w:rPr>
            <w:webHidden/>
          </w:rPr>
          <w:fldChar w:fldCharType="separate"/>
        </w:r>
        <w:r w:rsidR="00A12295">
          <w:rPr>
            <w:webHidden/>
          </w:rPr>
          <w:t>13</w:t>
        </w:r>
        <w:r w:rsidR="00100100">
          <w:rPr>
            <w:webHidden/>
          </w:rPr>
          <w:fldChar w:fldCharType="end"/>
        </w:r>
      </w:hyperlink>
    </w:p>
    <w:p w14:paraId="4C3C2BF3" w14:textId="68CB0C5C" w:rsidR="00100100" w:rsidRDefault="00CA794F">
      <w:pPr>
        <w:pStyle w:val="TOC1"/>
        <w:rPr>
          <w:rFonts w:eastAsiaTheme="minorEastAsia" w:cstheme="minorBidi"/>
          <w:b w:val="0"/>
          <w:color w:val="auto"/>
          <w:sz w:val="22"/>
          <w:szCs w:val="22"/>
        </w:rPr>
      </w:pPr>
      <w:hyperlink w:anchor="_Toc506556538" w:history="1">
        <w:r w:rsidR="00100100" w:rsidRPr="00771DB4">
          <w:rPr>
            <w:rStyle w:val="Hyperlink"/>
          </w:rPr>
          <w:t>8. Next Steps</w:t>
        </w:r>
        <w:r w:rsidR="00100100">
          <w:rPr>
            <w:webHidden/>
          </w:rPr>
          <w:tab/>
        </w:r>
        <w:r w:rsidR="00100100">
          <w:rPr>
            <w:webHidden/>
          </w:rPr>
          <w:fldChar w:fldCharType="begin"/>
        </w:r>
        <w:r w:rsidR="00100100">
          <w:rPr>
            <w:webHidden/>
          </w:rPr>
          <w:instrText xml:space="preserve"> PAGEREF _Toc506556538 \h </w:instrText>
        </w:r>
        <w:r w:rsidR="00100100">
          <w:rPr>
            <w:webHidden/>
          </w:rPr>
        </w:r>
        <w:r w:rsidR="00100100">
          <w:rPr>
            <w:webHidden/>
          </w:rPr>
          <w:fldChar w:fldCharType="separate"/>
        </w:r>
        <w:r w:rsidR="00A12295">
          <w:rPr>
            <w:webHidden/>
          </w:rPr>
          <w:t>14</w:t>
        </w:r>
        <w:r w:rsidR="00100100">
          <w:rPr>
            <w:webHidden/>
          </w:rPr>
          <w:fldChar w:fldCharType="end"/>
        </w:r>
      </w:hyperlink>
    </w:p>
    <w:p w14:paraId="13624872" w14:textId="1938F566" w:rsidR="008734DB" w:rsidRDefault="008734DB" w:rsidP="008734DB">
      <w:pPr>
        <w:rPr>
          <w:b/>
          <w:noProof/>
          <w:color w:val="642667" w:themeColor="text2"/>
          <w:sz w:val="24"/>
          <w:szCs w:val="24"/>
        </w:rPr>
      </w:pPr>
      <w:r>
        <w:rPr>
          <w:b/>
          <w:noProof/>
          <w:color w:val="642667" w:themeColor="text2"/>
          <w:sz w:val="24"/>
          <w:szCs w:val="24"/>
        </w:rPr>
        <w:fldChar w:fldCharType="end"/>
      </w:r>
    </w:p>
    <w:p w14:paraId="3C81F131" w14:textId="77777777" w:rsidR="008734DB" w:rsidRDefault="372C1C62" w:rsidP="008734DB">
      <w:pPr>
        <w:pStyle w:val="TOFHeading"/>
      </w:pPr>
      <w:bookmarkStart w:id="13" w:name="_LOF"/>
      <w:r>
        <w:t>List of tables</w:t>
      </w:r>
    </w:p>
    <w:p w14:paraId="615AB4D0" w14:textId="00047ECD" w:rsidR="00D75025" w:rsidRDefault="008734DB">
      <w:pPr>
        <w:pStyle w:val="TableofFigures"/>
        <w:rPr>
          <w:rFonts w:eastAsiaTheme="minorEastAsia" w:cstheme="minorBidi"/>
          <w:noProof/>
          <w:color w:val="auto"/>
          <w:sz w:val="22"/>
          <w:szCs w:val="22"/>
        </w:rPr>
      </w:pPr>
      <w:r>
        <w:fldChar w:fldCharType="begin"/>
      </w:r>
      <w:r>
        <w:instrText xml:space="preserve"> TOC \c "Table" \w \h \* MERGEFORMAT </w:instrText>
      </w:r>
      <w:r>
        <w:fldChar w:fldCharType="separate"/>
      </w:r>
      <w:hyperlink w:anchor="_Toc506904701" w:history="1">
        <w:r w:rsidR="00D75025" w:rsidRPr="007D554A">
          <w:rPr>
            <w:rStyle w:val="Hyperlink"/>
            <w:noProof/>
          </w:rPr>
          <w:t>Table 1: Number of dwellings in the CBD and selected surrounding suburbs</w:t>
        </w:r>
        <w:r w:rsidR="00D75025">
          <w:rPr>
            <w:noProof/>
          </w:rPr>
          <w:tab/>
        </w:r>
        <w:r w:rsidR="00D75025">
          <w:rPr>
            <w:noProof/>
          </w:rPr>
          <w:fldChar w:fldCharType="begin"/>
        </w:r>
        <w:r w:rsidR="00D75025">
          <w:rPr>
            <w:noProof/>
          </w:rPr>
          <w:instrText xml:space="preserve"> PAGEREF _Toc506904701 \h </w:instrText>
        </w:r>
        <w:r w:rsidR="00D75025">
          <w:rPr>
            <w:noProof/>
          </w:rPr>
        </w:r>
        <w:r w:rsidR="00D75025">
          <w:rPr>
            <w:noProof/>
          </w:rPr>
          <w:fldChar w:fldCharType="separate"/>
        </w:r>
        <w:r w:rsidR="00A12295">
          <w:rPr>
            <w:noProof/>
          </w:rPr>
          <w:t>3</w:t>
        </w:r>
        <w:r w:rsidR="00D75025">
          <w:rPr>
            <w:noProof/>
          </w:rPr>
          <w:fldChar w:fldCharType="end"/>
        </w:r>
      </w:hyperlink>
    </w:p>
    <w:p w14:paraId="6FD78CD7" w14:textId="4032A24C" w:rsidR="00D75025" w:rsidRDefault="00CA794F">
      <w:pPr>
        <w:pStyle w:val="TableofFigures"/>
        <w:rPr>
          <w:rFonts w:eastAsiaTheme="minorEastAsia" w:cstheme="minorBidi"/>
          <w:noProof/>
          <w:color w:val="auto"/>
          <w:sz w:val="22"/>
          <w:szCs w:val="22"/>
        </w:rPr>
      </w:pPr>
      <w:hyperlink w:anchor="_Toc506904702" w:history="1">
        <w:r w:rsidR="00D75025" w:rsidRPr="007D554A">
          <w:rPr>
            <w:rStyle w:val="Hyperlink"/>
            <w:noProof/>
          </w:rPr>
          <w:t>Table 2: Activity centres with highest change in dwelling stock within the Activity Centre boundary 2005-2016</w:t>
        </w:r>
        <w:r w:rsidR="00D75025">
          <w:rPr>
            <w:noProof/>
          </w:rPr>
          <w:tab/>
        </w:r>
        <w:r w:rsidR="00D75025">
          <w:rPr>
            <w:noProof/>
          </w:rPr>
          <w:fldChar w:fldCharType="begin"/>
        </w:r>
        <w:r w:rsidR="00D75025">
          <w:rPr>
            <w:noProof/>
          </w:rPr>
          <w:instrText xml:space="preserve"> PAGEREF _Toc506904702 \h </w:instrText>
        </w:r>
        <w:r w:rsidR="00D75025">
          <w:rPr>
            <w:noProof/>
          </w:rPr>
        </w:r>
        <w:r w:rsidR="00D75025">
          <w:rPr>
            <w:noProof/>
          </w:rPr>
          <w:fldChar w:fldCharType="separate"/>
        </w:r>
        <w:r w:rsidR="00A12295">
          <w:rPr>
            <w:noProof/>
          </w:rPr>
          <w:t>6</w:t>
        </w:r>
        <w:r w:rsidR="00D75025">
          <w:rPr>
            <w:noProof/>
          </w:rPr>
          <w:fldChar w:fldCharType="end"/>
        </w:r>
      </w:hyperlink>
    </w:p>
    <w:p w14:paraId="520650DD" w14:textId="1FBE449B" w:rsidR="008734DB" w:rsidRDefault="008734DB" w:rsidP="008734DB">
      <w:pPr>
        <w:pStyle w:val="TableofFigures"/>
      </w:pPr>
      <w:r>
        <w:fldChar w:fldCharType="end"/>
      </w:r>
    </w:p>
    <w:p w14:paraId="57591250" w14:textId="77777777" w:rsidR="008734DB" w:rsidRDefault="372C1C62" w:rsidP="008734DB">
      <w:pPr>
        <w:pStyle w:val="TOFHeading"/>
      </w:pPr>
      <w:r>
        <w:t>List of figures</w:t>
      </w:r>
    </w:p>
    <w:p w14:paraId="1EF7FFA0" w14:textId="35A86DAE" w:rsidR="002A5FDA" w:rsidRDefault="008734DB">
      <w:pPr>
        <w:pStyle w:val="TableofFigures"/>
        <w:rPr>
          <w:rFonts w:eastAsiaTheme="minorEastAsia" w:cstheme="minorBidi"/>
          <w:noProof/>
          <w:color w:val="auto"/>
          <w:sz w:val="22"/>
          <w:szCs w:val="22"/>
        </w:rPr>
      </w:pPr>
      <w:r>
        <w:fldChar w:fldCharType="begin"/>
      </w:r>
      <w:r>
        <w:instrText xml:space="preserve"> TOC \c "Figure" \w \h \* MERGEFORMAT </w:instrText>
      </w:r>
      <w:r>
        <w:fldChar w:fldCharType="separate"/>
      </w:r>
      <w:hyperlink w:anchor="_Toc506904190" w:history="1">
        <w:r w:rsidR="002A5FDA" w:rsidRPr="00122FD8">
          <w:rPr>
            <w:rStyle w:val="Hyperlink"/>
            <w:noProof/>
          </w:rPr>
          <w:t xml:space="preserve">Figure 1: Annual number of residential building approvals, Metropolitan Melbourne </w:t>
        </w:r>
        <w:r w:rsidR="002A5FDA">
          <w:rPr>
            <w:noProof/>
          </w:rPr>
          <w:tab/>
        </w:r>
        <w:r w:rsidR="002A5FDA">
          <w:rPr>
            <w:noProof/>
          </w:rPr>
          <w:fldChar w:fldCharType="begin"/>
        </w:r>
        <w:r w:rsidR="002A5FDA">
          <w:rPr>
            <w:noProof/>
          </w:rPr>
          <w:instrText xml:space="preserve"> PAGEREF _Toc506904190 \h </w:instrText>
        </w:r>
        <w:r w:rsidR="002A5FDA">
          <w:rPr>
            <w:noProof/>
          </w:rPr>
        </w:r>
        <w:r w:rsidR="002A5FDA">
          <w:rPr>
            <w:noProof/>
          </w:rPr>
          <w:fldChar w:fldCharType="separate"/>
        </w:r>
        <w:r w:rsidR="00A12295">
          <w:rPr>
            <w:noProof/>
          </w:rPr>
          <w:t>2</w:t>
        </w:r>
        <w:r w:rsidR="002A5FDA">
          <w:rPr>
            <w:noProof/>
          </w:rPr>
          <w:fldChar w:fldCharType="end"/>
        </w:r>
      </w:hyperlink>
    </w:p>
    <w:p w14:paraId="2B165A1E" w14:textId="0AAD42B1" w:rsidR="002A5FDA" w:rsidRDefault="00CA794F">
      <w:pPr>
        <w:pStyle w:val="TableofFigures"/>
        <w:rPr>
          <w:rFonts w:eastAsiaTheme="minorEastAsia" w:cstheme="minorBidi"/>
          <w:noProof/>
          <w:color w:val="auto"/>
          <w:sz w:val="22"/>
          <w:szCs w:val="22"/>
        </w:rPr>
      </w:pPr>
      <w:hyperlink w:anchor="_Toc506904191" w:history="1">
        <w:r w:rsidR="002A5FDA" w:rsidRPr="00122FD8">
          <w:rPr>
            <w:rStyle w:val="Hyperlink"/>
            <w:noProof/>
          </w:rPr>
          <w:t>Figure 2: Map of residential redevelopment projects of ten or more dwellings in the central city area.</w:t>
        </w:r>
        <w:r w:rsidR="002A5FDA">
          <w:rPr>
            <w:noProof/>
          </w:rPr>
          <w:tab/>
        </w:r>
        <w:r w:rsidR="002A5FDA">
          <w:rPr>
            <w:noProof/>
          </w:rPr>
          <w:fldChar w:fldCharType="begin"/>
        </w:r>
        <w:r w:rsidR="002A5FDA">
          <w:rPr>
            <w:noProof/>
          </w:rPr>
          <w:instrText xml:space="preserve"> PAGEREF _Toc506904191 \h </w:instrText>
        </w:r>
        <w:r w:rsidR="002A5FDA">
          <w:rPr>
            <w:noProof/>
          </w:rPr>
        </w:r>
        <w:r w:rsidR="002A5FDA">
          <w:rPr>
            <w:noProof/>
          </w:rPr>
          <w:fldChar w:fldCharType="separate"/>
        </w:r>
        <w:r w:rsidR="00A12295">
          <w:rPr>
            <w:noProof/>
          </w:rPr>
          <w:t>4</w:t>
        </w:r>
        <w:r w:rsidR="002A5FDA">
          <w:rPr>
            <w:noProof/>
          </w:rPr>
          <w:fldChar w:fldCharType="end"/>
        </w:r>
      </w:hyperlink>
    </w:p>
    <w:p w14:paraId="138C0532" w14:textId="57A5884E" w:rsidR="002A5FDA" w:rsidRDefault="00CA794F">
      <w:pPr>
        <w:pStyle w:val="TableofFigures"/>
        <w:rPr>
          <w:rFonts w:eastAsiaTheme="minorEastAsia" w:cstheme="minorBidi"/>
          <w:noProof/>
          <w:color w:val="auto"/>
          <w:sz w:val="22"/>
          <w:szCs w:val="22"/>
        </w:rPr>
      </w:pPr>
      <w:hyperlink w:anchor="_Toc506904192" w:history="1">
        <w:r w:rsidR="002A5FDA" w:rsidRPr="00122FD8">
          <w:rPr>
            <w:rStyle w:val="Hyperlink"/>
            <w:noProof/>
          </w:rPr>
          <w:t>Figure 3: Annual number of net additional dwellings in and around activity centres, established Melbourne</w:t>
        </w:r>
        <w:r w:rsidR="002A5FDA">
          <w:rPr>
            <w:noProof/>
          </w:rPr>
          <w:tab/>
        </w:r>
        <w:r w:rsidR="002A5FDA">
          <w:rPr>
            <w:noProof/>
          </w:rPr>
          <w:fldChar w:fldCharType="begin"/>
        </w:r>
        <w:r w:rsidR="002A5FDA">
          <w:rPr>
            <w:noProof/>
          </w:rPr>
          <w:instrText xml:space="preserve"> PAGEREF _Toc506904192 \h </w:instrText>
        </w:r>
        <w:r w:rsidR="002A5FDA">
          <w:rPr>
            <w:noProof/>
          </w:rPr>
        </w:r>
        <w:r w:rsidR="002A5FDA">
          <w:rPr>
            <w:noProof/>
          </w:rPr>
          <w:fldChar w:fldCharType="separate"/>
        </w:r>
        <w:r w:rsidR="00A12295">
          <w:rPr>
            <w:noProof/>
          </w:rPr>
          <w:t>5</w:t>
        </w:r>
        <w:r w:rsidR="002A5FDA">
          <w:rPr>
            <w:noProof/>
          </w:rPr>
          <w:fldChar w:fldCharType="end"/>
        </w:r>
      </w:hyperlink>
    </w:p>
    <w:p w14:paraId="7DB00FE6" w14:textId="16FEACD5" w:rsidR="002A5FDA" w:rsidRDefault="00CA794F">
      <w:pPr>
        <w:pStyle w:val="TableofFigures"/>
        <w:rPr>
          <w:rFonts w:eastAsiaTheme="minorEastAsia" w:cstheme="minorBidi"/>
          <w:noProof/>
          <w:color w:val="auto"/>
          <w:sz w:val="22"/>
          <w:szCs w:val="22"/>
        </w:rPr>
      </w:pPr>
      <w:hyperlink w:anchor="_Toc506904193" w:history="1">
        <w:r w:rsidR="002A5FDA" w:rsidRPr="00122FD8">
          <w:rPr>
            <w:rStyle w:val="Hyperlink"/>
            <w:noProof/>
          </w:rPr>
          <w:t>Figure 4: Average site density of projects in and around Activity Centres, established Melbourne, 2011-2016 (excluding Melbourne LGA)</w:t>
        </w:r>
        <w:r w:rsidR="002A5FDA">
          <w:rPr>
            <w:noProof/>
          </w:rPr>
          <w:tab/>
        </w:r>
        <w:r w:rsidR="002A5FDA">
          <w:rPr>
            <w:noProof/>
          </w:rPr>
          <w:fldChar w:fldCharType="begin"/>
        </w:r>
        <w:r w:rsidR="002A5FDA">
          <w:rPr>
            <w:noProof/>
          </w:rPr>
          <w:instrText xml:space="preserve"> PAGEREF _Toc506904193 \h </w:instrText>
        </w:r>
        <w:r w:rsidR="002A5FDA">
          <w:rPr>
            <w:noProof/>
          </w:rPr>
        </w:r>
        <w:r w:rsidR="002A5FDA">
          <w:rPr>
            <w:noProof/>
          </w:rPr>
          <w:fldChar w:fldCharType="separate"/>
        </w:r>
        <w:r w:rsidR="00A12295">
          <w:rPr>
            <w:noProof/>
          </w:rPr>
          <w:t>7</w:t>
        </w:r>
        <w:r w:rsidR="002A5FDA">
          <w:rPr>
            <w:noProof/>
          </w:rPr>
          <w:fldChar w:fldCharType="end"/>
        </w:r>
      </w:hyperlink>
    </w:p>
    <w:p w14:paraId="665EE85B" w14:textId="00F6132A" w:rsidR="002A5FDA" w:rsidRDefault="00CA794F">
      <w:pPr>
        <w:pStyle w:val="TableofFigures"/>
        <w:rPr>
          <w:rFonts w:eastAsiaTheme="minorEastAsia" w:cstheme="minorBidi"/>
          <w:noProof/>
          <w:color w:val="auto"/>
          <w:sz w:val="22"/>
          <w:szCs w:val="22"/>
        </w:rPr>
      </w:pPr>
      <w:hyperlink w:anchor="_Toc506904194" w:history="1">
        <w:r w:rsidR="002A5FDA" w:rsidRPr="00122FD8">
          <w:rPr>
            <w:rStyle w:val="Hyperlink"/>
            <w:noProof/>
          </w:rPr>
          <w:t>Figure 5: Average site density of residential development projects, selected groups of local government areas (LGAs)</w:t>
        </w:r>
        <w:r w:rsidR="002A5FDA">
          <w:rPr>
            <w:noProof/>
          </w:rPr>
          <w:tab/>
        </w:r>
        <w:r w:rsidR="002A5FDA">
          <w:rPr>
            <w:noProof/>
          </w:rPr>
          <w:fldChar w:fldCharType="begin"/>
        </w:r>
        <w:r w:rsidR="002A5FDA">
          <w:rPr>
            <w:noProof/>
          </w:rPr>
          <w:instrText xml:space="preserve"> PAGEREF _Toc506904194 \h </w:instrText>
        </w:r>
        <w:r w:rsidR="002A5FDA">
          <w:rPr>
            <w:noProof/>
          </w:rPr>
        </w:r>
        <w:r w:rsidR="002A5FDA">
          <w:rPr>
            <w:noProof/>
          </w:rPr>
          <w:fldChar w:fldCharType="separate"/>
        </w:r>
        <w:r w:rsidR="00A12295">
          <w:rPr>
            <w:noProof/>
          </w:rPr>
          <w:t>8</w:t>
        </w:r>
        <w:r w:rsidR="002A5FDA">
          <w:rPr>
            <w:noProof/>
          </w:rPr>
          <w:fldChar w:fldCharType="end"/>
        </w:r>
      </w:hyperlink>
    </w:p>
    <w:p w14:paraId="6204EA5C" w14:textId="5E8BDD1F" w:rsidR="002A5FDA" w:rsidRDefault="00CA794F">
      <w:pPr>
        <w:pStyle w:val="TableofFigures"/>
        <w:rPr>
          <w:rFonts w:eastAsiaTheme="minorEastAsia" w:cstheme="minorBidi"/>
          <w:noProof/>
          <w:color w:val="auto"/>
          <w:sz w:val="22"/>
          <w:szCs w:val="22"/>
        </w:rPr>
      </w:pPr>
      <w:hyperlink w:anchor="_Toc506904195" w:history="1">
        <w:r w:rsidR="002A5FDA" w:rsidRPr="00122FD8">
          <w:rPr>
            <w:rStyle w:val="Hyperlink"/>
            <w:noProof/>
          </w:rPr>
          <w:t>Figure 6: Map of dwelling density in metropolitan Melbourne, 2016</w:t>
        </w:r>
        <w:r w:rsidR="002A5FDA">
          <w:rPr>
            <w:noProof/>
          </w:rPr>
          <w:tab/>
        </w:r>
        <w:r w:rsidR="002A5FDA">
          <w:rPr>
            <w:noProof/>
          </w:rPr>
          <w:fldChar w:fldCharType="begin"/>
        </w:r>
        <w:r w:rsidR="002A5FDA">
          <w:rPr>
            <w:noProof/>
          </w:rPr>
          <w:instrText xml:space="preserve"> PAGEREF _Toc506904195 \h </w:instrText>
        </w:r>
        <w:r w:rsidR="002A5FDA">
          <w:rPr>
            <w:noProof/>
          </w:rPr>
        </w:r>
        <w:r w:rsidR="002A5FDA">
          <w:rPr>
            <w:noProof/>
          </w:rPr>
          <w:fldChar w:fldCharType="separate"/>
        </w:r>
        <w:r w:rsidR="00A12295">
          <w:rPr>
            <w:noProof/>
          </w:rPr>
          <w:t>9</w:t>
        </w:r>
        <w:r w:rsidR="002A5FDA">
          <w:rPr>
            <w:noProof/>
          </w:rPr>
          <w:fldChar w:fldCharType="end"/>
        </w:r>
      </w:hyperlink>
    </w:p>
    <w:p w14:paraId="719FBC90" w14:textId="6CEB8056" w:rsidR="002A5FDA" w:rsidRDefault="00CA794F">
      <w:pPr>
        <w:pStyle w:val="TableofFigures"/>
        <w:rPr>
          <w:rFonts w:eastAsiaTheme="minorEastAsia" w:cstheme="minorBidi"/>
          <w:noProof/>
          <w:color w:val="auto"/>
          <w:sz w:val="22"/>
          <w:szCs w:val="22"/>
        </w:rPr>
      </w:pPr>
      <w:hyperlink w:anchor="_Toc506904196" w:history="1">
        <w:r w:rsidR="002A5FDA" w:rsidRPr="00122FD8">
          <w:rPr>
            <w:rStyle w:val="Hyperlink"/>
            <w:noProof/>
          </w:rPr>
          <w:t>Figure 7: Net dwellings by project size and zone at construction 2005-2016 (excluding growth area LGAs)</w:t>
        </w:r>
        <w:r w:rsidR="002A5FDA">
          <w:rPr>
            <w:noProof/>
          </w:rPr>
          <w:tab/>
        </w:r>
        <w:r w:rsidR="002A5FDA">
          <w:rPr>
            <w:noProof/>
          </w:rPr>
          <w:fldChar w:fldCharType="begin"/>
        </w:r>
        <w:r w:rsidR="002A5FDA">
          <w:rPr>
            <w:noProof/>
          </w:rPr>
          <w:instrText xml:space="preserve"> PAGEREF _Toc506904196 \h </w:instrText>
        </w:r>
        <w:r w:rsidR="002A5FDA">
          <w:rPr>
            <w:noProof/>
          </w:rPr>
        </w:r>
        <w:r w:rsidR="002A5FDA">
          <w:rPr>
            <w:noProof/>
          </w:rPr>
          <w:fldChar w:fldCharType="separate"/>
        </w:r>
        <w:r w:rsidR="00A12295">
          <w:rPr>
            <w:noProof/>
          </w:rPr>
          <w:t>10</w:t>
        </w:r>
        <w:r w:rsidR="002A5FDA">
          <w:rPr>
            <w:noProof/>
          </w:rPr>
          <w:fldChar w:fldCharType="end"/>
        </w:r>
      </w:hyperlink>
    </w:p>
    <w:p w14:paraId="1811C4CB" w14:textId="2A4C0471" w:rsidR="002A5FDA" w:rsidRDefault="00CA794F">
      <w:pPr>
        <w:pStyle w:val="TableofFigures"/>
        <w:rPr>
          <w:rFonts w:eastAsiaTheme="minorEastAsia" w:cstheme="minorBidi"/>
          <w:noProof/>
          <w:color w:val="auto"/>
          <w:sz w:val="22"/>
          <w:szCs w:val="22"/>
        </w:rPr>
      </w:pPr>
      <w:hyperlink w:anchor="_Toc506904197" w:history="1">
        <w:r w:rsidR="002A5FDA" w:rsidRPr="00122FD8">
          <w:rPr>
            <w:rStyle w:val="Hyperlink"/>
            <w:noProof/>
          </w:rPr>
          <w:t>Figure 8: Net dwellings by residential and commercial zones 2005-2016 (excluding growth area LGAs)</w:t>
        </w:r>
        <w:r w:rsidR="002A5FDA">
          <w:rPr>
            <w:noProof/>
          </w:rPr>
          <w:tab/>
        </w:r>
        <w:r w:rsidR="002A5FDA">
          <w:rPr>
            <w:noProof/>
          </w:rPr>
          <w:fldChar w:fldCharType="begin"/>
        </w:r>
        <w:r w:rsidR="002A5FDA">
          <w:rPr>
            <w:noProof/>
          </w:rPr>
          <w:instrText xml:space="preserve"> PAGEREF _Toc506904197 \h </w:instrText>
        </w:r>
        <w:r w:rsidR="002A5FDA">
          <w:rPr>
            <w:noProof/>
          </w:rPr>
        </w:r>
        <w:r w:rsidR="002A5FDA">
          <w:rPr>
            <w:noProof/>
          </w:rPr>
          <w:fldChar w:fldCharType="separate"/>
        </w:r>
        <w:r w:rsidR="00A12295">
          <w:rPr>
            <w:noProof/>
          </w:rPr>
          <w:t>11</w:t>
        </w:r>
        <w:r w:rsidR="002A5FDA">
          <w:rPr>
            <w:noProof/>
          </w:rPr>
          <w:fldChar w:fldCharType="end"/>
        </w:r>
      </w:hyperlink>
    </w:p>
    <w:p w14:paraId="7CB7698C" w14:textId="3122EAB3" w:rsidR="002A5FDA" w:rsidRDefault="00CA794F">
      <w:pPr>
        <w:pStyle w:val="TableofFigures"/>
        <w:rPr>
          <w:rFonts w:eastAsiaTheme="minorEastAsia" w:cstheme="minorBidi"/>
          <w:noProof/>
          <w:color w:val="auto"/>
          <w:sz w:val="22"/>
          <w:szCs w:val="22"/>
        </w:rPr>
      </w:pPr>
      <w:hyperlink w:anchor="_Toc506904198" w:history="1">
        <w:r w:rsidR="002A5FDA" w:rsidRPr="00122FD8">
          <w:rPr>
            <w:rStyle w:val="Hyperlink"/>
            <w:noProof/>
          </w:rPr>
          <w:t>Figure 9 : Number of constructed and demolished dwellings in heritage overlays in Yarra, Port Phillip and Stonnington, 2005-2016</w:t>
        </w:r>
        <w:r w:rsidR="002A5FDA">
          <w:rPr>
            <w:noProof/>
          </w:rPr>
          <w:tab/>
        </w:r>
        <w:r w:rsidR="002A5FDA">
          <w:rPr>
            <w:noProof/>
          </w:rPr>
          <w:fldChar w:fldCharType="begin"/>
        </w:r>
        <w:r w:rsidR="002A5FDA">
          <w:rPr>
            <w:noProof/>
          </w:rPr>
          <w:instrText xml:space="preserve"> PAGEREF _Toc506904198 \h </w:instrText>
        </w:r>
        <w:r w:rsidR="002A5FDA">
          <w:rPr>
            <w:noProof/>
          </w:rPr>
        </w:r>
        <w:r w:rsidR="002A5FDA">
          <w:rPr>
            <w:noProof/>
          </w:rPr>
          <w:fldChar w:fldCharType="separate"/>
        </w:r>
        <w:r w:rsidR="00A12295">
          <w:rPr>
            <w:noProof/>
          </w:rPr>
          <w:t>12</w:t>
        </w:r>
        <w:r w:rsidR="002A5FDA">
          <w:rPr>
            <w:noProof/>
          </w:rPr>
          <w:fldChar w:fldCharType="end"/>
        </w:r>
      </w:hyperlink>
    </w:p>
    <w:p w14:paraId="23591CD8" w14:textId="4C3A389B" w:rsidR="002A5FDA" w:rsidRDefault="00CA794F">
      <w:pPr>
        <w:pStyle w:val="TableofFigures"/>
        <w:rPr>
          <w:rFonts w:eastAsiaTheme="minorEastAsia" w:cstheme="minorBidi"/>
          <w:noProof/>
          <w:color w:val="auto"/>
          <w:sz w:val="22"/>
          <w:szCs w:val="22"/>
        </w:rPr>
      </w:pPr>
      <w:hyperlink w:anchor="_Toc506904199" w:history="1">
        <w:r w:rsidR="002A5FDA" w:rsidRPr="00122FD8">
          <w:rPr>
            <w:rStyle w:val="Hyperlink"/>
            <w:noProof/>
          </w:rPr>
          <w:t>Figure 10: Number of constructed and demolished dwellings, 2005-2016, selected LGA groups</w:t>
        </w:r>
        <w:r w:rsidR="002A5FDA">
          <w:rPr>
            <w:noProof/>
          </w:rPr>
          <w:tab/>
        </w:r>
        <w:r w:rsidR="002A5FDA">
          <w:rPr>
            <w:noProof/>
          </w:rPr>
          <w:fldChar w:fldCharType="begin"/>
        </w:r>
        <w:r w:rsidR="002A5FDA">
          <w:rPr>
            <w:noProof/>
          </w:rPr>
          <w:instrText xml:space="preserve"> PAGEREF _Toc506904199 \h </w:instrText>
        </w:r>
        <w:r w:rsidR="002A5FDA">
          <w:rPr>
            <w:noProof/>
          </w:rPr>
        </w:r>
        <w:r w:rsidR="002A5FDA">
          <w:rPr>
            <w:noProof/>
          </w:rPr>
          <w:fldChar w:fldCharType="separate"/>
        </w:r>
        <w:r w:rsidR="00A12295">
          <w:rPr>
            <w:noProof/>
          </w:rPr>
          <w:t>13</w:t>
        </w:r>
        <w:r w:rsidR="002A5FDA">
          <w:rPr>
            <w:noProof/>
          </w:rPr>
          <w:fldChar w:fldCharType="end"/>
        </w:r>
      </w:hyperlink>
    </w:p>
    <w:p w14:paraId="2CB43D0C" w14:textId="705052AC" w:rsidR="002A5FDA" w:rsidRDefault="00CA794F">
      <w:pPr>
        <w:pStyle w:val="TableofFigures"/>
        <w:rPr>
          <w:rFonts w:eastAsiaTheme="minorEastAsia" w:cstheme="minorBidi"/>
          <w:noProof/>
          <w:color w:val="auto"/>
          <w:sz w:val="22"/>
          <w:szCs w:val="22"/>
        </w:rPr>
      </w:pPr>
      <w:hyperlink w:anchor="_Toc506904200" w:history="1">
        <w:r w:rsidR="002A5FDA" w:rsidRPr="00122FD8">
          <w:rPr>
            <w:rStyle w:val="Hyperlink"/>
            <w:noProof/>
          </w:rPr>
          <w:t>Figure 11: One-for-one replacements 2005-2016, established Melbourne</w:t>
        </w:r>
        <w:r w:rsidR="002A5FDA">
          <w:rPr>
            <w:noProof/>
          </w:rPr>
          <w:tab/>
        </w:r>
        <w:r w:rsidR="002A5FDA">
          <w:rPr>
            <w:noProof/>
          </w:rPr>
          <w:fldChar w:fldCharType="begin"/>
        </w:r>
        <w:r w:rsidR="002A5FDA">
          <w:rPr>
            <w:noProof/>
          </w:rPr>
          <w:instrText xml:space="preserve"> PAGEREF _Toc506904200 \h </w:instrText>
        </w:r>
        <w:r w:rsidR="002A5FDA">
          <w:rPr>
            <w:noProof/>
          </w:rPr>
        </w:r>
        <w:r w:rsidR="002A5FDA">
          <w:rPr>
            <w:noProof/>
          </w:rPr>
          <w:fldChar w:fldCharType="separate"/>
        </w:r>
        <w:r w:rsidR="00A12295">
          <w:rPr>
            <w:noProof/>
          </w:rPr>
          <w:t>14</w:t>
        </w:r>
        <w:r w:rsidR="002A5FDA">
          <w:rPr>
            <w:noProof/>
          </w:rPr>
          <w:fldChar w:fldCharType="end"/>
        </w:r>
      </w:hyperlink>
    </w:p>
    <w:p w14:paraId="08270460" w14:textId="79FEF086" w:rsidR="008734DB" w:rsidRPr="002822E0" w:rsidRDefault="008734DB" w:rsidP="008734DB">
      <w:pPr>
        <w:pStyle w:val="TableofFigures"/>
      </w:pPr>
      <w:r>
        <w:fldChar w:fldCharType="end"/>
      </w:r>
      <w:bookmarkEnd w:id="13"/>
    </w:p>
    <w:p w14:paraId="5BDF90DE" w14:textId="77777777" w:rsidR="00A04486" w:rsidRDefault="00A04486" w:rsidP="008734DB">
      <w:pPr>
        <w:spacing w:after="440" w:line="460" w:lineRule="exact"/>
      </w:pPr>
    </w:p>
    <w:p w14:paraId="2AC5851E" w14:textId="77777777" w:rsidR="008734DB" w:rsidRDefault="008734DB" w:rsidP="008734DB">
      <w:pPr>
        <w:spacing w:after="440" w:line="460" w:lineRule="exact"/>
        <w:sectPr w:rsidR="008734DB" w:rsidSect="002924FB">
          <w:footerReference w:type="even" r:id="rId29"/>
          <w:footerReference w:type="default" r:id="rId30"/>
          <w:pgSz w:w="11907" w:h="16840" w:code="9"/>
          <w:pgMar w:top="1134" w:right="1134" w:bottom="1134" w:left="1134" w:header="283" w:footer="283" w:gutter="0"/>
          <w:pgNumType w:fmt="lowerRoman" w:start="1"/>
          <w:cols w:space="708"/>
          <w:docGrid w:linePitch="360"/>
        </w:sectPr>
      </w:pPr>
    </w:p>
    <w:p w14:paraId="76909C06" w14:textId="77777777" w:rsidR="00B83743" w:rsidRDefault="372C1C62" w:rsidP="00353F0A">
      <w:pPr>
        <w:pStyle w:val="Heading1"/>
      </w:pPr>
      <w:bookmarkStart w:id="14" w:name="_Toc483576267"/>
      <w:bookmarkStart w:id="15" w:name="_Toc506556529"/>
      <w:bookmarkStart w:id="16" w:name="H1top1"/>
      <w:bookmarkEnd w:id="11"/>
      <w:r>
        <w:lastRenderedPageBreak/>
        <w:t>Introduction</w:t>
      </w:r>
      <w:bookmarkEnd w:id="14"/>
      <w:bookmarkEnd w:id="15"/>
    </w:p>
    <w:p w14:paraId="24BE8100" w14:textId="2799124C" w:rsidR="00110871" w:rsidRPr="00006F06" w:rsidRDefault="372C1C62" w:rsidP="00110871">
      <w:pPr>
        <w:pStyle w:val="BodyText"/>
      </w:pPr>
      <w:bookmarkStart w:id="17" w:name="PasteHere"/>
      <w:bookmarkEnd w:id="17"/>
      <w:r>
        <w:t xml:space="preserve">The </w:t>
      </w:r>
      <w:r w:rsidR="00FC5642">
        <w:t xml:space="preserve">housing development data </w:t>
      </w:r>
      <w:r>
        <w:t xml:space="preserve">provides a unique insight into housing development activity across metropolitan Melbourne that complements the insights provided by </w:t>
      </w:r>
      <w:r w:rsidR="00453F46">
        <w:t>The Australian Bureau of Statistics (</w:t>
      </w:r>
      <w:r>
        <w:t>ABS</w:t>
      </w:r>
      <w:r w:rsidR="00453F46">
        <w:t>)</w:t>
      </w:r>
      <w:r>
        <w:t xml:space="preserve"> bui</w:t>
      </w:r>
      <w:r w:rsidR="00926A96">
        <w:t>lding approvals</w:t>
      </w:r>
      <w:r w:rsidR="009515B9">
        <w:t xml:space="preserve"> data</w:t>
      </w:r>
      <w:r w:rsidR="00926A96">
        <w:t xml:space="preserve">. In particular, </w:t>
      </w:r>
      <w:r>
        <w:t xml:space="preserve">the </w:t>
      </w:r>
      <w:r w:rsidR="00FC5642">
        <w:t>housing development data</w:t>
      </w:r>
      <w:r>
        <w:t xml:space="preserve"> provides location specific information on the scale of housing change that enables analysis of </w:t>
      </w:r>
      <w:r w:rsidR="005123F1">
        <w:t xml:space="preserve">the influence of </w:t>
      </w:r>
      <w:r>
        <w:t xml:space="preserve">land use </w:t>
      </w:r>
      <w:r w:rsidR="005123F1">
        <w:t>policy</w:t>
      </w:r>
      <w:r>
        <w:t xml:space="preserve">. </w:t>
      </w:r>
    </w:p>
    <w:p w14:paraId="12D8BF0F" w14:textId="1A3D9F98" w:rsidR="00B9514D" w:rsidRDefault="372C1C62" w:rsidP="00110871">
      <w:pPr>
        <w:pStyle w:val="BodyText"/>
      </w:pPr>
      <w:r>
        <w:t>This report profiles twelve years of housing development data collection from 2005 to 2016</w:t>
      </w:r>
      <w:r w:rsidR="00FA6F27">
        <w:t>,</w:t>
      </w:r>
      <w:r>
        <w:t xml:space="preserve"> a period that saw increased residential construction activity throughout Melbourne. The report highlights how </w:t>
      </w:r>
      <w:r w:rsidR="00FC5642">
        <w:t>housing development data</w:t>
      </w:r>
      <w:r>
        <w:t xml:space="preserve"> can be used to understand changes in density, </w:t>
      </w:r>
      <w:r w:rsidR="00C55E26">
        <w:t xml:space="preserve">growth of housing in </w:t>
      </w:r>
      <w:r>
        <w:t>activity centre</w:t>
      </w:r>
      <w:r w:rsidR="00C55E26">
        <w:t>s</w:t>
      </w:r>
      <w:r>
        <w:t xml:space="preserve"> and the influence of zones and overlays on housing change.</w:t>
      </w:r>
    </w:p>
    <w:p w14:paraId="2026625E" w14:textId="77777777" w:rsidR="00234B8E" w:rsidRDefault="372C1C62" w:rsidP="00234B8E">
      <w:pPr>
        <w:pStyle w:val="Heading2"/>
      </w:pPr>
      <w:bookmarkStart w:id="18" w:name="_Toc506556530"/>
      <w:r>
        <w:t>Context</w:t>
      </w:r>
      <w:bookmarkEnd w:id="18"/>
    </w:p>
    <w:p w14:paraId="7B98614C" w14:textId="25A5AA93" w:rsidR="00234B8E" w:rsidRDefault="372C1C62" w:rsidP="372C1C62">
      <w:pPr>
        <w:pStyle w:val="BodyText"/>
        <w:rPr>
          <w:lang w:eastAsia="en-AU"/>
        </w:rPr>
      </w:pPr>
      <w:r w:rsidRPr="372C1C62">
        <w:rPr>
          <w:lang w:eastAsia="en-AU"/>
        </w:rPr>
        <w:t xml:space="preserve">This report takes in a period of significant residential construction highlighted by </w:t>
      </w:r>
      <w:r w:rsidR="00604520">
        <w:rPr>
          <w:lang w:eastAsia="en-AU"/>
        </w:rPr>
        <w:t xml:space="preserve">record </w:t>
      </w:r>
      <w:r w:rsidRPr="372C1C62">
        <w:rPr>
          <w:lang w:eastAsia="en-AU"/>
        </w:rPr>
        <w:t xml:space="preserve">residential building approvals </w:t>
      </w:r>
      <w:r w:rsidR="00604520">
        <w:rPr>
          <w:lang w:eastAsia="en-AU"/>
        </w:rPr>
        <w:t>in Melbourne</w:t>
      </w:r>
      <w:r w:rsidRPr="372C1C62">
        <w:rPr>
          <w:lang w:eastAsia="en-AU"/>
        </w:rPr>
        <w:t xml:space="preserve">. Analysis of </w:t>
      </w:r>
      <w:r w:rsidR="00565D0D">
        <w:rPr>
          <w:lang w:eastAsia="en-AU"/>
        </w:rPr>
        <w:t>this</w:t>
      </w:r>
      <w:r w:rsidR="00AF2427">
        <w:rPr>
          <w:lang w:eastAsia="en-AU"/>
        </w:rPr>
        <w:t xml:space="preserve"> data (f</w:t>
      </w:r>
      <w:r w:rsidRPr="372C1C62">
        <w:rPr>
          <w:lang w:eastAsia="en-AU"/>
        </w:rPr>
        <w:t>igure 1</w:t>
      </w:r>
      <w:r w:rsidR="00AF2427">
        <w:rPr>
          <w:lang w:eastAsia="en-AU"/>
        </w:rPr>
        <w:t xml:space="preserve">) </w:t>
      </w:r>
      <w:r w:rsidRPr="372C1C62">
        <w:rPr>
          <w:lang w:eastAsia="en-AU"/>
        </w:rPr>
        <w:t>show</w:t>
      </w:r>
      <w:r w:rsidR="00AF2427">
        <w:rPr>
          <w:lang w:eastAsia="en-AU"/>
        </w:rPr>
        <w:t>s</w:t>
      </w:r>
      <w:r w:rsidRPr="372C1C62">
        <w:rPr>
          <w:lang w:eastAsia="en-AU"/>
        </w:rPr>
        <w:t xml:space="preserve"> that</w:t>
      </w:r>
      <w:r w:rsidR="00565D0D">
        <w:rPr>
          <w:lang w:eastAsia="en-AU"/>
        </w:rPr>
        <w:t>:</w:t>
      </w:r>
    </w:p>
    <w:p w14:paraId="1FD9A6CF" w14:textId="74BBBD8F" w:rsidR="00234B8E" w:rsidRPr="0013527E" w:rsidRDefault="00234B8E" w:rsidP="008E3528">
      <w:pPr>
        <w:pStyle w:val="ListBullet"/>
        <w:tabs>
          <w:tab w:val="clear" w:pos="170"/>
          <w:tab w:val="num" w:pos="426"/>
        </w:tabs>
        <w:ind w:left="426" w:hanging="142"/>
      </w:pPr>
      <w:r>
        <w:t xml:space="preserve">The total number of dwellings approved in Greater </w:t>
      </w:r>
      <w:r w:rsidRPr="0013527E">
        <w:t xml:space="preserve">Melbourne </w:t>
      </w:r>
      <w:r w:rsidRPr="00565D0D">
        <w:rPr>
          <w:b/>
          <w:bCs/>
        </w:rPr>
        <w:t>doubled</w:t>
      </w:r>
      <w:r w:rsidRPr="0013527E">
        <w:t xml:space="preserve"> from around 27,000 in 2005 to nearly 5</w:t>
      </w:r>
      <w:r w:rsidR="00CD12E6" w:rsidRPr="0013527E">
        <w:t>8</w:t>
      </w:r>
      <w:r w:rsidRPr="0013527E">
        <w:t>,000 in 201</w:t>
      </w:r>
      <w:r w:rsidR="00884ECD" w:rsidRPr="0013527E">
        <w:t>7</w:t>
      </w:r>
      <w:r w:rsidRPr="0013527E">
        <w:t>.</w:t>
      </w:r>
    </w:p>
    <w:p w14:paraId="04A15750" w14:textId="616415F3" w:rsidR="00234B8E" w:rsidRPr="0013527E" w:rsidRDefault="00234B8E" w:rsidP="008E3528">
      <w:pPr>
        <w:pStyle w:val="ListBullet"/>
        <w:tabs>
          <w:tab w:val="clear" w:pos="170"/>
          <w:tab w:val="num" w:pos="284"/>
        </w:tabs>
        <w:ind w:left="426" w:hanging="142"/>
      </w:pPr>
      <w:r w:rsidRPr="0013527E">
        <w:t>While subject to cycles, the number of detached houses approved in local government areas in Melbourne’s growth corridors remained high and reached a record high of over 1</w:t>
      </w:r>
      <w:r w:rsidR="00161345" w:rsidRPr="0013527E">
        <w:t>8</w:t>
      </w:r>
      <w:r w:rsidRPr="0013527E">
        <w:t>,000 in 201</w:t>
      </w:r>
      <w:r w:rsidR="00916EBF" w:rsidRPr="0013527E">
        <w:t>7</w:t>
      </w:r>
      <w:r w:rsidRPr="0013527E">
        <w:t>.</w:t>
      </w:r>
    </w:p>
    <w:p w14:paraId="3C9F59ED" w14:textId="57AB06FC" w:rsidR="00234B8E" w:rsidRPr="0013527E" w:rsidRDefault="372C1C62" w:rsidP="008E3528">
      <w:pPr>
        <w:pStyle w:val="ListBullet"/>
        <w:tabs>
          <w:tab w:val="clear" w:pos="170"/>
          <w:tab w:val="num" w:pos="284"/>
        </w:tabs>
        <w:ind w:left="426" w:hanging="142"/>
      </w:pPr>
      <w:r w:rsidRPr="0013527E">
        <w:t>The number of houses b</w:t>
      </w:r>
      <w:r w:rsidR="00EB5007" w:rsidRPr="0013527E">
        <w:t>uilt in middle and outer LGAs</w:t>
      </w:r>
      <w:r w:rsidR="00EB5007" w:rsidRPr="0013527E">
        <w:rPr>
          <w:rStyle w:val="FootnoteReference"/>
        </w:rPr>
        <w:footnoteReference w:id="2"/>
      </w:r>
      <w:r w:rsidRPr="0013527E">
        <w:t xml:space="preserve"> remained stable at about 9,000 each year.</w:t>
      </w:r>
    </w:p>
    <w:p w14:paraId="4C71293B" w14:textId="25DCD6C7" w:rsidR="00234B8E" w:rsidRPr="0013527E" w:rsidRDefault="00234B8E" w:rsidP="008E3528">
      <w:pPr>
        <w:pStyle w:val="ListBullet"/>
        <w:tabs>
          <w:tab w:val="clear" w:pos="170"/>
          <w:tab w:val="num" w:pos="426"/>
        </w:tabs>
        <w:ind w:left="426" w:hanging="142"/>
      </w:pPr>
      <w:r w:rsidRPr="0013527E">
        <w:t>The number of semi-detached and low rise</w:t>
      </w:r>
      <w:r w:rsidR="00BC1305" w:rsidRPr="0013527E">
        <w:rPr>
          <w:rStyle w:val="FootnoteReference"/>
        </w:rPr>
        <w:footnoteReference w:id="3"/>
      </w:r>
      <w:r w:rsidRPr="0013527E">
        <w:t xml:space="preserve"> apartments approved in middle ring and outer </w:t>
      </w:r>
      <w:r w:rsidR="00EB5007" w:rsidRPr="0013527E">
        <w:t xml:space="preserve">LGAs </w:t>
      </w:r>
      <w:r w:rsidRPr="0013527E">
        <w:t xml:space="preserve">– mostly in the form of small scale infill development –  </w:t>
      </w:r>
      <w:r w:rsidRPr="00565D0D">
        <w:rPr>
          <w:b/>
          <w:bCs/>
        </w:rPr>
        <w:t>more than doubled</w:t>
      </w:r>
      <w:r w:rsidRPr="0013527E">
        <w:t xml:space="preserve"> from about 4,000 in 2005 to nearly 1</w:t>
      </w:r>
      <w:r w:rsidR="00CD12E6" w:rsidRPr="0013527E">
        <w:t>1</w:t>
      </w:r>
      <w:r w:rsidRPr="0013527E">
        <w:t>,000 in 201</w:t>
      </w:r>
      <w:r w:rsidR="00916EBF" w:rsidRPr="0013527E">
        <w:t>7</w:t>
      </w:r>
      <w:r w:rsidRPr="0013527E">
        <w:t>.</w:t>
      </w:r>
    </w:p>
    <w:p w14:paraId="54A70735" w14:textId="709DB6BD" w:rsidR="00234B8E" w:rsidRPr="0013527E" w:rsidRDefault="00234B8E" w:rsidP="008E3528">
      <w:pPr>
        <w:pStyle w:val="ListBullet"/>
        <w:tabs>
          <w:tab w:val="clear" w:pos="170"/>
        </w:tabs>
        <w:ind w:left="426" w:hanging="142"/>
      </w:pPr>
      <w:bookmarkStart w:id="20" w:name="EndPasteHere"/>
      <w:bookmarkEnd w:id="20"/>
      <w:r w:rsidRPr="0013527E">
        <w:t xml:space="preserve">The number of high rise apartments approved increased from just </w:t>
      </w:r>
      <w:r w:rsidR="00CE0A21" w:rsidRPr="0013527E">
        <w:t>over</w:t>
      </w:r>
      <w:r w:rsidRPr="0013527E">
        <w:t xml:space="preserve"> 2,000 in 2005 to reach </w:t>
      </w:r>
      <w:r w:rsidRPr="0013527E">
        <w:rPr>
          <w:bCs/>
        </w:rPr>
        <w:t>a peak of nearly</w:t>
      </w:r>
      <w:r w:rsidRPr="0013527E">
        <w:t xml:space="preserve"> 20,000 in 2015 before </w:t>
      </w:r>
      <w:r w:rsidR="00C55E26">
        <w:t>declining</w:t>
      </w:r>
      <w:r w:rsidRPr="0013527E">
        <w:t xml:space="preserve"> to around 1</w:t>
      </w:r>
      <w:r w:rsidR="00CD12E6" w:rsidRPr="0013527E">
        <w:t>8</w:t>
      </w:r>
      <w:r w:rsidRPr="0013527E">
        <w:t>,000 in 201</w:t>
      </w:r>
      <w:r w:rsidR="00916EBF" w:rsidRPr="0013527E">
        <w:t>7</w:t>
      </w:r>
      <w:r w:rsidRPr="0013527E">
        <w:t xml:space="preserve">. </w:t>
      </w:r>
    </w:p>
    <w:p w14:paraId="5FBEE2BE" w14:textId="12450EE2" w:rsidR="008D1E1B" w:rsidRDefault="00FA6F27" w:rsidP="008E3528">
      <w:pPr>
        <w:pStyle w:val="ListBullet"/>
        <w:tabs>
          <w:tab w:val="clear" w:pos="170"/>
        </w:tabs>
        <w:ind w:left="426" w:hanging="142"/>
      </w:pPr>
      <w:r>
        <w:t>T</w:t>
      </w:r>
      <w:r w:rsidR="00234B8E" w:rsidRPr="0013527E">
        <w:t xml:space="preserve">he number of high rise apartments </w:t>
      </w:r>
      <w:r w:rsidR="00351FC6">
        <w:t xml:space="preserve">approved </w:t>
      </w:r>
      <w:r w:rsidR="00234B8E" w:rsidRPr="0013527E">
        <w:t xml:space="preserve">in middle ring </w:t>
      </w:r>
      <w:r w:rsidR="00AC55EB" w:rsidRPr="0013527E">
        <w:t>LGAs</w:t>
      </w:r>
      <w:r w:rsidR="00234B8E" w:rsidRPr="0013527E">
        <w:t xml:space="preserve"> </w:t>
      </w:r>
      <w:r w:rsidR="00234B8E" w:rsidRPr="00565D0D">
        <w:t xml:space="preserve">increased </w:t>
      </w:r>
      <w:r w:rsidR="00C55E26">
        <w:t>significantly</w:t>
      </w:r>
      <w:r w:rsidR="00234B8E" w:rsidRPr="0013527E">
        <w:t xml:space="preserve">, rising from around 600 in </w:t>
      </w:r>
      <w:r>
        <w:t>2005 to nearly 9,000 in 2015 to</w:t>
      </w:r>
      <w:r w:rsidR="00234B8E" w:rsidRPr="0013527E">
        <w:t xml:space="preserve"> about </w:t>
      </w:r>
      <w:r w:rsidR="001511FF" w:rsidRPr="0013527E">
        <w:t>7</w:t>
      </w:r>
      <w:r w:rsidR="00234B8E" w:rsidRPr="0013527E">
        <w:t>,500 in 201</w:t>
      </w:r>
      <w:r w:rsidR="00916EBF" w:rsidRPr="0013527E">
        <w:t>7</w:t>
      </w:r>
      <w:r w:rsidR="00234B8E" w:rsidRPr="0013527E">
        <w:t>.</w:t>
      </w:r>
    </w:p>
    <w:p w14:paraId="26CC69CD" w14:textId="60E74B9B" w:rsidR="00110871" w:rsidRPr="0013527E" w:rsidRDefault="00110871" w:rsidP="00565D0D">
      <w:pPr>
        <w:pStyle w:val="ListBullet"/>
        <w:numPr>
          <w:ilvl w:val="0"/>
          <w:numId w:val="0"/>
        </w:numPr>
        <w:ind w:left="426"/>
      </w:pPr>
    </w:p>
    <w:p w14:paraId="0B03A662" w14:textId="243126CB" w:rsidR="00234B8E" w:rsidRDefault="00234B8E" w:rsidP="00234B8E">
      <w:pPr>
        <w:pStyle w:val="Caption"/>
      </w:pPr>
      <w:bookmarkStart w:id="21" w:name="_Toc506904190"/>
      <w:r>
        <w:t xml:space="preserve">Figure </w:t>
      </w:r>
      <w:r w:rsidR="00CA794F">
        <w:fldChar w:fldCharType="begin"/>
      </w:r>
      <w:r w:rsidR="00CA794F">
        <w:instrText xml:space="preserve"> SEQ Figure \* ARABIC </w:instrText>
      </w:r>
      <w:r w:rsidR="00CA794F">
        <w:fldChar w:fldCharType="separate"/>
      </w:r>
      <w:r w:rsidR="00A12295">
        <w:rPr>
          <w:noProof/>
        </w:rPr>
        <w:t>1</w:t>
      </w:r>
      <w:r w:rsidR="00CA794F">
        <w:rPr>
          <w:noProof/>
        </w:rPr>
        <w:fldChar w:fldCharType="end"/>
      </w:r>
      <w:r w:rsidR="002532FE">
        <w:t>:</w:t>
      </w:r>
      <w:r w:rsidR="00BE6F8F">
        <w:t xml:space="preserve"> </w:t>
      </w:r>
      <w:r w:rsidRPr="00234B8E">
        <w:t xml:space="preserve">Annual number of residential building approvals, Metropolitan Melbourne </w:t>
      </w:r>
      <w:r w:rsidR="00E956DF" w:rsidRPr="003B6FC3">
        <w:rPr>
          <w:rStyle w:val="FootnoteReference"/>
        </w:rPr>
        <w:footnoteReference w:id="4"/>
      </w:r>
      <w:bookmarkEnd w:id="21"/>
    </w:p>
    <w:p w14:paraId="2612A6F7" w14:textId="30959833" w:rsidR="00234B8E" w:rsidRDefault="00234B8E" w:rsidP="00234B8E">
      <w:pPr>
        <w:pStyle w:val="ListBullet"/>
        <w:numPr>
          <w:ilvl w:val="0"/>
          <w:numId w:val="0"/>
        </w:numPr>
      </w:pPr>
    </w:p>
    <w:p w14:paraId="62078256" w14:textId="77777777" w:rsidR="00234B8E" w:rsidRDefault="372C1C62" w:rsidP="00234B8E">
      <w:pPr>
        <w:pStyle w:val="Heading2"/>
      </w:pPr>
      <w:bookmarkStart w:id="22" w:name="_Toc506556531"/>
      <w:r>
        <w:t>Why Housing Development Data</w:t>
      </w:r>
      <w:bookmarkEnd w:id="22"/>
    </w:p>
    <w:p w14:paraId="5520059E" w14:textId="762E8645" w:rsidR="00234B8E" w:rsidRDefault="372C1C62" w:rsidP="005C59AE">
      <w:pPr>
        <w:pStyle w:val="BodyText"/>
      </w:pPr>
      <w:r>
        <w:t xml:space="preserve">Housing </w:t>
      </w:r>
      <w:r w:rsidR="00FC5642">
        <w:t>d</w:t>
      </w:r>
      <w:r>
        <w:t xml:space="preserve">evelopment </w:t>
      </w:r>
      <w:r w:rsidR="00FC5642">
        <w:t>d</w:t>
      </w:r>
      <w:r>
        <w:t>ata generates information not provided by building approvals data. This includes data on the number of dwellings in a location, the specific location of new development, demolitions, and the type and scale of new development projects.</w:t>
      </w:r>
    </w:p>
    <w:p w14:paraId="48845936" w14:textId="770A2230" w:rsidR="00234B8E" w:rsidRDefault="372C1C62" w:rsidP="00234B8E">
      <w:pPr>
        <w:pStyle w:val="BodyText"/>
      </w:pPr>
      <w:r>
        <w:t xml:space="preserve">Housing </w:t>
      </w:r>
      <w:r w:rsidR="00FC5642">
        <w:t>d</w:t>
      </w:r>
      <w:r>
        <w:t xml:space="preserve">evelopment </w:t>
      </w:r>
      <w:r w:rsidR="00FC5642">
        <w:t>d</w:t>
      </w:r>
      <w:r>
        <w:t xml:space="preserve">ata records the construction and demolition of each individual dwelling in each year and includes a lot-by-lot ‘snapshot’ of the housing stock for each of those years.  </w:t>
      </w:r>
    </w:p>
    <w:p w14:paraId="11149A63" w14:textId="2D849E54" w:rsidR="00E400B8" w:rsidRDefault="00E5080E" w:rsidP="00234B8E">
      <w:pPr>
        <w:pStyle w:val="BodyText"/>
      </w:pPr>
      <w:r>
        <w:t>By</w:t>
      </w:r>
      <w:r w:rsidR="372C1C62">
        <w:t xml:space="preserve"> captur</w:t>
      </w:r>
      <w:r>
        <w:t>ing</w:t>
      </w:r>
      <w:r w:rsidR="372C1C62">
        <w:t xml:space="preserve"> the precise location of every individual dwelling and housing project, </w:t>
      </w:r>
      <w:r w:rsidR="00244759">
        <w:t xml:space="preserve">the </w:t>
      </w:r>
      <w:r w:rsidR="00115DB3">
        <w:t>h</w:t>
      </w:r>
      <w:r w:rsidR="00244759">
        <w:t xml:space="preserve">ousing </w:t>
      </w:r>
      <w:r w:rsidR="00115DB3">
        <w:t>d</w:t>
      </w:r>
      <w:r w:rsidR="00244759">
        <w:t xml:space="preserve">evelopment </w:t>
      </w:r>
      <w:r w:rsidR="00115DB3">
        <w:t>d</w:t>
      </w:r>
      <w:r w:rsidR="00244759">
        <w:t xml:space="preserve">ata </w:t>
      </w:r>
      <w:r w:rsidR="372C1C62">
        <w:t xml:space="preserve">allows for very detailed spatial analysis. The findings presented here are from the 12 years of currently available data from 2005 to 2016. </w:t>
      </w:r>
    </w:p>
    <w:p w14:paraId="185F4C27" w14:textId="78954212" w:rsidR="00565F05" w:rsidRDefault="372C1C62" w:rsidP="00234B8E">
      <w:pPr>
        <w:pStyle w:val="BodyText"/>
      </w:pPr>
      <w:r>
        <w:lastRenderedPageBreak/>
        <w:t xml:space="preserve">Reports presenting some key information for each local government area have also been prepared and are available at: </w:t>
      </w:r>
      <w:hyperlink r:id="rId31">
        <w:r w:rsidRPr="372C1C62">
          <w:rPr>
            <w:rStyle w:val="Hyperlink"/>
          </w:rPr>
          <w:t>https://www.planning.vic.gov.au/land-use-and-population-research/housing-development-data</w:t>
        </w:r>
      </w:hyperlink>
    </w:p>
    <w:p w14:paraId="1AF93E59" w14:textId="6A9FA4F1" w:rsidR="00F418F0" w:rsidRDefault="372C1C62" w:rsidP="00F418F0">
      <w:pPr>
        <w:pStyle w:val="BodyText"/>
      </w:pPr>
      <w:r>
        <w:t xml:space="preserve">The full dataset is also freely available from the Victorian Government’s DataVic website. </w:t>
      </w:r>
      <w:hyperlink r:id="rId32" w:history="1">
        <w:r w:rsidR="009B140E" w:rsidRPr="00EB24A5">
          <w:rPr>
            <w:rStyle w:val="Hyperlink"/>
          </w:rPr>
          <w:t>https://www.data.vic.gov.au</w:t>
        </w:r>
      </w:hyperlink>
    </w:p>
    <w:p w14:paraId="258E76FE" w14:textId="77777777" w:rsidR="009B140E" w:rsidRDefault="009B140E" w:rsidP="00F418F0">
      <w:pPr>
        <w:pStyle w:val="BodyText"/>
      </w:pPr>
    </w:p>
    <w:p w14:paraId="485273FE" w14:textId="77777777" w:rsidR="00AF2427" w:rsidRDefault="00AF2427" w:rsidP="00F418F0">
      <w:pPr>
        <w:pStyle w:val="BodyText"/>
      </w:pPr>
    </w:p>
    <w:p w14:paraId="66D9AF6D" w14:textId="77777777" w:rsidR="00F418F0" w:rsidRPr="00F418F0" w:rsidRDefault="00F418F0" w:rsidP="00F418F0">
      <w:pPr>
        <w:pStyle w:val="Heading1"/>
      </w:pPr>
      <w:r>
        <w:br w:type="page"/>
      </w:r>
      <w:bookmarkStart w:id="23" w:name="_Toc506556532"/>
      <w:r w:rsidR="372C1C62">
        <w:lastRenderedPageBreak/>
        <w:t>The Central City</w:t>
      </w:r>
      <w:bookmarkEnd w:id="23"/>
    </w:p>
    <w:p w14:paraId="482BD34C" w14:textId="50C282EE" w:rsidR="00234B8E" w:rsidRDefault="372C1C62" w:rsidP="00F418F0">
      <w:pPr>
        <w:pStyle w:val="BodyText"/>
      </w:pPr>
      <w:r>
        <w:t xml:space="preserve">A significant number of apartments were developed in Melbourne’s Central Business District and surrounding suburbs in </w:t>
      </w:r>
      <w:r w:rsidR="00B20C46">
        <w:t>between 2005 and</w:t>
      </w:r>
      <w:r>
        <w:t xml:space="preserve"> 2016. As shown in Table 1, the number of dwellings in the suburbs of Melbourne, Southbank, and Docklands have more than doubled.</w:t>
      </w:r>
    </w:p>
    <w:p w14:paraId="5455D743" w14:textId="3BFC87E4" w:rsidR="00565F05" w:rsidRDefault="00565F05" w:rsidP="00565F05">
      <w:pPr>
        <w:pStyle w:val="Caption"/>
      </w:pPr>
      <w:bookmarkStart w:id="24" w:name="ReturnHere"/>
      <w:bookmarkStart w:id="25" w:name="_Toc506904701"/>
      <w:bookmarkEnd w:id="24"/>
      <w:r w:rsidRPr="00565F05">
        <w:t xml:space="preserve">Table </w:t>
      </w:r>
      <w:r w:rsidR="00CA794F">
        <w:fldChar w:fldCharType="begin"/>
      </w:r>
      <w:r w:rsidR="00CA794F">
        <w:instrText xml:space="preserve"> SEQ Table \* ARABIC  </w:instrText>
      </w:r>
      <w:r w:rsidR="00CA794F">
        <w:fldChar w:fldCharType="separate"/>
      </w:r>
      <w:r w:rsidR="00A12295">
        <w:rPr>
          <w:noProof/>
        </w:rPr>
        <w:t>1</w:t>
      </w:r>
      <w:r w:rsidR="00CA794F">
        <w:rPr>
          <w:noProof/>
        </w:rPr>
        <w:fldChar w:fldCharType="end"/>
      </w:r>
      <w:r w:rsidRPr="00565F05">
        <w:t xml:space="preserve">: </w:t>
      </w:r>
      <w:r w:rsidR="00642321" w:rsidRPr="00642321">
        <w:t>Number of dwellings in the CBD and selected surrounding suburbs</w:t>
      </w:r>
      <w:bookmarkEnd w:id="25"/>
    </w:p>
    <w:tbl>
      <w:tblPr>
        <w:tblStyle w:val="TableGrid"/>
        <w:tblW w:w="5000" w:type="pct"/>
        <w:tblLook w:val="0620" w:firstRow="1" w:lastRow="0" w:firstColumn="0" w:lastColumn="0" w:noHBand="1" w:noVBand="1"/>
      </w:tblPr>
      <w:tblGrid>
        <w:gridCol w:w="2409"/>
        <w:gridCol w:w="2410"/>
        <w:gridCol w:w="2410"/>
        <w:gridCol w:w="2410"/>
      </w:tblGrid>
      <w:tr w:rsidR="00565F05" w14:paraId="25C751D4" w14:textId="77777777" w:rsidTr="372C1C62">
        <w:trPr>
          <w:cnfStyle w:val="100000000000" w:firstRow="1" w:lastRow="0" w:firstColumn="0" w:lastColumn="0" w:oddVBand="0" w:evenVBand="0" w:oddHBand="0" w:evenHBand="0" w:firstRowFirstColumn="0" w:firstRowLastColumn="0" w:lastRowFirstColumn="0" w:lastRowLastColumn="0"/>
        </w:trPr>
        <w:tc>
          <w:tcPr>
            <w:tcW w:w="1250" w:type="pct"/>
          </w:tcPr>
          <w:p w14:paraId="7C2FF835" w14:textId="77777777" w:rsidR="00565F05" w:rsidRPr="008F4D4D" w:rsidRDefault="372C1C62" w:rsidP="372C1C62">
            <w:pPr>
              <w:pStyle w:val="TableHeadingLeft"/>
              <w:rPr>
                <w:rFonts w:cstheme="minorHAnsi"/>
                <w:color w:val="FFFFFF" w:themeColor="background1"/>
              </w:rPr>
            </w:pPr>
            <w:r w:rsidRPr="008F4D4D">
              <w:rPr>
                <w:rFonts w:cstheme="minorHAnsi"/>
                <w:color w:val="FFFFFF" w:themeColor="background1"/>
              </w:rPr>
              <w:t>Suburb</w:t>
            </w:r>
          </w:p>
        </w:tc>
        <w:tc>
          <w:tcPr>
            <w:tcW w:w="1250" w:type="pct"/>
          </w:tcPr>
          <w:p w14:paraId="57520569" w14:textId="77777777" w:rsidR="00565F05" w:rsidRPr="008F4D4D" w:rsidRDefault="372C1C62" w:rsidP="372C1C62">
            <w:pPr>
              <w:pStyle w:val="TableHeadingLeft"/>
              <w:rPr>
                <w:rFonts w:cstheme="minorHAnsi"/>
                <w:color w:val="FFFFFF" w:themeColor="background1"/>
              </w:rPr>
            </w:pPr>
            <w:r w:rsidRPr="008F4D4D">
              <w:rPr>
                <w:rFonts w:cstheme="minorHAnsi"/>
                <w:color w:val="FFFFFF" w:themeColor="background1"/>
              </w:rPr>
              <w:t>Stock 2004</w:t>
            </w:r>
          </w:p>
        </w:tc>
        <w:tc>
          <w:tcPr>
            <w:tcW w:w="1250" w:type="pct"/>
          </w:tcPr>
          <w:p w14:paraId="00A6663D" w14:textId="77777777" w:rsidR="00565F05" w:rsidRPr="008F4D4D" w:rsidRDefault="372C1C62" w:rsidP="372C1C62">
            <w:pPr>
              <w:pStyle w:val="TableHeadingLeft"/>
              <w:rPr>
                <w:rFonts w:cstheme="minorHAnsi"/>
                <w:color w:val="FFFFFF" w:themeColor="background1"/>
              </w:rPr>
            </w:pPr>
            <w:r w:rsidRPr="008F4D4D">
              <w:rPr>
                <w:rFonts w:cstheme="minorHAnsi"/>
                <w:color w:val="FFFFFF" w:themeColor="background1"/>
              </w:rPr>
              <w:t>Stock 2010</w:t>
            </w:r>
          </w:p>
        </w:tc>
        <w:tc>
          <w:tcPr>
            <w:tcW w:w="1250" w:type="pct"/>
          </w:tcPr>
          <w:p w14:paraId="0AACE484" w14:textId="77777777" w:rsidR="00565F05" w:rsidRPr="008F4D4D" w:rsidRDefault="372C1C62" w:rsidP="372C1C62">
            <w:pPr>
              <w:pStyle w:val="TableHeadingLeft"/>
              <w:rPr>
                <w:rFonts w:cstheme="minorHAnsi"/>
                <w:color w:val="FFFFFF" w:themeColor="background1"/>
              </w:rPr>
            </w:pPr>
            <w:r w:rsidRPr="008F4D4D">
              <w:rPr>
                <w:rFonts w:cstheme="minorHAnsi"/>
                <w:color w:val="FFFFFF" w:themeColor="background1"/>
              </w:rPr>
              <w:t>Stock 2016</w:t>
            </w:r>
          </w:p>
        </w:tc>
      </w:tr>
      <w:tr w:rsidR="00565F05" w14:paraId="5D55FB02" w14:textId="77777777" w:rsidTr="372C1C62">
        <w:tc>
          <w:tcPr>
            <w:tcW w:w="1250" w:type="pct"/>
          </w:tcPr>
          <w:p w14:paraId="6A9B07FE" w14:textId="77777777" w:rsidR="00565F05" w:rsidRPr="008F4D4D" w:rsidRDefault="372C1C62" w:rsidP="00565F05">
            <w:pPr>
              <w:pStyle w:val="TableTextLeft"/>
              <w:rPr>
                <w:rFonts w:cstheme="minorHAnsi"/>
                <w:szCs w:val="18"/>
              </w:rPr>
            </w:pPr>
            <w:r w:rsidRPr="008F4D4D">
              <w:rPr>
                <w:rFonts w:cstheme="minorHAnsi"/>
                <w:color w:val="000000"/>
              </w:rPr>
              <w:t xml:space="preserve">Carlton </w:t>
            </w:r>
          </w:p>
        </w:tc>
        <w:tc>
          <w:tcPr>
            <w:tcW w:w="1250" w:type="pct"/>
          </w:tcPr>
          <w:p w14:paraId="588E98E4" w14:textId="0B640403" w:rsidR="00565F05" w:rsidRPr="008F4D4D" w:rsidRDefault="372C1C62" w:rsidP="00565F05">
            <w:pPr>
              <w:pStyle w:val="TableTextLeft"/>
              <w:rPr>
                <w:rFonts w:cstheme="minorHAnsi"/>
                <w:szCs w:val="18"/>
              </w:rPr>
            </w:pPr>
            <w:r w:rsidRPr="008F4D4D">
              <w:rPr>
                <w:rFonts w:cstheme="minorHAnsi"/>
                <w:color w:val="000000"/>
              </w:rPr>
              <w:t>6</w:t>
            </w:r>
            <w:r w:rsidR="009C71C0" w:rsidRPr="008F4D4D">
              <w:rPr>
                <w:rFonts w:cstheme="minorHAnsi"/>
                <w:color w:val="000000"/>
              </w:rPr>
              <w:t>,</w:t>
            </w:r>
            <w:r w:rsidRPr="008F4D4D">
              <w:rPr>
                <w:rFonts w:cstheme="minorHAnsi"/>
                <w:color w:val="000000"/>
              </w:rPr>
              <w:t>017</w:t>
            </w:r>
          </w:p>
        </w:tc>
        <w:tc>
          <w:tcPr>
            <w:tcW w:w="1250" w:type="pct"/>
          </w:tcPr>
          <w:p w14:paraId="718C3D7D" w14:textId="1322BE85" w:rsidR="00565F05" w:rsidRPr="008F4D4D" w:rsidRDefault="372C1C62" w:rsidP="00565F05">
            <w:pPr>
              <w:pStyle w:val="TableTextLeft"/>
              <w:rPr>
                <w:rFonts w:cstheme="minorHAnsi"/>
                <w:szCs w:val="18"/>
              </w:rPr>
            </w:pPr>
            <w:r w:rsidRPr="008F4D4D">
              <w:rPr>
                <w:rFonts w:cstheme="minorHAnsi"/>
                <w:color w:val="000000"/>
              </w:rPr>
              <w:t>8</w:t>
            </w:r>
            <w:r w:rsidR="009C71C0" w:rsidRPr="008F4D4D">
              <w:rPr>
                <w:rFonts w:cstheme="minorHAnsi"/>
                <w:color w:val="000000"/>
              </w:rPr>
              <w:t>,</w:t>
            </w:r>
            <w:r w:rsidRPr="008F4D4D">
              <w:rPr>
                <w:rFonts w:cstheme="minorHAnsi"/>
                <w:color w:val="000000"/>
              </w:rPr>
              <w:t>173</w:t>
            </w:r>
          </w:p>
        </w:tc>
        <w:tc>
          <w:tcPr>
            <w:tcW w:w="1250" w:type="pct"/>
          </w:tcPr>
          <w:p w14:paraId="2C1FDC5F" w14:textId="08B8B70B" w:rsidR="00565F05" w:rsidRPr="008F4D4D" w:rsidRDefault="372C1C62" w:rsidP="00565F05">
            <w:pPr>
              <w:pStyle w:val="TableTextLeft"/>
              <w:rPr>
                <w:rFonts w:cstheme="minorHAnsi"/>
                <w:szCs w:val="18"/>
              </w:rPr>
            </w:pPr>
            <w:r w:rsidRPr="008F4D4D">
              <w:rPr>
                <w:rFonts w:cstheme="minorHAnsi"/>
                <w:color w:val="000000"/>
              </w:rPr>
              <w:t>10</w:t>
            </w:r>
            <w:r w:rsidR="00851EB4" w:rsidRPr="008F4D4D">
              <w:rPr>
                <w:rFonts w:cstheme="minorHAnsi"/>
                <w:color w:val="000000"/>
              </w:rPr>
              <w:t>,</w:t>
            </w:r>
            <w:r w:rsidRPr="008F4D4D">
              <w:rPr>
                <w:rFonts w:cstheme="minorHAnsi"/>
                <w:color w:val="000000"/>
              </w:rPr>
              <w:t>527</w:t>
            </w:r>
          </w:p>
        </w:tc>
      </w:tr>
      <w:tr w:rsidR="00565F05" w14:paraId="2BBC9D7F" w14:textId="77777777" w:rsidTr="372C1C62">
        <w:tc>
          <w:tcPr>
            <w:tcW w:w="1250" w:type="pct"/>
          </w:tcPr>
          <w:p w14:paraId="468B550A" w14:textId="77777777" w:rsidR="00565F05" w:rsidRPr="008F4D4D" w:rsidRDefault="372C1C62" w:rsidP="00565F05">
            <w:pPr>
              <w:pStyle w:val="TableTextLeft"/>
              <w:rPr>
                <w:rFonts w:cstheme="minorHAnsi"/>
                <w:szCs w:val="18"/>
              </w:rPr>
            </w:pPr>
            <w:r w:rsidRPr="008F4D4D">
              <w:rPr>
                <w:rFonts w:cstheme="minorHAnsi"/>
                <w:color w:val="000000"/>
              </w:rPr>
              <w:t>Docklands</w:t>
            </w:r>
          </w:p>
        </w:tc>
        <w:tc>
          <w:tcPr>
            <w:tcW w:w="1250" w:type="pct"/>
          </w:tcPr>
          <w:p w14:paraId="6A4A4E40" w14:textId="7B63AA4A" w:rsidR="00565F05" w:rsidRPr="008F4D4D" w:rsidRDefault="372C1C62" w:rsidP="00565F05">
            <w:pPr>
              <w:pStyle w:val="TableTextLeft"/>
              <w:rPr>
                <w:rFonts w:cstheme="minorHAnsi"/>
                <w:szCs w:val="18"/>
              </w:rPr>
            </w:pPr>
            <w:r w:rsidRPr="008F4D4D">
              <w:rPr>
                <w:rFonts w:cstheme="minorHAnsi"/>
                <w:color w:val="000000"/>
              </w:rPr>
              <w:t>2</w:t>
            </w:r>
            <w:r w:rsidR="009C71C0" w:rsidRPr="008F4D4D">
              <w:rPr>
                <w:rFonts w:cstheme="minorHAnsi"/>
                <w:color w:val="000000"/>
              </w:rPr>
              <w:t>,</w:t>
            </w:r>
            <w:r w:rsidRPr="008F4D4D">
              <w:rPr>
                <w:rFonts w:cstheme="minorHAnsi"/>
                <w:color w:val="000000"/>
              </w:rPr>
              <w:t>391</w:t>
            </w:r>
          </w:p>
        </w:tc>
        <w:tc>
          <w:tcPr>
            <w:tcW w:w="1250" w:type="pct"/>
          </w:tcPr>
          <w:p w14:paraId="3FA8E37D" w14:textId="73222BB3" w:rsidR="00565F05" w:rsidRPr="008F4D4D" w:rsidRDefault="372C1C62" w:rsidP="00565F05">
            <w:pPr>
              <w:pStyle w:val="TableTextLeft"/>
              <w:rPr>
                <w:rFonts w:cstheme="minorHAnsi"/>
                <w:szCs w:val="18"/>
              </w:rPr>
            </w:pPr>
            <w:r w:rsidRPr="008F4D4D">
              <w:rPr>
                <w:rFonts w:cstheme="minorHAnsi"/>
                <w:color w:val="000000"/>
              </w:rPr>
              <w:t>3</w:t>
            </w:r>
            <w:r w:rsidR="009C71C0" w:rsidRPr="008F4D4D">
              <w:rPr>
                <w:rFonts w:cstheme="minorHAnsi"/>
                <w:color w:val="000000"/>
              </w:rPr>
              <w:t>,</w:t>
            </w:r>
            <w:r w:rsidRPr="008F4D4D">
              <w:rPr>
                <w:rFonts w:cstheme="minorHAnsi"/>
                <w:color w:val="000000"/>
              </w:rPr>
              <w:t>748</w:t>
            </w:r>
          </w:p>
        </w:tc>
        <w:tc>
          <w:tcPr>
            <w:tcW w:w="1250" w:type="pct"/>
          </w:tcPr>
          <w:p w14:paraId="4D2BFE03" w14:textId="104ED867" w:rsidR="00565F05" w:rsidRPr="008F4D4D" w:rsidRDefault="372C1C62" w:rsidP="00565F05">
            <w:pPr>
              <w:pStyle w:val="TableTextLeft"/>
              <w:rPr>
                <w:rFonts w:cstheme="minorHAnsi"/>
                <w:szCs w:val="18"/>
              </w:rPr>
            </w:pPr>
            <w:r w:rsidRPr="008F4D4D">
              <w:rPr>
                <w:rFonts w:cstheme="minorHAnsi"/>
                <w:color w:val="000000"/>
              </w:rPr>
              <w:t>8</w:t>
            </w:r>
            <w:r w:rsidR="009C71C0" w:rsidRPr="008F4D4D">
              <w:rPr>
                <w:rFonts w:cstheme="minorHAnsi"/>
                <w:color w:val="000000"/>
              </w:rPr>
              <w:t>,</w:t>
            </w:r>
            <w:r w:rsidRPr="008F4D4D">
              <w:rPr>
                <w:rFonts w:cstheme="minorHAnsi"/>
                <w:color w:val="000000"/>
              </w:rPr>
              <w:t>822</w:t>
            </w:r>
          </w:p>
        </w:tc>
      </w:tr>
      <w:tr w:rsidR="00565F05" w14:paraId="5F7A70EE" w14:textId="77777777" w:rsidTr="372C1C62">
        <w:tc>
          <w:tcPr>
            <w:tcW w:w="1250" w:type="pct"/>
          </w:tcPr>
          <w:p w14:paraId="7DF2D3E5" w14:textId="77777777" w:rsidR="00565F05" w:rsidRPr="008F4D4D" w:rsidRDefault="372C1C62" w:rsidP="00565F05">
            <w:pPr>
              <w:pStyle w:val="TableTextLeft"/>
              <w:rPr>
                <w:rFonts w:cstheme="minorHAnsi"/>
                <w:szCs w:val="18"/>
              </w:rPr>
            </w:pPr>
            <w:r w:rsidRPr="008F4D4D">
              <w:rPr>
                <w:rFonts w:cstheme="minorHAnsi"/>
                <w:color w:val="000000"/>
              </w:rPr>
              <w:t>Melbourne</w:t>
            </w:r>
          </w:p>
        </w:tc>
        <w:tc>
          <w:tcPr>
            <w:tcW w:w="1250" w:type="pct"/>
          </w:tcPr>
          <w:p w14:paraId="67B7F253" w14:textId="11F583DB" w:rsidR="00565F05" w:rsidRPr="008F4D4D" w:rsidRDefault="372C1C62" w:rsidP="00565F05">
            <w:pPr>
              <w:pStyle w:val="TableTextLeft"/>
              <w:rPr>
                <w:rFonts w:cstheme="minorHAnsi"/>
                <w:szCs w:val="18"/>
              </w:rPr>
            </w:pPr>
            <w:r w:rsidRPr="008F4D4D">
              <w:rPr>
                <w:rFonts w:cstheme="minorHAnsi"/>
                <w:color w:val="000000"/>
              </w:rPr>
              <w:t>11</w:t>
            </w:r>
            <w:r w:rsidR="00851EB4" w:rsidRPr="008F4D4D">
              <w:rPr>
                <w:rFonts w:cstheme="minorHAnsi"/>
                <w:color w:val="000000"/>
              </w:rPr>
              <w:t>,</w:t>
            </w:r>
            <w:r w:rsidRPr="008F4D4D">
              <w:rPr>
                <w:rFonts w:cstheme="minorHAnsi"/>
                <w:color w:val="000000"/>
              </w:rPr>
              <w:t>744</w:t>
            </w:r>
          </w:p>
        </w:tc>
        <w:tc>
          <w:tcPr>
            <w:tcW w:w="1250" w:type="pct"/>
          </w:tcPr>
          <w:p w14:paraId="16D836FE" w14:textId="07CE63D3" w:rsidR="00565F05" w:rsidRPr="008F4D4D" w:rsidRDefault="372C1C62" w:rsidP="00565F05">
            <w:pPr>
              <w:pStyle w:val="TableTextLeft"/>
              <w:rPr>
                <w:rFonts w:cstheme="minorHAnsi"/>
                <w:szCs w:val="18"/>
              </w:rPr>
            </w:pPr>
            <w:r w:rsidRPr="008F4D4D">
              <w:rPr>
                <w:rFonts w:cstheme="minorHAnsi"/>
                <w:color w:val="000000"/>
              </w:rPr>
              <w:t>17</w:t>
            </w:r>
            <w:r w:rsidR="009C71C0" w:rsidRPr="008F4D4D">
              <w:rPr>
                <w:rFonts w:cstheme="minorHAnsi"/>
                <w:color w:val="000000"/>
              </w:rPr>
              <w:t>,</w:t>
            </w:r>
            <w:r w:rsidRPr="008F4D4D">
              <w:rPr>
                <w:rFonts w:cstheme="minorHAnsi"/>
                <w:color w:val="000000"/>
              </w:rPr>
              <w:t>968</w:t>
            </w:r>
          </w:p>
        </w:tc>
        <w:tc>
          <w:tcPr>
            <w:tcW w:w="1250" w:type="pct"/>
          </w:tcPr>
          <w:p w14:paraId="7FC263C5" w14:textId="0574B31D" w:rsidR="00565F05" w:rsidRPr="008F4D4D" w:rsidRDefault="372C1C62" w:rsidP="00565F05">
            <w:pPr>
              <w:pStyle w:val="TableTextLeft"/>
              <w:rPr>
                <w:rFonts w:cstheme="minorHAnsi"/>
                <w:szCs w:val="18"/>
              </w:rPr>
            </w:pPr>
            <w:r w:rsidRPr="008F4D4D">
              <w:rPr>
                <w:rFonts w:cstheme="minorHAnsi"/>
                <w:color w:val="000000"/>
              </w:rPr>
              <w:t>31</w:t>
            </w:r>
            <w:r w:rsidR="009C71C0" w:rsidRPr="008F4D4D">
              <w:rPr>
                <w:rFonts w:cstheme="minorHAnsi"/>
                <w:color w:val="000000"/>
              </w:rPr>
              <w:t>,</w:t>
            </w:r>
            <w:r w:rsidRPr="008F4D4D">
              <w:rPr>
                <w:rFonts w:cstheme="minorHAnsi"/>
                <w:color w:val="000000"/>
              </w:rPr>
              <w:t>036</w:t>
            </w:r>
          </w:p>
        </w:tc>
      </w:tr>
      <w:tr w:rsidR="00565F05" w14:paraId="5FCBAF89" w14:textId="77777777" w:rsidTr="372C1C62">
        <w:tc>
          <w:tcPr>
            <w:tcW w:w="1250" w:type="pct"/>
          </w:tcPr>
          <w:p w14:paraId="774B37BE" w14:textId="77777777" w:rsidR="00565F05" w:rsidRPr="008F4D4D" w:rsidRDefault="372C1C62" w:rsidP="00565F05">
            <w:pPr>
              <w:pStyle w:val="TableTextLeft"/>
              <w:rPr>
                <w:rFonts w:cstheme="minorHAnsi"/>
                <w:szCs w:val="18"/>
              </w:rPr>
            </w:pPr>
            <w:r w:rsidRPr="008F4D4D">
              <w:rPr>
                <w:rFonts w:cstheme="minorHAnsi"/>
                <w:color w:val="000000"/>
              </w:rPr>
              <w:t>Southbank</w:t>
            </w:r>
          </w:p>
        </w:tc>
        <w:tc>
          <w:tcPr>
            <w:tcW w:w="1250" w:type="pct"/>
          </w:tcPr>
          <w:p w14:paraId="1BA679B3" w14:textId="279ECEE6" w:rsidR="00565F05" w:rsidRPr="008F4D4D" w:rsidRDefault="372C1C62" w:rsidP="00565F05">
            <w:pPr>
              <w:pStyle w:val="TableTextLeft"/>
              <w:rPr>
                <w:rFonts w:cstheme="minorHAnsi"/>
                <w:szCs w:val="18"/>
              </w:rPr>
            </w:pPr>
            <w:r w:rsidRPr="008F4D4D">
              <w:rPr>
                <w:rFonts w:cstheme="minorHAnsi"/>
                <w:color w:val="000000"/>
              </w:rPr>
              <w:t>4</w:t>
            </w:r>
            <w:r w:rsidR="009C71C0" w:rsidRPr="008F4D4D">
              <w:rPr>
                <w:rFonts w:cstheme="minorHAnsi"/>
                <w:color w:val="000000"/>
              </w:rPr>
              <w:t>,</w:t>
            </w:r>
            <w:r w:rsidRPr="008F4D4D">
              <w:rPr>
                <w:rFonts w:cstheme="minorHAnsi"/>
                <w:color w:val="000000"/>
              </w:rPr>
              <w:t>252</w:t>
            </w:r>
          </w:p>
        </w:tc>
        <w:tc>
          <w:tcPr>
            <w:tcW w:w="1250" w:type="pct"/>
          </w:tcPr>
          <w:p w14:paraId="5C977D4D" w14:textId="6868DE71" w:rsidR="00565F05" w:rsidRPr="008F4D4D" w:rsidRDefault="372C1C62" w:rsidP="00565F05">
            <w:pPr>
              <w:pStyle w:val="TableTextLeft"/>
              <w:rPr>
                <w:rFonts w:cstheme="minorHAnsi"/>
                <w:szCs w:val="18"/>
              </w:rPr>
            </w:pPr>
            <w:r w:rsidRPr="008F4D4D">
              <w:rPr>
                <w:rFonts w:cstheme="minorHAnsi"/>
                <w:color w:val="000000"/>
              </w:rPr>
              <w:t>6</w:t>
            </w:r>
            <w:r w:rsidR="009C71C0" w:rsidRPr="008F4D4D">
              <w:rPr>
                <w:rFonts w:cstheme="minorHAnsi"/>
                <w:color w:val="000000"/>
              </w:rPr>
              <w:t>,</w:t>
            </w:r>
            <w:r w:rsidRPr="008F4D4D">
              <w:rPr>
                <w:rFonts w:cstheme="minorHAnsi"/>
                <w:color w:val="000000"/>
              </w:rPr>
              <w:t>496</w:t>
            </w:r>
          </w:p>
        </w:tc>
        <w:tc>
          <w:tcPr>
            <w:tcW w:w="1250" w:type="pct"/>
          </w:tcPr>
          <w:p w14:paraId="3AAED26F" w14:textId="2BF102A2" w:rsidR="00565F05" w:rsidRPr="008F4D4D" w:rsidRDefault="372C1C62" w:rsidP="00565F05">
            <w:pPr>
              <w:pStyle w:val="TableTextLeft"/>
              <w:rPr>
                <w:rFonts w:cstheme="minorHAnsi"/>
                <w:szCs w:val="18"/>
              </w:rPr>
            </w:pPr>
            <w:r w:rsidRPr="008F4D4D">
              <w:rPr>
                <w:rFonts w:cstheme="minorHAnsi"/>
                <w:color w:val="000000"/>
              </w:rPr>
              <w:t>11</w:t>
            </w:r>
            <w:r w:rsidR="009C71C0" w:rsidRPr="008F4D4D">
              <w:rPr>
                <w:rFonts w:cstheme="minorHAnsi"/>
                <w:color w:val="000000"/>
              </w:rPr>
              <w:t>,</w:t>
            </w:r>
            <w:r w:rsidRPr="008F4D4D">
              <w:rPr>
                <w:rFonts w:cstheme="minorHAnsi"/>
                <w:color w:val="000000"/>
              </w:rPr>
              <w:t>850</w:t>
            </w:r>
          </w:p>
        </w:tc>
      </w:tr>
    </w:tbl>
    <w:p w14:paraId="2419F1FD" w14:textId="1BB87310" w:rsidR="00565F05" w:rsidRDefault="00425BD7" w:rsidP="00425BD7">
      <w:pPr>
        <w:pStyle w:val="BodyText"/>
        <w:jc w:val="right"/>
        <w:rPr>
          <w:lang w:eastAsia="en-AU"/>
        </w:rPr>
      </w:pPr>
      <w:r w:rsidRPr="00425BD7">
        <w:rPr>
          <w:sz w:val="16"/>
          <w:szCs w:val="16"/>
          <w:lang w:eastAsia="en-AU"/>
        </w:rPr>
        <w:t>Source: HDD 2016</w:t>
      </w:r>
    </w:p>
    <w:p w14:paraId="12653AE0" w14:textId="4ECEB5B4" w:rsidR="00F418F0" w:rsidRDefault="372C1C62" w:rsidP="372C1C62">
      <w:pPr>
        <w:pStyle w:val="BodyText"/>
        <w:rPr>
          <w:lang w:eastAsia="en-AU"/>
        </w:rPr>
        <w:sectPr w:rsidR="00F418F0" w:rsidSect="007C609B">
          <w:headerReference w:type="even" r:id="rId33"/>
          <w:type w:val="continuous"/>
          <w:pgSz w:w="11907" w:h="16840" w:code="9"/>
          <w:pgMar w:top="1134" w:right="1134" w:bottom="1134" w:left="1134" w:header="284" w:footer="284" w:gutter="0"/>
          <w:pgNumType w:start="1"/>
          <w:cols w:space="720"/>
          <w:docGrid w:linePitch="360"/>
        </w:sectPr>
      </w:pPr>
      <w:r w:rsidRPr="372C1C62">
        <w:rPr>
          <w:lang w:eastAsia="en-AU"/>
        </w:rPr>
        <w:t xml:space="preserve">The built environment of the central city and surrounding areas now looks very different to how it did 20 years ago. Figure 2 maps the location of redevelopment projects in the central city for the 2005-2016 period. The </w:t>
      </w:r>
      <w:r w:rsidR="00FC38D2">
        <w:rPr>
          <w:lang w:eastAsia="en-AU"/>
        </w:rPr>
        <w:t>h</w:t>
      </w:r>
      <w:r w:rsidRPr="372C1C62">
        <w:rPr>
          <w:lang w:eastAsia="en-AU"/>
        </w:rPr>
        <w:t xml:space="preserve">ousing </w:t>
      </w:r>
      <w:r w:rsidR="00FC38D2">
        <w:rPr>
          <w:lang w:eastAsia="en-AU"/>
        </w:rPr>
        <w:t>d</w:t>
      </w:r>
      <w:r w:rsidRPr="372C1C62">
        <w:rPr>
          <w:lang w:eastAsia="en-AU"/>
        </w:rPr>
        <w:t xml:space="preserve">evelopment </w:t>
      </w:r>
      <w:r w:rsidR="00FC38D2">
        <w:rPr>
          <w:lang w:eastAsia="en-AU"/>
        </w:rPr>
        <w:t>d</w:t>
      </w:r>
      <w:r w:rsidRPr="372C1C62">
        <w:rPr>
          <w:lang w:eastAsia="en-AU"/>
        </w:rPr>
        <w:t>ata shows that development projects</w:t>
      </w:r>
      <w:r w:rsidR="00B20C46">
        <w:rPr>
          <w:lang w:eastAsia="en-AU"/>
        </w:rPr>
        <w:t xml:space="preserve"> increased</w:t>
      </w:r>
      <w:r w:rsidRPr="372C1C62">
        <w:rPr>
          <w:lang w:eastAsia="en-AU"/>
        </w:rPr>
        <w:t xml:space="preserve"> in </w:t>
      </w:r>
      <w:r w:rsidR="000574CA">
        <w:rPr>
          <w:lang w:eastAsia="en-AU"/>
        </w:rPr>
        <w:t xml:space="preserve">both number and size during </w:t>
      </w:r>
      <w:r w:rsidRPr="372C1C62">
        <w:rPr>
          <w:lang w:eastAsia="en-AU"/>
        </w:rPr>
        <w:t>the period from 2012-2016</w:t>
      </w:r>
      <w:r w:rsidR="00C41377">
        <w:rPr>
          <w:lang w:eastAsia="en-AU"/>
        </w:rPr>
        <w:t xml:space="preserve"> compared with</w:t>
      </w:r>
      <w:r w:rsidRPr="372C1C62">
        <w:rPr>
          <w:lang w:eastAsia="en-AU"/>
        </w:rPr>
        <w:t xml:space="preserve"> the preceding five years. This scale of change added impetus to the recent review and reform of central city built form controls for high rise developm</w:t>
      </w:r>
      <w:r w:rsidR="00794BE6">
        <w:rPr>
          <w:lang w:eastAsia="en-AU"/>
        </w:rPr>
        <w:t>ent</w:t>
      </w:r>
      <w:r w:rsidR="00CE0A21">
        <w:rPr>
          <w:lang w:eastAsia="en-AU"/>
        </w:rPr>
        <w:t>.</w:t>
      </w:r>
    </w:p>
    <w:p w14:paraId="4AEDEB8D" w14:textId="2E2C4662" w:rsidR="00F418F0" w:rsidRDefault="00F418F0" w:rsidP="00F418F0">
      <w:pPr>
        <w:pStyle w:val="Caption"/>
      </w:pPr>
      <w:bookmarkStart w:id="29" w:name="_Toc506904191"/>
      <w:r>
        <w:lastRenderedPageBreak/>
        <w:t xml:space="preserve">Figure </w:t>
      </w:r>
      <w:r w:rsidR="00CA794F">
        <w:fldChar w:fldCharType="begin"/>
      </w:r>
      <w:r w:rsidR="00CA794F">
        <w:instrText xml:space="preserve"> SEQ Figure \* ARABIC </w:instrText>
      </w:r>
      <w:r w:rsidR="00CA794F">
        <w:fldChar w:fldCharType="separate"/>
      </w:r>
      <w:r w:rsidR="00A12295">
        <w:rPr>
          <w:noProof/>
        </w:rPr>
        <w:t>2</w:t>
      </w:r>
      <w:r w:rsidR="00CA794F">
        <w:rPr>
          <w:noProof/>
        </w:rPr>
        <w:fldChar w:fldCharType="end"/>
      </w:r>
      <w:r w:rsidR="00217D2A">
        <w:t>:</w:t>
      </w:r>
      <w:r w:rsidRPr="00F418F0">
        <w:t xml:space="preserve"> Map of residential </w:t>
      </w:r>
      <w:r w:rsidR="009B2A6F">
        <w:t xml:space="preserve">redevelopment </w:t>
      </w:r>
      <w:r w:rsidRPr="00F418F0">
        <w:t>projects of ten or more dwellings in the central city area.</w:t>
      </w:r>
      <w:bookmarkEnd w:id="29"/>
    </w:p>
    <w:p w14:paraId="5112D3B3" w14:textId="5AA94D63" w:rsidR="00F418F0" w:rsidRDefault="00F418F0" w:rsidP="00794BE6">
      <w:pPr>
        <w:pStyle w:val="BodyText"/>
        <w:rPr>
          <w:lang w:eastAsia="en-AU"/>
        </w:rPr>
      </w:pPr>
      <w:r>
        <w:br w:type="page"/>
      </w:r>
    </w:p>
    <w:p w14:paraId="5A506613" w14:textId="77777777" w:rsidR="00F418F0" w:rsidRDefault="372C1C62" w:rsidP="00F418F0">
      <w:pPr>
        <w:pStyle w:val="Heading1"/>
      </w:pPr>
      <w:bookmarkStart w:id="30" w:name="_Toc506556533"/>
      <w:r>
        <w:lastRenderedPageBreak/>
        <w:t>Activity Centres</w:t>
      </w:r>
      <w:bookmarkEnd w:id="30"/>
    </w:p>
    <w:p w14:paraId="2249CF9D" w14:textId="7BF40AC3" w:rsidR="00F418F0" w:rsidRDefault="372C1C62" w:rsidP="372C1C62">
      <w:pPr>
        <w:pStyle w:val="BodyText"/>
        <w:rPr>
          <w:lang w:eastAsia="en-AU"/>
        </w:rPr>
      </w:pPr>
      <w:r w:rsidRPr="372C1C62">
        <w:rPr>
          <w:lang w:eastAsia="en-AU"/>
        </w:rPr>
        <w:t>Since the early 2000s, State and local planning</w:t>
      </w:r>
      <w:r w:rsidR="00491B40">
        <w:rPr>
          <w:lang w:eastAsia="en-AU"/>
        </w:rPr>
        <w:t xml:space="preserve"> policies have</w:t>
      </w:r>
      <w:r w:rsidRPr="372C1C62">
        <w:rPr>
          <w:lang w:eastAsia="en-AU"/>
        </w:rPr>
        <w:t xml:space="preserve"> encouraged residential development in activity centres with the aim of strengthen</w:t>
      </w:r>
      <w:r w:rsidR="00C516DF">
        <w:rPr>
          <w:lang w:eastAsia="en-AU"/>
        </w:rPr>
        <w:t>ing the urban structure linking</w:t>
      </w:r>
      <w:r w:rsidR="009B2A6F">
        <w:rPr>
          <w:lang w:eastAsia="en-AU"/>
        </w:rPr>
        <w:t xml:space="preserve"> </w:t>
      </w:r>
      <w:r w:rsidRPr="372C1C62">
        <w:rPr>
          <w:lang w:eastAsia="en-AU"/>
        </w:rPr>
        <w:t>residents, employment</w:t>
      </w:r>
      <w:r w:rsidR="00D34FE5">
        <w:rPr>
          <w:lang w:eastAsia="en-AU"/>
        </w:rPr>
        <w:t>, transport</w:t>
      </w:r>
      <w:r w:rsidRPr="372C1C62">
        <w:rPr>
          <w:lang w:eastAsia="en-AU"/>
        </w:rPr>
        <w:t xml:space="preserve"> and services</w:t>
      </w:r>
      <w:r w:rsidR="001E3626">
        <w:rPr>
          <w:lang w:eastAsia="en-AU"/>
        </w:rPr>
        <w:t xml:space="preserve"> </w:t>
      </w:r>
      <w:r w:rsidR="001E3626">
        <w:t>(Cl. 16.01-2 in the Victorian Planning Provisions)</w:t>
      </w:r>
      <w:r w:rsidRPr="372C1C62">
        <w:rPr>
          <w:lang w:eastAsia="en-AU"/>
        </w:rPr>
        <w:t xml:space="preserve">. </w:t>
      </w:r>
      <w:r w:rsidR="00D623B6">
        <w:rPr>
          <w:lang w:eastAsia="en-AU"/>
        </w:rPr>
        <w:t>M</w:t>
      </w:r>
      <w:r w:rsidRPr="372C1C62">
        <w:rPr>
          <w:lang w:eastAsia="en-AU"/>
        </w:rPr>
        <w:t xml:space="preserve">ost metropolitan planning schemes </w:t>
      </w:r>
      <w:r w:rsidR="00FA6F27">
        <w:rPr>
          <w:lang w:eastAsia="en-AU"/>
        </w:rPr>
        <w:t>identify</w:t>
      </w:r>
      <w:r w:rsidR="00A4478E">
        <w:rPr>
          <w:lang w:eastAsia="en-AU"/>
        </w:rPr>
        <w:t xml:space="preserve"> the </w:t>
      </w:r>
      <w:r w:rsidR="00946BBE">
        <w:rPr>
          <w:lang w:eastAsia="en-AU"/>
        </w:rPr>
        <w:t xml:space="preserve">land </w:t>
      </w:r>
      <w:r w:rsidR="00A4478E">
        <w:rPr>
          <w:lang w:eastAsia="en-AU"/>
        </w:rPr>
        <w:t xml:space="preserve">area </w:t>
      </w:r>
      <w:r w:rsidR="00D623B6">
        <w:rPr>
          <w:lang w:eastAsia="en-AU"/>
        </w:rPr>
        <w:t>t</w:t>
      </w:r>
      <w:r w:rsidR="00C53AF9">
        <w:rPr>
          <w:lang w:eastAsia="en-AU"/>
        </w:rPr>
        <w:t xml:space="preserve">hat </w:t>
      </w:r>
      <w:r w:rsidR="00D623B6">
        <w:rPr>
          <w:lang w:eastAsia="en-AU"/>
        </w:rPr>
        <w:t>makes</w:t>
      </w:r>
      <w:r w:rsidR="001578E6">
        <w:rPr>
          <w:lang w:eastAsia="en-AU"/>
        </w:rPr>
        <w:t xml:space="preserve"> up an </w:t>
      </w:r>
      <w:r w:rsidR="00D623B6">
        <w:rPr>
          <w:lang w:eastAsia="en-AU"/>
        </w:rPr>
        <w:t>activity centre</w:t>
      </w:r>
      <w:r w:rsidR="00A4478E">
        <w:rPr>
          <w:lang w:eastAsia="en-AU"/>
        </w:rPr>
        <w:t xml:space="preserve"> which </w:t>
      </w:r>
      <w:r w:rsidR="00115DB3">
        <w:rPr>
          <w:lang w:eastAsia="en-AU"/>
        </w:rPr>
        <w:t xml:space="preserve">typically </w:t>
      </w:r>
      <w:r w:rsidR="00B92EEC">
        <w:rPr>
          <w:lang w:eastAsia="en-AU"/>
        </w:rPr>
        <w:t>includes</w:t>
      </w:r>
      <w:r w:rsidR="001578E6">
        <w:rPr>
          <w:lang w:eastAsia="en-AU"/>
        </w:rPr>
        <w:t xml:space="preserve"> </w:t>
      </w:r>
      <w:r w:rsidR="00CE0A21">
        <w:rPr>
          <w:lang w:eastAsia="en-AU"/>
        </w:rPr>
        <w:t xml:space="preserve">a combination of </w:t>
      </w:r>
      <w:r w:rsidR="00D623B6">
        <w:rPr>
          <w:lang w:eastAsia="en-AU"/>
        </w:rPr>
        <w:t>mixed use</w:t>
      </w:r>
      <w:r w:rsidR="001578E6">
        <w:rPr>
          <w:lang w:eastAsia="en-AU"/>
        </w:rPr>
        <w:t>, c</w:t>
      </w:r>
      <w:r w:rsidR="00D623B6">
        <w:rPr>
          <w:lang w:eastAsia="en-AU"/>
        </w:rPr>
        <w:t xml:space="preserve">ommercial </w:t>
      </w:r>
      <w:r w:rsidR="001578E6">
        <w:rPr>
          <w:lang w:eastAsia="en-AU"/>
        </w:rPr>
        <w:t>and residential land</w:t>
      </w:r>
      <w:r w:rsidR="00D623B6">
        <w:rPr>
          <w:lang w:eastAsia="en-AU"/>
        </w:rPr>
        <w:t xml:space="preserve">. </w:t>
      </w:r>
      <w:r w:rsidR="00A4478E">
        <w:rPr>
          <w:lang w:eastAsia="en-AU"/>
        </w:rPr>
        <w:t>This land is</w:t>
      </w:r>
      <w:r w:rsidR="00DD749D">
        <w:rPr>
          <w:lang w:eastAsia="en-AU"/>
        </w:rPr>
        <w:t xml:space="preserve"> </w:t>
      </w:r>
      <w:r w:rsidR="00115DB3">
        <w:rPr>
          <w:lang w:eastAsia="en-AU"/>
        </w:rPr>
        <w:t>generally</w:t>
      </w:r>
      <w:r w:rsidR="00745978">
        <w:rPr>
          <w:lang w:eastAsia="en-AU"/>
        </w:rPr>
        <w:t xml:space="preserve"> </w:t>
      </w:r>
      <w:r w:rsidR="00185730">
        <w:rPr>
          <w:lang w:eastAsia="en-AU"/>
        </w:rPr>
        <w:t>support</w:t>
      </w:r>
      <w:r w:rsidR="00DD749D">
        <w:rPr>
          <w:lang w:eastAsia="en-AU"/>
        </w:rPr>
        <w:t xml:space="preserve">ed </w:t>
      </w:r>
      <w:r w:rsidR="00604520">
        <w:rPr>
          <w:lang w:eastAsia="en-AU"/>
        </w:rPr>
        <w:t>by</w:t>
      </w:r>
      <w:r w:rsidR="00745978">
        <w:rPr>
          <w:lang w:eastAsia="en-AU"/>
        </w:rPr>
        <w:t xml:space="preserve"> planning policy </w:t>
      </w:r>
      <w:r w:rsidR="00DD749D">
        <w:rPr>
          <w:lang w:eastAsia="en-AU"/>
        </w:rPr>
        <w:t xml:space="preserve">for </w:t>
      </w:r>
      <w:r w:rsidR="00185730">
        <w:rPr>
          <w:lang w:eastAsia="en-AU"/>
        </w:rPr>
        <w:t>high</w:t>
      </w:r>
      <w:r w:rsidR="00DD749D">
        <w:rPr>
          <w:lang w:eastAsia="en-AU"/>
        </w:rPr>
        <w:t xml:space="preserve"> </w:t>
      </w:r>
      <w:r w:rsidR="00185730">
        <w:rPr>
          <w:lang w:eastAsia="en-AU"/>
        </w:rPr>
        <w:t>level</w:t>
      </w:r>
      <w:r w:rsidR="00DD749D">
        <w:rPr>
          <w:lang w:eastAsia="en-AU"/>
        </w:rPr>
        <w:t>s</w:t>
      </w:r>
      <w:r w:rsidR="00C53AF9">
        <w:rPr>
          <w:lang w:eastAsia="en-AU"/>
        </w:rPr>
        <w:t xml:space="preserve"> of residential growth while </w:t>
      </w:r>
      <w:r w:rsidR="00185730">
        <w:rPr>
          <w:lang w:eastAsia="en-AU"/>
        </w:rPr>
        <w:t xml:space="preserve">areas </w:t>
      </w:r>
      <w:r w:rsidR="00C53AF9">
        <w:rPr>
          <w:lang w:eastAsia="en-AU"/>
        </w:rPr>
        <w:t xml:space="preserve">that </w:t>
      </w:r>
      <w:r w:rsidR="00D623B6">
        <w:rPr>
          <w:lang w:eastAsia="en-AU"/>
        </w:rPr>
        <w:t>surround</w:t>
      </w:r>
      <w:r w:rsidR="00C53AF9">
        <w:rPr>
          <w:lang w:eastAsia="en-AU"/>
        </w:rPr>
        <w:t xml:space="preserve"> activity centre boundaries are </w:t>
      </w:r>
      <w:r w:rsidR="00185730">
        <w:rPr>
          <w:lang w:eastAsia="en-AU"/>
        </w:rPr>
        <w:t xml:space="preserve">often supported for </w:t>
      </w:r>
      <w:r w:rsidR="00DD749D">
        <w:rPr>
          <w:lang w:eastAsia="en-AU"/>
        </w:rPr>
        <w:t xml:space="preserve">moderate </w:t>
      </w:r>
      <w:r w:rsidR="00C53AF9">
        <w:rPr>
          <w:lang w:eastAsia="en-AU"/>
        </w:rPr>
        <w:t>levels of change</w:t>
      </w:r>
      <w:r w:rsidR="00185730">
        <w:rPr>
          <w:lang w:eastAsia="en-AU"/>
        </w:rPr>
        <w:t>.</w:t>
      </w:r>
    </w:p>
    <w:p w14:paraId="06523A21" w14:textId="1D11BEA8" w:rsidR="00805F60" w:rsidRDefault="00805F60" w:rsidP="00805F60">
      <w:pPr>
        <w:autoSpaceDE w:val="0"/>
        <w:autoSpaceDN w:val="0"/>
        <w:adjustRightInd w:val="0"/>
        <w:spacing w:line="240" w:lineRule="auto"/>
        <w:rPr>
          <w:rFonts w:ascii="Helv" w:hAnsi="Helv" w:cs="Helv"/>
          <w:color w:val="000000"/>
        </w:rPr>
      </w:pPr>
      <w:r>
        <w:rPr>
          <w:rFonts w:ascii="Helv" w:hAnsi="Helv" w:cs="Helv"/>
          <w:color w:val="000000"/>
        </w:rPr>
        <w:t xml:space="preserve">Over the 2005 to 2016 period, established Melbourne added 220,000 dwellings of which 113,000 were either </w:t>
      </w:r>
      <w:r w:rsidR="00FD3FC5">
        <w:rPr>
          <w:rFonts w:ascii="Helv" w:hAnsi="Helv" w:cs="Helv"/>
          <w:color w:val="000000"/>
        </w:rPr>
        <w:t>inside</w:t>
      </w:r>
      <w:r>
        <w:rPr>
          <w:rFonts w:ascii="Helv" w:hAnsi="Helv" w:cs="Helv"/>
          <w:color w:val="000000"/>
        </w:rPr>
        <w:t xml:space="preserve"> or within 400 metres of an activity centre (approximately 50% </w:t>
      </w:r>
      <w:r w:rsidR="00630EA4">
        <w:rPr>
          <w:rFonts w:ascii="Helv" w:hAnsi="Helv" w:cs="Helv"/>
          <w:color w:val="000000"/>
        </w:rPr>
        <w:t>of net new dwellings). As per, f</w:t>
      </w:r>
      <w:r>
        <w:rPr>
          <w:rFonts w:ascii="Helv" w:hAnsi="Helv" w:cs="Helv"/>
          <w:color w:val="000000"/>
        </w:rPr>
        <w:t xml:space="preserve">igure 3 the number of dwellings developed in and around centres has been steadily growing. The City of Melbourne accounts for around a third of activity centre growth or </w:t>
      </w:r>
      <w:r w:rsidR="00153A05" w:rsidRPr="00153A05">
        <w:rPr>
          <w:rFonts w:ascii="Helv" w:hAnsi="Helv" w:cs="Helv"/>
          <w:color w:val="auto"/>
        </w:rPr>
        <w:t>40,000</w:t>
      </w:r>
      <w:r w:rsidRPr="00153A05">
        <w:rPr>
          <w:rFonts w:ascii="Helv" w:hAnsi="Helv" w:cs="Helv"/>
          <w:color w:val="auto"/>
        </w:rPr>
        <w:t xml:space="preserve"> </w:t>
      </w:r>
      <w:r>
        <w:rPr>
          <w:rFonts w:ascii="Helv" w:hAnsi="Helv" w:cs="Helv"/>
          <w:color w:val="000000"/>
        </w:rPr>
        <w:t xml:space="preserve">dwellings. </w:t>
      </w:r>
    </w:p>
    <w:p w14:paraId="1B8CB8D1" w14:textId="77777777" w:rsidR="00805F60" w:rsidRDefault="00805F60" w:rsidP="00805F60">
      <w:pPr>
        <w:autoSpaceDE w:val="0"/>
        <w:autoSpaceDN w:val="0"/>
        <w:adjustRightInd w:val="0"/>
        <w:spacing w:line="240" w:lineRule="auto"/>
        <w:rPr>
          <w:rFonts w:ascii="Helv" w:hAnsi="Helv" w:cs="Helv"/>
          <w:color w:val="000000"/>
        </w:rPr>
      </w:pPr>
    </w:p>
    <w:p w14:paraId="04AE7036" w14:textId="3F4C7DF8" w:rsidR="00F418F0" w:rsidRDefault="00805F60" w:rsidP="372C1C62">
      <w:pPr>
        <w:pStyle w:val="BodyText"/>
        <w:rPr>
          <w:lang w:eastAsia="en-AU"/>
        </w:rPr>
      </w:pPr>
      <w:r>
        <w:rPr>
          <w:rFonts w:ascii="Helv" w:hAnsi="Helv" w:cs="Helv"/>
          <w:color w:val="000000"/>
        </w:rPr>
        <w:t>Out of centre development is generally made up of low density infill projects that, as can be seen below, regularly deliver between 8,000 to 10,000 dwellings per annum.</w:t>
      </w:r>
      <w:r w:rsidR="00F418F0">
        <w:rPr>
          <w:lang w:eastAsia="en-AU"/>
        </w:rPr>
        <w:t xml:space="preserve"> </w:t>
      </w:r>
    </w:p>
    <w:p w14:paraId="0F4623CC" w14:textId="53FA9AB0" w:rsidR="00770365" w:rsidRDefault="00770365" w:rsidP="00115DB3">
      <w:pPr>
        <w:pStyle w:val="Caption"/>
        <w:spacing w:after="0"/>
      </w:pPr>
      <w:bookmarkStart w:id="31" w:name="_Toc506904192"/>
      <w:r>
        <w:t xml:space="preserve">Figure </w:t>
      </w:r>
      <w:r w:rsidR="00CA794F">
        <w:fldChar w:fldCharType="begin"/>
      </w:r>
      <w:r w:rsidR="00CA794F">
        <w:instrText xml:space="preserve"> SEQ Figure \* ARABIC </w:instrText>
      </w:r>
      <w:r w:rsidR="00CA794F">
        <w:fldChar w:fldCharType="separate"/>
      </w:r>
      <w:r w:rsidR="00A12295">
        <w:rPr>
          <w:noProof/>
        </w:rPr>
        <w:t>3</w:t>
      </w:r>
      <w:r w:rsidR="00CA794F">
        <w:rPr>
          <w:noProof/>
        </w:rPr>
        <w:fldChar w:fldCharType="end"/>
      </w:r>
      <w:r w:rsidR="00217D2A">
        <w:t>:</w:t>
      </w:r>
      <w:r w:rsidRPr="00770365">
        <w:t xml:space="preserve"> Annual number of net additional dwellings in and</w:t>
      </w:r>
      <w:r w:rsidR="009B2A6F">
        <w:t xml:space="preserve"> around </w:t>
      </w:r>
      <w:r w:rsidR="002A5FDA">
        <w:t>activity centres, e</w:t>
      </w:r>
      <w:r w:rsidRPr="00770365">
        <w:t>stablished Melbourne</w:t>
      </w:r>
      <w:bookmarkEnd w:id="31"/>
      <w:r w:rsidR="00ED6451">
        <w:rPr>
          <w:rStyle w:val="FootnoteReference"/>
        </w:rPr>
        <w:footnoteReference w:id="5"/>
      </w:r>
    </w:p>
    <w:p w14:paraId="2BAEF3EA" w14:textId="1EB24B09" w:rsidR="00C97A06" w:rsidRDefault="00C97A06" w:rsidP="00794BE6">
      <w:pPr>
        <w:pStyle w:val="BodyText"/>
        <w:rPr>
          <w:lang w:eastAsia="en-AU"/>
        </w:rPr>
      </w:pPr>
      <w:r>
        <w:br w:type="page"/>
      </w:r>
    </w:p>
    <w:p w14:paraId="477B5F7E" w14:textId="6E228FDB" w:rsidR="00805F60" w:rsidRDefault="00805F60" w:rsidP="00F418F0">
      <w:pPr>
        <w:pStyle w:val="BodyText"/>
        <w:rPr>
          <w:lang w:eastAsia="en-AU"/>
        </w:rPr>
      </w:pPr>
      <w:r>
        <w:rPr>
          <w:lang w:eastAsia="en-AU"/>
        </w:rPr>
        <w:lastRenderedPageBreak/>
        <w:t>As at December 2016, nearly a third (31%) of established Melbourne’s</w:t>
      </w:r>
      <w:r>
        <w:rPr>
          <w:rStyle w:val="FootnoteReference"/>
          <w:lang w:eastAsia="en-AU"/>
        </w:rPr>
        <w:footnoteReference w:id="6"/>
      </w:r>
      <w:r>
        <w:rPr>
          <w:lang w:eastAsia="en-AU"/>
        </w:rPr>
        <w:t xml:space="preserve"> 1.4 million dwellings were within 400 metres of an activity centre.</w:t>
      </w:r>
      <w:r>
        <w:rPr>
          <w:rStyle w:val="FootnoteReference"/>
          <w:lang w:eastAsia="en-AU"/>
        </w:rPr>
        <w:footnoteReference w:id="7"/>
      </w:r>
      <w:r>
        <w:rPr>
          <w:lang w:eastAsia="en-AU"/>
        </w:rPr>
        <w:t xml:space="preserve"> Over the study period, the number of dwellings in and around established Melbourne’s activity centres increased </w:t>
      </w:r>
      <w:r w:rsidRPr="00F4118C">
        <w:rPr>
          <w:lang w:eastAsia="en-AU"/>
        </w:rPr>
        <w:t>from approximately 3</w:t>
      </w:r>
      <w:r>
        <w:rPr>
          <w:lang w:eastAsia="en-AU"/>
        </w:rPr>
        <w:t>35</w:t>
      </w:r>
      <w:r w:rsidRPr="00F4118C">
        <w:rPr>
          <w:lang w:eastAsia="en-AU"/>
        </w:rPr>
        <w:t xml:space="preserve">,000 dwellings in 2005 to </w:t>
      </w:r>
      <w:r>
        <w:rPr>
          <w:lang w:eastAsia="en-AU"/>
        </w:rPr>
        <w:t>448</w:t>
      </w:r>
      <w:r w:rsidRPr="00F4118C">
        <w:rPr>
          <w:lang w:eastAsia="en-AU"/>
        </w:rPr>
        <w:t>,000 in 2016</w:t>
      </w:r>
      <w:r>
        <w:rPr>
          <w:lang w:eastAsia="en-AU"/>
        </w:rPr>
        <w:t xml:space="preserve"> enabling many more households to live in close proximity to services, jobs and fixed transport</w:t>
      </w:r>
      <w:r w:rsidRPr="00F4118C">
        <w:rPr>
          <w:lang w:eastAsia="en-AU"/>
        </w:rPr>
        <w:t>.</w:t>
      </w:r>
      <w:r>
        <w:rPr>
          <w:lang w:eastAsia="en-AU"/>
        </w:rPr>
        <w:t xml:space="preserve"> Most significantly, the core areas of activity centres increased their housing stock by 89</w:t>
      </w:r>
      <w:r w:rsidRPr="00F4118C">
        <w:rPr>
          <w:lang w:eastAsia="en-AU"/>
        </w:rPr>
        <w:t xml:space="preserve">% (from approximately 86,000 dwellings in 2005 to </w:t>
      </w:r>
      <w:r>
        <w:rPr>
          <w:lang w:eastAsia="en-AU"/>
        </w:rPr>
        <w:t>160</w:t>
      </w:r>
      <w:r w:rsidRPr="00F4118C">
        <w:rPr>
          <w:lang w:eastAsia="en-AU"/>
        </w:rPr>
        <w:t>,000 in 2016).</w:t>
      </w:r>
      <w:r>
        <w:rPr>
          <w:lang w:eastAsia="en-AU"/>
        </w:rPr>
        <w:t xml:space="preserve"> </w:t>
      </w:r>
    </w:p>
    <w:p w14:paraId="5ABEE762" w14:textId="2BED3E4A" w:rsidR="00217D2A" w:rsidRDefault="372C1C62" w:rsidP="00F418F0">
      <w:pPr>
        <w:pStyle w:val="BodyText"/>
        <w:rPr>
          <w:lang w:eastAsia="en-AU"/>
        </w:rPr>
      </w:pPr>
      <w:r w:rsidRPr="372C1C62">
        <w:rPr>
          <w:lang w:eastAsia="en-AU"/>
        </w:rPr>
        <w:t xml:space="preserve">As shown in Table 2, a number of centres have undergone </w:t>
      </w:r>
      <w:r w:rsidR="00582C63">
        <w:rPr>
          <w:lang w:eastAsia="en-AU"/>
        </w:rPr>
        <w:t xml:space="preserve">quite </w:t>
      </w:r>
      <w:r w:rsidRPr="372C1C62">
        <w:rPr>
          <w:lang w:eastAsia="en-AU"/>
        </w:rPr>
        <w:t>significant residential growth</w:t>
      </w:r>
      <w:r w:rsidR="0003520F">
        <w:rPr>
          <w:lang w:eastAsia="en-AU"/>
        </w:rPr>
        <w:t xml:space="preserve">. This </w:t>
      </w:r>
      <w:r w:rsidRPr="372C1C62">
        <w:rPr>
          <w:lang w:eastAsia="en-AU"/>
        </w:rPr>
        <w:t>includ</w:t>
      </w:r>
      <w:r w:rsidR="0003520F">
        <w:rPr>
          <w:lang w:eastAsia="en-AU"/>
        </w:rPr>
        <w:t>es</w:t>
      </w:r>
      <w:r w:rsidRPr="372C1C62">
        <w:rPr>
          <w:lang w:eastAsia="en-AU"/>
        </w:rPr>
        <w:t xml:space="preserve"> centres that in the </w:t>
      </w:r>
      <w:r w:rsidR="00160671">
        <w:rPr>
          <w:lang w:eastAsia="en-AU"/>
        </w:rPr>
        <w:t>mid-2000s</w:t>
      </w:r>
      <w:r w:rsidR="0003520F">
        <w:rPr>
          <w:lang w:eastAsia="en-AU"/>
        </w:rPr>
        <w:t xml:space="preserve"> had only a small </w:t>
      </w:r>
      <w:r w:rsidRPr="372C1C62">
        <w:rPr>
          <w:lang w:eastAsia="en-AU"/>
        </w:rPr>
        <w:t xml:space="preserve">number of </w:t>
      </w:r>
      <w:r w:rsidR="0003520F">
        <w:rPr>
          <w:lang w:eastAsia="en-AU"/>
        </w:rPr>
        <w:t>residents</w:t>
      </w:r>
      <w:r w:rsidR="00582C63">
        <w:rPr>
          <w:lang w:eastAsia="en-AU"/>
        </w:rPr>
        <w:t xml:space="preserve"> and dwellings</w:t>
      </w:r>
      <w:r w:rsidR="002A5663">
        <w:rPr>
          <w:lang w:eastAsia="en-AU"/>
        </w:rPr>
        <w:t>, for instance,</w:t>
      </w:r>
      <w:r w:rsidR="0003520F">
        <w:rPr>
          <w:lang w:eastAsia="en-AU"/>
        </w:rPr>
        <w:t xml:space="preserve"> Doncaster Hill, Hawthorn, Glenferrie Road, and North Essendon</w:t>
      </w:r>
      <w:r w:rsidRPr="372C1C62">
        <w:rPr>
          <w:lang w:eastAsia="en-AU"/>
        </w:rPr>
        <w:t>.</w:t>
      </w:r>
    </w:p>
    <w:p w14:paraId="68BF7C88" w14:textId="2C30FFE4" w:rsidR="00217D2A" w:rsidRDefault="00217D2A" w:rsidP="00217D2A">
      <w:pPr>
        <w:pStyle w:val="Caption"/>
      </w:pPr>
      <w:bookmarkStart w:id="32" w:name="_Toc506904702"/>
      <w:r>
        <w:t xml:space="preserve">Table </w:t>
      </w:r>
      <w:r w:rsidR="00CA794F">
        <w:fldChar w:fldCharType="begin"/>
      </w:r>
      <w:r w:rsidR="00CA794F">
        <w:instrText xml:space="preserve"> SEQ Table \* ARABIC </w:instrText>
      </w:r>
      <w:r w:rsidR="00CA794F">
        <w:fldChar w:fldCharType="separate"/>
      </w:r>
      <w:r w:rsidR="00A12295">
        <w:rPr>
          <w:noProof/>
        </w:rPr>
        <w:t>2</w:t>
      </w:r>
      <w:r w:rsidR="00CA794F">
        <w:rPr>
          <w:noProof/>
        </w:rPr>
        <w:fldChar w:fldCharType="end"/>
      </w:r>
      <w:r>
        <w:t>:</w:t>
      </w:r>
      <w:r w:rsidRPr="00217D2A">
        <w:t xml:space="preserve"> Activity centres with highest change in dwelling stock within the Ac</w:t>
      </w:r>
      <w:r w:rsidR="00BA63DE">
        <w:t>tivity C</w:t>
      </w:r>
      <w:r w:rsidR="00261DDF">
        <w:t>entre boundary 2005-2016</w:t>
      </w:r>
      <w:bookmarkEnd w:id="32"/>
    </w:p>
    <w:tbl>
      <w:tblPr>
        <w:tblStyle w:val="TableGrid"/>
        <w:tblW w:w="9639" w:type="dxa"/>
        <w:tblLook w:val="04A0" w:firstRow="1" w:lastRow="0" w:firstColumn="1" w:lastColumn="0" w:noHBand="0" w:noVBand="1"/>
      </w:tblPr>
      <w:tblGrid>
        <w:gridCol w:w="3940"/>
        <w:gridCol w:w="1849"/>
        <w:gridCol w:w="1934"/>
        <w:gridCol w:w="1916"/>
      </w:tblGrid>
      <w:tr w:rsidR="00770365" w:rsidRPr="00770365" w14:paraId="6C9747F6" w14:textId="77777777" w:rsidTr="00CA794F">
        <w:trPr>
          <w:cnfStyle w:val="100000000000" w:firstRow="1" w:lastRow="0" w:firstColumn="0" w:lastColumn="0" w:oddVBand="0" w:evenVBand="0" w:oddHBand="0" w:evenHBand="0" w:firstRowFirstColumn="0" w:firstRowLastColumn="0" w:lastRowFirstColumn="0" w:lastRowLastColumn="0"/>
          <w:trHeight w:val="308"/>
        </w:trPr>
        <w:tc>
          <w:tcPr>
            <w:cnfStyle w:val="000000000100" w:firstRow="0" w:lastRow="0" w:firstColumn="0" w:lastColumn="0" w:oddVBand="0" w:evenVBand="0" w:oddHBand="0" w:evenHBand="0" w:firstRowFirstColumn="1" w:firstRowLastColumn="0" w:lastRowFirstColumn="0" w:lastRowLastColumn="0"/>
            <w:tcW w:w="3950" w:type="dxa"/>
            <w:noWrap/>
            <w:hideMark/>
          </w:tcPr>
          <w:p w14:paraId="151956C2" w14:textId="77777777" w:rsidR="00770365" w:rsidRPr="00086892" w:rsidRDefault="372C1C62" w:rsidP="372C1C62">
            <w:pPr>
              <w:spacing w:line="240" w:lineRule="auto"/>
              <w:rPr>
                <w:rFonts w:cstheme="minorHAnsi"/>
                <w:color w:val="FFFFFF" w:themeColor="background1"/>
              </w:rPr>
            </w:pPr>
            <w:r w:rsidRPr="00086892">
              <w:rPr>
                <w:rFonts w:cstheme="minorHAnsi"/>
                <w:color w:val="FFFFFF" w:themeColor="background1"/>
              </w:rPr>
              <w:t>Activity Centre Name</w:t>
            </w:r>
          </w:p>
        </w:tc>
        <w:tc>
          <w:tcPr>
            <w:tcW w:w="1845" w:type="dxa"/>
            <w:noWrap/>
            <w:hideMark/>
          </w:tcPr>
          <w:p w14:paraId="082212CB" w14:textId="2A912F1C" w:rsidR="00770365" w:rsidRPr="00086892" w:rsidRDefault="372C1C62" w:rsidP="372C1C62">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086892">
              <w:rPr>
                <w:rFonts w:cstheme="minorHAnsi"/>
                <w:color w:val="FFFFFF" w:themeColor="background1"/>
              </w:rPr>
              <w:t>Stock 2004</w:t>
            </w:r>
          </w:p>
        </w:tc>
        <w:tc>
          <w:tcPr>
            <w:tcW w:w="1931" w:type="dxa"/>
            <w:noWrap/>
            <w:hideMark/>
          </w:tcPr>
          <w:p w14:paraId="1E379FB5" w14:textId="77777777" w:rsidR="00770365" w:rsidRPr="00086892" w:rsidRDefault="372C1C62" w:rsidP="372C1C62">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086892">
              <w:rPr>
                <w:rFonts w:cstheme="minorHAnsi"/>
                <w:color w:val="FFFFFF" w:themeColor="background1"/>
              </w:rPr>
              <w:t>Stock 2016</w:t>
            </w:r>
          </w:p>
        </w:tc>
        <w:tc>
          <w:tcPr>
            <w:tcW w:w="1913" w:type="dxa"/>
            <w:noWrap/>
            <w:hideMark/>
          </w:tcPr>
          <w:p w14:paraId="56F6B1CD" w14:textId="77777777" w:rsidR="00742F49" w:rsidRPr="00086892" w:rsidRDefault="372C1C62" w:rsidP="372C1C62">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086892">
              <w:rPr>
                <w:rFonts w:cstheme="minorHAnsi"/>
                <w:color w:val="FFFFFF" w:themeColor="background1"/>
              </w:rPr>
              <w:t>Change</w:t>
            </w:r>
          </w:p>
          <w:p w14:paraId="510FF783" w14:textId="77777777" w:rsidR="00770365" w:rsidRPr="00086892" w:rsidRDefault="372C1C62" w:rsidP="372C1C62">
            <w:pPr>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086892">
              <w:rPr>
                <w:rFonts w:cstheme="minorHAnsi"/>
                <w:color w:val="FFFFFF" w:themeColor="background1"/>
              </w:rPr>
              <w:t>2005-2016</w:t>
            </w:r>
          </w:p>
        </w:tc>
      </w:tr>
      <w:tr w:rsidR="00CA794F" w:rsidRPr="00CA794F" w14:paraId="0011A9B5" w14:textId="77777777" w:rsidTr="00CA794F">
        <w:trPr>
          <w:trHeight w:val="300"/>
        </w:trPr>
        <w:tc>
          <w:tcPr>
            <w:tcW w:w="3950" w:type="dxa"/>
            <w:noWrap/>
            <w:hideMark/>
          </w:tcPr>
          <w:p w14:paraId="3AA48A25" w14:textId="34C20AF8"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 xml:space="preserve">Melbourne </w:t>
            </w:r>
          </w:p>
        </w:tc>
        <w:tc>
          <w:tcPr>
            <w:tcW w:w="1845" w:type="dxa"/>
            <w:noWrap/>
            <w:hideMark/>
          </w:tcPr>
          <w:p w14:paraId="55547F0A" w14:textId="3454CD3E"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17</w:t>
            </w:r>
            <w:r>
              <w:rPr>
                <w:rFonts w:ascii="Calibri" w:hAnsi="Calibri"/>
                <w:color w:val="000000"/>
                <w:sz w:val="22"/>
                <w:szCs w:val="22"/>
              </w:rPr>
              <w:t>,</w:t>
            </w:r>
            <w:bookmarkStart w:id="33" w:name="_GoBack"/>
            <w:bookmarkEnd w:id="33"/>
            <w:r w:rsidRPr="00CA794F">
              <w:rPr>
                <w:rFonts w:ascii="Calibri" w:hAnsi="Calibri"/>
                <w:color w:val="000000"/>
                <w:sz w:val="22"/>
                <w:szCs w:val="22"/>
              </w:rPr>
              <w:t>476</w:t>
            </w:r>
          </w:p>
        </w:tc>
        <w:tc>
          <w:tcPr>
            <w:tcW w:w="1931" w:type="dxa"/>
            <w:noWrap/>
            <w:hideMark/>
          </w:tcPr>
          <w:p w14:paraId="259A750E" w14:textId="6DE39F8B"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52</w:t>
            </w:r>
            <w:r>
              <w:rPr>
                <w:rFonts w:ascii="Calibri" w:hAnsi="Calibri"/>
                <w:color w:val="000000"/>
                <w:sz w:val="22"/>
                <w:szCs w:val="22"/>
              </w:rPr>
              <w:t>,</w:t>
            </w:r>
            <w:r w:rsidRPr="00CA794F">
              <w:rPr>
                <w:rFonts w:ascii="Calibri" w:hAnsi="Calibri"/>
                <w:color w:val="000000"/>
                <w:sz w:val="22"/>
                <w:szCs w:val="22"/>
              </w:rPr>
              <w:t>192</w:t>
            </w:r>
          </w:p>
        </w:tc>
        <w:tc>
          <w:tcPr>
            <w:tcW w:w="1913" w:type="dxa"/>
            <w:noWrap/>
            <w:hideMark/>
          </w:tcPr>
          <w:p w14:paraId="31896C6F" w14:textId="54C6C0C4"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34</w:t>
            </w:r>
            <w:r>
              <w:rPr>
                <w:rFonts w:ascii="Calibri" w:hAnsi="Calibri"/>
                <w:color w:val="000000"/>
                <w:sz w:val="22"/>
                <w:szCs w:val="22"/>
              </w:rPr>
              <w:t>,</w:t>
            </w:r>
            <w:r w:rsidRPr="00CA794F">
              <w:rPr>
                <w:rFonts w:ascii="Calibri" w:hAnsi="Calibri"/>
                <w:color w:val="000000"/>
                <w:sz w:val="22"/>
                <w:szCs w:val="22"/>
              </w:rPr>
              <w:t>716</w:t>
            </w:r>
          </w:p>
        </w:tc>
      </w:tr>
      <w:tr w:rsidR="00CA794F" w:rsidRPr="00CA794F" w14:paraId="1885230C" w14:textId="77777777" w:rsidTr="00CA794F">
        <w:trPr>
          <w:trHeight w:val="300"/>
        </w:trPr>
        <w:tc>
          <w:tcPr>
            <w:tcW w:w="3950" w:type="dxa"/>
            <w:noWrap/>
            <w:hideMark/>
          </w:tcPr>
          <w:p w14:paraId="40A82DE4"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Prahran/South Yarra</w:t>
            </w:r>
          </w:p>
        </w:tc>
        <w:tc>
          <w:tcPr>
            <w:tcW w:w="1845" w:type="dxa"/>
            <w:noWrap/>
            <w:hideMark/>
          </w:tcPr>
          <w:p w14:paraId="0EF552F5" w14:textId="22C54B84"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2</w:t>
            </w:r>
            <w:r>
              <w:rPr>
                <w:rFonts w:ascii="Calibri" w:hAnsi="Calibri"/>
                <w:color w:val="000000"/>
                <w:sz w:val="22"/>
                <w:szCs w:val="22"/>
              </w:rPr>
              <w:t>,</w:t>
            </w:r>
            <w:r w:rsidRPr="00CA794F">
              <w:rPr>
                <w:rFonts w:ascii="Calibri" w:hAnsi="Calibri"/>
                <w:color w:val="000000"/>
                <w:sz w:val="22"/>
                <w:szCs w:val="22"/>
              </w:rPr>
              <w:t>836</w:t>
            </w:r>
          </w:p>
        </w:tc>
        <w:tc>
          <w:tcPr>
            <w:tcW w:w="1931" w:type="dxa"/>
            <w:noWrap/>
            <w:hideMark/>
          </w:tcPr>
          <w:p w14:paraId="747C3AEC" w14:textId="691529E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8</w:t>
            </w:r>
            <w:r>
              <w:rPr>
                <w:rFonts w:ascii="Calibri" w:hAnsi="Calibri"/>
                <w:color w:val="000000"/>
                <w:sz w:val="22"/>
                <w:szCs w:val="22"/>
              </w:rPr>
              <w:t>,</w:t>
            </w:r>
            <w:r w:rsidRPr="00CA794F">
              <w:rPr>
                <w:rFonts w:ascii="Calibri" w:hAnsi="Calibri"/>
                <w:color w:val="000000"/>
                <w:sz w:val="22"/>
                <w:szCs w:val="22"/>
              </w:rPr>
              <w:t>476</w:t>
            </w:r>
          </w:p>
        </w:tc>
        <w:tc>
          <w:tcPr>
            <w:tcW w:w="1913" w:type="dxa"/>
            <w:noWrap/>
            <w:hideMark/>
          </w:tcPr>
          <w:p w14:paraId="5CED593B" w14:textId="0434EEAA"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5</w:t>
            </w:r>
            <w:r>
              <w:rPr>
                <w:rFonts w:ascii="Calibri" w:hAnsi="Calibri"/>
                <w:color w:val="000000"/>
                <w:sz w:val="22"/>
                <w:szCs w:val="22"/>
              </w:rPr>
              <w:t>,</w:t>
            </w:r>
            <w:r w:rsidRPr="00CA794F">
              <w:rPr>
                <w:rFonts w:ascii="Calibri" w:hAnsi="Calibri"/>
                <w:color w:val="000000"/>
                <w:sz w:val="22"/>
                <w:szCs w:val="22"/>
              </w:rPr>
              <w:t>640</w:t>
            </w:r>
          </w:p>
        </w:tc>
      </w:tr>
      <w:tr w:rsidR="00CA794F" w:rsidRPr="00CA794F" w14:paraId="641687E1" w14:textId="77777777" w:rsidTr="00CA794F">
        <w:trPr>
          <w:trHeight w:val="300"/>
        </w:trPr>
        <w:tc>
          <w:tcPr>
            <w:tcW w:w="3950" w:type="dxa"/>
            <w:noWrap/>
            <w:hideMark/>
          </w:tcPr>
          <w:p w14:paraId="469E4B71"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Brunswick</w:t>
            </w:r>
          </w:p>
        </w:tc>
        <w:tc>
          <w:tcPr>
            <w:tcW w:w="1845" w:type="dxa"/>
            <w:noWrap/>
            <w:hideMark/>
          </w:tcPr>
          <w:p w14:paraId="41C0FDDA" w14:textId="4E86C4C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293</w:t>
            </w:r>
          </w:p>
        </w:tc>
        <w:tc>
          <w:tcPr>
            <w:tcW w:w="1931" w:type="dxa"/>
            <w:noWrap/>
            <w:hideMark/>
          </w:tcPr>
          <w:p w14:paraId="23D758D5" w14:textId="0E347663"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5</w:t>
            </w:r>
            <w:r>
              <w:rPr>
                <w:rFonts w:ascii="Calibri" w:hAnsi="Calibri"/>
                <w:color w:val="000000"/>
                <w:sz w:val="22"/>
                <w:szCs w:val="22"/>
              </w:rPr>
              <w:t>,</w:t>
            </w:r>
            <w:r w:rsidRPr="00CA794F">
              <w:rPr>
                <w:rFonts w:ascii="Calibri" w:hAnsi="Calibri"/>
                <w:color w:val="000000"/>
                <w:sz w:val="22"/>
                <w:szCs w:val="22"/>
              </w:rPr>
              <w:t>196</w:t>
            </w:r>
          </w:p>
        </w:tc>
        <w:tc>
          <w:tcPr>
            <w:tcW w:w="1913" w:type="dxa"/>
            <w:noWrap/>
            <w:hideMark/>
          </w:tcPr>
          <w:p w14:paraId="1777A58B" w14:textId="4F538976"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3</w:t>
            </w:r>
            <w:r>
              <w:rPr>
                <w:rFonts w:ascii="Calibri" w:hAnsi="Calibri"/>
                <w:color w:val="000000"/>
                <w:sz w:val="22"/>
                <w:szCs w:val="22"/>
              </w:rPr>
              <w:t>,</w:t>
            </w:r>
            <w:r w:rsidRPr="00CA794F">
              <w:rPr>
                <w:rFonts w:ascii="Calibri" w:hAnsi="Calibri"/>
                <w:color w:val="000000"/>
                <w:sz w:val="22"/>
                <w:szCs w:val="22"/>
              </w:rPr>
              <w:t>903</w:t>
            </w:r>
          </w:p>
        </w:tc>
      </w:tr>
      <w:tr w:rsidR="00CA794F" w:rsidRPr="00CA794F" w14:paraId="40BCD1E8" w14:textId="77777777" w:rsidTr="00CA794F">
        <w:trPr>
          <w:trHeight w:val="300"/>
        </w:trPr>
        <w:tc>
          <w:tcPr>
            <w:tcW w:w="3950" w:type="dxa"/>
            <w:noWrap/>
            <w:hideMark/>
          </w:tcPr>
          <w:p w14:paraId="4F67C064"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Port Melbourne-Bay Street</w:t>
            </w:r>
          </w:p>
        </w:tc>
        <w:tc>
          <w:tcPr>
            <w:tcW w:w="1845" w:type="dxa"/>
            <w:noWrap/>
            <w:hideMark/>
          </w:tcPr>
          <w:p w14:paraId="5A4CAD9E" w14:textId="4103A066"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4</w:t>
            </w:r>
            <w:r>
              <w:rPr>
                <w:rFonts w:ascii="Calibri" w:hAnsi="Calibri"/>
                <w:color w:val="000000"/>
                <w:sz w:val="22"/>
                <w:szCs w:val="22"/>
              </w:rPr>
              <w:t>,</w:t>
            </w:r>
            <w:r w:rsidRPr="00CA794F">
              <w:rPr>
                <w:rFonts w:ascii="Calibri" w:hAnsi="Calibri"/>
                <w:color w:val="000000"/>
                <w:sz w:val="22"/>
                <w:szCs w:val="22"/>
              </w:rPr>
              <w:t>009</w:t>
            </w:r>
          </w:p>
        </w:tc>
        <w:tc>
          <w:tcPr>
            <w:tcW w:w="1931" w:type="dxa"/>
            <w:noWrap/>
            <w:hideMark/>
          </w:tcPr>
          <w:p w14:paraId="4AAD78D0" w14:textId="2A61B030"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6</w:t>
            </w:r>
            <w:r>
              <w:rPr>
                <w:rFonts w:ascii="Calibri" w:hAnsi="Calibri"/>
                <w:color w:val="000000"/>
                <w:sz w:val="22"/>
                <w:szCs w:val="22"/>
              </w:rPr>
              <w:t>,</w:t>
            </w:r>
            <w:r w:rsidRPr="00CA794F">
              <w:rPr>
                <w:rFonts w:ascii="Calibri" w:hAnsi="Calibri"/>
                <w:color w:val="000000"/>
                <w:sz w:val="22"/>
                <w:szCs w:val="22"/>
              </w:rPr>
              <w:t>237</w:t>
            </w:r>
          </w:p>
        </w:tc>
        <w:tc>
          <w:tcPr>
            <w:tcW w:w="1913" w:type="dxa"/>
            <w:noWrap/>
            <w:hideMark/>
          </w:tcPr>
          <w:p w14:paraId="7C00AB69" w14:textId="1043BE74"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2</w:t>
            </w:r>
            <w:r>
              <w:rPr>
                <w:rFonts w:ascii="Calibri" w:hAnsi="Calibri"/>
                <w:color w:val="000000"/>
                <w:sz w:val="22"/>
                <w:szCs w:val="22"/>
              </w:rPr>
              <w:t>,</w:t>
            </w:r>
            <w:r w:rsidRPr="00CA794F">
              <w:rPr>
                <w:rFonts w:ascii="Calibri" w:hAnsi="Calibri"/>
                <w:color w:val="000000"/>
                <w:sz w:val="22"/>
                <w:szCs w:val="22"/>
              </w:rPr>
              <w:t>228</w:t>
            </w:r>
          </w:p>
        </w:tc>
      </w:tr>
      <w:tr w:rsidR="00CA794F" w:rsidRPr="00CA794F" w14:paraId="11124B8F" w14:textId="77777777" w:rsidTr="00CA794F">
        <w:trPr>
          <w:trHeight w:val="300"/>
        </w:trPr>
        <w:tc>
          <w:tcPr>
            <w:tcW w:w="3950" w:type="dxa"/>
            <w:noWrap/>
            <w:hideMark/>
          </w:tcPr>
          <w:p w14:paraId="26CD8760"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Richmond-Victoria Street</w:t>
            </w:r>
          </w:p>
        </w:tc>
        <w:tc>
          <w:tcPr>
            <w:tcW w:w="1845" w:type="dxa"/>
            <w:noWrap/>
            <w:hideMark/>
          </w:tcPr>
          <w:p w14:paraId="35CF3C67" w14:textId="3FD7E52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401</w:t>
            </w:r>
          </w:p>
        </w:tc>
        <w:tc>
          <w:tcPr>
            <w:tcW w:w="1931" w:type="dxa"/>
            <w:noWrap/>
            <w:hideMark/>
          </w:tcPr>
          <w:p w14:paraId="6A4CFCAE" w14:textId="0FEAE466"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3</w:t>
            </w:r>
            <w:r>
              <w:rPr>
                <w:rFonts w:ascii="Calibri" w:hAnsi="Calibri"/>
                <w:color w:val="000000"/>
                <w:sz w:val="22"/>
                <w:szCs w:val="22"/>
              </w:rPr>
              <w:t>,</w:t>
            </w:r>
            <w:r w:rsidRPr="00CA794F">
              <w:rPr>
                <w:rFonts w:ascii="Calibri" w:hAnsi="Calibri"/>
                <w:color w:val="000000"/>
                <w:sz w:val="22"/>
                <w:szCs w:val="22"/>
              </w:rPr>
              <w:t>252</w:t>
            </w:r>
          </w:p>
        </w:tc>
        <w:tc>
          <w:tcPr>
            <w:tcW w:w="1913" w:type="dxa"/>
            <w:noWrap/>
            <w:hideMark/>
          </w:tcPr>
          <w:p w14:paraId="26868112" w14:textId="6E2C7601"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851</w:t>
            </w:r>
          </w:p>
        </w:tc>
      </w:tr>
      <w:tr w:rsidR="00CA794F" w:rsidRPr="00CA794F" w14:paraId="62BCBB0A" w14:textId="77777777" w:rsidTr="00CA794F">
        <w:trPr>
          <w:trHeight w:val="300"/>
        </w:trPr>
        <w:tc>
          <w:tcPr>
            <w:tcW w:w="3950" w:type="dxa"/>
            <w:noWrap/>
            <w:hideMark/>
          </w:tcPr>
          <w:p w14:paraId="05E97363"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Box Hill</w:t>
            </w:r>
          </w:p>
        </w:tc>
        <w:tc>
          <w:tcPr>
            <w:tcW w:w="1845" w:type="dxa"/>
            <w:noWrap/>
            <w:hideMark/>
          </w:tcPr>
          <w:p w14:paraId="67FC468C" w14:textId="1BE12018"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315</w:t>
            </w:r>
          </w:p>
        </w:tc>
        <w:tc>
          <w:tcPr>
            <w:tcW w:w="1931" w:type="dxa"/>
            <w:noWrap/>
            <w:hideMark/>
          </w:tcPr>
          <w:p w14:paraId="542B61CB" w14:textId="55DCAFFE"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2</w:t>
            </w:r>
            <w:r>
              <w:rPr>
                <w:rFonts w:ascii="Calibri" w:hAnsi="Calibri"/>
                <w:color w:val="000000"/>
                <w:sz w:val="22"/>
                <w:szCs w:val="22"/>
              </w:rPr>
              <w:t>,</w:t>
            </w:r>
            <w:r w:rsidRPr="00CA794F">
              <w:rPr>
                <w:rFonts w:ascii="Calibri" w:hAnsi="Calibri"/>
                <w:color w:val="000000"/>
                <w:sz w:val="22"/>
                <w:szCs w:val="22"/>
              </w:rPr>
              <w:t>990</w:t>
            </w:r>
          </w:p>
        </w:tc>
        <w:tc>
          <w:tcPr>
            <w:tcW w:w="1913" w:type="dxa"/>
            <w:noWrap/>
            <w:hideMark/>
          </w:tcPr>
          <w:p w14:paraId="1F538908" w14:textId="40E26A5E"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675</w:t>
            </w:r>
          </w:p>
        </w:tc>
      </w:tr>
      <w:tr w:rsidR="00CA794F" w:rsidRPr="00CA794F" w14:paraId="2A8AE9D5" w14:textId="77777777" w:rsidTr="00CA794F">
        <w:trPr>
          <w:trHeight w:val="300"/>
        </w:trPr>
        <w:tc>
          <w:tcPr>
            <w:tcW w:w="3950" w:type="dxa"/>
            <w:noWrap/>
            <w:hideMark/>
          </w:tcPr>
          <w:p w14:paraId="7D60653E"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Doncaster Hill</w:t>
            </w:r>
          </w:p>
        </w:tc>
        <w:tc>
          <w:tcPr>
            <w:tcW w:w="1845" w:type="dxa"/>
            <w:noWrap/>
            <w:hideMark/>
          </w:tcPr>
          <w:p w14:paraId="7618E9F7"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423</w:t>
            </w:r>
          </w:p>
        </w:tc>
        <w:tc>
          <w:tcPr>
            <w:tcW w:w="1931" w:type="dxa"/>
            <w:noWrap/>
            <w:hideMark/>
          </w:tcPr>
          <w:p w14:paraId="34D49F0B" w14:textId="7EF620CB"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878</w:t>
            </w:r>
          </w:p>
        </w:tc>
        <w:tc>
          <w:tcPr>
            <w:tcW w:w="1913" w:type="dxa"/>
            <w:noWrap/>
            <w:hideMark/>
          </w:tcPr>
          <w:p w14:paraId="5BE63BA4" w14:textId="09791D5A"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455</w:t>
            </w:r>
          </w:p>
        </w:tc>
      </w:tr>
      <w:tr w:rsidR="00CA794F" w:rsidRPr="00CA794F" w14:paraId="55036051" w14:textId="77777777" w:rsidTr="00CA794F">
        <w:trPr>
          <w:trHeight w:val="300"/>
        </w:trPr>
        <w:tc>
          <w:tcPr>
            <w:tcW w:w="3950" w:type="dxa"/>
            <w:noWrap/>
            <w:hideMark/>
          </w:tcPr>
          <w:p w14:paraId="2E394F65"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Fitzroy-Smith Street</w:t>
            </w:r>
          </w:p>
        </w:tc>
        <w:tc>
          <w:tcPr>
            <w:tcW w:w="1845" w:type="dxa"/>
            <w:noWrap/>
            <w:hideMark/>
          </w:tcPr>
          <w:p w14:paraId="67A7A650" w14:textId="582A8D9B"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2</w:t>
            </w:r>
            <w:r>
              <w:rPr>
                <w:rFonts w:ascii="Calibri" w:hAnsi="Calibri"/>
                <w:color w:val="000000"/>
                <w:sz w:val="22"/>
                <w:szCs w:val="22"/>
              </w:rPr>
              <w:t>,</w:t>
            </w:r>
            <w:r w:rsidRPr="00CA794F">
              <w:rPr>
                <w:rFonts w:ascii="Calibri" w:hAnsi="Calibri"/>
                <w:color w:val="000000"/>
                <w:sz w:val="22"/>
                <w:szCs w:val="22"/>
              </w:rPr>
              <w:t>296</w:t>
            </w:r>
          </w:p>
        </w:tc>
        <w:tc>
          <w:tcPr>
            <w:tcW w:w="1931" w:type="dxa"/>
            <w:noWrap/>
            <w:hideMark/>
          </w:tcPr>
          <w:p w14:paraId="25A435FD" w14:textId="7F645021"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3</w:t>
            </w:r>
            <w:r>
              <w:rPr>
                <w:rFonts w:ascii="Calibri" w:hAnsi="Calibri"/>
                <w:color w:val="000000"/>
                <w:sz w:val="22"/>
                <w:szCs w:val="22"/>
              </w:rPr>
              <w:t>,</w:t>
            </w:r>
            <w:r w:rsidRPr="00CA794F">
              <w:rPr>
                <w:rFonts w:ascii="Calibri" w:hAnsi="Calibri"/>
                <w:color w:val="000000"/>
                <w:sz w:val="22"/>
                <w:szCs w:val="22"/>
              </w:rPr>
              <w:t>721</w:t>
            </w:r>
          </w:p>
        </w:tc>
        <w:tc>
          <w:tcPr>
            <w:tcW w:w="1913" w:type="dxa"/>
            <w:noWrap/>
            <w:hideMark/>
          </w:tcPr>
          <w:p w14:paraId="27B7E61B" w14:textId="40BE1BF8"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425</w:t>
            </w:r>
          </w:p>
        </w:tc>
      </w:tr>
      <w:tr w:rsidR="00CA794F" w:rsidRPr="00CA794F" w14:paraId="5286E9DD" w14:textId="77777777" w:rsidTr="00CA794F">
        <w:trPr>
          <w:trHeight w:val="300"/>
        </w:trPr>
        <w:tc>
          <w:tcPr>
            <w:tcW w:w="3950" w:type="dxa"/>
            <w:noWrap/>
            <w:hideMark/>
          </w:tcPr>
          <w:p w14:paraId="7D92DA57"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Footscray</w:t>
            </w:r>
          </w:p>
        </w:tc>
        <w:tc>
          <w:tcPr>
            <w:tcW w:w="1845" w:type="dxa"/>
            <w:noWrap/>
            <w:hideMark/>
          </w:tcPr>
          <w:p w14:paraId="05CF306C" w14:textId="604F821F"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047</w:t>
            </w:r>
          </w:p>
        </w:tc>
        <w:tc>
          <w:tcPr>
            <w:tcW w:w="1931" w:type="dxa"/>
            <w:noWrap/>
            <w:hideMark/>
          </w:tcPr>
          <w:p w14:paraId="7881599A" w14:textId="2C546B70"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2</w:t>
            </w:r>
            <w:r>
              <w:rPr>
                <w:rFonts w:ascii="Calibri" w:hAnsi="Calibri"/>
                <w:color w:val="000000"/>
                <w:sz w:val="22"/>
                <w:szCs w:val="22"/>
              </w:rPr>
              <w:t>,</w:t>
            </w:r>
            <w:r w:rsidRPr="00CA794F">
              <w:rPr>
                <w:rFonts w:ascii="Calibri" w:hAnsi="Calibri"/>
                <w:color w:val="000000"/>
                <w:sz w:val="22"/>
                <w:szCs w:val="22"/>
              </w:rPr>
              <w:t>330</w:t>
            </w:r>
          </w:p>
        </w:tc>
        <w:tc>
          <w:tcPr>
            <w:tcW w:w="1913" w:type="dxa"/>
            <w:noWrap/>
            <w:hideMark/>
          </w:tcPr>
          <w:p w14:paraId="155755E5" w14:textId="3FAC5728"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283</w:t>
            </w:r>
          </w:p>
        </w:tc>
      </w:tr>
      <w:tr w:rsidR="00CA794F" w:rsidRPr="00CA794F" w14:paraId="3080CB13" w14:textId="77777777" w:rsidTr="00CA794F">
        <w:trPr>
          <w:trHeight w:val="300"/>
        </w:trPr>
        <w:tc>
          <w:tcPr>
            <w:tcW w:w="3950" w:type="dxa"/>
            <w:noWrap/>
            <w:hideMark/>
          </w:tcPr>
          <w:p w14:paraId="1CC69B8E"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Richmond-Bridge Road</w:t>
            </w:r>
          </w:p>
        </w:tc>
        <w:tc>
          <w:tcPr>
            <w:tcW w:w="1845" w:type="dxa"/>
            <w:noWrap/>
            <w:hideMark/>
          </w:tcPr>
          <w:p w14:paraId="0A4A4904"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185</w:t>
            </w:r>
          </w:p>
        </w:tc>
        <w:tc>
          <w:tcPr>
            <w:tcW w:w="1931" w:type="dxa"/>
            <w:noWrap/>
            <w:hideMark/>
          </w:tcPr>
          <w:p w14:paraId="5EDFDB4B" w14:textId="3A46F786"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401</w:t>
            </w:r>
          </w:p>
        </w:tc>
        <w:tc>
          <w:tcPr>
            <w:tcW w:w="1913" w:type="dxa"/>
            <w:noWrap/>
            <w:hideMark/>
          </w:tcPr>
          <w:p w14:paraId="4CECB8F7" w14:textId="69E80BC1"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216</w:t>
            </w:r>
          </w:p>
        </w:tc>
      </w:tr>
      <w:tr w:rsidR="00CA794F" w:rsidRPr="00CA794F" w14:paraId="6FBC4751" w14:textId="77777777" w:rsidTr="00CA794F">
        <w:trPr>
          <w:trHeight w:val="300"/>
        </w:trPr>
        <w:tc>
          <w:tcPr>
            <w:tcW w:w="3950" w:type="dxa"/>
            <w:noWrap/>
            <w:hideMark/>
          </w:tcPr>
          <w:p w14:paraId="57FB6E98"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Dandenong</w:t>
            </w:r>
          </w:p>
        </w:tc>
        <w:tc>
          <w:tcPr>
            <w:tcW w:w="1845" w:type="dxa"/>
            <w:noWrap/>
            <w:hideMark/>
          </w:tcPr>
          <w:p w14:paraId="63CE9D20"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925</w:t>
            </w:r>
          </w:p>
        </w:tc>
        <w:tc>
          <w:tcPr>
            <w:tcW w:w="1931" w:type="dxa"/>
            <w:noWrap/>
            <w:hideMark/>
          </w:tcPr>
          <w:p w14:paraId="086EC1A6" w14:textId="536CCB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899</w:t>
            </w:r>
          </w:p>
        </w:tc>
        <w:tc>
          <w:tcPr>
            <w:tcW w:w="1913" w:type="dxa"/>
            <w:noWrap/>
            <w:hideMark/>
          </w:tcPr>
          <w:p w14:paraId="1C07BBCC"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974</w:t>
            </w:r>
          </w:p>
        </w:tc>
      </w:tr>
      <w:tr w:rsidR="00CA794F" w:rsidRPr="00CA794F" w14:paraId="0D08227C" w14:textId="77777777" w:rsidTr="00CA794F">
        <w:trPr>
          <w:trHeight w:val="300"/>
        </w:trPr>
        <w:tc>
          <w:tcPr>
            <w:tcW w:w="3950" w:type="dxa"/>
            <w:noWrap/>
            <w:hideMark/>
          </w:tcPr>
          <w:p w14:paraId="2508CFD6"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Richmond-Swan Street</w:t>
            </w:r>
          </w:p>
        </w:tc>
        <w:tc>
          <w:tcPr>
            <w:tcW w:w="1845" w:type="dxa"/>
            <w:noWrap/>
            <w:hideMark/>
          </w:tcPr>
          <w:p w14:paraId="5E19FD50" w14:textId="68E96714"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4</w:t>
            </w:r>
            <w:r>
              <w:rPr>
                <w:rFonts w:ascii="Calibri" w:hAnsi="Calibri"/>
                <w:color w:val="000000"/>
                <w:sz w:val="22"/>
                <w:szCs w:val="22"/>
              </w:rPr>
              <w:t>,</w:t>
            </w:r>
            <w:r w:rsidRPr="00CA794F">
              <w:rPr>
                <w:rFonts w:ascii="Calibri" w:hAnsi="Calibri"/>
                <w:color w:val="000000"/>
                <w:sz w:val="22"/>
                <w:szCs w:val="22"/>
              </w:rPr>
              <w:t>845</w:t>
            </w:r>
          </w:p>
        </w:tc>
        <w:tc>
          <w:tcPr>
            <w:tcW w:w="1931" w:type="dxa"/>
            <w:noWrap/>
            <w:hideMark/>
          </w:tcPr>
          <w:p w14:paraId="2617C539" w14:textId="050426A6"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5</w:t>
            </w:r>
            <w:r>
              <w:rPr>
                <w:rFonts w:ascii="Calibri" w:hAnsi="Calibri"/>
                <w:color w:val="000000"/>
                <w:sz w:val="22"/>
                <w:szCs w:val="22"/>
              </w:rPr>
              <w:t>,</w:t>
            </w:r>
            <w:r w:rsidRPr="00CA794F">
              <w:rPr>
                <w:rFonts w:ascii="Calibri" w:hAnsi="Calibri"/>
                <w:color w:val="000000"/>
                <w:sz w:val="22"/>
                <w:szCs w:val="22"/>
              </w:rPr>
              <w:t>813</w:t>
            </w:r>
          </w:p>
        </w:tc>
        <w:tc>
          <w:tcPr>
            <w:tcW w:w="1913" w:type="dxa"/>
            <w:noWrap/>
            <w:hideMark/>
          </w:tcPr>
          <w:p w14:paraId="78F5E968"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968</w:t>
            </w:r>
          </w:p>
        </w:tc>
      </w:tr>
      <w:tr w:rsidR="00CA794F" w:rsidRPr="00CA794F" w14:paraId="11F429E6" w14:textId="77777777" w:rsidTr="00CA794F">
        <w:trPr>
          <w:trHeight w:val="300"/>
        </w:trPr>
        <w:tc>
          <w:tcPr>
            <w:tcW w:w="3950" w:type="dxa"/>
            <w:noWrap/>
            <w:hideMark/>
          </w:tcPr>
          <w:p w14:paraId="0C1FB183"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North Essendon</w:t>
            </w:r>
          </w:p>
        </w:tc>
        <w:tc>
          <w:tcPr>
            <w:tcW w:w="1845" w:type="dxa"/>
            <w:noWrap/>
            <w:hideMark/>
          </w:tcPr>
          <w:p w14:paraId="36E9A67D"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263</w:t>
            </w:r>
          </w:p>
        </w:tc>
        <w:tc>
          <w:tcPr>
            <w:tcW w:w="1931" w:type="dxa"/>
            <w:noWrap/>
            <w:hideMark/>
          </w:tcPr>
          <w:p w14:paraId="3CA4D038" w14:textId="3FACF155"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170</w:t>
            </w:r>
          </w:p>
        </w:tc>
        <w:tc>
          <w:tcPr>
            <w:tcW w:w="1913" w:type="dxa"/>
            <w:noWrap/>
            <w:hideMark/>
          </w:tcPr>
          <w:p w14:paraId="19D4C0C6"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907</w:t>
            </w:r>
          </w:p>
        </w:tc>
      </w:tr>
      <w:tr w:rsidR="00CA794F" w:rsidRPr="00CA794F" w14:paraId="1C09FF44" w14:textId="77777777" w:rsidTr="00CA794F">
        <w:trPr>
          <w:trHeight w:val="300"/>
        </w:trPr>
        <w:tc>
          <w:tcPr>
            <w:tcW w:w="3950" w:type="dxa"/>
            <w:noWrap/>
            <w:hideMark/>
          </w:tcPr>
          <w:p w14:paraId="5EF81859"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Hawthorn-Glenferrie Road</w:t>
            </w:r>
          </w:p>
        </w:tc>
        <w:tc>
          <w:tcPr>
            <w:tcW w:w="1845" w:type="dxa"/>
            <w:noWrap/>
            <w:hideMark/>
          </w:tcPr>
          <w:p w14:paraId="6ECAE638"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47</w:t>
            </w:r>
          </w:p>
        </w:tc>
        <w:tc>
          <w:tcPr>
            <w:tcW w:w="1931" w:type="dxa"/>
            <w:noWrap/>
            <w:hideMark/>
          </w:tcPr>
          <w:p w14:paraId="78EEF504"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843</w:t>
            </w:r>
          </w:p>
        </w:tc>
        <w:tc>
          <w:tcPr>
            <w:tcW w:w="1913" w:type="dxa"/>
            <w:noWrap/>
            <w:hideMark/>
          </w:tcPr>
          <w:p w14:paraId="023A9244"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796</w:t>
            </w:r>
          </w:p>
        </w:tc>
      </w:tr>
      <w:tr w:rsidR="00CA794F" w:rsidRPr="00CA794F" w14:paraId="1E55E262" w14:textId="77777777" w:rsidTr="00CA794F">
        <w:trPr>
          <w:trHeight w:val="300"/>
        </w:trPr>
        <w:tc>
          <w:tcPr>
            <w:tcW w:w="3950" w:type="dxa"/>
            <w:noWrap/>
            <w:hideMark/>
          </w:tcPr>
          <w:p w14:paraId="46928EE6" w14:textId="77777777" w:rsidR="00CA794F" w:rsidRPr="00CA794F" w:rsidRDefault="00CA794F" w:rsidP="00CA794F">
            <w:pPr>
              <w:spacing w:line="240" w:lineRule="auto"/>
              <w:rPr>
                <w:rFonts w:ascii="Calibri" w:hAnsi="Calibri"/>
                <w:color w:val="000000"/>
                <w:sz w:val="22"/>
                <w:szCs w:val="22"/>
              </w:rPr>
            </w:pPr>
            <w:r w:rsidRPr="00CA794F">
              <w:rPr>
                <w:rFonts w:ascii="Calibri" w:hAnsi="Calibri"/>
                <w:color w:val="000000"/>
                <w:sz w:val="22"/>
                <w:szCs w:val="22"/>
              </w:rPr>
              <w:t>St Kilda</w:t>
            </w:r>
          </w:p>
        </w:tc>
        <w:tc>
          <w:tcPr>
            <w:tcW w:w="1845" w:type="dxa"/>
            <w:noWrap/>
            <w:hideMark/>
          </w:tcPr>
          <w:p w14:paraId="7F80EB10" w14:textId="69EAE952"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129</w:t>
            </w:r>
          </w:p>
        </w:tc>
        <w:tc>
          <w:tcPr>
            <w:tcW w:w="1931" w:type="dxa"/>
            <w:noWrap/>
            <w:hideMark/>
          </w:tcPr>
          <w:p w14:paraId="0FC6B908" w14:textId="6AC31CF5"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1</w:t>
            </w:r>
            <w:r>
              <w:rPr>
                <w:rFonts w:ascii="Calibri" w:hAnsi="Calibri"/>
                <w:color w:val="000000"/>
                <w:sz w:val="22"/>
                <w:szCs w:val="22"/>
              </w:rPr>
              <w:t>,</w:t>
            </w:r>
            <w:r w:rsidRPr="00CA794F">
              <w:rPr>
                <w:rFonts w:ascii="Calibri" w:hAnsi="Calibri"/>
                <w:color w:val="000000"/>
                <w:sz w:val="22"/>
                <w:szCs w:val="22"/>
              </w:rPr>
              <w:t>851</w:t>
            </w:r>
          </w:p>
        </w:tc>
        <w:tc>
          <w:tcPr>
            <w:tcW w:w="1913" w:type="dxa"/>
            <w:noWrap/>
            <w:hideMark/>
          </w:tcPr>
          <w:p w14:paraId="55B510E4" w14:textId="77777777" w:rsidR="00CA794F" w:rsidRPr="00CA794F" w:rsidRDefault="00CA794F" w:rsidP="00CA794F">
            <w:pPr>
              <w:spacing w:line="240" w:lineRule="auto"/>
              <w:jc w:val="right"/>
              <w:rPr>
                <w:rFonts w:ascii="Calibri" w:hAnsi="Calibri"/>
                <w:color w:val="000000"/>
                <w:sz w:val="22"/>
                <w:szCs w:val="22"/>
              </w:rPr>
            </w:pPr>
            <w:r w:rsidRPr="00CA794F">
              <w:rPr>
                <w:rFonts w:ascii="Calibri" w:hAnsi="Calibri"/>
                <w:color w:val="000000"/>
                <w:sz w:val="22"/>
                <w:szCs w:val="22"/>
              </w:rPr>
              <w:t>722</w:t>
            </w:r>
          </w:p>
        </w:tc>
      </w:tr>
    </w:tbl>
    <w:p w14:paraId="0C96D7F6" w14:textId="70A48775" w:rsidR="00DC36F4" w:rsidRDefault="00CA794F" w:rsidP="00CA794F">
      <w:pPr>
        <w:pStyle w:val="BodyText"/>
        <w:rPr>
          <w:sz w:val="16"/>
          <w:szCs w:val="16"/>
          <w:lang w:eastAsia="en-AU"/>
        </w:rPr>
      </w:pPr>
      <w:r>
        <w:rPr>
          <w:sz w:val="16"/>
          <w:szCs w:val="16"/>
          <w:lang w:eastAsia="en-AU"/>
        </w:rPr>
        <w:t xml:space="preserve">Note: Data in this was updated in April 2018 </w:t>
      </w:r>
      <w:r>
        <w:rPr>
          <w:sz w:val="16"/>
          <w:szCs w:val="16"/>
          <w:lang w:eastAsia="en-AU"/>
        </w:rPr>
        <w:tab/>
      </w:r>
      <w:r>
        <w:rPr>
          <w:sz w:val="16"/>
          <w:szCs w:val="16"/>
          <w:lang w:eastAsia="en-AU"/>
        </w:rPr>
        <w:tab/>
      </w:r>
      <w:r>
        <w:rPr>
          <w:sz w:val="16"/>
          <w:szCs w:val="16"/>
          <w:lang w:eastAsia="en-AU"/>
        </w:rPr>
        <w:tab/>
      </w:r>
      <w:r>
        <w:rPr>
          <w:sz w:val="16"/>
          <w:szCs w:val="16"/>
          <w:lang w:eastAsia="en-AU"/>
        </w:rPr>
        <w:tab/>
      </w:r>
      <w:r>
        <w:rPr>
          <w:sz w:val="16"/>
          <w:szCs w:val="16"/>
          <w:lang w:eastAsia="en-AU"/>
        </w:rPr>
        <w:tab/>
      </w:r>
      <w:r>
        <w:rPr>
          <w:sz w:val="16"/>
          <w:szCs w:val="16"/>
          <w:lang w:eastAsia="en-AU"/>
        </w:rPr>
        <w:tab/>
      </w:r>
      <w:r>
        <w:rPr>
          <w:sz w:val="16"/>
          <w:szCs w:val="16"/>
          <w:lang w:eastAsia="en-AU"/>
        </w:rPr>
        <w:tab/>
      </w:r>
      <w:r>
        <w:rPr>
          <w:sz w:val="16"/>
          <w:szCs w:val="16"/>
          <w:lang w:eastAsia="en-AU"/>
        </w:rPr>
        <w:tab/>
      </w:r>
      <w:r>
        <w:rPr>
          <w:sz w:val="16"/>
          <w:szCs w:val="16"/>
          <w:lang w:eastAsia="en-AU"/>
        </w:rPr>
        <w:tab/>
      </w:r>
      <w:r w:rsidR="00DC36F4" w:rsidRPr="00DC36F4">
        <w:rPr>
          <w:sz w:val="16"/>
          <w:szCs w:val="16"/>
          <w:lang w:eastAsia="en-AU"/>
        </w:rPr>
        <w:t xml:space="preserve">Source: HDD 2016  </w:t>
      </w:r>
    </w:p>
    <w:p w14:paraId="35286502" w14:textId="7BFBF945" w:rsidR="00770365" w:rsidRPr="00425BD7" w:rsidRDefault="00425BD7" w:rsidP="00425BD7">
      <w:pPr>
        <w:pStyle w:val="BodyText"/>
        <w:jc w:val="right"/>
        <w:rPr>
          <w:sz w:val="16"/>
          <w:szCs w:val="16"/>
          <w:lang w:eastAsia="en-AU"/>
        </w:rPr>
      </w:pPr>
      <w:r>
        <w:rPr>
          <w:sz w:val="16"/>
          <w:szCs w:val="16"/>
          <w:lang w:eastAsia="en-AU"/>
        </w:rPr>
        <w:tab/>
        <w:t xml:space="preserve">                    </w:t>
      </w:r>
    </w:p>
    <w:p w14:paraId="05C0E1D0" w14:textId="77777777" w:rsidR="00596DF8" w:rsidRPr="00596DF8" w:rsidRDefault="00596DF8" w:rsidP="00596DF8">
      <w:pPr>
        <w:pStyle w:val="Pa24"/>
        <w:spacing w:after="120"/>
        <w:rPr>
          <w:rFonts w:asciiTheme="minorHAnsi" w:hAnsiTheme="minorHAnsi" w:cstheme="minorHAnsi"/>
          <w:color w:val="000000"/>
          <w:sz w:val="20"/>
          <w:szCs w:val="20"/>
        </w:rPr>
      </w:pPr>
      <w:r w:rsidRPr="00596DF8">
        <w:rPr>
          <w:rFonts w:asciiTheme="minorHAnsi" w:hAnsiTheme="minorHAnsi" w:cstheme="minorHAnsi"/>
          <w:color w:val="000000"/>
          <w:sz w:val="20"/>
          <w:szCs w:val="20"/>
        </w:rPr>
        <w:t xml:space="preserve">According to analysis by Charter Keck Kramer the vast majority of new apartment sales in Hawthorn, Doncaster and Brunswick over 2014-16 were under the median dwelling price for those suburbs. </w:t>
      </w:r>
    </w:p>
    <w:p w14:paraId="7320E9EA" w14:textId="53A3A28E" w:rsidR="0003520F" w:rsidRDefault="00596DF8" w:rsidP="00596DF8">
      <w:pPr>
        <w:rPr>
          <w:rFonts w:cs="Times New Roman"/>
        </w:rPr>
      </w:pPr>
      <w:r w:rsidRPr="00596DF8">
        <w:rPr>
          <w:rFonts w:cstheme="minorHAnsi"/>
          <w:color w:val="000000"/>
        </w:rPr>
        <w:t>Additionally, 2017 interviews with traders in the Heidelberg, Oakleigh and Moonee Ponds activity centres by Essential Economics identified improved safety and security and retail demand as benefits of growth in these centres.</w:t>
      </w:r>
      <w:r>
        <w:rPr>
          <w:rFonts w:cs="VIC Light"/>
          <w:color w:val="000000"/>
          <w:sz w:val="19"/>
          <w:szCs w:val="19"/>
        </w:rPr>
        <w:t xml:space="preserve"> </w:t>
      </w:r>
      <w:r w:rsidR="0003520F">
        <w:br w:type="page"/>
      </w:r>
    </w:p>
    <w:p w14:paraId="6C5C03D6" w14:textId="77777777" w:rsidR="000C4EE4" w:rsidRDefault="000C4EE4" w:rsidP="000C4EE4">
      <w:pPr>
        <w:pStyle w:val="Heading1"/>
      </w:pPr>
      <w:bookmarkStart w:id="34" w:name="_Toc506556534"/>
      <w:r>
        <w:lastRenderedPageBreak/>
        <w:t>Development Density</w:t>
      </w:r>
      <w:bookmarkEnd w:id="34"/>
    </w:p>
    <w:p w14:paraId="5B5486EF" w14:textId="648069D6" w:rsidR="000C4EE4" w:rsidRDefault="000C4EE4" w:rsidP="372C1C62">
      <w:pPr>
        <w:pStyle w:val="BodyText"/>
      </w:pPr>
      <w:r>
        <w:t>T</w:t>
      </w:r>
      <w:r w:rsidR="00F337DF">
        <w:t xml:space="preserve">he parts of Melbourne with </w:t>
      </w:r>
      <w:r w:rsidR="0013527E">
        <w:t>relatively high level</w:t>
      </w:r>
      <w:r w:rsidR="009B01F8">
        <w:t>s</w:t>
      </w:r>
      <w:r w:rsidR="00F337DF">
        <w:t xml:space="preserve"> </w:t>
      </w:r>
      <w:r w:rsidR="00F87C70">
        <w:t xml:space="preserve">of </w:t>
      </w:r>
      <w:r w:rsidR="00F337DF">
        <w:t xml:space="preserve">access to jobs, services and transport are being developed at the highest residential densities, </w:t>
      </w:r>
      <w:r w:rsidR="0013527E">
        <w:t xml:space="preserve">enabling </w:t>
      </w:r>
      <w:r w:rsidR="00F337DF">
        <w:t>more households to enjoy the benefits of living in these locations. As can be seen</w:t>
      </w:r>
      <w:r w:rsidR="0096326B">
        <w:t xml:space="preserve"> in f</w:t>
      </w:r>
      <w:r w:rsidR="0013527E">
        <w:t>igure 4</w:t>
      </w:r>
      <w:r w:rsidR="00160671">
        <w:t>,</w:t>
      </w:r>
      <w:r w:rsidR="00F337DF">
        <w:t xml:space="preserve"> </w:t>
      </w:r>
      <w:r w:rsidR="0013527E">
        <w:t xml:space="preserve">the density of recent </w:t>
      </w:r>
      <w:r w:rsidR="372C1C62" w:rsidRPr="372C1C62">
        <w:rPr>
          <w:lang w:eastAsia="en-AU"/>
        </w:rPr>
        <w:t>development in and around activity centres significantly exceed</w:t>
      </w:r>
      <w:r w:rsidR="00342F9D">
        <w:rPr>
          <w:lang w:eastAsia="en-AU"/>
        </w:rPr>
        <w:t>s</w:t>
      </w:r>
      <w:r w:rsidR="372C1C62" w:rsidRPr="372C1C62">
        <w:rPr>
          <w:lang w:eastAsia="en-AU"/>
        </w:rPr>
        <w:t xml:space="preserve"> the density of new development outside </w:t>
      </w:r>
      <w:r w:rsidR="0003520F">
        <w:rPr>
          <w:lang w:eastAsia="en-AU"/>
        </w:rPr>
        <w:t>of centres</w:t>
      </w:r>
      <w:r w:rsidR="0013527E">
        <w:rPr>
          <w:lang w:eastAsia="en-AU"/>
        </w:rPr>
        <w:t xml:space="preserve">. This is </w:t>
      </w:r>
      <w:r w:rsidR="008C052C">
        <w:rPr>
          <w:lang w:eastAsia="en-AU"/>
        </w:rPr>
        <w:t xml:space="preserve">consistent with long standing planning policy that seeks to direct higher density housing to activity centres and other accessible locations </w:t>
      </w:r>
      <w:r w:rsidR="008C052C">
        <w:t>(Cl. 16.01-2 in the Victorian Planning Provisions).</w:t>
      </w:r>
      <w:r w:rsidR="00497F89">
        <w:t xml:space="preserve"> </w:t>
      </w:r>
    </w:p>
    <w:p w14:paraId="3FBEDE1E" w14:textId="54985DA7" w:rsidR="00F337DF" w:rsidRDefault="000C4EE4" w:rsidP="372C1C62">
      <w:pPr>
        <w:pStyle w:val="BodyText"/>
      </w:pPr>
      <w:r>
        <w:t xml:space="preserve">The housing development data also demonstrates that </w:t>
      </w:r>
      <w:r w:rsidR="00F337DF">
        <w:t>outside of activity centres</w:t>
      </w:r>
      <w:r w:rsidR="0013527E">
        <w:t>,</w:t>
      </w:r>
      <w:r w:rsidR="00F337DF">
        <w:t xml:space="preserve"> </w:t>
      </w:r>
      <w:r w:rsidR="00497F89">
        <w:t xml:space="preserve">housing is </w:t>
      </w:r>
      <w:r w:rsidR="00A43AA0">
        <w:t xml:space="preserve">on average </w:t>
      </w:r>
      <w:r w:rsidR="00F337DF">
        <w:t xml:space="preserve">developed at </w:t>
      </w:r>
      <w:r w:rsidR="00497F89">
        <w:t xml:space="preserve">relatively </w:t>
      </w:r>
      <w:r w:rsidR="00F337DF">
        <w:t>lower densities</w:t>
      </w:r>
      <w:r w:rsidR="00B20C46">
        <w:t xml:space="preserve">. </w:t>
      </w:r>
      <w:r w:rsidR="0013527E">
        <w:t xml:space="preserve">This </w:t>
      </w:r>
      <w:r>
        <w:t xml:space="preserve">suggests that </w:t>
      </w:r>
      <w:r w:rsidR="00337D90">
        <w:t>new development</w:t>
      </w:r>
      <w:r>
        <w:t xml:space="preserve"> in these locations</w:t>
      </w:r>
      <w:r w:rsidR="00337D90">
        <w:t xml:space="preserve"> </w:t>
      </w:r>
      <w:r w:rsidR="00F87C70">
        <w:t>is in keeping with</w:t>
      </w:r>
      <w:r w:rsidR="0013527E">
        <w:t xml:space="preserve"> </w:t>
      </w:r>
      <w:r w:rsidR="00F65C56">
        <w:t xml:space="preserve">lower </w:t>
      </w:r>
      <w:r w:rsidR="00E00BA9">
        <w:t>scale suburban character</w:t>
      </w:r>
      <w:r w:rsidR="00BA35DE">
        <w:t xml:space="preserve"> as per the requirements of local planning provisions</w:t>
      </w:r>
      <w:r w:rsidR="00F337DF">
        <w:t>.</w:t>
      </w:r>
    </w:p>
    <w:p w14:paraId="69B7E0C8" w14:textId="1867E713" w:rsidR="004E55DD" w:rsidRDefault="00497F89" w:rsidP="372C1C62">
      <w:pPr>
        <w:pStyle w:val="BodyText"/>
      </w:pPr>
      <w:r>
        <w:t xml:space="preserve">Overall, the </w:t>
      </w:r>
      <w:r w:rsidR="005703AF">
        <w:t>h</w:t>
      </w:r>
      <w:r>
        <w:t xml:space="preserve">ousing </w:t>
      </w:r>
      <w:r w:rsidR="005703AF">
        <w:t>d</w:t>
      </w:r>
      <w:r>
        <w:t xml:space="preserve">evelopment </w:t>
      </w:r>
      <w:r w:rsidR="005703AF">
        <w:t>d</w:t>
      </w:r>
      <w:r>
        <w:t xml:space="preserve">ata demonstrates that a mixture of development densities are being constructed throughout established </w:t>
      </w:r>
      <w:r w:rsidR="00160671">
        <w:t>suburbs</w:t>
      </w:r>
      <w:r w:rsidR="009B01F8">
        <w:t xml:space="preserve">. This mixture reflects the range of </w:t>
      </w:r>
      <w:r>
        <w:t xml:space="preserve">apartments, units and single dwellings </w:t>
      </w:r>
      <w:r w:rsidR="00F87C70">
        <w:t xml:space="preserve">that </w:t>
      </w:r>
      <w:r w:rsidR="009B01F8">
        <w:t xml:space="preserve">are being </w:t>
      </w:r>
      <w:r w:rsidR="00BA35DE">
        <w:t>built</w:t>
      </w:r>
      <w:r w:rsidR="00B20C46">
        <w:t>,</w:t>
      </w:r>
      <w:r w:rsidR="009B01F8">
        <w:t xml:space="preserve"> which </w:t>
      </w:r>
      <w:r w:rsidR="00F87C70">
        <w:t xml:space="preserve">for households </w:t>
      </w:r>
      <w:r w:rsidR="009B01F8">
        <w:t>means</w:t>
      </w:r>
      <w:r w:rsidR="00F87C70">
        <w:t xml:space="preserve"> greater housing choice</w:t>
      </w:r>
      <w:r w:rsidR="000C4EE4">
        <w:t>.</w:t>
      </w:r>
    </w:p>
    <w:p w14:paraId="3756BB46" w14:textId="21A44B03" w:rsidR="00352C06" w:rsidRDefault="00352C06" w:rsidP="00352C06">
      <w:pPr>
        <w:pStyle w:val="Caption"/>
      </w:pPr>
      <w:bookmarkStart w:id="35" w:name="_Toc506904193"/>
      <w:r>
        <w:t xml:space="preserve">Figure </w:t>
      </w:r>
      <w:r w:rsidR="00CA794F">
        <w:fldChar w:fldCharType="begin"/>
      </w:r>
      <w:r w:rsidR="00CA794F">
        <w:instrText xml:space="preserve"> SEQ Figure \* ARABIC </w:instrText>
      </w:r>
      <w:r w:rsidR="00CA794F">
        <w:fldChar w:fldCharType="separate"/>
      </w:r>
      <w:r w:rsidR="00A12295">
        <w:rPr>
          <w:noProof/>
        </w:rPr>
        <w:t>4</w:t>
      </w:r>
      <w:r w:rsidR="00CA794F">
        <w:rPr>
          <w:noProof/>
        </w:rPr>
        <w:fldChar w:fldCharType="end"/>
      </w:r>
      <w:r>
        <w:t xml:space="preserve">: </w:t>
      </w:r>
      <w:r w:rsidR="00BC54AC">
        <w:t>Average site density of</w:t>
      </w:r>
      <w:r w:rsidR="006F3005">
        <w:t xml:space="preserve"> projects in </w:t>
      </w:r>
      <w:r w:rsidRPr="00284F43">
        <w:t xml:space="preserve">and </w:t>
      </w:r>
      <w:r w:rsidR="00BA63DE">
        <w:t xml:space="preserve">around </w:t>
      </w:r>
      <w:r w:rsidR="000C4EE4">
        <w:t>a</w:t>
      </w:r>
      <w:r w:rsidRPr="00284F43">
        <w:t xml:space="preserve">ctivity </w:t>
      </w:r>
      <w:r w:rsidR="000C4EE4">
        <w:t>c</w:t>
      </w:r>
      <w:r w:rsidRPr="00284F43">
        <w:t>entr</w:t>
      </w:r>
      <w:r w:rsidR="00BA63DE">
        <w:t xml:space="preserve">es, </w:t>
      </w:r>
      <w:r w:rsidR="002A5FDA">
        <w:t>e</w:t>
      </w:r>
      <w:r w:rsidR="00BC54AC">
        <w:t>stablished Melbourne, 2011</w:t>
      </w:r>
      <w:r w:rsidRPr="00284F43">
        <w:t>-2016</w:t>
      </w:r>
      <w:r w:rsidR="008F4FE8">
        <w:t xml:space="preserve"> (</w:t>
      </w:r>
      <w:r w:rsidR="008C052C">
        <w:t>e</w:t>
      </w:r>
      <w:r w:rsidR="008F4FE8">
        <w:t>xcluding Melbourne LGA)</w:t>
      </w:r>
      <w:bookmarkEnd w:id="35"/>
    </w:p>
    <w:p w14:paraId="155B4260" w14:textId="095962D1" w:rsidR="00827D6A" w:rsidRDefault="00827D6A" w:rsidP="004E55DD">
      <w:pPr>
        <w:pStyle w:val="BodyText"/>
        <w:rPr>
          <w:lang w:eastAsia="en-AU"/>
        </w:rPr>
      </w:pPr>
    </w:p>
    <w:p w14:paraId="690E1D76" w14:textId="77777777" w:rsidR="00261DDF" w:rsidRDefault="00261DDF" w:rsidP="00261DDF"/>
    <w:p w14:paraId="0B3A3868" w14:textId="77777777" w:rsidR="00261DDF" w:rsidRDefault="00261DDF">
      <w:r>
        <w:br w:type="page"/>
      </w:r>
    </w:p>
    <w:p w14:paraId="3D9717C0" w14:textId="0D7876F1" w:rsidR="00261DDF" w:rsidRDefault="372C1C62" w:rsidP="372C1C62">
      <w:pPr>
        <w:pStyle w:val="BodyText"/>
        <w:rPr>
          <w:lang w:eastAsia="en-AU"/>
        </w:rPr>
      </w:pPr>
      <w:r w:rsidRPr="372C1C62">
        <w:rPr>
          <w:lang w:eastAsia="en-AU"/>
        </w:rPr>
        <w:lastRenderedPageBreak/>
        <w:t xml:space="preserve">Overall, housing redevelopment projects are tending to </w:t>
      </w:r>
      <w:r w:rsidR="007D5DB7">
        <w:rPr>
          <w:lang w:eastAsia="en-AU"/>
        </w:rPr>
        <w:t>increase in density</w:t>
      </w:r>
      <w:r w:rsidR="00CF74DF">
        <w:rPr>
          <w:lang w:eastAsia="en-AU"/>
        </w:rPr>
        <w:t>,</w:t>
      </w:r>
      <w:r w:rsidR="00F87C70">
        <w:rPr>
          <w:lang w:eastAsia="en-AU"/>
        </w:rPr>
        <w:t xml:space="preserve"> </w:t>
      </w:r>
      <w:r w:rsidR="00CF74DF">
        <w:rPr>
          <w:lang w:eastAsia="en-AU"/>
        </w:rPr>
        <w:t>a</w:t>
      </w:r>
      <w:r w:rsidR="00F87C70">
        <w:rPr>
          <w:lang w:eastAsia="en-AU"/>
        </w:rPr>
        <w:t xml:space="preserve">lthough this is not always the case. </w:t>
      </w:r>
    </w:p>
    <w:p w14:paraId="79E15C84" w14:textId="7346F2D6" w:rsidR="004050B8" w:rsidRDefault="00261DDF" w:rsidP="372C1C62">
      <w:pPr>
        <w:pStyle w:val="BodyText"/>
        <w:rPr>
          <w:lang w:eastAsia="en-AU"/>
        </w:rPr>
      </w:pPr>
      <w:r>
        <w:rPr>
          <w:lang w:eastAsia="en-AU"/>
        </w:rPr>
        <w:t xml:space="preserve">Figure 5 shows </w:t>
      </w:r>
      <w:r w:rsidR="00FA6F27">
        <w:rPr>
          <w:lang w:eastAsia="en-AU"/>
        </w:rPr>
        <w:t xml:space="preserve">that </w:t>
      </w:r>
      <w:r w:rsidR="004050B8">
        <w:rPr>
          <w:lang w:eastAsia="en-AU"/>
        </w:rPr>
        <w:t xml:space="preserve">the majority of </w:t>
      </w:r>
      <w:r>
        <w:rPr>
          <w:lang w:eastAsia="en-AU"/>
        </w:rPr>
        <w:t xml:space="preserve">residential projects constructed from 2011-2016 were on average </w:t>
      </w:r>
      <w:r w:rsidR="007D5DB7">
        <w:rPr>
          <w:lang w:eastAsia="en-AU"/>
        </w:rPr>
        <w:t>of a higher density</w:t>
      </w:r>
      <w:r w:rsidR="00B777AA">
        <w:rPr>
          <w:lang w:eastAsia="en-AU"/>
        </w:rPr>
        <w:t xml:space="preserve"> compared </w:t>
      </w:r>
      <w:r w:rsidR="00F87C70">
        <w:rPr>
          <w:lang w:eastAsia="en-AU"/>
        </w:rPr>
        <w:t xml:space="preserve">with </w:t>
      </w:r>
      <w:r>
        <w:rPr>
          <w:lang w:eastAsia="en-AU"/>
        </w:rPr>
        <w:t>projec</w:t>
      </w:r>
      <w:r w:rsidR="006F3005">
        <w:rPr>
          <w:lang w:eastAsia="en-AU"/>
        </w:rPr>
        <w:t>ts constructed between 2005-2010</w:t>
      </w:r>
      <w:r>
        <w:rPr>
          <w:lang w:eastAsia="en-AU"/>
        </w:rPr>
        <w:t xml:space="preserve">. Density of development tends to increase as developers gain confidence that housing </w:t>
      </w:r>
      <w:r w:rsidR="00C16C91">
        <w:rPr>
          <w:lang w:eastAsia="en-AU"/>
        </w:rPr>
        <w:t xml:space="preserve">at increased densities </w:t>
      </w:r>
      <w:r>
        <w:rPr>
          <w:lang w:eastAsia="en-AU"/>
        </w:rPr>
        <w:t xml:space="preserve">is viable and </w:t>
      </w:r>
      <w:r w:rsidR="00B744B1">
        <w:rPr>
          <w:lang w:eastAsia="en-AU"/>
        </w:rPr>
        <w:t xml:space="preserve">attractive to </w:t>
      </w:r>
      <w:r>
        <w:rPr>
          <w:lang w:eastAsia="en-AU"/>
        </w:rPr>
        <w:t>household</w:t>
      </w:r>
      <w:r w:rsidR="00B744B1">
        <w:rPr>
          <w:lang w:eastAsia="en-AU"/>
        </w:rPr>
        <w:t>s and investors</w:t>
      </w:r>
      <w:r>
        <w:rPr>
          <w:lang w:eastAsia="en-AU"/>
        </w:rPr>
        <w:t xml:space="preserve">. </w:t>
      </w:r>
      <w:r w:rsidR="00C16C91">
        <w:rPr>
          <w:lang w:eastAsia="en-AU"/>
        </w:rPr>
        <w:t>L</w:t>
      </w:r>
      <w:r w:rsidR="004050B8">
        <w:rPr>
          <w:lang w:eastAsia="en-AU"/>
        </w:rPr>
        <w:t xml:space="preserve">ow </w:t>
      </w:r>
      <w:r w:rsidR="00574111">
        <w:rPr>
          <w:lang w:eastAsia="en-AU"/>
        </w:rPr>
        <w:t>density estates are</w:t>
      </w:r>
      <w:r w:rsidR="00C16C91">
        <w:rPr>
          <w:lang w:eastAsia="en-AU"/>
        </w:rPr>
        <w:t>, nonetheless,</w:t>
      </w:r>
      <w:r w:rsidR="00574111">
        <w:rPr>
          <w:lang w:eastAsia="en-AU"/>
        </w:rPr>
        <w:t xml:space="preserve"> still built in Melbourne’s established suburbs</w:t>
      </w:r>
      <w:r w:rsidR="008F0AF7">
        <w:rPr>
          <w:lang w:eastAsia="en-AU"/>
        </w:rPr>
        <w:t xml:space="preserve"> (</w:t>
      </w:r>
      <w:r w:rsidR="00941261">
        <w:rPr>
          <w:lang w:eastAsia="en-AU"/>
        </w:rPr>
        <w:t xml:space="preserve">the redevelopment of </w:t>
      </w:r>
      <w:r w:rsidR="008F0AF7">
        <w:rPr>
          <w:lang w:eastAsia="en-AU"/>
        </w:rPr>
        <w:t>Kew Cottages at a density of 10 dwellings per hectare is one example)</w:t>
      </w:r>
      <w:r w:rsidR="00574111">
        <w:rPr>
          <w:lang w:eastAsia="en-AU"/>
        </w:rPr>
        <w:t xml:space="preserve">. </w:t>
      </w:r>
    </w:p>
    <w:p w14:paraId="6876ECF3" w14:textId="3A7643F2" w:rsidR="00261DDF" w:rsidRDefault="372C1C62" w:rsidP="372C1C62">
      <w:pPr>
        <w:pStyle w:val="BodyText"/>
        <w:rPr>
          <w:lang w:eastAsia="en-AU"/>
        </w:rPr>
      </w:pPr>
      <w:r w:rsidRPr="372C1C62">
        <w:rPr>
          <w:lang w:eastAsia="en-AU"/>
        </w:rPr>
        <w:t xml:space="preserve">The density shown in </w:t>
      </w:r>
      <w:r w:rsidR="0096326B">
        <w:rPr>
          <w:lang w:eastAsia="en-AU"/>
        </w:rPr>
        <w:t>f</w:t>
      </w:r>
      <w:r w:rsidR="00B777AA">
        <w:rPr>
          <w:lang w:eastAsia="en-AU"/>
        </w:rPr>
        <w:t>igure 5</w:t>
      </w:r>
      <w:r w:rsidRPr="372C1C62">
        <w:rPr>
          <w:lang w:eastAsia="en-AU"/>
        </w:rPr>
        <w:t xml:space="preserve"> is calculated by dividing the total number of dwellings in the development project by the total area of the project. This is a measure of site density, and is not comparable to density measures used in growth areas or larger precincts which tend to be </w:t>
      </w:r>
      <w:r w:rsidR="00B777AA">
        <w:rPr>
          <w:lang w:eastAsia="en-AU"/>
        </w:rPr>
        <w:t xml:space="preserve">calculated as </w:t>
      </w:r>
      <w:r w:rsidR="00F87C70">
        <w:rPr>
          <w:lang w:eastAsia="en-AU"/>
        </w:rPr>
        <w:t xml:space="preserve">a measure of </w:t>
      </w:r>
      <w:r w:rsidRPr="372C1C62">
        <w:rPr>
          <w:lang w:eastAsia="en-AU"/>
        </w:rPr>
        <w:t>gross density</w:t>
      </w:r>
      <w:r w:rsidR="00C85151">
        <w:rPr>
          <w:lang w:eastAsia="en-AU"/>
        </w:rPr>
        <w:t xml:space="preserve"> which includes access roads and </w:t>
      </w:r>
      <w:r w:rsidR="00CF74DF">
        <w:rPr>
          <w:lang w:eastAsia="en-AU"/>
        </w:rPr>
        <w:t xml:space="preserve">other </w:t>
      </w:r>
      <w:r w:rsidR="00C85151">
        <w:rPr>
          <w:lang w:eastAsia="en-AU"/>
        </w:rPr>
        <w:t>land use</w:t>
      </w:r>
      <w:r w:rsidR="00CF74DF">
        <w:rPr>
          <w:lang w:eastAsia="en-AU"/>
        </w:rPr>
        <w:t>s</w:t>
      </w:r>
      <w:r w:rsidRPr="372C1C62">
        <w:rPr>
          <w:lang w:eastAsia="en-AU"/>
        </w:rPr>
        <w:t>.</w:t>
      </w:r>
    </w:p>
    <w:p w14:paraId="31D2CEE7" w14:textId="7D10DB73" w:rsidR="0098511F" w:rsidRDefault="00C85151" w:rsidP="372C1C62">
      <w:pPr>
        <w:pStyle w:val="BodyText"/>
        <w:rPr>
          <w:lang w:eastAsia="en-AU"/>
        </w:rPr>
      </w:pPr>
      <w:r>
        <w:rPr>
          <w:lang w:eastAsia="en-AU"/>
        </w:rPr>
        <w:t>The greatest increases in</w:t>
      </w:r>
      <w:r w:rsidR="372C1C62" w:rsidRPr="372C1C62">
        <w:rPr>
          <w:lang w:eastAsia="en-AU"/>
        </w:rPr>
        <w:t xml:space="preserve"> </w:t>
      </w:r>
      <w:r w:rsidR="00B777AA">
        <w:rPr>
          <w:lang w:eastAsia="en-AU"/>
        </w:rPr>
        <w:t>residential</w:t>
      </w:r>
      <w:r w:rsidR="00B777AA" w:rsidRPr="372C1C62">
        <w:rPr>
          <w:lang w:eastAsia="en-AU"/>
        </w:rPr>
        <w:t xml:space="preserve"> </w:t>
      </w:r>
      <w:r w:rsidR="372C1C62" w:rsidRPr="372C1C62">
        <w:rPr>
          <w:lang w:eastAsia="en-AU"/>
        </w:rPr>
        <w:t xml:space="preserve">density have been in inner city municipalities where existing housing density was already relatively high. The City of Melbourne averages the highest </w:t>
      </w:r>
      <w:r w:rsidR="00B777AA">
        <w:rPr>
          <w:lang w:eastAsia="en-AU"/>
        </w:rPr>
        <w:t xml:space="preserve">level of </w:t>
      </w:r>
      <w:r w:rsidR="372C1C62" w:rsidRPr="372C1C62">
        <w:rPr>
          <w:lang w:eastAsia="en-AU"/>
        </w:rPr>
        <w:t>development density in Victoria by a significant margin</w:t>
      </w:r>
      <w:r w:rsidR="00B777AA">
        <w:rPr>
          <w:lang w:eastAsia="en-AU"/>
        </w:rPr>
        <w:t xml:space="preserve"> with </w:t>
      </w:r>
      <w:r w:rsidR="372C1C62" w:rsidRPr="372C1C62">
        <w:rPr>
          <w:lang w:eastAsia="en-AU"/>
        </w:rPr>
        <w:t>new development</w:t>
      </w:r>
      <w:r w:rsidR="00B777AA">
        <w:rPr>
          <w:lang w:eastAsia="en-AU"/>
        </w:rPr>
        <w:t>s</w:t>
      </w:r>
      <w:r w:rsidR="372C1C62" w:rsidRPr="372C1C62">
        <w:rPr>
          <w:lang w:eastAsia="en-AU"/>
        </w:rPr>
        <w:t xml:space="preserve"> averag</w:t>
      </w:r>
      <w:r w:rsidR="00B777AA">
        <w:rPr>
          <w:lang w:eastAsia="en-AU"/>
        </w:rPr>
        <w:t xml:space="preserve">ing </w:t>
      </w:r>
      <w:r w:rsidRPr="372C1C62">
        <w:rPr>
          <w:lang w:eastAsia="en-AU"/>
        </w:rPr>
        <w:t>more than</w:t>
      </w:r>
      <w:r w:rsidR="372C1C62" w:rsidRPr="372C1C62">
        <w:rPr>
          <w:lang w:eastAsia="en-AU"/>
        </w:rPr>
        <w:t xml:space="preserve"> </w:t>
      </w:r>
      <w:r w:rsidR="00FA6F27">
        <w:rPr>
          <w:lang w:eastAsia="en-AU"/>
        </w:rPr>
        <w:t>500</w:t>
      </w:r>
      <w:r w:rsidR="372C1C62" w:rsidRPr="372C1C62">
        <w:rPr>
          <w:lang w:eastAsia="en-AU"/>
        </w:rPr>
        <w:t xml:space="preserve"> dwellings per hectare.</w:t>
      </w:r>
    </w:p>
    <w:p w14:paraId="1A7A13A6" w14:textId="65BF2314" w:rsidR="00352C06" w:rsidRDefault="00352C06" w:rsidP="00352C06">
      <w:pPr>
        <w:pStyle w:val="Caption"/>
      </w:pPr>
      <w:bookmarkStart w:id="36" w:name="_Toc506904194"/>
      <w:r>
        <w:t xml:space="preserve">Figure </w:t>
      </w:r>
      <w:r w:rsidR="00CA794F">
        <w:fldChar w:fldCharType="begin"/>
      </w:r>
      <w:r w:rsidR="00CA794F">
        <w:instrText xml:space="preserve"> SEQ Figure \* ARABIC </w:instrText>
      </w:r>
      <w:r w:rsidR="00CA794F">
        <w:fldChar w:fldCharType="separate"/>
      </w:r>
      <w:r w:rsidR="00A12295">
        <w:rPr>
          <w:noProof/>
        </w:rPr>
        <w:t>5</w:t>
      </w:r>
      <w:r w:rsidR="00CA794F">
        <w:rPr>
          <w:noProof/>
        </w:rPr>
        <w:fldChar w:fldCharType="end"/>
      </w:r>
      <w:r>
        <w:t xml:space="preserve">: </w:t>
      </w:r>
      <w:r w:rsidR="008F0AF7">
        <w:t>Average</w:t>
      </w:r>
      <w:r w:rsidR="00BC54AC">
        <w:t xml:space="preserve"> site </w:t>
      </w:r>
      <w:r w:rsidRPr="00767B2D">
        <w:t>density of re</w:t>
      </w:r>
      <w:r w:rsidR="00D24C98">
        <w:t>sidential development projects,</w:t>
      </w:r>
      <w:r w:rsidRPr="00767B2D">
        <w:t xml:space="preserve"> selected groups of local government areas (LGAs)</w:t>
      </w:r>
      <w:bookmarkEnd w:id="36"/>
    </w:p>
    <w:p w14:paraId="585087D1" w14:textId="22FC5EDD" w:rsidR="00261DDF" w:rsidRDefault="00261DDF" w:rsidP="004E55DD">
      <w:pPr>
        <w:pStyle w:val="BodyText"/>
        <w:rPr>
          <w:lang w:eastAsia="en-AU"/>
        </w:rPr>
      </w:pPr>
    </w:p>
    <w:p w14:paraId="247745D4" w14:textId="3F8BCE6A" w:rsidR="00864FAE" w:rsidRDefault="372C1C62" w:rsidP="372C1C62">
      <w:pPr>
        <w:pStyle w:val="BodyText"/>
        <w:rPr>
          <w:lang w:eastAsia="en-AU"/>
        </w:rPr>
      </w:pPr>
      <w:r w:rsidRPr="372C1C62">
        <w:rPr>
          <w:lang w:eastAsia="en-AU"/>
        </w:rPr>
        <w:t xml:space="preserve">The density of Melbourne’s housing changes very gradually as only a very small proportion of the existing housing stock is redeveloped in any year. Figure 6 shows the site density of dwellings in Melbourne in 2016.  Each SA1 (a statistical geography used by the ABS) is coloured according to the weighted average density of residential parcels within it. The map shows that the CBD and </w:t>
      </w:r>
      <w:r w:rsidR="00F51033">
        <w:rPr>
          <w:lang w:eastAsia="en-AU"/>
        </w:rPr>
        <w:t xml:space="preserve">its </w:t>
      </w:r>
      <w:r w:rsidRPr="372C1C62">
        <w:rPr>
          <w:lang w:eastAsia="en-AU"/>
        </w:rPr>
        <w:t>immediate surrounds have a much higher site density than other parts of Melbourne. Outside of Melbourne’s inner region</w:t>
      </w:r>
      <w:r w:rsidR="00C16C91">
        <w:rPr>
          <w:lang w:eastAsia="en-AU"/>
        </w:rPr>
        <w:t>,</w:t>
      </w:r>
      <w:r w:rsidRPr="372C1C62">
        <w:rPr>
          <w:lang w:eastAsia="en-AU"/>
        </w:rPr>
        <w:t xml:space="preserve"> site density gradually decreases.</w:t>
      </w:r>
      <w:r w:rsidR="00E357A7">
        <w:rPr>
          <w:lang w:eastAsia="en-AU"/>
        </w:rPr>
        <w:t xml:space="preserve"> There are, however, dense sites around </w:t>
      </w:r>
      <w:r w:rsidRPr="372C1C62">
        <w:rPr>
          <w:lang w:eastAsia="en-AU"/>
        </w:rPr>
        <w:t>tram and train lines and in activity centres.</w:t>
      </w:r>
    </w:p>
    <w:p w14:paraId="19C16630" w14:textId="4ABECA23" w:rsidR="00352C06" w:rsidRDefault="00352C06" w:rsidP="00352C06">
      <w:pPr>
        <w:pStyle w:val="Caption"/>
      </w:pPr>
      <w:bookmarkStart w:id="37" w:name="_Toc506904195"/>
      <w:r>
        <w:t xml:space="preserve">Figure </w:t>
      </w:r>
      <w:r w:rsidR="00CA794F">
        <w:fldChar w:fldCharType="begin"/>
      </w:r>
      <w:r w:rsidR="00CA794F">
        <w:instrText xml:space="preserve"> SEQ Figure \* ARABIC </w:instrText>
      </w:r>
      <w:r w:rsidR="00CA794F">
        <w:fldChar w:fldCharType="separate"/>
      </w:r>
      <w:r w:rsidR="00A12295">
        <w:rPr>
          <w:noProof/>
        </w:rPr>
        <w:t>6</w:t>
      </w:r>
      <w:r w:rsidR="00CA794F">
        <w:rPr>
          <w:noProof/>
        </w:rPr>
        <w:fldChar w:fldCharType="end"/>
      </w:r>
      <w:r>
        <w:t xml:space="preserve">: </w:t>
      </w:r>
      <w:r w:rsidRPr="001E6E6A">
        <w:t xml:space="preserve">Map of dwelling density </w:t>
      </w:r>
      <w:r w:rsidR="00D24C98">
        <w:t>in metropolitan Melbourne,</w:t>
      </w:r>
      <w:r>
        <w:t xml:space="preserve"> 2016</w:t>
      </w:r>
      <w:bookmarkEnd w:id="37"/>
    </w:p>
    <w:p w14:paraId="017420A8" w14:textId="1C929100" w:rsidR="00396128" w:rsidRDefault="00396128" w:rsidP="00555168">
      <w:pPr>
        <w:pStyle w:val="BodyText"/>
        <w:rPr>
          <w:lang w:eastAsia="en-AU"/>
        </w:rPr>
      </w:pPr>
      <w:r>
        <w:br w:type="page"/>
      </w:r>
    </w:p>
    <w:p w14:paraId="5F15806E" w14:textId="77777777" w:rsidR="00396128" w:rsidRPr="00396128" w:rsidRDefault="372C1C62" w:rsidP="00396128">
      <w:pPr>
        <w:pStyle w:val="Heading1"/>
      </w:pPr>
      <w:bookmarkStart w:id="38" w:name="_Toc506556535"/>
      <w:r>
        <w:lastRenderedPageBreak/>
        <w:t>Development by planning zones</w:t>
      </w:r>
      <w:bookmarkEnd w:id="38"/>
    </w:p>
    <w:p w14:paraId="56ECED07" w14:textId="48B8E3E6" w:rsidR="00396128" w:rsidRDefault="372C1C62" w:rsidP="372C1C62">
      <w:pPr>
        <w:pStyle w:val="BodyText"/>
        <w:rPr>
          <w:lang w:eastAsia="en-AU"/>
        </w:rPr>
      </w:pPr>
      <w:r w:rsidRPr="372C1C62">
        <w:rPr>
          <w:lang w:eastAsia="en-AU"/>
        </w:rPr>
        <w:t>Over the period between 2005 and 2016, the majority of residential development occurred on residentially zoned land (as compared with land zoned for other purposes such as industrial and comme</w:t>
      </w:r>
      <w:r w:rsidR="00C32F8A">
        <w:rPr>
          <w:lang w:eastAsia="en-AU"/>
        </w:rPr>
        <w:t>rcial uses). As can be seen in f</w:t>
      </w:r>
      <w:r w:rsidRPr="372C1C62">
        <w:rPr>
          <w:lang w:eastAsia="en-AU"/>
        </w:rPr>
        <w:t>igure 7</w:t>
      </w:r>
      <w:r w:rsidR="00D24C98">
        <w:rPr>
          <w:lang w:eastAsia="en-AU"/>
        </w:rPr>
        <w:t>,</w:t>
      </w:r>
      <w:r w:rsidRPr="372C1C62">
        <w:rPr>
          <w:lang w:eastAsia="en-AU"/>
        </w:rPr>
        <w:t xml:space="preserve"> development in residentially zone</w:t>
      </w:r>
      <w:r w:rsidR="00D24C98">
        <w:rPr>
          <w:lang w:eastAsia="en-AU"/>
        </w:rPr>
        <w:t>d</w:t>
      </w:r>
      <w:r w:rsidRPr="372C1C62">
        <w:rPr>
          <w:lang w:eastAsia="en-AU"/>
        </w:rPr>
        <w:t xml:space="preserve"> land encompasses a wide variety of development formats including large numbers of single dwellings, dual occupancy and </w:t>
      </w:r>
      <w:r w:rsidR="00C85151" w:rsidRPr="372C1C62">
        <w:rPr>
          <w:lang w:eastAsia="en-AU"/>
        </w:rPr>
        <w:t>small-scale</w:t>
      </w:r>
      <w:r w:rsidRPr="372C1C62">
        <w:rPr>
          <w:lang w:eastAsia="en-AU"/>
        </w:rPr>
        <w:t xml:space="preserve"> unit development as well as major redevelopments. </w:t>
      </w:r>
    </w:p>
    <w:p w14:paraId="115A2F82" w14:textId="77777777" w:rsidR="00B744B1" w:rsidRDefault="372C1C62" w:rsidP="372C1C62">
      <w:pPr>
        <w:pStyle w:val="BodyText"/>
        <w:rPr>
          <w:lang w:eastAsia="en-AU"/>
        </w:rPr>
      </w:pPr>
      <w:r w:rsidRPr="372C1C62">
        <w:rPr>
          <w:lang w:eastAsia="en-AU"/>
        </w:rPr>
        <w:t>There are also a number of planning zones that allow for a mixture of residential and commercial uses including the Capital City Zone (CCZ) and Commercial 1 Zone (C1Z). Development projects in these zones tend to</w:t>
      </w:r>
      <w:r w:rsidR="00B744B1">
        <w:rPr>
          <w:lang w:eastAsia="en-AU"/>
        </w:rPr>
        <w:t xml:space="preserve"> be at higher densities and tend to</w:t>
      </w:r>
      <w:r w:rsidRPr="372C1C62">
        <w:rPr>
          <w:lang w:eastAsia="en-AU"/>
        </w:rPr>
        <w:t xml:space="preserve"> yield significant numbers of </w:t>
      </w:r>
      <w:r w:rsidR="00B744B1">
        <w:rPr>
          <w:lang w:eastAsia="en-AU"/>
        </w:rPr>
        <w:t xml:space="preserve">new </w:t>
      </w:r>
      <w:r w:rsidRPr="372C1C62">
        <w:rPr>
          <w:lang w:eastAsia="en-AU"/>
        </w:rPr>
        <w:t xml:space="preserve">dwellings often near transport and services. </w:t>
      </w:r>
    </w:p>
    <w:p w14:paraId="5A4E0E84" w14:textId="7A1154FB" w:rsidR="000169E3" w:rsidRDefault="00C85151" w:rsidP="372C1C62">
      <w:pPr>
        <w:pStyle w:val="BodyText"/>
        <w:rPr>
          <w:lang w:eastAsia="en-AU"/>
        </w:rPr>
      </w:pPr>
      <w:r>
        <w:rPr>
          <w:lang w:eastAsia="en-AU"/>
        </w:rPr>
        <w:t xml:space="preserve">It </w:t>
      </w:r>
      <w:r w:rsidR="007D5DB7">
        <w:rPr>
          <w:lang w:eastAsia="en-AU"/>
        </w:rPr>
        <w:t xml:space="preserve">is important to note </w:t>
      </w:r>
      <w:r>
        <w:rPr>
          <w:lang w:eastAsia="en-AU"/>
        </w:rPr>
        <w:t xml:space="preserve">that </w:t>
      </w:r>
      <w:r w:rsidR="00F51033" w:rsidRPr="372C1C62">
        <w:rPr>
          <w:lang w:eastAsia="en-AU"/>
        </w:rPr>
        <w:t>between 2005 and 2016</w:t>
      </w:r>
      <w:r w:rsidR="372C1C62" w:rsidRPr="372C1C62">
        <w:rPr>
          <w:lang w:eastAsia="en-AU"/>
        </w:rPr>
        <w:t>, the names and objectives of a number of zones changed</w:t>
      </w:r>
      <w:r w:rsidR="00F51033">
        <w:rPr>
          <w:lang w:eastAsia="en-AU"/>
        </w:rPr>
        <w:t xml:space="preserve">, </w:t>
      </w:r>
      <w:r w:rsidR="005B2FAB">
        <w:rPr>
          <w:lang w:eastAsia="en-AU"/>
        </w:rPr>
        <w:t xml:space="preserve">specifically </w:t>
      </w:r>
      <w:r w:rsidR="372C1C62" w:rsidRPr="372C1C62">
        <w:rPr>
          <w:lang w:eastAsia="en-AU"/>
        </w:rPr>
        <w:t>business zones changed to commercial zones and the residential zones were reformed.</w:t>
      </w:r>
    </w:p>
    <w:p w14:paraId="4A4AF8BC" w14:textId="77777777" w:rsidR="00396128" w:rsidRDefault="00396128" w:rsidP="00396128">
      <w:pPr>
        <w:pStyle w:val="BodyText"/>
        <w:rPr>
          <w:lang w:eastAsia="en-AU"/>
        </w:rPr>
      </w:pPr>
    </w:p>
    <w:p w14:paraId="3935118C" w14:textId="22C3230C" w:rsidR="009C1C6B" w:rsidRDefault="009C1C6B" w:rsidP="009C1C6B">
      <w:pPr>
        <w:pStyle w:val="Caption"/>
      </w:pPr>
      <w:bookmarkStart w:id="39" w:name="_Toc506904196"/>
      <w:r>
        <w:t xml:space="preserve">Figure </w:t>
      </w:r>
      <w:r w:rsidR="00CA794F">
        <w:fldChar w:fldCharType="begin"/>
      </w:r>
      <w:r w:rsidR="00CA794F">
        <w:instrText xml:space="preserve"> SEQ Figure \* ARABIC </w:instrText>
      </w:r>
      <w:r w:rsidR="00CA794F">
        <w:fldChar w:fldCharType="separate"/>
      </w:r>
      <w:r w:rsidR="00A12295">
        <w:rPr>
          <w:noProof/>
        </w:rPr>
        <w:t>7</w:t>
      </w:r>
      <w:r w:rsidR="00CA794F">
        <w:rPr>
          <w:noProof/>
        </w:rPr>
        <w:fldChar w:fldCharType="end"/>
      </w:r>
      <w:r>
        <w:t xml:space="preserve">: </w:t>
      </w:r>
      <w:r w:rsidRPr="009C1C6B">
        <w:t>Net dwellings by project size an</w:t>
      </w:r>
      <w:r>
        <w:t xml:space="preserve">d zone at construction 2005-2016 </w:t>
      </w:r>
      <w:r w:rsidRPr="009C1C6B">
        <w:t>(excluding growth area LGAs)</w:t>
      </w:r>
      <w:r w:rsidRPr="003B6FC3">
        <w:rPr>
          <w:rStyle w:val="FootnoteReference"/>
        </w:rPr>
        <w:footnoteReference w:id="8"/>
      </w:r>
      <w:bookmarkEnd w:id="39"/>
    </w:p>
    <w:p w14:paraId="43EF0C1D" w14:textId="7714344E" w:rsidR="009C1C6B" w:rsidRDefault="009C1C6B" w:rsidP="00C04FC3">
      <w:pPr>
        <w:pStyle w:val="BodyText"/>
        <w:rPr>
          <w:lang w:eastAsia="en-AU"/>
        </w:rPr>
      </w:pPr>
    </w:p>
    <w:p w14:paraId="44B08FB9" w14:textId="77777777" w:rsidR="009C1C6B" w:rsidRDefault="009C1C6B">
      <w:pPr>
        <w:rPr>
          <w:rFonts w:cs="Times New Roman"/>
        </w:rPr>
      </w:pPr>
      <w:r>
        <w:br w:type="page"/>
      </w:r>
    </w:p>
    <w:p w14:paraId="44868838" w14:textId="7739A2AC" w:rsidR="009C1C6B" w:rsidRDefault="007D2BEE" w:rsidP="372C1C62">
      <w:pPr>
        <w:pStyle w:val="BodyText"/>
        <w:keepNext/>
        <w:rPr>
          <w:lang w:eastAsia="en-AU"/>
        </w:rPr>
      </w:pPr>
      <w:r>
        <w:rPr>
          <w:lang w:eastAsia="en-AU"/>
        </w:rPr>
        <w:lastRenderedPageBreak/>
        <w:t>M</w:t>
      </w:r>
      <w:r w:rsidR="009C1C6B" w:rsidRPr="009C1C6B">
        <w:rPr>
          <w:lang w:eastAsia="en-AU"/>
        </w:rPr>
        <w:t xml:space="preserve">ixed use/commercial areas </w:t>
      </w:r>
      <w:r w:rsidR="001E7E7E">
        <w:rPr>
          <w:lang w:eastAsia="en-AU"/>
        </w:rPr>
        <w:t>have become an</w:t>
      </w:r>
      <w:r w:rsidR="00B7762C">
        <w:rPr>
          <w:lang w:eastAsia="en-AU"/>
        </w:rPr>
        <w:t xml:space="preserve"> increasingly</w:t>
      </w:r>
      <w:r w:rsidR="001E7E7E">
        <w:rPr>
          <w:lang w:eastAsia="en-AU"/>
        </w:rPr>
        <w:t xml:space="preserve"> important source of Melbourne’s housing supply</w:t>
      </w:r>
      <w:r w:rsidR="009C1C6B" w:rsidRPr="009C1C6B">
        <w:rPr>
          <w:lang w:eastAsia="en-AU"/>
        </w:rPr>
        <w:t xml:space="preserve">. Figure 8 shows that development in commercial areas has increased in both number and as a percentage of overall </w:t>
      </w:r>
      <w:r w:rsidR="009C1C6B" w:rsidRPr="00CB30BD">
        <w:rPr>
          <w:lang w:eastAsia="en-AU"/>
        </w:rPr>
        <w:t>development, up from</w:t>
      </w:r>
      <w:r w:rsidR="00551BFE" w:rsidRPr="00CB30BD">
        <w:rPr>
          <w:lang w:eastAsia="en-AU"/>
        </w:rPr>
        <w:t xml:space="preserve"> 30% of</w:t>
      </w:r>
      <w:r w:rsidR="003445F2">
        <w:rPr>
          <w:lang w:eastAsia="en-AU"/>
        </w:rPr>
        <w:t xml:space="preserve"> new dwellings</w:t>
      </w:r>
      <w:r w:rsidR="00551BFE" w:rsidRPr="00CB30BD">
        <w:rPr>
          <w:lang w:eastAsia="en-AU"/>
        </w:rPr>
        <w:t xml:space="preserve"> in 2005-2010 to </w:t>
      </w:r>
      <w:r w:rsidR="003445F2">
        <w:rPr>
          <w:lang w:eastAsia="en-AU"/>
        </w:rPr>
        <w:t>nearly 50</w:t>
      </w:r>
      <w:r w:rsidR="00551BFE" w:rsidRPr="00CB30BD">
        <w:rPr>
          <w:lang w:eastAsia="en-AU"/>
        </w:rPr>
        <w:t>% in 2011</w:t>
      </w:r>
      <w:r w:rsidR="009C1C6B" w:rsidRPr="00CB30BD">
        <w:rPr>
          <w:lang w:eastAsia="en-AU"/>
        </w:rPr>
        <w:t>-</w:t>
      </w:r>
      <w:r w:rsidR="006F3005" w:rsidRPr="00CB30BD">
        <w:rPr>
          <w:lang w:eastAsia="en-AU"/>
        </w:rPr>
        <w:t>2016</w:t>
      </w:r>
      <w:r w:rsidR="009C1C6B" w:rsidRPr="00CB30BD">
        <w:rPr>
          <w:lang w:eastAsia="en-AU"/>
        </w:rPr>
        <w:t>.</w:t>
      </w:r>
      <w:r w:rsidR="009C1C6B" w:rsidRPr="009C1C6B">
        <w:rPr>
          <w:lang w:eastAsia="en-AU"/>
        </w:rPr>
        <w:t xml:space="preserve"> This is further evidence of the growth</w:t>
      </w:r>
      <w:r w:rsidR="001E7E7E">
        <w:rPr>
          <w:lang w:eastAsia="en-AU"/>
        </w:rPr>
        <w:t xml:space="preserve"> and diversification</w:t>
      </w:r>
      <w:r w:rsidR="009C1C6B" w:rsidRPr="009C1C6B">
        <w:rPr>
          <w:lang w:eastAsia="en-AU"/>
        </w:rPr>
        <w:t xml:space="preserve"> of </w:t>
      </w:r>
      <w:r w:rsidR="001E7E7E">
        <w:rPr>
          <w:lang w:eastAsia="en-AU"/>
        </w:rPr>
        <w:t>commercial</w:t>
      </w:r>
      <w:r w:rsidR="00E357A7">
        <w:rPr>
          <w:lang w:eastAsia="en-AU"/>
        </w:rPr>
        <w:t>/mixed use</w:t>
      </w:r>
      <w:r w:rsidR="009C1C6B" w:rsidRPr="009C1C6B">
        <w:rPr>
          <w:lang w:eastAsia="en-AU"/>
        </w:rPr>
        <w:t xml:space="preserve"> areas in supporting population growth.</w:t>
      </w:r>
    </w:p>
    <w:p w14:paraId="3158A720" w14:textId="35C6FF83" w:rsidR="009C1C6B" w:rsidRDefault="00EF2057" w:rsidP="009C1C6B">
      <w:pPr>
        <w:pStyle w:val="BodyText"/>
        <w:keepNext/>
        <w:rPr>
          <w:lang w:eastAsia="en-AU"/>
        </w:rPr>
      </w:pPr>
      <w:r>
        <w:rPr>
          <w:lang w:eastAsia="en-AU"/>
        </w:rPr>
        <w:t xml:space="preserve">A third of the </w:t>
      </w:r>
      <w:r w:rsidR="00C13028">
        <w:rPr>
          <w:lang w:eastAsia="en-AU"/>
        </w:rPr>
        <w:t xml:space="preserve">commercial/mixed use dwelling growth over the </w:t>
      </w:r>
      <w:r>
        <w:rPr>
          <w:lang w:eastAsia="en-AU"/>
        </w:rPr>
        <w:t>2011-2016</w:t>
      </w:r>
      <w:r w:rsidR="00C13028">
        <w:rPr>
          <w:lang w:eastAsia="en-AU"/>
        </w:rPr>
        <w:t xml:space="preserve"> occurred in the Capital City and Docklands Zones, while another third occurred in the Commercial 1 Zone. </w:t>
      </w:r>
    </w:p>
    <w:p w14:paraId="31104FDE" w14:textId="06E58EE9" w:rsidR="00961874" w:rsidRDefault="00961874" w:rsidP="00961874">
      <w:pPr>
        <w:pStyle w:val="Caption"/>
      </w:pPr>
      <w:bookmarkStart w:id="40" w:name="_Toc506904197"/>
      <w:r>
        <w:t xml:space="preserve">Figure </w:t>
      </w:r>
      <w:r w:rsidR="00CA794F">
        <w:fldChar w:fldCharType="begin"/>
      </w:r>
      <w:r w:rsidR="00CA794F">
        <w:instrText xml:space="preserve"> SEQ Figure \* ARABIC </w:instrText>
      </w:r>
      <w:r w:rsidR="00CA794F">
        <w:fldChar w:fldCharType="separate"/>
      </w:r>
      <w:r w:rsidR="00A12295">
        <w:rPr>
          <w:noProof/>
        </w:rPr>
        <w:t>8</w:t>
      </w:r>
      <w:r w:rsidR="00CA794F">
        <w:rPr>
          <w:noProof/>
        </w:rPr>
        <w:fldChar w:fldCharType="end"/>
      </w:r>
      <w:r>
        <w:t xml:space="preserve">: </w:t>
      </w:r>
      <w:r w:rsidRPr="00A17FC6">
        <w:t>Net dwellings by residential and commercial zones 2005-</w:t>
      </w:r>
      <w:r w:rsidR="006F3005">
        <w:t>2016</w:t>
      </w:r>
      <w:r w:rsidRPr="00A17FC6">
        <w:t xml:space="preserve"> (excluding growth area LGAs)</w:t>
      </w:r>
      <w:bookmarkEnd w:id="40"/>
    </w:p>
    <w:p w14:paraId="59D4B7F0" w14:textId="12333515" w:rsidR="009C1C6B" w:rsidRDefault="009C1C6B" w:rsidP="009C1C6B">
      <w:pPr>
        <w:pStyle w:val="BodyText"/>
        <w:keepNext/>
        <w:rPr>
          <w:lang w:eastAsia="en-AU"/>
        </w:rPr>
      </w:pPr>
    </w:p>
    <w:p w14:paraId="50A1462E" w14:textId="77777777" w:rsidR="001C2702" w:rsidRDefault="001C2702">
      <w:pPr>
        <w:rPr>
          <w:rFonts w:cs="Times New Roman"/>
        </w:rPr>
      </w:pPr>
      <w:r>
        <w:br w:type="page"/>
      </w:r>
    </w:p>
    <w:p w14:paraId="560E444D" w14:textId="77777777" w:rsidR="001C2702" w:rsidRPr="001C2702" w:rsidRDefault="372C1C62" w:rsidP="001C2702">
      <w:pPr>
        <w:pStyle w:val="Heading1"/>
      </w:pPr>
      <w:bookmarkStart w:id="41" w:name="_Toc506556536"/>
      <w:r>
        <w:lastRenderedPageBreak/>
        <w:t>Heritage</w:t>
      </w:r>
      <w:bookmarkEnd w:id="41"/>
    </w:p>
    <w:p w14:paraId="7C5F25E5" w14:textId="562D2BB5" w:rsidR="001C2702" w:rsidRDefault="372C1C62" w:rsidP="372C1C62">
      <w:pPr>
        <w:pStyle w:val="BodyText"/>
        <w:keepNext/>
        <w:rPr>
          <w:lang w:eastAsia="en-AU"/>
        </w:rPr>
      </w:pPr>
      <w:r w:rsidRPr="372C1C62">
        <w:rPr>
          <w:lang w:eastAsia="en-AU"/>
        </w:rPr>
        <w:t xml:space="preserve">Heritage </w:t>
      </w:r>
      <w:r w:rsidR="00B8246A">
        <w:rPr>
          <w:lang w:eastAsia="en-AU"/>
        </w:rPr>
        <w:t>precincts</w:t>
      </w:r>
      <w:r w:rsidR="00B8246A" w:rsidRPr="372C1C62">
        <w:rPr>
          <w:lang w:eastAsia="en-AU"/>
        </w:rPr>
        <w:t xml:space="preserve"> </w:t>
      </w:r>
      <w:r w:rsidRPr="372C1C62">
        <w:rPr>
          <w:lang w:eastAsia="en-AU"/>
        </w:rPr>
        <w:t xml:space="preserve">and buildings provide appealing streetscapes and valued neighbourhood character as well as a cultural connection to the past. </w:t>
      </w:r>
      <w:r w:rsidR="00B8246A">
        <w:rPr>
          <w:lang w:eastAsia="en-AU"/>
        </w:rPr>
        <w:t xml:space="preserve">The </w:t>
      </w:r>
      <w:r w:rsidRPr="372C1C62">
        <w:rPr>
          <w:lang w:eastAsia="en-AU"/>
        </w:rPr>
        <w:t>Heritage Overlay controls recognise and protect heritage areas and buildings.</w:t>
      </w:r>
    </w:p>
    <w:p w14:paraId="693DBFEB" w14:textId="05A8A60A" w:rsidR="001C2702" w:rsidRDefault="007D2BEE" w:rsidP="372C1C62">
      <w:pPr>
        <w:pStyle w:val="BodyText"/>
        <w:keepNext/>
        <w:rPr>
          <w:lang w:eastAsia="en-AU"/>
        </w:rPr>
      </w:pPr>
      <w:r>
        <w:rPr>
          <w:lang w:eastAsia="en-AU"/>
        </w:rPr>
        <w:t>The h</w:t>
      </w:r>
      <w:r w:rsidR="372C1C62" w:rsidRPr="372C1C62">
        <w:rPr>
          <w:lang w:eastAsia="en-AU"/>
        </w:rPr>
        <w:t xml:space="preserve">ousing </w:t>
      </w:r>
      <w:r>
        <w:rPr>
          <w:lang w:eastAsia="en-AU"/>
        </w:rPr>
        <w:t>d</w:t>
      </w:r>
      <w:r w:rsidR="372C1C62" w:rsidRPr="372C1C62">
        <w:rPr>
          <w:lang w:eastAsia="en-AU"/>
        </w:rPr>
        <w:t xml:space="preserve">evelopment </w:t>
      </w:r>
      <w:r>
        <w:rPr>
          <w:lang w:eastAsia="en-AU"/>
        </w:rPr>
        <w:t>d</w:t>
      </w:r>
      <w:r w:rsidR="372C1C62" w:rsidRPr="372C1C62">
        <w:rPr>
          <w:lang w:eastAsia="en-AU"/>
        </w:rPr>
        <w:t>ata for Yarra, Port Phillip and Stonnington</w:t>
      </w:r>
      <w:r w:rsidR="00B8246A">
        <w:rPr>
          <w:lang w:eastAsia="en-AU"/>
        </w:rPr>
        <w:t xml:space="preserve"> LGAs</w:t>
      </w:r>
      <w:r w:rsidR="372C1C62" w:rsidRPr="372C1C62">
        <w:rPr>
          <w:lang w:eastAsia="en-AU"/>
        </w:rPr>
        <w:t xml:space="preserve"> to 2016 (</w:t>
      </w:r>
      <w:r w:rsidR="00B8246A">
        <w:rPr>
          <w:lang w:eastAsia="en-AU"/>
        </w:rPr>
        <w:t>f</w:t>
      </w:r>
      <w:r w:rsidR="372C1C62" w:rsidRPr="372C1C62">
        <w:rPr>
          <w:lang w:eastAsia="en-AU"/>
        </w:rPr>
        <w:t>igure 9) shows that the Heritage Overlay is a significant constraint on demolition.</w:t>
      </w:r>
      <w:r w:rsidR="00FC38D2">
        <w:rPr>
          <w:lang w:eastAsia="en-AU"/>
        </w:rPr>
        <w:t xml:space="preserve"> In addition, the h</w:t>
      </w:r>
      <w:r w:rsidR="372C1C62" w:rsidRPr="372C1C62">
        <w:rPr>
          <w:lang w:eastAsia="en-AU"/>
        </w:rPr>
        <w:t xml:space="preserve">ousing </w:t>
      </w:r>
      <w:r w:rsidR="00FC38D2">
        <w:rPr>
          <w:lang w:eastAsia="en-AU"/>
        </w:rPr>
        <w:t>d</w:t>
      </w:r>
      <w:r w:rsidR="372C1C62" w:rsidRPr="372C1C62">
        <w:rPr>
          <w:lang w:eastAsia="en-AU"/>
        </w:rPr>
        <w:t xml:space="preserve">evelopment </w:t>
      </w:r>
      <w:r w:rsidR="00FC38D2">
        <w:rPr>
          <w:lang w:eastAsia="en-AU"/>
        </w:rPr>
        <w:t>d</w:t>
      </w:r>
      <w:r w:rsidR="372C1C62" w:rsidRPr="372C1C62">
        <w:rPr>
          <w:lang w:eastAsia="en-AU"/>
        </w:rPr>
        <w:t xml:space="preserve">ata demonstrates that the volume and density of new development within heritage areas is also significantly less than development in </w:t>
      </w:r>
      <w:r w:rsidR="00307AF6">
        <w:rPr>
          <w:lang w:eastAsia="en-AU"/>
        </w:rPr>
        <w:t>locations</w:t>
      </w:r>
      <w:r w:rsidR="372C1C62" w:rsidRPr="372C1C62">
        <w:rPr>
          <w:lang w:eastAsia="en-AU"/>
        </w:rPr>
        <w:t xml:space="preserve"> </w:t>
      </w:r>
      <w:r w:rsidR="00307AF6">
        <w:rPr>
          <w:lang w:eastAsia="en-AU"/>
        </w:rPr>
        <w:t>not subject</w:t>
      </w:r>
      <w:r w:rsidR="372C1C62" w:rsidRPr="372C1C62">
        <w:rPr>
          <w:lang w:eastAsia="en-AU"/>
        </w:rPr>
        <w:t xml:space="preserve"> </w:t>
      </w:r>
      <w:r w:rsidR="00307AF6">
        <w:rPr>
          <w:lang w:eastAsia="en-AU"/>
        </w:rPr>
        <w:t xml:space="preserve">to </w:t>
      </w:r>
      <w:r w:rsidR="372C1C62" w:rsidRPr="372C1C62">
        <w:rPr>
          <w:lang w:eastAsia="en-AU"/>
        </w:rPr>
        <w:t>the Heritage Overlay.</w:t>
      </w:r>
    </w:p>
    <w:p w14:paraId="00F892C9" w14:textId="0B724687" w:rsidR="001C2702" w:rsidRDefault="372C1C62" w:rsidP="372C1C62">
      <w:pPr>
        <w:pStyle w:val="BodyText"/>
        <w:keepNext/>
        <w:rPr>
          <w:lang w:eastAsia="en-AU"/>
        </w:rPr>
      </w:pPr>
      <w:r w:rsidRPr="372C1C62">
        <w:rPr>
          <w:lang w:eastAsia="en-AU"/>
        </w:rPr>
        <w:t>Port Phillip, Yarra and Stonnington each have extensive areas covered by the Heritage Overlay (in combination 44% of the commercial and residential land in these municipalities is cover</w:t>
      </w:r>
      <w:r w:rsidR="00307AF6">
        <w:rPr>
          <w:lang w:eastAsia="en-AU"/>
        </w:rPr>
        <w:t>ed by the Heritage Overlay). Over the</w:t>
      </w:r>
      <w:r w:rsidRPr="372C1C62">
        <w:rPr>
          <w:lang w:eastAsia="en-AU"/>
        </w:rPr>
        <w:t xml:space="preserve"> 2005-</w:t>
      </w:r>
      <w:r w:rsidR="00CF2A48">
        <w:rPr>
          <w:lang w:eastAsia="en-AU"/>
        </w:rPr>
        <w:t>2016</w:t>
      </w:r>
      <w:r w:rsidRPr="372C1C62">
        <w:rPr>
          <w:lang w:eastAsia="en-AU"/>
        </w:rPr>
        <w:t xml:space="preserve"> period significant</w:t>
      </w:r>
      <w:r w:rsidR="00307AF6">
        <w:rPr>
          <w:lang w:eastAsia="en-AU"/>
        </w:rPr>
        <w:t xml:space="preserve"> numbers of new dwellings were </w:t>
      </w:r>
      <w:r w:rsidR="00E8331A">
        <w:rPr>
          <w:lang w:eastAsia="en-AU"/>
        </w:rPr>
        <w:t>added in</w:t>
      </w:r>
      <w:r w:rsidRPr="372C1C62">
        <w:rPr>
          <w:lang w:eastAsia="en-AU"/>
        </w:rPr>
        <w:t xml:space="preserve"> these municipalities</w:t>
      </w:r>
      <w:r w:rsidR="00307AF6">
        <w:rPr>
          <w:lang w:eastAsia="en-AU"/>
        </w:rPr>
        <w:t>, the vast majority of which</w:t>
      </w:r>
      <w:r w:rsidR="00E8331A">
        <w:rPr>
          <w:lang w:eastAsia="en-AU"/>
        </w:rPr>
        <w:t>,</w:t>
      </w:r>
      <w:r w:rsidR="00307AF6">
        <w:rPr>
          <w:lang w:eastAsia="en-AU"/>
        </w:rPr>
        <w:t xml:space="preserve"> in locations not </w:t>
      </w:r>
      <w:r w:rsidRPr="372C1C62">
        <w:rPr>
          <w:lang w:eastAsia="en-AU"/>
        </w:rPr>
        <w:t xml:space="preserve">subject to heritage controls. </w:t>
      </w:r>
    </w:p>
    <w:p w14:paraId="5B23D886" w14:textId="1E010D17" w:rsidR="009C1C6B" w:rsidRDefault="372C1C62" w:rsidP="372C1C62">
      <w:pPr>
        <w:pStyle w:val="BodyText"/>
        <w:keepNext/>
        <w:rPr>
          <w:lang w:eastAsia="en-AU"/>
        </w:rPr>
      </w:pPr>
      <w:r w:rsidRPr="372C1C62">
        <w:rPr>
          <w:lang w:eastAsia="en-AU"/>
        </w:rPr>
        <w:t>Housing change, nonetheless, occur</w:t>
      </w:r>
      <w:r w:rsidR="00433B11">
        <w:rPr>
          <w:lang w:eastAsia="en-AU"/>
        </w:rPr>
        <w:t>s</w:t>
      </w:r>
      <w:r w:rsidRPr="372C1C62">
        <w:rPr>
          <w:lang w:eastAsia="en-AU"/>
        </w:rPr>
        <w:t xml:space="preserve"> within heritage areas which is often the result of the adaptive re-use, and repurposing of former industrial and commercial heritage buildings for new residential purposes. The re-use of heritage buildings in high value locations is a global trend which helps heritage areas adapt to the changing role of places particularly in response to economic change. Re-use also helps save in the cost of materials and energy while conserving the cultural characteristics of individual properties and areas.</w:t>
      </w:r>
      <w:r w:rsidR="00E8331A">
        <w:rPr>
          <w:lang w:eastAsia="en-AU"/>
        </w:rPr>
        <w:t xml:space="preserve"> At times, buildings that are deemed non-contributory to the character of heritage precincts are approved for demolition by local authorities. </w:t>
      </w:r>
    </w:p>
    <w:p w14:paraId="09366CAB" w14:textId="77777777" w:rsidR="001C2702" w:rsidRDefault="001C2702" w:rsidP="001C2702">
      <w:pPr>
        <w:pStyle w:val="BodyText"/>
        <w:keepNext/>
        <w:rPr>
          <w:lang w:eastAsia="en-AU"/>
        </w:rPr>
      </w:pPr>
    </w:p>
    <w:p w14:paraId="07F38EDA" w14:textId="5C294520" w:rsidR="00400408" w:rsidRDefault="00400408" w:rsidP="00400408">
      <w:pPr>
        <w:pStyle w:val="Caption"/>
      </w:pPr>
      <w:bookmarkStart w:id="42" w:name="_Toc506904198"/>
      <w:r>
        <w:t xml:space="preserve">Figure </w:t>
      </w:r>
      <w:r w:rsidR="00CA794F">
        <w:fldChar w:fldCharType="begin"/>
      </w:r>
      <w:r w:rsidR="00CA794F">
        <w:instrText xml:space="preserve"> SEQ Figure \* ARABIC </w:instrText>
      </w:r>
      <w:r w:rsidR="00CA794F">
        <w:fldChar w:fldCharType="separate"/>
      </w:r>
      <w:r w:rsidR="00A12295">
        <w:rPr>
          <w:noProof/>
        </w:rPr>
        <w:t>9</w:t>
      </w:r>
      <w:r w:rsidR="00CA794F">
        <w:rPr>
          <w:noProof/>
        </w:rPr>
        <w:fldChar w:fldCharType="end"/>
      </w:r>
      <w:r>
        <w:t xml:space="preserve"> :</w:t>
      </w:r>
      <w:r w:rsidRPr="00400408">
        <w:t xml:space="preserve"> Number of constructed and demolished dwellings in heritage overlays in Yarra, Port Ph</w:t>
      </w:r>
      <w:r>
        <w:t>illip and Stonnington, 2005-2016</w:t>
      </w:r>
      <w:bookmarkEnd w:id="42"/>
      <w:r w:rsidRPr="00400408">
        <w:t xml:space="preserve">  </w:t>
      </w:r>
    </w:p>
    <w:p w14:paraId="25BBF38D" w14:textId="0A597232" w:rsidR="001C2702" w:rsidRDefault="001C2702" w:rsidP="001C2702">
      <w:pPr>
        <w:pStyle w:val="BodyText"/>
        <w:keepNext/>
        <w:rPr>
          <w:lang w:eastAsia="en-AU"/>
        </w:rPr>
      </w:pPr>
    </w:p>
    <w:p w14:paraId="367B1E19" w14:textId="77777777" w:rsidR="001C2702" w:rsidRDefault="001C2702">
      <w:pPr>
        <w:rPr>
          <w:rFonts w:cs="Times New Roman"/>
        </w:rPr>
      </w:pPr>
      <w:r>
        <w:br w:type="page"/>
      </w:r>
    </w:p>
    <w:p w14:paraId="2C3E6F90" w14:textId="77777777" w:rsidR="001C2702" w:rsidRPr="001C2702" w:rsidRDefault="372C1C62" w:rsidP="001C2702">
      <w:pPr>
        <w:pStyle w:val="Heading1"/>
      </w:pPr>
      <w:bookmarkStart w:id="43" w:name="_Toc506556537"/>
      <w:r>
        <w:lastRenderedPageBreak/>
        <w:t>Demolitions of dwellings</w:t>
      </w:r>
      <w:bookmarkEnd w:id="43"/>
    </w:p>
    <w:p w14:paraId="724AAFEA" w14:textId="4974E1ED" w:rsidR="001C2702" w:rsidRDefault="372C1C62" w:rsidP="372C1C62">
      <w:pPr>
        <w:pStyle w:val="BodyText"/>
        <w:keepNext/>
        <w:rPr>
          <w:lang w:eastAsia="en-AU"/>
        </w:rPr>
      </w:pPr>
      <w:r w:rsidRPr="372C1C62">
        <w:rPr>
          <w:lang w:eastAsia="en-AU"/>
        </w:rPr>
        <w:t>H</w:t>
      </w:r>
      <w:r w:rsidR="00FC38D2">
        <w:rPr>
          <w:lang w:eastAsia="en-AU"/>
        </w:rPr>
        <w:t>ousing d</w:t>
      </w:r>
      <w:r w:rsidRPr="372C1C62">
        <w:rPr>
          <w:lang w:eastAsia="en-AU"/>
        </w:rPr>
        <w:t xml:space="preserve">evelopment </w:t>
      </w:r>
      <w:r w:rsidR="00FC38D2">
        <w:rPr>
          <w:lang w:eastAsia="en-AU"/>
        </w:rPr>
        <w:t>d</w:t>
      </w:r>
      <w:r w:rsidRPr="372C1C62">
        <w:rPr>
          <w:lang w:eastAsia="en-AU"/>
        </w:rPr>
        <w:t xml:space="preserve">ata provides a unique source of information on the precise location of demolitions and the resulting number of new dwellings. </w:t>
      </w:r>
    </w:p>
    <w:p w14:paraId="364BA496" w14:textId="06FD0AEF" w:rsidR="001C2702" w:rsidRDefault="001C2702" w:rsidP="372C1C62">
      <w:pPr>
        <w:pStyle w:val="BodyText"/>
        <w:keepNext/>
        <w:rPr>
          <w:lang w:eastAsia="en-AU"/>
        </w:rPr>
      </w:pPr>
      <w:r>
        <w:rPr>
          <w:lang w:eastAsia="en-AU"/>
        </w:rPr>
        <w:t>Figure 10 shows the number of dwellings demol</w:t>
      </w:r>
      <w:r w:rsidR="00551BFE">
        <w:rPr>
          <w:lang w:eastAsia="en-AU"/>
        </w:rPr>
        <w:t xml:space="preserve">ished and constructed in the </w:t>
      </w:r>
      <w:r w:rsidR="00B8246A">
        <w:rPr>
          <w:lang w:eastAsia="en-AU"/>
        </w:rPr>
        <w:t>twelve-year</w:t>
      </w:r>
      <w:r>
        <w:rPr>
          <w:lang w:eastAsia="en-AU"/>
        </w:rPr>
        <w:t xml:space="preserve"> period from 2005-</w:t>
      </w:r>
      <w:r w:rsidR="006F3005">
        <w:rPr>
          <w:lang w:eastAsia="en-AU"/>
        </w:rPr>
        <w:t>2016</w:t>
      </w:r>
      <w:r w:rsidR="00D24C98">
        <w:rPr>
          <w:lang w:eastAsia="en-AU"/>
        </w:rPr>
        <w:t xml:space="preserve"> in selected municipalities. The </w:t>
      </w:r>
      <w:r w:rsidR="00B8246A">
        <w:rPr>
          <w:lang w:eastAsia="en-AU"/>
        </w:rPr>
        <w:t>inner-city</w:t>
      </w:r>
      <w:r>
        <w:rPr>
          <w:lang w:eastAsia="en-AU"/>
        </w:rPr>
        <w:t xml:space="preserve"> area (Port Phillip, Ston</w:t>
      </w:r>
      <w:r w:rsidR="003445F2">
        <w:rPr>
          <w:lang w:eastAsia="en-AU"/>
        </w:rPr>
        <w:t>n</w:t>
      </w:r>
      <w:r>
        <w:rPr>
          <w:lang w:eastAsia="en-AU"/>
        </w:rPr>
        <w:t xml:space="preserve">ington and Yarra) have the fewest demolitions in total and </w:t>
      </w:r>
      <w:r w:rsidR="00DD65B0">
        <w:rPr>
          <w:lang w:eastAsia="en-AU"/>
        </w:rPr>
        <w:t xml:space="preserve">as a </w:t>
      </w:r>
      <w:r>
        <w:rPr>
          <w:lang w:eastAsia="en-AU"/>
        </w:rPr>
        <w:t xml:space="preserve">percentage of </w:t>
      </w:r>
      <w:r w:rsidR="00DF46EC">
        <w:rPr>
          <w:lang w:eastAsia="en-AU"/>
        </w:rPr>
        <w:t xml:space="preserve">constructed </w:t>
      </w:r>
      <w:r>
        <w:rPr>
          <w:lang w:eastAsia="en-AU"/>
        </w:rPr>
        <w:t>dwellings. These areas also have the highest levels of heritage controls</w:t>
      </w:r>
      <w:r w:rsidR="007D5DB7">
        <w:rPr>
          <w:lang w:eastAsia="en-AU"/>
        </w:rPr>
        <w:t xml:space="preserve"> and therefore the greatest restrictions on demolition</w:t>
      </w:r>
      <w:r>
        <w:rPr>
          <w:lang w:eastAsia="en-AU"/>
        </w:rPr>
        <w:t xml:space="preserve"> (in Yarra </w:t>
      </w:r>
      <w:r w:rsidRPr="00726A94">
        <w:rPr>
          <w:lang w:eastAsia="en-AU"/>
        </w:rPr>
        <w:t>70%</w:t>
      </w:r>
      <w:r>
        <w:rPr>
          <w:lang w:eastAsia="en-AU"/>
        </w:rPr>
        <w:t xml:space="preserve"> of lots are covered by a heritage overlay). In these </w:t>
      </w:r>
      <w:r w:rsidR="00A25943">
        <w:rPr>
          <w:lang w:eastAsia="en-AU"/>
        </w:rPr>
        <w:t>municipalities</w:t>
      </w:r>
      <w:r w:rsidR="00D24C98">
        <w:rPr>
          <w:lang w:eastAsia="en-AU"/>
        </w:rPr>
        <w:t>,</w:t>
      </w:r>
      <w:r>
        <w:rPr>
          <w:lang w:eastAsia="en-AU"/>
        </w:rPr>
        <w:t xml:space="preserve"> </w:t>
      </w:r>
      <w:r w:rsidR="00307AF6">
        <w:rPr>
          <w:lang w:eastAsia="en-AU"/>
        </w:rPr>
        <w:t>the majority of</w:t>
      </w:r>
      <w:r>
        <w:rPr>
          <w:lang w:eastAsia="en-AU"/>
        </w:rPr>
        <w:t xml:space="preserve"> new </w:t>
      </w:r>
      <w:r w:rsidR="00307AF6">
        <w:rPr>
          <w:lang w:eastAsia="en-AU"/>
        </w:rPr>
        <w:t xml:space="preserve">housing </w:t>
      </w:r>
      <w:r>
        <w:rPr>
          <w:lang w:eastAsia="en-AU"/>
        </w:rPr>
        <w:t>development</w:t>
      </w:r>
      <w:r w:rsidR="00307AF6">
        <w:rPr>
          <w:lang w:eastAsia="en-AU"/>
        </w:rPr>
        <w:t xml:space="preserve"> occurs</w:t>
      </w:r>
      <w:r>
        <w:rPr>
          <w:lang w:eastAsia="en-AU"/>
        </w:rPr>
        <w:t xml:space="preserve"> on land converted from non-residential uses to zones that allow for a mixture residential and commercial uses. In contrast,</w:t>
      </w:r>
      <w:r w:rsidR="00916D26">
        <w:rPr>
          <w:lang w:eastAsia="en-AU"/>
        </w:rPr>
        <w:t xml:space="preserve"> new development in</w:t>
      </w:r>
      <w:r>
        <w:rPr>
          <w:lang w:eastAsia="en-AU"/>
        </w:rPr>
        <w:t xml:space="preserve"> the middle and inner southern and eastern municipalities of Bayside, Boroondara, Glen Eira and Whitehorse </w:t>
      </w:r>
      <w:r w:rsidR="00916D26">
        <w:rPr>
          <w:lang w:eastAsia="en-AU"/>
        </w:rPr>
        <w:t xml:space="preserve">more often entails </w:t>
      </w:r>
      <w:r>
        <w:rPr>
          <w:lang w:eastAsia="en-AU"/>
        </w:rPr>
        <w:t xml:space="preserve">demolition. This is, however, not always to facilitate additional numbers of new dwellings as </w:t>
      </w:r>
      <w:r w:rsidR="002F5216">
        <w:rPr>
          <w:lang w:eastAsia="en-AU"/>
        </w:rPr>
        <w:t>demolition in</w:t>
      </w:r>
      <w:r>
        <w:rPr>
          <w:lang w:eastAsia="en-AU"/>
        </w:rPr>
        <w:t xml:space="preserve"> these municipalities </w:t>
      </w:r>
      <w:r w:rsidR="002F5216">
        <w:rPr>
          <w:lang w:eastAsia="en-AU"/>
        </w:rPr>
        <w:t xml:space="preserve">often </w:t>
      </w:r>
      <w:r>
        <w:rPr>
          <w:lang w:eastAsia="en-AU"/>
        </w:rPr>
        <w:t>involves the replacement of an existing dwelling by a new single dwelling.</w:t>
      </w:r>
    </w:p>
    <w:p w14:paraId="0EF5DCA5" w14:textId="77777777" w:rsidR="001C2702" w:rsidRDefault="001C2702" w:rsidP="001C2702">
      <w:pPr>
        <w:pStyle w:val="BodyText"/>
        <w:keepNext/>
        <w:rPr>
          <w:lang w:eastAsia="en-AU"/>
        </w:rPr>
      </w:pPr>
    </w:p>
    <w:p w14:paraId="091E6ABB" w14:textId="77BA2940" w:rsidR="001C2702" w:rsidRDefault="001C2702" w:rsidP="001C2702">
      <w:pPr>
        <w:pStyle w:val="Caption"/>
      </w:pPr>
      <w:bookmarkStart w:id="44" w:name="_Toc506904199"/>
      <w:r>
        <w:t xml:space="preserve">Figure </w:t>
      </w:r>
      <w:r w:rsidR="00CA794F">
        <w:fldChar w:fldCharType="begin"/>
      </w:r>
      <w:r w:rsidR="00CA794F">
        <w:instrText xml:space="preserve"> SEQ Figure \* ARABIC </w:instrText>
      </w:r>
      <w:r w:rsidR="00CA794F">
        <w:fldChar w:fldCharType="separate"/>
      </w:r>
      <w:r w:rsidR="00A12295">
        <w:rPr>
          <w:noProof/>
        </w:rPr>
        <w:t>10</w:t>
      </w:r>
      <w:r w:rsidR="00CA794F">
        <w:rPr>
          <w:noProof/>
        </w:rPr>
        <w:fldChar w:fldCharType="end"/>
      </w:r>
      <w:r>
        <w:t xml:space="preserve">: </w:t>
      </w:r>
      <w:r w:rsidRPr="001D577E">
        <w:t>Number of constructed and</w:t>
      </w:r>
      <w:r>
        <w:t xml:space="preserve"> demolished dwellings, 2005-2016</w:t>
      </w:r>
      <w:r w:rsidR="00D24C98">
        <w:t>,</w:t>
      </w:r>
      <w:r w:rsidRPr="001D577E">
        <w:t xml:space="preserve"> selected LGA groups</w:t>
      </w:r>
      <w:bookmarkEnd w:id="44"/>
    </w:p>
    <w:p w14:paraId="6EF131AB" w14:textId="7D3E15EF" w:rsidR="001C2702" w:rsidRDefault="001C2702" w:rsidP="001C2702">
      <w:pPr>
        <w:pStyle w:val="BodyText"/>
        <w:keepNext/>
        <w:rPr>
          <w:lang w:eastAsia="en-AU"/>
        </w:rPr>
      </w:pPr>
    </w:p>
    <w:p w14:paraId="360B4DA1" w14:textId="77777777" w:rsidR="00400408" w:rsidRDefault="00400408">
      <w:pPr>
        <w:rPr>
          <w:rFonts w:cs="Times New Roman"/>
        </w:rPr>
      </w:pPr>
      <w:r>
        <w:br w:type="page"/>
      </w:r>
    </w:p>
    <w:p w14:paraId="6AADF187" w14:textId="186AD52C" w:rsidR="00FA0EDC" w:rsidRDefault="00D24C98" w:rsidP="372C1C62">
      <w:pPr>
        <w:pStyle w:val="BodyText"/>
        <w:keepNext/>
        <w:rPr>
          <w:lang w:eastAsia="en-AU"/>
        </w:rPr>
      </w:pPr>
      <w:r>
        <w:rPr>
          <w:lang w:eastAsia="en-AU"/>
        </w:rPr>
        <w:lastRenderedPageBreak/>
        <w:t>The map below (f</w:t>
      </w:r>
      <w:r w:rsidR="00400408" w:rsidRPr="00400408">
        <w:rPr>
          <w:lang w:eastAsia="en-AU"/>
        </w:rPr>
        <w:t>igure 11</w:t>
      </w:r>
      <w:r>
        <w:rPr>
          <w:lang w:eastAsia="en-AU"/>
        </w:rPr>
        <w:t>)</w:t>
      </w:r>
      <w:r w:rsidR="00400408" w:rsidRPr="00400408">
        <w:rPr>
          <w:lang w:eastAsia="en-AU"/>
        </w:rPr>
        <w:t xml:space="preserve"> shows the percentage of construction projects that are one-for-one replacements by LGA. </w:t>
      </w:r>
      <w:r w:rsidR="002F5216">
        <w:rPr>
          <w:lang w:eastAsia="en-AU"/>
        </w:rPr>
        <w:t>The</w:t>
      </w:r>
      <w:r w:rsidR="00400408" w:rsidRPr="00400408">
        <w:rPr>
          <w:lang w:eastAsia="en-AU"/>
        </w:rPr>
        <w:t xml:space="preserve"> areas with a hi</w:t>
      </w:r>
      <w:r w:rsidR="00CF2A48">
        <w:rPr>
          <w:lang w:eastAsia="en-AU"/>
        </w:rPr>
        <w:t>gh number of demolitions (</w:t>
      </w:r>
      <w:r w:rsidR="009C46F6">
        <w:rPr>
          <w:lang w:eastAsia="en-AU"/>
        </w:rPr>
        <w:t>figure 10</w:t>
      </w:r>
      <w:r w:rsidR="00400408" w:rsidRPr="00400408">
        <w:rPr>
          <w:lang w:eastAsia="en-AU"/>
        </w:rPr>
        <w:t xml:space="preserve">) have the </w:t>
      </w:r>
      <w:r w:rsidR="00400408" w:rsidRPr="00DD59C7">
        <w:rPr>
          <w:lang w:eastAsia="en-AU"/>
        </w:rPr>
        <w:t>highest proportion of one-for-one replacement</w:t>
      </w:r>
      <w:r w:rsidR="003E0B8D">
        <w:rPr>
          <w:lang w:eastAsia="en-AU"/>
        </w:rPr>
        <w:t xml:space="preserve"> development project</w:t>
      </w:r>
      <w:r w:rsidR="00400408" w:rsidRPr="00DD59C7">
        <w:rPr>
          <w:lang w:eastAsia="en-AU"/>
        </w:rPr>
        <w:t xml:space="preserve">s. The map shows </w:t>
      </w:r>
      <w:r w:rsidR="002F5216">
        <w:rPr>
          <w:lang w:eastAsia="en-AU"/>
        </w:rPr>
        <w:t>that most</w:t>
      </w:r>
      <w:r w:rsidR="00400408" w:rsidRPr="00DD59C7">
        <w:rPr>
          <w:lang w:eastAsia="en-AU"/>
        </w:rPr>
        <w:t xml:space="preserve"> development projects in Bayside (</w:t>
      </w:r>
      <w:r w:rsidR="00DD59C7">
        <w:rPr>
          <w:lang w:eastAsia="en-AU"/>
        </w:rPr>
        <w:t>58</w:t>
      </w:r>
      <w:r w:rsidR="00400408" w:rsidRPr="00DD59C7">
        <w:rPr>
          <w:lang w:eastAsia="en-AU"/>
        </w:rPr>
        <w:t>%) and Boroondara (6</w:t>
      </w:r>
      <w:r w:rsidR="00DD59C7">
        <w:rPr>
          <w:lang w:eastAsia="en-AU"/>
        </w:rPr>
        <w:t>4</w:t>
      </w:r>
      <w:r w:rsidR="00400408" w:rsidRPr="00DD59C7">
        <w:rPr>
          <w:lang w:eastAsia="en-AU"/>
        </w:rPr>
        <w:t xml:space="preserve">%) are one for one replacement projects. </w:t>
      </w:r>
      <w:r w:rsidR="003E0B8D">
        <w:rPr>
          <w:lang w:eastAsia="en-AU"/>
        </w:rPr>
        <w:t xml:space="preserve">In Stonnington 48% of development projects are </w:t>
      </w:r>
      <w:r w:rsidR="006E5739">
        <w:rPr>
          <w:lang w:eastAsia="en-AU"/>
        </w:rPr>
        <w:t xml:space="preserve">one for </w:t>
      </w:r>
      <w:r w:rsidR="00400408" w:rsidRPr="00DD59C7">
        <w:rPr>
          <w:lang w:eastAsia="en-AU"/>
        </w:rPr>
        <w:t xml:space="preserve">one projects </w:t>
      </w:r>
      <w:r w:rsidR="003E0B8D">
        <w:rPr>
          <w:lang w:eastAsia="en-AU"/>
        </w:rPr>
        <w:t>while</w:t>
      </w:r>
      <w:r w:rsidR="00400408" w:rsidRPr="00DD59C7">
        <w:rPr>
          <w:lang w:eastAsia="en-AU"/>
        </w:rPr>
        <w:t xml:space="preserve"> </w:t>
      </w:r>
      <w:r w:rsidR="00433B11">
        <w:rPr>
          <w:lang w:eastAsia="en-AU"/>
        </w:rPr>
        <w:t xml:space="preserve">in Monash </w:t>
      </w:r>
      <w:r w:rsidR="00400408" w:rsidRPr="00DD59C7">
        <w:rPr>
          <w:lang w:eastAsia="en-AU"/>
        </w:rPr>
        <w:t>3</w:t>
      </w:r>
      <w:r w:rsidR="00DD59C7">
        <w:rPr>
          <w:lang w:eastAsia="en-AU"/>
        </w:rPr>
        <w:t>6</w:t>
      </w:r>
      <w:r w:rsidR="00400408" w:rsidRPr="00DD59C7">
        <w:rPr>
          <w:lang w:eastAsia="en-AU"/>
        </w:rPr>
        <w:t xml:space="preserve">% of development projects </w:t>
      </w:r>
      <w:r w:rsidR="003E0B8D">
        <w:rPr>
          <w:lang w:eastAsia="en-AU"/>
        </w:rPr>
        <w:t>are one for one replacements</w:t>
      </w:r>
      <w:r w:rsidR="00400408" w:rsidRPr="00DD59C7">
        <w:rPr>
          <w:lang w:eastAsia="en-AU"/>
        </w:rPr>
        <w:t>. Moonee Valley is the next highest with 3</w:t>
      </w:r>
      <w:r w:rsidR="00DD59C7">
        <w:rPr>
          <w:lang w:eastAsia="en-AU"/>
        </w:rPr>
        <w:t>4</w:t>
      </w:r>
      <w:r w:rsidR="00400408" w:rsidRPr="00DD59C7">
        <w:rPr>
          <w:lang w:eastAsia="en-AU"/>
        </w:rPr>
        <w:t>%.</w:t>
      </w:r>
    </w:p>
    <w:p w14:paraId="2E17B24B" w14:textId="77777777" w:rsidR="00400408" w:rsidRDefault="00400408" w:rsidP="001C2702">
      <w:pPr>
        <w:pStyle w:val="BodyText"/>
        <w:keepNext/>
        <w:rPr>
          <w:lang w:eastAsia="en-AU"/>
        </w:rPr>
      </w:pPr>
    </w:p>
    <w:p w14:paraId="5E1FB073" w14:textId="0DC658BA" w:rsidR="00400408" w:rsidRDefault="00400408" w:rsidP="00400408">
      <w:pPr>
        <w:pStyle w:val="Caption"/>
      </w:pPr>
      <w:bookmarkStart w:id="45" w:name="_Toc506904200"/>
      <w:r>
        <w:t xml:space="preserve">Figure </w:t>
      </w:r>
      <w:r w:rsidR="00CA794F">
        <w:fldChar w:fldCharType="begin"/>
      </w:r>
      <w:r w:rsidR="00CA794F">
        <w:instrText xml:space="preserve"> SEQ Figure \* ARABIC </w:instrText>
      </w:r>
      <w:r w:rsidR="00CA794F">
        <w:fldChar w:fldCharType="separate"/>
      </w:r>
      <w:r w:rsidR="00A12295">
        <w:rPr>
          <w:noProof/>
        </w:rPr>
        <w:t>11</w:t>
      </w:r>
      <w:r w:rsidR="00CA794F">
        <w:rPr>
          <w:noProof/>
        </w:rPr>
        <w:fldChar w:fldCharType="end"/>
      </w:r>
      <w:r>
        <w:t>:</w:t>
      </w:r>
      <w:r w:rsidRPr="00400408">
        <w:t xml:space="preserve"> One-for-o</w:t>
      </w:r>
      <w:r>
        <w:t>ne replacement</w:t>
      </w:r>
      <w:r w:rsidR="00D24C98">
        <w:t>s 2005-2016,</w:t>
      </w:r>
      <w:r w:rsidR="004B5551">
        <w:t xml:space="preserve"> </w:t>
      </w:r>
      <w:r w:rsidR="002A5FDA">
        <w:t>e</w:t>
      </w:r>
      <w:r>
        <w:t>stablished Melbourne</w:t>
      </w:r>
      <w:bookmarkEnd w:id="45"/>
    </w:p>
    <w:p w14:paraId="00C11761" w14:textId="0910341C" w:rsidR="00400408" w:rsidRDefault="00400408" w:rsidP="001C2702">
      <w:pPr>
        <w:pStyle w:val="BodyText"/>
        <w:keepNext/>
        <w:rPr>
          <w:lang w:eastAsia="en-AU"/>
        </w:rPr>
      </w:pPr>
    </w:p>
    <w:p w14:paraId="0AAA916C" w14:textId="77777777" w:rsidR="003B6FC3" w:rsidRPr="003B6FC3" w:rsidRDefault="372C1C62" w:rsidP="003B6FC3">
      <w:pPr>
        <w:pStyle w:val="Heading1"/>
      </w:pPr>
      <w:bookmarkStart w:id="46" w:name="_Toc506556538"/>
      <w:r>
        <w:t>Next Steps</w:t>
      </w:r>
      <w:bookmarkEnd w:id="46"/>
    </w:p>
    <w:p w14:paraId="4C99A404" w14:textId="237F3A37" w:rsidR="0061769A" w:rsidRPr="00705F93" w:rsidRDefault="005113F1" w:rsidP="00320D94">
      <w:pPr>
        <w:pStyle w:val="BodyText"/>
        <w:keepNext/>
      </w:pPr>
      <w:r>
        <w:rPr>
          <w:lang w:eastAsia="en-AU"/>
        </w:rPr>
        <w:t xml:space="preserve">Over the next 12 months, the Department of Environment, Land, Water and Planning will use the housing development data to examine outcomes in the reformed residential zones and within Melbourne’s growth areas. </w:t>
      </w:r>
      <w:r w:rsidR="372C1C62" w:rsidRPr="372C1C62">
        <w:rPr>
          <w:lang w:eastAsia="en-AU"/>
        </w:rPr>
        <w:t xml:space="preserve">The </w:t>
      </w:r>
      <w:r>
        <w:rPr>
          <w:lang w:eastAsia="en-AU"/>
        </w:rPr>
        <w:t>h</w:t>
      </w:r>
      <w:r w:rsidR="372C1C62" w:rsidRPr="372C1C62">
        <w:rPr>
          <w:lang w:eastAsia="en-AU"/>
        </w:rPr>
        <w:t xml:space="preserve">ousing </w:t>
      </w:r>
      <w:r>
        <w:rPr>
          <w:lang w:eastAsia="en-AU"/>
        </w:rPr>
        <w:t>d</w:t>
      </w:r>
      <w:r w:rsidR="372C1C62" w:rsidRPr="372C1C62">
        <w:rPr>
          <w:lang w:eastAsia="en-AU"/>
        </w:rPr>
        <w:t xml:space="preserve">evelopment </w:t>
      </w:r>
      <w:r>
        <w:rPr>
          <w:lang w:eastAsia="en-AU"/>
        </w:rPr>
        <w:t>d</w:t>
      </w:r>
      <w:r w:rsidR="372C1C62" w:rsidRPr="372C1C62">
        <w:rPr>
          <w:lang w:eastAsia="en-AU"/>
        </w:rPr>
        <w:t xml:space="preserve">ata will continue to be collected, published and </w:t>
      </w:r>
      <w:r w:rsidR="00FC38D2">
        <w:rPr>
          <w:lang w:eastAsia="en-AU"/>
        </w:rPr>
        <w:t>reported on. The 2017 and 2018 h</w:t>
      </w:r>
      <w:r w:rsidR="372C1C62" w:rsidRPr="372C1C62">
        <w:rPr>
          <w:lang w:eastAsia="en-AU"/>
        </w:rPr>
        <w:t xml:space="preserve">ousing </w:t>
      </w:r>
      <w:r w:rsidR="00FC38D2">
        <w:rPr>
          <w:lang w:eastAsia="en-AU"/>
        </w:rPr>
        <w:t>d</w:t>
      </w:r>
      <w:r w:rsidR="372C1C62" w:rsidRPr="372C1C62">
        <w:rPr>
          <w:lang w:eastAsia="en-AU"/>
        </w:rPr>
        <w:t xml:space="preserve">evelopment </w:t>
      </w:r>
      <w:r w:rsidR="00FC38D2">
        <w:rPr>
          <w:lang w:eastAsia="en-AU"/>
        </w:rPr>
        <w:t>d</w:t>
      </w:r>
      <w:r w:rsidR="372C1C62" w:rsidRPr="372C1C62">
        <w:rPr>
          <w:lang w:eastAsia="en-AU"/>
        </w:rPr>
        <w:t>ata will be available in the lat</w:t>
      </w:r>
      <w:r w:rsidR="00D24C98">
        <w:rPr>
          <w:lang w:eastAsia="en-AU"/>
        </w:rPr>
        <w:t>t</w:t>
      </w:r>
      <w:r w:rsidR="372C1C62" w:rsidRPr="372C1C62">
        <w:rPr>
          <w:lang w:eastAsia="en-AU"/>
        </w:rPr>
        <w:t>er part of 2019.</w:t>
      </w:r>
      <w:bookmarkEnd w:id="16"/>
    </w:p>
    <w:p w14:paraId="04779B89" w14:textId="4792283C" w:rsidR="0068633C" w:rsidRDefault="0068633C" w:rsidP="00CF6D14">
      <w:pPr>
        <w:pStyle w:val="BodyText"/>
        <w:rPr>
          <w:lang w:eastAsia="en-AU"/>
        </w:rPr>
      </w:pPr>
    </w:p>
    <w:p w14:paraId="4D1E6B53" w14:textId="39C98462" w:rsidR="0068633C" w:rsidRDefault="0068633C" w:rsidP="00CF6D14">
      <w:pPr>
        <w:pStyle w:val="BodyText"/>
        <w:rPr>
          <w:lang w:eastAsia="en-AU"/>
        </w:rPr>
      </w:pPr>
    </w:p>
    <w:p w14:paraId="60E94D66" w14:textId="77777777" w:rsidR="00317E9B" w:rsidRDefault="00317E9B" w:rsidP="00CF6D14">
      <w:pPr>
        <w:pStyle w:val="BodyText"/>
        <w:rPr>
          <w:lang w:eastAsia="en-AU"/>
        </w:rPr>
        <w:sectPr w:rsidR="00317E9B" w:rsidSect="00317E9B">
          <w:headerReference w:type="even" r:id="rId34"/>
          <w:footerReference w:type="even" r:id="rId35"/>
          <w:type w:val="evenPage"/>
          <w:pgSz w:w="11907" w:h="16840" w:code="9"/>
          <w:pgMar w:top="1134" w:right="1134" w:bottom="1134" w:left="1134" w:header="284" w:footer="283" w:gutter="0"/>
          <w:cols w:space="720"/>
          <w:docGrid w:linePitch="360"/>
        </w:sectPr>
      </w:pPr>
      <w:r>
        <w:rPr>
          <w:lang w:eastAsia="en-AU"/>
        </w:rPr>
        <w:br w:type="page"/>
      </w:r>
    </w:p>
    <w:p w14:paraId="7B0C00B0" w14:textId="77777777" w:rsidR="009C46F6" w:rsidRDefault="009C46F6" w:rsidP="007C5405">
      <w:pPr>
        <w:pStyle w:val="BodyText"/>
        <w:rPr>
          <w:noProof/>
          <w:lang w:eastAsia="en-AU"/>
        </w:rPr>
      </w:pPr>
    </w:p>
    <w:p w14:paraId="0099EB67" w14:textId="77777777" w:rsidR="009C46F6" w:rsidRDefault="009C46F6" w:rsidP="007C5405">
      <w:pPr>
        <w:pStyle w:val="BodyText"/>
        <w:rPr>
          <w:noProof/>
          <w:lang w:eastAsia="en-AU"/>
        </w:rPr>
      </w:pPr>
    </w:p>
    <w:p w14:paraId="55650A43" w14:textId="77777777" w:rsidR="009C46F6" w:rsidRDefault="009C46F6" w:rsidP="007C5405">
      <w:pPr>
        <w:pStyle w:val="BodyText"/>
        <w:rPr>
          <w:noProof/>
          <w:lang w:eastAsia="en-AU"/>
        </w:rPr>
      </w:pPr>
    </w:p>
    <w:p w14:paraId="194F73DB" w14:textId="77777777" w:rsidR="009C46F6" w:rsidRDefault="009C46F6" w:rsidP="007C5405">
      <w:pPr>
        <w:pStyle w:val="BodyText"/>
        <w:rPr>
          <w:noProof/>
          <w:lang w:eastAsia="en-AU"/>
        </w:rPr>
      </w:pPr>
    </w:p>
    <w:p w14:paraId="122A7519" w14:textId="77777777" w:rsidR="009C46F6" w:rsidRDefault="009C46F6" w:rsidP="007C5405">
      <w:pPr>
        <w:pStyle w:val="BodyText"/>
        <w:rPr>
          <w:noProof/>
          <w:lang w:eastAsia="en-AU"/>
        </w:rPr>
      </w:pPr>
    </w:p>
    <w:p w14:paraId="48AFFBC2" w14:textId="77777777" w:rsidR="009C46F6" w:rsidRDefault="009C46F6" w:rsidP="007C5405">
      <w:pPr>
        <w:pStyle w:val="BodyText"/>
        <w:rPr>
          <w:noProof/>
          <w:lang w:eastAsia="en-AU"/>
        </w:rPr>
      </w:pPr>
    </w:p>
    <w:p w14:paraId="312320BE" w14:textId="77777777" w:rsidR="009C46F6" w:rsidRDefault="009C46F6" w:rsidP="007C5405">
      <w:pPr>
        <w:pStyle w:val="BodyText"/>
        <w:rPr>
          <w:noProof/>
          <w:lang w:eastAsia="en-AU"/>
        </w:rPr>
      </w:pPr>
    </w:p>
    <w:p w14:paraId="4EAD7710" w14:textId="77777777" w:rsidR="009C46F6" w:rsidRDefault="009C46F6" w:rsidP="007C5405">
      <w:pPr>
        <w:pStyle w:val="BodyText"/>
        <w:rPr>
          <w:noProof/>
          <w:lang w:eastAsia="en-AU"/>
        </w:rPr>
      </w:pPr>
    </w:p>
    <w:p w14:paraId="1A2284C1" w14:textId="77777777" w:rsidR="009C46F6" w:rsidRDefault="009C46F6" w:rsidP="007C5405">
      <w:pPr>
        <w:pStyle w:val="BodyText"/>
        <w:rPr>
          <w:noProof/>
          <w:lang w:eastAsia="en-AU"/>
        </w:rPr>
      </w:pPr>
    </w:p>
    <w:p w14:paraId="581E4080" w14:textId="5AD9C54C" w:rsidR="009C46F6" w:rsidRDefault="009C46F6" w:rsidP="007C5405">
      <w:pPr>
        <w:pStyle w:val="BodyText"/>
        <w:rPr>
          <w:noProof/>
          <w:lang w:eastAsia="en-AU"/>
        </w:rPr>
      </w:pPr>
    </w:p>
    <w:p w14:paraId="6F72E706" w14:textId="32FA612E" w:rsidR="009C46F6" w:rsidRDefault="009C46F6" w:rsidP="007C5405">
      <w:pPr>
        <w:pStyle w:val="BodyText"/>
        <w:rPr>
          <w:noProof/>
          <w:lang w:eastAsia="en-AU"/>
        </w:rPr>
      </w:pPr>
    </w:p>
    <w:p w14:paraId="4A6EED77" w14:textId="77777777" w:rsidR="009C46F6" w:rsidRDefault="009C46F6" w:rsidP="007C5405">
      <w:pPr>
        <w:pStyle w:val="BodyText"/>
        <w:rPr>
          <w:noProof/>
          <w:lang w:eastAsia="en-AU"/>
        </w:rPr>
      </w:pPr>
    </w:p>
    <w:p w14:paraId="3CE8C052" w14:textId="77777777" w:rsidR="009C46F6" w:rsidRDefault="009C46F6" w:rsidP="007C5405">
      <w:pPr>
        <w:pStyle w:val="BodyText"/>
        <w:rPr>
          <w:noProof/>
          <w:lang w:eastAsia="en-AU"/>
        </w:rPr>
      </w:pPr>
    </w:p>
    <w:p w14:paraId="5D2D1FCF" w14:textId="77777777" w:rsidR="009C46F6" w:rsidRDefault="009C46F6" w:rsidP="007C5405">
      <w:pPr>
        <w:pStyle w:val="BodyText"/>
        <w:rPr>
          <w:noProof/>
          <w:lang w:eastAsia="en-AU"/>
        </w:rPr>
      </w:pPr>
    </w:p>
    <w:p w14:paraId="17915B93" w14:textId="77777777" w:rsidR="009C46F6" w:rsidRDefault="009C46F6" w:rsidP="007C5405">
      <w:pPr>
        <w:pStyle w:val="BodyText"/>
        <w:rPr>
          <w:noProof/>
          <w:lang w:eastAsia="en-AU"/>
        </w:rPr>
      </w:pPr>
    </w:p>
    <w:p w14:paraId="458CCE23" w14:textId="77777777" w:rsidR="009C46F6" w:rsidRDefault="009C46F6" w:rsidP="007C5405">
      <w:pPr>
        <w:pStyle w:val="BodyText"/>
        <w:rPr>
          <w:noProof/>
          <w:lang w:eastAsia="en-AU"/>
        </w:rPr>
      </w:pPr>
    </w:p>
    <w:p w14:paraId="3ABEEE54" w14:textId="77777777" w:rsidR="009C46F6" w:rsidRDefault="009C46F6" w:rsidP="007C5405">
      <w:pPr>
        <w:pStyle w:val="BodyText"/>
        <w:rPr>
          <w:noProof/>
          <w:lang w:eastAsia="en-AU"/>
        </w:rPr>
      </w:pPr>
    </w:p>
    <w:p w14:paraId="60EA8A7D" w14:textId="77777777" w:rsidR="009C46F6" w:rsidRDefault="009C46F6" w:rsidP="007C5405">
      <w:pPr>
        <w:pStyle w:val="BodyText"/>
        <w:rPr>
          <w:noProof/>
          <w:lang w:eastAsia="en-AU"/>
        </w:rPr>
      </w:pPr>
    </w:p>
    <w:p w14:paraId="5E340736" w14:textId="77777777" w:rsidR="009C46F6" w:rsidRDefault="009C46F6" w:rsidP="007C5405">
      <w:pPr>
        <w:pStyle w:val="BodyText"/>
        <w:rPr>
          <w:noProof/>
          <w:lang w:eastAsia="en-AU"/>
        </w:rPr>
      </w:pPr>
    </w:p>
    <w:p w14:paraId="27535CDE" w14:textId="77777777" w:rsidR="009C46F6" w:rsidRDefault="009C46F6" w:rsidP="007C5405">
      <w:pPr>
        <w:pStyle w:val="BodyText"/>
        <w:rPr>
          <w:noProof/>
          <w:lang w:eastAsia="en-AU"/>
        </w:rPr>
      </w:pPr>
    </w:p>
    <w:p w14:paraId="020D8B7B" w14:textId="6F291549" w:rsidR="007C5405" w:rsidRDefault="009C46F6" w:rsidP="00C04FC3">
      <w:pPr>
        <w:pStyle w:val="BodyText"/>
        <w:jc w:val="center"/>
        <w:rPr>
          <w:noProof/>
          <w:lang w:eastAsia="en-AU"/>
        </w:rPr>
        <w:sectPr w:rsidR="007C5405" w:rsidSect="00317E9B">
          <w:footerReference w:type="default" r:id="rId36"/>
          <w:type w:val="oddPage"/>
          <w:pgSz w:w="11907" w:h="16840" w:code="9"/>
          <w:pgMar w:top="1134" w:right="1134" w:bottom="1134" w:left="1134" w:header="284" w:footer="283" w:gutter="0"/>
          <w:cols w:space="720"/>
          <w:docGrid w:linePitch="360"/>
        </w:sectPr>
      </w:pPr>
      <w:r>
        <w:rPr>
          <w:sz w:val="40"/>
          <w:szCs w:val="40"/>
        </w:rPr>
        <w:t xml:space="preserve">This page has been left blank intentionally </w:t>
      </w:r>
      <w:r w:rsidR="00CA460F">
        <w:rPr>
          <w:noProof/>
        </w:rPr>
        <mc:AlternateContent>
          <mc:Choice Requires="wps">
            <w:drawing>
              <wp:anchor distT="0" distB="0" distL="114300" distR="114300" simplePos="0" relativeHeight="251658250" behindDoc="0" locked="0" layoutInCell="1" allowOverlap="1" wp14:anchorId="042C4990" wp14:editId="6F488899">
                <wp:simplePos x="0" y="0"/>
                <wp:positionH relativeFrom="column">
                  <wp:posOffset>156210</wp:posOffset>
                </wp:positionH>
                <wp:positionV relativeFrom="paragraph">
                  <wp:posOffset>8566785</wp:posOffset>
                </wp:positionV>
                <wp:extent cx="2362200" cy="3143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a:effectLst/>
                      </wps:spPr>
                      <wps:txbx>
                        <w:txbxContent>
                          <w:p w14:paraId="18CC335F" w14:textId="77777777" w:rsidR="00FD3FC5" w:rsidRPr="00CF26F1" w:rsidRDefault="00FD3FC5" w:rsidP="00CA460F">
                            <w:pPr>
                              <w:pStyle w:val="xWeb"/>
                            </w:pPr>
                            <w:r>
                              <w:t>planning</w:t>
                            </w:r>
                            <w:r w:rsidRPr="00CC18C6">
                              <w:t>.vic.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C4990" id="Text Box 49" o:spid="_x0000_s1031" type="#_x0000_t202" style="position:absolute;left:0;text-align:left;margin-left:12.3pt;margin-top:674.55pt;width:186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" filled="f" stroked="f" strokeweight=".5pt">
                <v:textbox inset="0,0,0,0">
                  <w:txbxContent>
                    <w:p w14:paraId="18CC335F" w14:textId="77777777" w:rsidR="00FD3FC5" w:rsidRPr="00CF26F1" w:rsidRDefault="00FD3FC5" w:rsidP="00CA460F">
                      <w:pPr>
                        <w:pStyle w:val="xWeb"/>
                      </w:pPr>
                      <w:r>
                        <w:t>planning</w:t>
                      </w:r>
                      <w:r w:rsidRPr="00CC18C6">
                        <w:t>.vic.</w:t>
                      </w:r>
                      <w:r w:rsidRPr="00CF26F1">
                        <w:t>gov</w:t>
                      </w:r>
                      <w:r w:rsidRPr="00CC18C6">
                        <w:t xml:space="preserve">.au </w:t>
                      </w:r>
                    </w:p>
                  </w:txbxContent>
                </v:textbox>
              </v:shape>
            </w:pict>
          </mc:Fallback>
        </mc:AlternateContent>
      </w:r>
    </w:p>
    <w:p w14:paraId="2214B3B1" w14:textId="712522D8" w:rsidR="006B4F80" w:rsidRDefault="006B4F80">
      <w:pPr>
        <w:rPr>
          <w:rFonts w:cs="Times New Roman"/>
          <w:noProof/>
        </w:rPr>
      </w:pPr>
    </w:p>
    <w:p w14:paraId="065C0EEA" w14:textId="3835EA68" w:rsidR="00317E9B" w:rsidRDefault="007C5405" w:rsidP="00CF6D14">
      <w:pPr>
        <w:pStyle w:val="BodyText"/>
        <w:rPr>
          <w:lang w:eastAsia="en-AU"/>
        </w:rPr>
      </w:pPr>
      <w:r>
        <w:rPr>
          <w:noProof/>
        </w:rPr>
        <mc:AlternateContent>
          <mc:Choice Requires="wps">
            <w:drawing>
              <wp:anchor distT="0" distB="0" distL="114300" distR="114300" simplePos="0" relativeHeight="251658251" behindDoc="0" locked="0" layoutInCell="1" allowOverlap="1" wp14:anchorId="076E6A82" wp14:editId="4D914065">
                <wp:simplePos x="0" y="0"/>
                <wp:positionH relativeFrom="column">
                  <wp:posOffset>194311</wp:posOffset>
                </wp:positionH>
                <wp:positionV relativeFrom="paragraph">
                  <wp:posOffset>8518001</wp:posOffset>
                </wp:positionV>
                <wp:extent cx="2218414" cy="254442"/>
                <wp:effectExtent l="0" t="0" r="10795" b="12700"/>
                <wp:wrapNone/>
                <wp:docPr id="40" name="Text Box 40"/>
                <wp:cNvGraphicFramePr/>
                <a:graphic xmlns:a="http://schemas.openxmlformats.org/drawingml/2006/main">
                  <a:graphicData uri="http://schemas.microsoft.com/office/word/2010/wordprocessingShape">
                    <wps:wsp>
                      <wps:cNvSpPr txBox="1"/>
                      <wps:spPr>
                        <a:xfrm>
                          <a:off x="0" y="0"/>
                          <a:ext cx="2218414" cy="254442"/>
                        </a:xfrm>
                        <a:prstGeom prst="rect">
                          <a:avLst/>
                        </a:prstGeom>
                        <a:noFill/>
                        <a:ln w="6350">
                          <a:noFill/>
                        </a:ln>
                        <a:effectLst/>
                      </wps:spPr>
                      <wps:txbx>
                        <w:txbxContent>
                          <w:p w14:paraId="3163BCFE" w14:textId="77777777" w:rsidR="00FD3FC5" w:rsidRPr="00CF26F1" w:rsidRDefault="00FD3FC5" w:rsidP="007C5405">
                            <w:pPr>
                              <w:pStyle w:val="xWeb"/>
                            </w:pPr>
                            <w:r>
                              <w:t>planning</w:t>
                            </w:r>
                            <w:r w:rsidRPr="00CC18C6">
                              <w:t>.vic.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6A82" id="Text Box 40" o:spid="_x0000_s1032" type="#_x0000_t202" style="position:absolute;margin-left:15.3pt;margin-top:670.7pt;width:174.7pt;height:20.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" filled="f" stroked="f" strokeweight=".5pt">
                <v:textbox inset="0,0,0,0">
                  <w:txbxContent>
                    <w:p w14:paraId="3163BCFE" w14:textId="77777777" w:rsidR="00FD3FC5" w:rsidRPr="00CF26F1" w:rsidRDefault="00FD3FC5" w:rsidP="007C5405">
                      <w:pPr>
                        <w:pStyle w:val="xWeb"/>
                      </w:pPr>
                      <w:r>
                        <w:t>planning</w:t>
                      </w:r>
                      <w:r w:rsidRPr="00CC18C6">
                        <w:t>.vic.</w:t>
                      </w:r>
                      <w:r w:rsidRPr="00CF26F1">
                        <w:t>gov</w:t>
                      </w:r>
                      <w:r w:rsidRPr="00CC18C6">
                        <w:t xml:space="preserve">.au </w:t>
                      </w:r>
                    </w:p>
                  </w:txbxContent>
                </v:textbox>
              </v:shape>
            </w:pict>
          </mc:Fallback>
        </mc:AlternateContent>
      </w:r>
      <w:r w:rsidR="00924EAC">
        <w:rPr>
          <w:noProof/>
          <w:lang w:eastAsia="en-AU"/>
        </w:rPr>
        <w:drawing>
          <wp:inline distT="0" distB="0" distL="0" distR="0" wp14:anchorId="31BF9DD8" wp14:editId="01E028C4">
            <wp:extent cx="6120000" cy="892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8924400"/>
                    </a:xfrm>
                    <a:prstGeom prst="rect">
                      <a:avLst/>
                    </a:prstGeom>
                    <a:noFill/>
                  </pic:spPr>
                </pic:pic>
              </a:graphicData>
            </a:graphic>
          </wp:inline>
        </w:drawing>
      </w:r>
    </w:p>
    <w:sectPr w:rsidR="00317E9B" w:rsidSect="007C5405">
      <w:footerReference w:type="even" r:id="rId38"/>
      <w:type w:val="evenPage"/>
      <w:pgSz w:w="11907" w:h="16840" w:code="9"/>
      <w:pgMar w:top="1134" w:right="1134" w:bottom="1134" w:left="1134" w:header="28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D8A6A" w14:textId="77777777" w:rsidR="00FD3FC5" w:rsidRDefault="00FD3FC5">
      <w:r>
        <w:separator/>
      </w:r>
    </w:p>
    <w:p w14:paraId="6E33EF47" w14:textId="77777777" w:rsidR="00FD3FC5" w:rsidRDefault="00FD3FC5"/>
  </w:endnote>
  <w:endnote w:type="continuationSeparator" w:id="0">
    <w:p w14:paraId="2346510B" w14:textId="77777777" w:rsidR="00FD3FC5" w:rsidRDefault="00FD3FC5">
      <w:r>
        <w:continuationSeparator/>
      </w:r>
    </w:p>
    <w:p w14:paraId="5B9FE92A" w14:textId="77777777" w:rsidR="00FD3FC5" w:rsidRDefault="00FD3FC5"/>
  </w:endnote>
  <w:endnote w:type="continuationNotice" w:id="1">
    <w:p w14:paraId="1E6F3A42" w14:textId="77777777" w:rsidR="00FD3FC5" w:rsidRDefault="00FD3F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IC Light">
    <w:altName w:val="VIC Light"/>
    <w:panose1 w:val="00000400000000000000"/>
    <w:charset w:val="00"/>
    <w:family w:val="auto"/>
    <w:pitch w:val="variable"/>
    <w:sig w:usb0="00000007" w:usb1="00000000" w:usb2="00000000" w:usb3="00000000" w:csb0="00000093"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D3FC5" w14:paraId="7C058026" w14:textId="77777777" w:rsidTr="372C1C62">
      <w:trPr>
        <w:trHeight w:val="397"/>
      </w:trPr>
      <w:tc>
        <w:tcPr>
          <w:tcW w:w="340" w:type="dxa"/>
        </w:tcPr>
        <w:p w14:paraId="6B907DD3" w14:textId="77777777" w:rsidR="00FD3FC5" w:rsidRPr="00D55628" w:rsidRDefault="00FD3FC5"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2137FD84" w14:textId="77777777" w:rsidR="00FD3FC5" w:rsidRPr="00D55628" w:rsidRDefault="00FD3FC5" w:rsidP="00D55628">
          <w:pPr>
            <w:pStyle w:val="FooterEven"/>
          </w:pPr>
          <w:r w:rsidRPr="372C1C62">
            <w:rPr>
              <w:rStyle w:val="Bold"/>
            </w:rPr>
            <w:t>Title of document</w:t>
          </w:r>
          <w:r>
            <w:t xml:space="preserve"> Subtitle</w:t>
          </w:r>
        </w:p>
      </w:tc>
    </w:tr>
  </w:tbl>
  <w:p w14:paraId="7A1231C7" w14:textId="77777777" w:rsidR="00FD3FC5" w:rsidRPr="008B6D45" w:rsidRDefault="00FD3FC5"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340"/>
      <w:gridCol w:w="9071"/>
    </w:tblGrid>
    <w:tr w:rsidR="00FD3FC5" w14:paraId="6EE7C757" w14:textId="77777777" w:rsidTr="00A95E70">
      <w:trPr>
        <w:trHeight w:val="397"/>
      </w:trPr>
      <w:tc>
        <w:tcPr>
          <w:tcW w:w="340" w:type="dxa"/>
        </w:tcPr>
        <w:p w14:paraId="729920F2" w14:textId="631B21B1" w:rsidR="00FD3FC5" w:rsidRPr="00D55628" w:rsidRDefault="00FD3FC5" w:rsidP="0079576B">
          <w:pPr>
            <w:pStyle w:val="FooterEvenPageNumber"/>
            <w:framePr w:wrap="auto" w:vAnchor="margin" w:hAnchor="text" w:yAlign="inline"/>
          </w:pPr>
        </w:p>
      </w:tc>
      <w:tc>
        <w:tcPr>
          <w:tcW w:w="9071" w:type="dxa"/>
        </w:tcPr>
        <w:p w14:paraId="2F4E6E3C" w14:textId="77777777" w:rsidR="00FD3FC5" w:rsidRPr="00810C40" w:rsidRDefault="00FD3FC5" w:rsidP="0079576B">
          <w:pPr>
            <w:pStyle w:val="FooterEven"/>
          </w:pPr>
        </w:p>
      </w:tc>
    </w:tr>
  </w:tbl>
  <w:p w14:paraId="4CD742C0" w14:textId="77777777" w:rsidR="00FD3FC5" w:rsidRDefault="00FD3FC5" w:rsidP="00A95E70">
    <w:pPr>
      <w:pStyle w:val="FooterEven"/>
      <w:jc w:val="right"/>
    </w:pPr>
    <w:r w:rsidRPr="00D55628">
      <w:rPr>
        <w:noProof/>
      </w:rPr>
      <mc:AlternateContent>
        <mc:Choice Requires="wps">
          <w:drawing>
            <wp:anchor distT="0" distB="0" distL="114300" distR="114300" simplePos="0" relativeHeight="251658246" behindDoc="1" locked="1" layoutInCell="1" allowOverlap="1" wp14:anchorId="25B0067F" wp14:editId="25A9F0E9">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C64F" w14:textId="5F92BDE7" w:rsidR="00FD3FC5" w:rsidRPr="0001226A" w:rsidRDefault="00FD3FC5" w:rsidP="0079576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067F" id="_x0000_t202" coordsize="21600,21600" o:spt="202" path="m,l,21600r21600,l21600,xe">
              <v:stroke joinstyle="miter"/>
              <v:path gradientshapeok="t" o:connecttype="rect"/>
            </v:shapetype>
            <v:shape id="_x0000_s1040" type="#_x0000_t202" alt="Title: Background Watermark Image" style="position:absolute;left:0;text-align:left;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nq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CUaCdlCjB7Y3aCn3KIrAZrhpwbikxWOt5FaU6As1DOqhHtFtR2tmczj0OgGo+x7AzB7eghZ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WbHRtjI8gkkrCQIDMQI0xEWjVTfMBpg0qRYf91SxTBqbwW0QRwS&#10;YkeT25DJLIKNOj/ZnJ9QUQBUig1G43JlxnG27RWvG/A0Np6QN9A6FXeitj02RnVoOJgmjtth8tlx&#10;db53t57n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ObOerVAgAA5wUAAA4AAAAAAAAAAAAAAAAALgIAAGRycy9lMm9E&#10;b2MueG1sUEsBAi0AFAAGAAgAAAAhADTFRM7bAAAABgEAAA8AAAAAAAAAAAAAAAAALwUAAGRycy9k&#10;b3ducmV2LnhtbFBLBQYAAAAABAAEAPMAAAA3BgAAAAA=&#10;" filled="f" stroked="f">
              <v:textbox>
                <w:txbxContent>
                  <w:p w14:paraId="4FCBC64F" w14:textId="5F92BDE7" w:rsidR="00FD3FC5" w:rsidRPr="0001226A" w:rsidRDefault="00FD3FC5" w:rsidP="0079576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9289A2F" w14:textId="77777777" w:rsidR="00FD3FC5" w:rsidRPr="00B5221E" w:rsidRDefault="00FD3FC5" w:rsidP="00795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40CD9" w14:textId="77777777" w:rsidR="00FD3FC5" w:rsidRDefault="00FD3FC5">
    <w:pPr>
      <w:pStyle w:val="Footer"/>
    </w:pPr>
    <w:r w:rsidRPr="00D55628">
      <w:rPr>
        <w:noProof/>
      </w:rPr>
      <mc:AlternateContent>
        <mc:Choice Requires="wps">
          <w:drawing>
            <wp:anchor distT="0" distB="0" distL="114300" distR="114300" simplePos="0" relativeHeight="251658242" behindDoc="1" locked="1" layoutInCell="1" allowOverlap="1" wp14:anchorId="3C496005" wp14:editId="2A20168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84C1" w14:textId="6ACB540D" w:rsidR="00FD3FC5" w:rsidRPr="0001226A" w:rsidRDefault="00FD3FC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6005"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pj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D4Uopj0AIAAN8FAAAOAAAAAAAAAAAAAAAAAC4CAABkcnMvZTJvRG9jLnht&#10;bFBLAQItABQABgAIAAAAIQA0xUTO2wAAAAYBAAAPAAAAAAAAAAAAAAAAACoFAABkcnMvZG93bnJl&#10;di54bWxQSwUGAAAAAAQABADzAAAAMgYAAAAA&#10;" filled="f" stroked="f">
              <v:textbox>
                <w:txbxContent>
                  <w:p w14:paraId="0F0084C1" w14:textId="6ACB540D" w:rsidR="00FD3FC5" w:rsidRPr="0001226A" w:rsidRDefault="00FD3FC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55DB4E7" w14:textId="77777777" w:rsidR="00FD3FC5" w:rsidRDefault="00FD3F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34056" w14:textId="77777777" w:rsidR="00FD3FC5" w:rsidRDefault="00FD3FC5">
    <w:pPr>
      <w:pStyle w:val="Footer"/>
    </w:pPr>
    <w:r>
      <w:rPr>
        <w:noProof/>
      </w:rPr>
      <w:drawing>
        <wp:anchor distT="0" distB="0" distL="114300" distR="114300" simplePos="0" relativeHeight="251658243" behindDoc="1" locked="1" layoutInCell="1" allowOverlap="1" wp14:anchorId="161ACA44" wp14:editId="2C0C753C">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313EBAAF" wp14:editId="74FA49DF">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43727" w14:textId="77777777" w:rsidR="00FD3FC5" w:rsidRPr="00124E8F" w:rsidRDefault="00FD3FC5" w:rsidP="00124E8F">
    <w:pPr>
      <w:pStyle w:val="Footer"/>
    </w:pPr>
    <w:r w:rsidRPr="00D55628">
      <w:rPr>
        <w:noProof/>
      </w:rPr>
      <mc:AlternateContent>
        <mc:Choice Requires="wps">
          <w:drawing>
            <wp:anchor distT="0" distB="0" distL="114300" distR="114300" simplePos="0" relativeHeight="251658245" behindDoc="1" locked="1" layoutInCell="1" allowOverlap="1" wp14:anchorId="044E09B6" wp14:editId="40F0F05D">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79D77" w14:textId="48F14254" w:rsidR="00FD3FC5" w:rsidRPr="0001226A" w:rsidRDefault="00FD3F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E09B6" id="_x0000_t202" coordsize="21600,21600" o:spt="202" path="m,l,21600r21600,l21600,xe">
              <v:stroke joinstyle="miter"/>
              <v:path gradientshapeok="t" o:connecttype="rect"/>
            </v:shapetype>
            <v:shape id="Text Box 225" o:spid="_x0000_s1034"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4E279D77" w14:textId="48F14254" w:rsidR="00FD3FC5" w:rsidRPr="0001226A" w:rsidRDefault="00FD3F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19BA" w14:textId="77777777" w:rsidR="00FD3FC5" w:rsidRDefault="00FD3FC5">
    <w:pPr>
      <w:pStyle w:val="Footer"/>
    </w:pPr>
    <w:bookmarkStart w:id="8" w:name="_Hlk505590233"/>
    <w:bookmarkStart w:id="9" w:name="_Hlk505590234"/>
    <w:bookmarkStart w:id="10" w:name="_Hlk505590235"/>
    <w:r w:rsidRPr="00D55628">
      <w:rPr>
        <w:noProof/>
      </w:rPr>
      <mc:AlternateContent>
        <mc:Choice Requires="wps">
          <w:drawing>
            <wp:anchor distT="0" distB="0" distL="114300" distR="114300" simplePos="0" relativeHeight="251658244" behindDoc="1" locked="1" layoutInCell="1" allowOverlap="1" wp14:anchorId="1B164F94" wp14:editId="7641FF7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118D" w14:textId="5C470969" w:rsidR="00FD3FC5" w:rsidRPr="0001226A" w:rsidRDefault="00FD3F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64F9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4058118D" w14:textId="5C470969" w:rsidR="00FD3FC5" w:rsidRPr="0001226A" w:rsidRDefault="00FD3FC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bookmarkEnd w:id="8"/>
  <w:bookmarkEnd w:id="9"/>
  <w:bookmarkEnd w:id="10"/>
  <w:p w14:paraId="10B9D083" w14:textId="77777777" w:rsidR="00FD3FC5" w:rsidRDefault="00FD3F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D3FC5" w14:paraId="2C827998" w14:textId="77777777" w:rsidTr="372C1C62">
      <w:trPr>
        <w:trHeight w:val="397"/>
      </w:trPr>
      <w:tc>
        <w:tcPr>
          <w:tcW w:w="340" w:type="dxa"/>
        </w:tcPr>
        <w:p w14:paraId="4225B741" w14:textId="2ACFA940" w:rsidR="00FD3FC5" w:rsidRPr="00D55628" w:rsidRDefault="00FD3FC5"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CA794F">
            <w:rPr>
              <w:noProof/>
            </w:rPr>
            <w:t>2</w:t>
          </w:r>
          <w:r w:rsidRPr="00D55628">
            <w:fldChar w:fldCharType="end"/>
          </w:r>
        </w:p>
      </w:tc>
      <w:tc>
        <w:tcPr>
          <w:tcW w:w="9071" w:type="dxa"/>
        </w:tcPr>
        <w:p w14:paraId="3BF41154" w14:textId="7AD823EF" w:rsidR="00FD3FC5" w:rsidRDefault="00FD3FC5" w:rsidP="372C1C62">
          <w:pPr>
            <w:pStyle w:val="FooterEven"/>
            <w:rPr>
              <w:rStyle w:val="Bold"/>
            </w:rPr>
          </w:pPr>
          <w:r w:rsidRPr="372C1C62">
            <w:fldChar w:fldCharType="begin"/>
          </w:r>
          <w:r>
            <w:rPr>
              <w:rStyle w:val="Bold"/>
            </w:rPr>
            <w:instrText xml:space="preserve"> DOCPROPERTY  xFooterTitle  \* MERGEFORMAT </w:instrText>
          </w:r>
          <w:r w:rsidRPr="372C1C62">
            <w:rPr>
              <w:rStyle w:val="Bold"/>
            </w:rPr>
            <w:fldChar w:fldCharType="separate"/>
          </w:r>
          <w:r>
            <w:rPr>
              <w:rStyle w:val="Bold"/>
            </w:rPr>
            <w:t>12 Years of Housing Development Data</w:t>
          </w:r>
          <w:r w:rsidRPr="372C1C62">
            <w:fldChar w:fldCharType="end"/>
          </w:r>
        </w:p>
        <w:p w14:paraId="1D499FC1" w14:textId="5BC218A7" w:rsidR="00FD3FC5" w:rsidRPr="00810C40" w:rsidRDefault="00CA794F" w:rsidP="00211CA6">
          <w:pPr>
            <w:pStyle w:val="FooterEven"/>
          </w:pPr>
          <w:r>
            <w:fldChar w:fldCharType="begin"/>
          </w:r>
          <w:r>
            <w:instrText xml:space="preserve"> DOCPROPERTY  xFooterSubtitle  \* MERGEFORMAT </w:instrText>
          </w:r>
          <w:r>
            <w:fldChar w:fldCharType="separate"/>
          </w:r>
          <w:r w:rsidR="00FD3FC5">
            <w:t>2005 to 2016</w:t>
          </w:r>
          <w:r>
            <w:fldChar w:fldCharType="end"/>
          </w:r>
        </w:p>
      </w:tc>
    </w:tr>
  </w:tbl>
  <w:p w14:paraId="247F84D4" w14:textId="77777777" w:rsidR="00FD3FC5" w:rsidRDefault="00FD3FC5" w:rsidP="00211CA6">
    <w:pPr>
      <w:pStyle w:val="FooterEven"/>
    </w:pPr>
    <w:r w:rsidRPr="00D55628">
      <w:rPr>
        <w:noProof/>
      </w:rPr>
      <mc:AlternateContent>
        <mc:Choice Requires="wps">
          <w:drawing>
            <wp:anchor distT="0" distB="0" distL="114300" distR="114300" simplePos="0" relativeHeight="251658240" behindDoc="1" locked="1" layoutInCell="1" allowOverlap="1" wp14:anchorId="511BCA69" wp14:editId="5CF276B5">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327F" w14:textId="4EADAC43" w:rsidR="00FD3FC5" w:rsidRPr="0001226A" w:rsidRDefault="00FD3FC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CA69"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1BDg+1gIAAOcFAAAOAAAAAAAAAAAAAAAAAC4CAABkcnMvZTJv&#10;RG9jLnhtbFBLAQItABQABgAIAAAAIQA0xUTO2wAAAAYBAAAPAAAAAAAAAAAAAAAAADAFAABkcnMv&#10;ZG93bnJldi54bWxQSwUGAAAAAAQABADzAAAAOAYAAAAA&#10;" filled="f" stroked="f">
              <v:textbox>
                <w:txbxContent>
                  <w:p w14:paraId="38B5327F" w14:textId="4EADAC43" w:rsidR="00FD3FC5" w:rsidRPr="0001226A" w:rsidRDefault="00FD3FC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B176CDE" w14:textId="77777777" w:rsidR="00FD3FC5" w:rsidRPr="00211CA6" w:rsidRDefault="00FD3FC5"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4E19F" w14:textId="6C77134C" w:rsidR="00FD3FC5" w:rsidRDefault="00FD3FC5"/>
  <w:p w14:paraId="2F2C427F" w14:textId="77777777" w:rsidR="00FD3FC5" w:rsidRDefault="00FD3FC5"/>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D3FC5" w:rsidRPr="00320A16" w14:paraId="3B5B3C30" w14:textId="77777777" w:rsidTr="372C1C62">
      <w:trPr>
        <w:trHeight w:val="397"/>
      </w:trPr>
      <w:tc>
        <w:tcPr>
          <w:tcW w:w="9071" w:type="dxa"/>
        </w:tcPr>
        <w:p w14:paraId="25B3D342" w14:textId="58AF48D5" w:rsidR="00FD3FC5" w:rsidRPr="00320A16" w:rsidRDefault="00FD3FC5" w:rsidP="00320A16">
          <w:pPr>
            <w:pStyle w:val="FooterOdd"/>
            <w:spacing w:after="120"/>
            <w:rPr>
              <w:rStyle w:val="Bold"/>
              <w:b w:val="0"/>
            </w:rPr>
          </w:pPr>
          <w:r w:rsidRPr="00320A16">
            <w:fldChar w:fldCharType="begin"/>
          </w:r>
          <w:r w:rsidRPr="00320A16">
            <w:rPr>
              <w:rStyle w:val="Bold"/>
              <w:b w:val="0"/>
            </w:rPr>
            <w:instrText xml:space="preserve"> DOCPROPERTY  xFooterTitle  \* MERGEFORMAT </w:instrText>
          </w:r>
          <w:r w:rsidRPr="00320A16">
            <w:rPr>
              <w:rStyle w:val="Bold"/>
              <w:b w:val="0"/>
            </w:rPr>
            <w:fldChar w:fldCharType="separate"/>
          </w:r>
          <w:r>
            <w:rPr>
              <w:rStyle w:val="Bold"/>
              <w:b w:val="0"/>
            </w:rPr>
            <w:t>12 Years of Housing Development Data</w:t>
          </w:r>
          <w:r w:rsidRPr="00320A16">
            <w:fldChar w:fldCharType="end"/>
          </w:r>
        </w:p>
        <w:p w14:paraId="7EBC5B12" w14:textId="72CA998A" w:rsidR="00FD3FC5" w:rsidRPr="00320A16" w:rsidRDefault="00FD3FC5" w:rsidP="372C1C62">
          <w:pPr>
            <w:pStyle w:val="FooterOdd"/>
            <w:rPr>
              <w:bCs/>
            </w:rPr>
          </w:pPr>
        </w:p>
      </w:tc>
      <w:tc>
        <w:tcPr>
          <w:tcW w:w="340" w:type="dxa"/>
        </w:tcPr>
        <w:p w14:paraId="1AFEC86A" w14:textId="716C0F6B" w:rsidR="00FD3FC5" w:rsidRPr="00320A16" w:rsidRDefault="00FD3FC5" w:rsidP="00211CA6">
          <w:pPr>
            <w:pStyle w:val="FooterOddPageNumber"/>
          </w:pPr>
          <w:r w:rsidRPr="00320A16">
            <w:fldChar w:fldCharType="begin"/>
          </w:r>
          <w:r w:rsidRPr="00320A16">
            <w:instrText xml:space="preserve"> PAGE   \* MERGEFORMAT </w:instrText>
          </w:r>
          <w:r w:rsidRPr="00320A16">
            <w:fldChar w:fldCharType="separate"/>
          </w:r>
          <w:r w:rsidR="00CA794F">
            <w:rPr>
              <w:noProof/>
            </w:rPr>
            <w:t>7</w:t>
          </w:r>
          <w:r w:rsidRPr="00320A16">
            <w:fldChar w:fldCharType="end"/>
          </w:r>
        </w:p>
      </w:tc>
    </w:tr>
  </w:tbl>
  <w:p w14:paraId="3620C153" w14:textId="77777777" w:rsidR="00FD3FC5" w:rsidRDefault="00FD3FC5" w:rsidP="00211CA6">
    <w:pPr>
      <w:pStyle w:val="Footer"/>
    </w:pPr>
    <w:r w:rsidRPr="00D55628">
      <w:rPr>
        <w:noProof/>
      </w:rPr>
      <mc:AlternateContent>
        <mc:Choice Requires="wps">
          <w:drawing>
            <wp:anchor distT="0" distB="0" distL="114300" distR="114300" simplePos="0" relativeHeight="251658248" behindDoc="1" locked="1" layoutInCell="1" allowOverlap="1" wp14:anchorId="1E60D0CB" wp14:editId="5CC0EEF8">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761B" w14:textId="2B9A2A9E" w:rsidR="00FD3FC5" w:rsidRPr="0001226A" w:rsidRDefault="00FD3FC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0D0CB"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n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NJNBnV9Ftutu6nYp9xo0nHQa2o5V2K56dLNLEaXIvSldZQ3o7rs1TY&#10;8J9TAeU+Ftop1op0lKvZb/augci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Klya59QCAADnBQAADgAAAAAAAAAAAAAAAAAuAgAAZHJzL2Uyb0Rv&#10;Yy54bWxQSwECLQAUAAYACAAAACEANMVEztsAAAAGAQAADwAAAAAAAAAAAAAAAAAuBQAAZHJzL2Rv&#10;d25yZXYueG1sUEsFBgAAAAAEAAQA8wAAADYGAAAAAA==&#10;" filled="f" stroked="f">
              <v:textbox>
                <w:txbxContent>
                  <w:p w14:paraId="4A16761B" w14:textId="2B9A2A9E" w:rsidR="00FD3FC5" w:rsidRPr="0001226A" w:rsidRDefault="00FD3FC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1A5565C" w14:textId="77777777" w:rsidR="00FD3FC5" w:rsidRPr="00211CA6" w:rsidRDefault="00FD3FC5"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340"/>
      <w:gridCol w:w="9071"/>
    </w:tblGrid>
    <w:tr w:rsidR="00FD3FC5" w14:paraId="0E98231F" w14:textId="77777777" w:rsidTr="00A95E70">
      <w:trPr>
        <w:trHeight w:val="397"/>
      </w:trPr>
      <w:tc>
        <w:tcPr>
          <w:tcW w:w="340" w:type="dxa"/>
        </w:tcPr>
        <w:p w14:paraId="112F35D3" w14:textId="3574A182" w:rsidR="00FD3FC5" w:rsidRPr="00D55628" w:rsidRDefault="00FD3FC5" w:rsidP="0079576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CA794F">
            <w:rPr>
              <w:noProof/>
            </w:rPr>
            <w:t>6</w:t>
          </w:r>
          <w:r w:rsidRPr="00D55628">
            <w:fldChar w:fldCharType="end"/>
          </w:r>
        </w:p>
      </w:tc>
      <w:tc>
        <w:tcPr>
          <w:tcW w:w="9071" w:type="dxa"/>
        </w:tcPr>
        <w:p w14:paraId="5B309C7E" w14:textId="6543C223" w:rsidR="00FD3FC5" w:rsidRDefault="00CA794F" w:rsidP="00320A16">
          <w:pPr>
            <w:pStyle w:val="FooterEven"/>
            <w:spacing w:after="120"/>
          </w:pPr>
          <w:r>
            <w:fldChar w:fldCharType="begin"/>
          </w:r>
          <w:r>
            <w:instrText xml:space="preserve"> DOCPROPERTY  xFooterTitle  \* MERGEFORMAT </w:instrText>
          </w:r>
          <w:r>
            <w:fldChar w:fldCharType="separate"/>
          </w:r>
          <w:r w:rsidR="00FD3FC5">
            <w:t>12 Years of Housing Development Data</w:t>
          </w:r>
          <w:r>
            <w:fldChar w:fldCharType="end"/>
          </w:r>
        </w:p>
        <w:p w14:paraId="72F07A7E" w14:textId="2512E9B8" w:rsidR="00FD3FC5" w:rsidRPr="00810C40" w:rsidRDefault="00FD3FC5" w:rsidP="0079576B">
          <w:pPr>
            <w:pStyle w:val="FooterEven"/>
          </w:pPr>
        </w:p>
      </w:tc>
    </w:tr>
  </w:tbl>
  <w:p w14:paraId="7D880CBD" w14:textId="77777777" w:rsidR="00FD3FC5" w:rsidRDefault="00FD3FC5" w:rsidP="00A95E70">
    <w:pPr>
      <w:pStyle w:val="FooterEven"/>
      <w:jc w:val="right"/>
    </w:pPr>
    <w:r w:rsidRPr="00D55628">
      <w:rPr>
        <w:noProof/>
      </w:rPr>
      <mc:AlternateContent>
        <mc:Choice Requires="wps">
          <w:drawing>
            <wp:anchor distT="0" distB="0" distL="114300" distR="114300" simplePos="0" relativeHeight="251658249" behindDoc="1" locked="1" layoutInCell="1" allowOverlap="1" wp14:anchorId="0D283293" wp14:editId="709C8B8A">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1B06" w14:textId="41EE6ED2" w:rsidR="00FD3FC5" w:rsidRPr="0001226A" w:rsidRDefault="00FD3FC5" w:rsidP="0079576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83293" id="_x0000_t202" coordsize="21600,21600" o:spt="202" path="m,l,21600r21600,l21600,xe">
              <v:stroke joinstyle="miter"/>
              <v:path gradientshapeok="t" o:connecttype="rect"/>
            </v:shapetype>
            <v:shape id="_x0000_s1038" type="#_x0000_t202" alt="Title: Background Watermark Image" style="position:absolute;left:0;text-align:left;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M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oFvzNQCAADmBQAADgAAAAAAAAAAAAAAAAAuAgAAZHJzL2Uyb0Rv&#10;Yy54bWxQSwECLQAUAAYACAAAACEANMVEztsAAAAGAQAADwAAAAAAAAAAAAAAAAAuBQAAZHJzL2Rv&#10;d25yZXYueG1sUEsFBgAAAAAEAAQA8wAAADYGAAAAAA==&#10;" filled="f" stroked="f">
              <v:textbox>
                <w:txbxContent>
                  <w:p w14:paraId="3CEE1B06" w14:textId="41EE6ED2" w:rsidR="00FD3FC5" w:rsidRPr="0001226A" w:rsidRDefault="00FD3FC5" w:rsidP="0079576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75D9C81" w14:textId="77777777" w:rsidR="00FD3FC5" w:rsidRPr="00B5221E" w:rsidRDefault="00FD3FC5" w:rsidP="007957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8B1A4" w14:textId="77777777" w:rsidR="00FD3FC5" w:rsidRDefault="00FD3FC5"/>
  <w:p w14:paraId="57239673" w14:textId="77777777" w:rsidR="00FD3FC5" w:rsidRDefault="00FD3FC5"/>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D3FC5" w:rsidRPr="00320A16" w14:paraId="41CCBBF0" w14:textId="77777777" w:rsidTr="372C1C62">
      <w:trPr>
        <w:trHeight w:val="397"/>
      </w:trPr>
      <w:tc>
        <w:tcPr>
          <w:tcW w:w="9071" w:type="dxa"/>
        </w:tcPr>
        <w:p w14:paraId="0A515E5F" w14:textId="77777777" w:rsidR="00FD3FC5" w:rsidRPr="00320A16" w:rsidRDefault="00FD3FC5" w:rsidP="372C1C62">
          <w:pPr>
            <w:pStyle w:val="FooterOdd"/>
            <w:rPr>
              <w:bCs/>
            </w:rPr>
          </w:pPr>
        </w:p>
      </w:tc>
      <w:tc>
        <w:tcPr>
          <w:tcW w:w="340" w:type="dxa"/>
        </w:tcPr>
        <w:p w14:paraId="6E9E165C" w14:textId="33F580CB" w:rsidR="00FD3FC5" w:rsidRPr="00320A16" w:rsidRDefault="00FD3FC5" w:rsidP="00211CA6">
          <w:pPr>
            <w:pStyle w:val="FooterOddPageNumber"/>
          </w:pPr>
        </w:p>
      </w:tc>
    </w:tr>
  </w:tbl>
  <w:p w14:paraId="6652AB0B" w14:textId="77777777" w:rsidR="00FD3FC5" w:rsidRDefault="00FD3FC5" w:rsidP="00211CA6">
    <w:pPr>
      <w:pStyle w:val="Footer"/>
    </w:pPr>
    <w:r w:rsidRPr="00D55628">
      <w:rPr>
        <w:noProof/>
      </w:rPr>
      <mc:AlternateContent>
        <mc:Choice Requires="wps">
          <w:drawing>
            <wp:anchor distT="0" distB="0" distL="114300" distR="114300" simplePos="0" relativeHeight="251658247" behindDoc="1" locked="1" layoutInCell="1" allowOverlap="1" wp14:anchorId="0FC7ABFD" wp14:editId="40A2191B">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273FD" w14:textId="6CBEE047" w:rsidR="00FD3FC5" w:rsidRPr="0001226A" w:rsidRDefault="00FD3FC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7ABFD"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E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EUsZNC8YlLR5rJbeiRF+oYVAP9YhuO1ozm8Oh1wlA3fcAZvbwFvB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abHRtjI8gkkrCQIDMQI0xEWjVTfMBpg0qRYf91SxTBqbwW0QRwS&#10;YkeT25DJLIKNOj/ZnJ9QUQBUig1G43JlxnG27RWvG/A0Np6QN9A6FXeitj02RnVoOJgmjtth8tlx&#10;db53t57n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6lcTVAgAA5wUAAA4AAAAAAAAAAAAAAAAALgIAAGRycy9lMm9E&#10;b2MueG1sUEsBAi0AFAAGAAgAAAAhADTFRM7bAAAABgEAAA8AAAAAAAAAAAAAAAAALwUAAGRycy9k&#10;b3ducmV2LnhtbFBLBQYAAAAABAAEAPMAAAA3BgAAAAA=&#10;" filled="f" stroked="f">
              <v:textbox>
                <w:txbxContent>
                  <w:p w14:paraId="767273FD" w14:textId="6CBEE047" w:rsidR="00FD3FC5" w:rsidRPr="0001226A" w:rsidRDefault="00FD3FC5"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C78C26E" w14:textId="77777777" w:rsidR="00FD3FC5" w:rsidRPr="00211CA6" w:rsidRDefault="00FD3FC5" w:rsidP="00211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30E92" w14:textId="77777777" w:rsidR="00FD3FC5" w:rsidRPr="008F5280" w:rsidRDefault="00FD3FC5" w:rsidP="008F5280">
      <w:pPr>
        <w:pStyle w:val="FootnoteSeparator"/>
      </w:pPr>
    </w:p>
  </w:footnote>
  <w:footnote w:type="continuationSeparator" w:id="0">
    <w:p w14:paraId="6BAE705F" w14:textId="77777777" w:rsidR="00FD3FC5" w:rsidRDefault="00FD3FC5" w:rsidP="008F5280">
      <w:pPr>
        <w:pStyle w:val="FootnoteSeparator"/>
      </w:pPr>
    </w:p>
    <w:p w14:paraId="1E19DF01" w14:textId="77777777" w:rsidR="00FD3FC5" w:rsidRDefault="00FD3FC5"/>
  </w:footnote>
  <w:footnote w:type="continuationNotice" w:id="1">
    <w:p w14:paraId="7725D190" w14:textId="77777777" w:rsidR="00FD3FC5" w:rsidRDefault="00FD3FC5" w:rsidP="00D55628"/>
    <w:p w14:paraId="00E57E13" w14:textId="77777777" w:rsidR="00FD3FC5" w:rsidRDefault="00FD3FC5"/>
  </w:footnote>
  <w:footnote w:id="2">
    <w:p w14:paraId="64F9DC60" w14:textId="18D6F617" w:rsidR="00FD3FC5" w:rsidRDefault="00FD3FC5">
      <w:pPr>
        <w:pStyle w:val="FootnoteText"/>
      </w:pPr>
      <w:r>
        <w:rPr>
          <w:rStyle w:val="FootnoteReference"/>
        </w:rPr>
        <w:footnoteRef/>
      </w:r>
      <w:r>
        <w:t xml:space="preserve"> </w:t>
      </w:r>
      <w:r>
        <w:tab/>
      </w:r>
      <w:bookmarkStart w:id="19" w:name="_Hlk506980630"/>
      <w:r w:rsidRPr="00EB5007">
        <w:t xml:space="preserve">Inner = LGAs of Melbourne, Port Phillip, Stonnington and Yarra; Middle = Banyule, Bayside, Boroondara, Darebin, Glen Eira, Hobsons Bay, Kingston, Manningham, Maribyrnong, Monash, Moonee Valley, Moreland and Whitehorse; Outer = Brimbank, Frankston, Greater Dandenong, Knox, Maroondah, Mornington Peninsula, Nillumbik and Yarra Ranges; </w:t>
      </w:r>
      <w:bookmarkEnd w:id="19"/>
      <w:r w:rsidRPr="00EB5007">
        <w:t xml:space="preserve">Growth </w:t>
      </w:r>
      <w:r>
        <w:t>=</w:t>
      </w:r>
      <w:r w:rsidRPr="00EB5007">
        <w:t xml:space="preserve"> Cardinia, Casey, Hume, Melton, Whittlesea and Wyndham.</w:t>
      </w:r>
    </w:p>
  </w:footnote>
  <w:footnote w:id="3">
    <w:p w14:paraId="68DAF925" w14:textId="0F7822A8" w:rsidR="00FD3FC5" w:rsidRDefault="00FD3FC5">
      <w:pPr>
        <w:pStyle w:val="FootnoteText"/>
      </w:pPr>
      <w:r>
        <w:rPr>
          <w:rStyle w:val="FootnoteReference"/>
        </w:rPr>
        <w:footnoteRef/>
      </w:r>
      <w:r>
        <w:t xml:space="preserve"> </w:t>
      </w:r>
      <w:r>
        <w:tab/>
      </w:r>
      <w:r w:rsidRPr="006E4FC4">
        <w:t>Houses = detached houses; Low rise = semi-detached, row and terrace houses and apartments in buildings of one, two or three storeys; High rise = apartments in buildings of four or more storeys.</w:t>
      </w:r>
    </w:p>
  </w:footnote>
  <w:footnote w:id="4">
    <w:p w14:paraId="1F61A908" w14:textId="317783CF" w:rsidR="00FD3FC5" w:rsidRPr="00E956DF" w:rsidRDefault="00FD3FC5" w:rsidP="009B140E">
      <w:pPr>
        <w:pStyle w:val="FootnoteText"/>
      </w:pPr>
      <w:r w:rsidRPr="00AC55EB">
        <w:rPr>
          <w:szCs w:val="14"/>
        </w:rPr>
        <w:footnoteRef/>
      </w:r>
      <w:r>
        <w:t>.</w:t>
      </w:r>
      <w:r>
        <w:tab/>
        <w:t xml:space="preserve">Building approvals are compiled from building permits issued by local councils and are a reliable indicator of what actually ends up being built. They are not the same as planning permits. </w:t>
      </w:r>
      <w:r w:rsidRPr="00F34566">
        <w:t>Other = semi-detached, row and terrace houses and apartments in buildings of one, two or three storeys</w:t>
      </w:r>
      <w:r w:rsidRPr="00E55213">
        <w:t xml:space="preserve"> </w:t>
      </w:r>
      <w:r>
        <w:t>i</w:t>
      </w:r>
      <w:r w:rsidRPr="00E55213">
        <w:t>n inner Melbourne and all dwellings in outer suburbs and growth areas apart from detached houses.</w:t>
      </w:r>
      <w:r>
        <w:t xml:space="preserve"> </w:t>
      </w:r>
    </w:p>
  </w:footnote>
  <w:footnote w:id="5">
    <w:p w14:paraId="597EE1F0" w14:textId="5076E153" w:rsidR="00FD3FC5" w:rsidRDefault="00FD3FC5">
      <w:pPr>
        <w:pStyle w:val="FootnoteText"/>
      </w:pPr>
      <w:r>
        <w:rPr>
          <w:rStyle w:val="FootnoteReference"/>
        </w:rPr>
        <w:footnoteRef/>
      </w:r>
      <w:r>
        <w:t xml:space="preserve"> </w:t>
      </w:r>
      <w:r>
        <w:tab/>
      </w:r>
      <w:r w:rsidRPr="00ED6451">
        <w:t xml:space="preserve">This analysis examines growth in and around the 120 established centres defined </w:t>
      </w:r>
      <w:r w:rsidRPr="000C4EE4">
        <w:rPr>
          <w:i/>
        </w:rPr>
        <w:t>in Melbourne</w:t>
      </w:r>
      <w:r>
        <w:rPr>
          <w:i/>
        </w:rPr>
        <w:t xml:space="preserve"> </w:t>
      </w:r>
      <w:r w:rsidRPr="000C4EE4">
        <w:rPr>
          <w:i/>
        </w:rPr>
        <w:t>2030</w:t>
      </w:r>
      <w:r w:rsidRPr="00ED6451">
        <w:t xml:space="preserve"> and the 13 new centres defined in </w:t>
      </w:r>
      <w:r w:rsidRPr="000C4EE4">
        <w:rPr>
          <w:i/>
        </w:rPr>
        <w:t>Plan   Melbourne</w:t>
      </w:r>
      <w:r w:rsidRPr="00ED6451">
        <w:t>. More areas will be added to this analysis in the future as housing directions are implemented into planning schemes.</w:t>
      </w:r>
    </w:p>
  </w:footnote>
  <w:footnote w:id="6">
    <w:p w14:paraId="28582B85" w14:textId="77777777" w:rsidR="00FD3FC5" w:rsidRDefault="00FD3FC5" w:rsidP="00805F60">
      <w:pPr>
        <w:pStyle w:val="FootnoteText"/>
      </w:pPr>
      <w:r>
        <w:rPr>
          <w:rStyle w:val="FootnoteReference"/>
        </w:rPr>
        <w:footnoteRef/>
      </w:r>
      <w:r>
        <w:t xml:space="preserve"> </w:t>
      </w:r>
      <w:r>
        <w:tab/>
        <w:t xml:space="preserve">Established Melbourne = </w:t>
      </w:r>
      <w:r w:rsidRPr="00ED6451">
        <w:t>LGAs of Melbourne</w:t>
      </w:r>
      <w:r>
        <w:t xml:space="preserve">, Port Phillip, Stonnington, </w:t>
      </w:r>
      <w:r w:rsidRPr="00ED6451">
        <w:t>Yarra</w:t>
      </w:r>
      <w:r>
        <w:t xml:space="preserve">, </w:t>
      </w:r>
      <w:r w:rsidRPr="00ED6451">
        <w:t>Banyule, Bayside, Boroondara, D</w:t>
      </w:r>
      <w:r>
        <w:t xml:space="preserve">arebin, Glen Eira, Hobsons Bay Kingston, </w:t>
      </w:r>
      <w:r w:rsidRPr="00ED6451">
        <w:t xml:space="preserve">Manningham, Maribyrnong, Monash, Moonee Valley, </w:t>
      </w:r>
      <w:r>
        <w:t xml:space="preserve">Moreland and Whitehorse, </w:t>
      </w:r>
      <w:r w:rsidRPr="00ED6451">
        <w:t>Brimbank, Frankston, Greater Dandenong, Knox, Maroondah, Mornington Penins</w:t>
      </w:r>
      <w:r>
        <w:t>ula, Nillumbik and Yarra Ranges</w:t>
      </w:r>
    </w:p>
  </w:footnote>
  <w:footnote w:id="7">
    <w:p w14:paraId="598A49DB" w14:textId="77777777" w:rsidR="00FD3FC5" w:rsidRDefault="00FD3FC5" w:rsidP="00805F60">
      <w:pPr>
        <w:pStyle w:val="FootnoteText"/>
      </w:pPr>
      <w:r>
        <w:rPr>
          <w:rStyle w:val="FootnoteReference"/>
        </w:rPr>
        <w:footnoteRef/>
      </w:r>
      <w:r>
        <w:t xml:space="preserve"> </w:t>
      </w:r>
      <w:r>
        <w:tab/>
        <w:t xml:space="preserve">400m has been measured from the boundary of the centre as defined in local planning policy. If a centre did not have a defined boundary the commercial mixed use areas have been used as a default boundary. </w:t>
      </w:r>
    </w:p>
  </w:footnote>
  <w:footnote w:id="8">
    <w:p w14:paraId="009E689C" w14:textId="11861E5E" w:rsidR="00FD3FC5" w:rsidRPr="009C1C6B" w:rsidRDefault="00FD3FC5">
      <w:pPr>
        <w:pStyle w:val="FootnoteText"/>
      </w:pPr>
      <w:r w:rsidRPr="009C1C6B">
        <w:footnoteRef/>
      </w:r>
      <w:r>
        <w:t>.</w:t>
      </w:r>
      <w:r>
        <w:tab/>
        <w:t xml:space="preserve">The </w:t>
      </w:r>
      <w:r w:rsidRPr="009C1C6B">
        <w:t>B1Z, B2Z, B5Z, are the former business zones that were replaced in 2013 by the Commercial Zones (C1Z, C2Z). R1Z, R2Z, R3Z are the former residential zones that were replaced by the reformed residential zones in 2013 which are RGZ (Residential Growth Zone), GRZ (General Residential Zone) and NRZ (Neighbourhood Residential Zone). Other major zones in which residential development is permitted include CCZ (Capital City Zone), DZ (Dockland Zone), ACZ (Activity Centre Zone) and MUZ (Mixed Use Zone).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A382E" w14:textId="77777777" w:rsidR="00FD3FC5" w:rsidRDefault="00FD3FC5">
    <w:pPr>
      <w:pStyle w:val="Header"/>
    </w:pPr>
    <w:bookmarkStart w:id="1" w:name="_Hlk505590227"/>
    <w:bookmarkStart w:id="2" w:name="_Hlk505590228"/>
    <w:bookmarkStart w:id="3" w:name="_Hlk505590229"/>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421B5" w14:textId="77777777" w:rsidR="00FD3FC5" w:rsidRPr="00DB0C35" w:rsidRDefault="00FD3FC5" w:rsidP="00DB0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2C29" w14:textId="77777777" w:rsidR="00FD3FC5" w:rsidRDefault="00FD3FC5">
    <w:pPr>
      <w:pStyle w:val="Header"/>
    </w:pPr>
    <w:bookmarkStart w:id="5" w:name="_Hlk505590230"/>
    <w:bookmarkStart w:id="6" w:name="_Hlk505590231"/>
    <w:bookmarkStart w:id="7" w:name="_Hlk505590232"/>
    <w:bookmarkEnd w:id="5"/>
    <w:bookmarkEnd w:id="6"/>
    <w:bookmarkEnd w:id="7"/>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E1C94" w14:textId="77777777" w:rsidR="00FD3FC5" w:rsidRDefault="00FD3FC5">
    <w:pPr>
      <w:pStyle w:val="Header"/>
    </w:pPr>
    <w:bookmarkStart w:id="26" w:name="_Hlk505590236"/>
    <w:bookmarkStart w:id="27" w:name="_Hlk505590237"/>
    <w:bookmarkStart w:id="28" w:name="_Hlk505590238"/>
    <w:bookmarkEnd w:id="26"/>
    <w:bookmarkEnd w:id="27"/>
    <w:bookmarkEnd w:id="28"/>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ABB5" w14:textId="77777777" w:rsidR="00FD3FC5" w:rsidRDefault="00FD3F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2AD2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6CB3A38"/>
    <w:multiLevelType w:val="hybridMultilevel"/>
    <w:tmpl w:val="6EA08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986587"/>
    <w:multiLevelType w:val="multilevel"/>
    <w:tmpl w:val="B9E07D6E"/>
    <w:name w:val="DELWP Appendices"/>
    <w:numStyleLink w:val="DELWPAppendices"/>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A27C01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23"/>
  </w:num>
  <w:num w:numId="4">
    <w:abstractNumId w:val="9"/>
  </w:num>
  <w:num w:numId="5">
    <w:abstractNumId w:val="5"/>
  </w:num>
  <w:num w:numId="6">
    <w:abstractNumId w:val="2"/>
  </w:num>
  <w:num w:numId="7">
    <w:abstractNumId w:val="22"/>
  </w:num>
  <w:num w:numId="8">
    <w:abstractNumId w:val="6"/>
  </w:num>
  <w:num w:numId="9">
    <w:abstractNumId w:val="11"/>
  </w:num>
  <w:num w:numId="10">
    <w:abstractNumId w:val="7"/>
  </w:num>
  <w:num w:numId="11">
    <w:abstractNumId w:val="15"/>
  </w:num>
  <w:num w:numId="12">
    <w:abstractNumId w:val="16"/>
  </w:num>
  <w:num w:numId="13">
    <w:abstractNumId w:val="1"/>
  </w:num>
  <w:num w:numId="14">
    <w:abstractNumId w:val="8"/>
  </w:num>
  <w:num w:numId="15">
    <w:abstractNumId w:val="3"/>
    <w:lvlOverride w:ilvl="0">
      <w:lvl w:ilvl="0">
        <w:start w:val="1"/>
        <w:numFmt w:val="decimal"/>
        <w:lvlRestart w:val="0"/>
        <w:pStyle w:val="Heading1"/>
        <w:suff w:val="space"/>
        <w:lvlText w:val="%1."/>
        <w:lvlJc w:val="left"/>
        <w:pPr>
          <w:tabs>
            <w:tab w:val="num" w:pos="0"/>
          </w:tabs>
          <w:ind w:left="0" w:firstLine="0"/>
        </w:pPr>
      </w:lvl>
    </w:lvlOverride>
  </w:num>
  <w:num w:numId="16">
    <w:abstractNumId w:val="14"/>
  </w:num>
  <w:num w:numId="17">
    <w:abstractNumId w:val="0"/>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457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bbreviations" w:val="False"/>
    <w:docVar w:name="AppendixName" w:val="Appendix"/>
    <w:docVar w:name="Audience" w:val="External"/>
    <w:docVar w:name="CoBrandNumber" w:val="0"/>
    <w:docVar w:name="CoverCoBranded" w:val="Fals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Planning"/>
    <w:docVar w:name="TOC" w:val="True"/>
    <w:docVar w:name="TOCNew" w:val="True"/>
    <w:docVar w:name="Version" w:val="1"/>
  </w:docVars>
  <w:rsids>
    <w:rsidRoot w:val="00CB7136"/>
    <w:rsid w:val="0000017F"/>
    <w:rsid w:val="00000185"/>
    <w:rsid w:val="00000279"/>
    <w:rsid w:val="000004BD"/>
    <w:rsid w:val="00000B7A"/>
    <w:rsid w:val="00000C89"/>
    <w:rsid w:val="00000FEB"/>
    <w:rsid w:val="000012BE"/>
    <w:rsid w:val="000015ED"/>
    <w:rsid w:val="00001F76"/>
    <w:rsid w:val="000024EB"/>
    <w:rsid w:val="0000279C"/>
    <w:rsid w:val="000028B4"/>
    <w:rsid w:val="00002DE1"/>
    <w:rsid w:val="00002F0D"/>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638"/>
    <w:rsid w:val="00015BB6"/>
    <w:rsid w:val="00016478"/>
    <w:rsid w:val="000169E3"/>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BD6"/>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20F"/>
    <w:rsid w:val="0003578B"/>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43"/>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4BA"/>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4CA"/>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0D3"/>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4F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012"/>
    <w:rsid w:val="00085689"/>
    <w:rsid w:val="0008568F"/>
    <w:rsid w:val="00086892"/>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874"/>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81C"/>
    <w:rsid w:val="000A09AD"/>
    <w:rsid w:val="000A0B58"/>
    <w:rsid w:val="000A0D74"/>
    <w:rsid w:val="000A1512"/>
    <w:rsid w:val="000A15E4"/>
    <w:rsid w:val="000A16B0"/>
    <w:rsid w:val="000A21CB"/>
    <w:rsid w:val="000A2315"/>
    <w:rsid w:val="000A28BD"/>
    <w:rsid w:val="000A2A90"/>
    <w:rsid w:val="000A2C62"/>
    <w:rsid w:val="000A2E96"/>
    <w:rsid w:val="000A30F9"/>
    <w:rsid w:val="000A3721"/>
    <w:rsid w:val="000A3841"/>
    <w:rsid w:val="000A3B01"/>
    <w:rsid w:val="000A4744"/>
    <w:rsid w:val="000A49F2"/>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A62"/>
    <w:rsid w:val="000B5EA3"/>
    <w:rsid w:val="000B669C"/>
    <w:rsid w:val="000B6A39"/>
    <w:rsid w:val="000B6BF6"/>
    <w:rsid w:val="000B7CAB"/>
    <w:rsid w:val="000B7CC2"/>
    <w:rsid w:val="000C005D"/>
    <w:rsid w:val="000C015B"/>
    <w:rsid w:val="000C03B8"/>
    <w:rsid w:val="000C0411"/>
    <w:rsid w:val="000C0A3E"/>
    <w:rsid w:val="000C265C"/>
    <w:rsid w:val="000C26FC"/>
    <w:rsid w:val="000C27FF"/>
    <w:rsid w:val="000C2888"/>
    <w:rsid w:val="000C2CCC"/>
    <w:rsid w:val="000C2CD8"/>
    <w:rsid w:val="000C33EB"/>
    <w:rsid w:val="000C3B79"/>
    <w:rsid w:val="000C3C38"/>
    <w:rsid w:val="000C41E0"/>
    <w:rsid w:val="000C41F9"/>
    <w:rsid w:val="000C4231"/>
    <w:rsid w:val="000C436A"/>
    <w:rsid w:val="000C4E6D"/>
    <w:rsid w:val="000C4EE4"/>
    <w:rsid w:val="000C55BE"/>
    <w:rsid w:val="000C57F2"/>
    <w:rsid w:val="000C6231"/>
    <w:rsid w:val="000C707C"/>
    <w:rsid w:val="000C7611"/>
    <w:rsid w:val="000C77E7"/>
    <w:rsid w:val="000D03FF"/>
    <w:rsid w:val="000D050A"/>
    <w:rsid w:val="000D0526"/>
    <w:rsid w:val="000D06EA"/>
    <w:rsid w:val="000D0787"/>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5FF3"/>
    <w:rsid w:val="000D6DC7"/>
    <w:rsid w:val="000D703A"/>
    <w:rsid w:val="000D7202"/>
    <w:rsid w:val="000D7482"/>
    <w:rsid w:val="000D7651"/>
    <w:rsid w:val="000D76D9"/>
    <w:rsid w:val="000D7891"/>
    <w:rsid w:val="000D7E1F"/>
    <w:rsid w:val="000E01C1"/>
    <w:rsid w:val="000E01D0"/>
    <w:rsid w:val="000E1779"/>
    <w:rsid w:val="000E1BEC"/>
    <w:rsid w:val="000E1F1D"/>
    <w:rsid w:val="000E21E5"/>
    <w:rsid w:val="000E2207"/>
    <w:rsid w:val="000E24E1"/>
    <w:rsid w:val="000E25A9"/>
    <w:rsid w:val="000E27B6"/>
    <w:rsid w:val="000E289B"/>
    <w:rsid w:val="000E2CE7"/>
    <w:rsid w:val="000E2E06"/>
    <w:rsid w:val="000E31C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21B"/>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100"/>
    <w:rsid w:val="0010035A"/>
    <w:rsid w:val="00100611"/>
    <w:rsid w:val="001006AD"/>
    <w:rsid w:val="0010072A"/>
    <w:rsid w:val="001009C3"/>
    <w:rsid w:val="00100B5E"/>
    <w:rsid w:val="00101435"/>
    <w:rsid w:val="00101451"/>
    <w:rsid w:val="00102978"/>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40"/>
    <w:rsid w:val="00110871"/>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DB3"/>
    <w:rsid w:val="00115E3D"/>
    <w:rsid w:val="001177A2"/>
    <w:rsid w:val="00117819"/>
    <w:rsid w:val="001179D3"/>
    <w:rsid w:val="00117CFE"/>
    <w:rsid w:val="00117DD6"/>
    <w:rsid w:val="00117E3D"/>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27E"/>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5B5"/>
    <w:rsid w:val="001418BB"/>
    <w:rsid w:val="00141F9F"/>
    <w:rsid w:val="001422E5"/>
    <w:rsid w:val="0014242D"/>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B04"/>
    <w:rsid w:val="00146CDE"/>
    <w:rsid w:val="0014701F"/>
    <w:rsid w:val="001470F1"/>
    <w:rsid w:val="001474AE"/>
    <w:rsid w:val="001474D5"/>
    <w:rsid w:val="00147B75"/>
    <w:rsid w:val="00147B9C"/>
    <w:rsid w:val="00147EC2"/>
    <w:rsid w:val="00150172"/>
    <w:rsid w:val="001501A0"/>
    <w:rsid w:val="00150BC2"/>
    <w:rsid w:val="001511FF"/>
    <w:rsid w:val="00151A5B"/>
    <w:rsid w:val="00151C40"/>
    <w:rsid w:val="00151DB1"/>
    <w:rsid w:val="001522A3"/>
    <w:rsid w:val="00152DA7"/>
    <w:rsid w:val="00152F06"/>
    <w:rsid w:val="00153334"/>
    <w:rsid w:val="0015375B"/>
    <w:rsid w:val="0015388E"/>
    <w:rsid w:val="00153A05"/>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8E6"/>
    <w:rsid w:val="00157E61"/>
    <w:rsid w:val="00157E78"/>
    <w:rsid w:val="001601C2"/>
    <w:rsid w:val="00160671"/>
    <w:rsid w:val="00160ED7"/>
    <w:rsid w:val="00161345"/>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5BE"/>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23"/>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730"/>
    <w:rsid w:val="0018593D"/>
    <w:rsid w:val="00185A56"/>
    <w:rsid w:val="00185D75"/>
    <w:rsid w:val="00185F4B"/>
    <w:rsid w:val="0018600C"/>
    <w:rsid w:val="0018616D"/>
    <w:rsid w:val="00186ECA"/>
    <w:rsid w:val="00187062"/>
    <w:rsid w:val="00187485"/>
    <w:rsid w:val="00187860"/>
    <w:rsid w:val="00187A24"/>
    <w:rsid w:val="00190073"/>
    <w:rsid w:val="00190242"/>
    <w:rsid w:val="001906B6"/>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6285"/>
    <w:rsid w:val="001A7616"/>
    <w:rsid w:val="001A788D"/>
    <w:rsid w:val="001A78D4"/>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0AB"/>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702"/>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44"/>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26"/>
    <w:rsid w:val="001E3642"/>
    <w:rsid w:val="001E3DBD"/>
    <w:rsid w:val="001E4751"/>
    <w:rsid w:val="001E4938"/>
    <w:rsid w:val="001E4CD8"/>
    <w:rsid w:val="001E4FB6"/>
    <w:rsid w:val="001E53A9"/>
    <w:rsid w:val="001E55D5"/>
    <w:rsid w:val="001E589C"/>
    <w:rsid w:val="001E66A0"/>
    <w:rsid w:val="001E6920"/>
    <w:rsid w:val="001E693A"/>
    <w:rsid w:val="001E6EC8"/>
    <w:rsid w:val="001E7793"/>
    <w:rsid w:val="001E7905"/>
    <w:rsid w:val="001E7E7E"/>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5B"/>
    <w:rsid w:val="001F4FA9"/>
    <w:rsid w:val="001F547C"/>
    <w:rsid w:val="001F548A"/>
    <w:rsid w:val="001F579C"/>
    <w:rsid w:val="001F58E7"/>
    <w:rsid w:val="001F5C40"/>
    <w:rsid w:val="001F5D92"/>
    <w:rsid w:val="001F5F13"/>
    <w:rsid w:val="001F668A"/>
    <w:rsid w:val="001F6AB6"/>
    <w:rsid w:val="001F6D64"/>
    <w:rsid w:val="001F7479"/>
    <w:rsid w:val="001F765B"/>
    <w:rsid w:val="001F770A"/>
    <w:rsid w:val="00200A9D"/>
    <w:rsid w:val="00200B2E"/>
    <w:rsid w:val="00201162"/>
    <w:rsid w:val="00201324"/>
    <w:rsid w:val="00201841"/>
    <w:rsid w:val="002018CA"/>
    <w:rsid w:val="0020194C"/>
    <w:rsid w:val="0020205B"/>
    <w:rsid w:val="0020278D"/>
    <w:rsid w:val="00202C45"/>
    <w:rsid w:val="00202E4A"/>
    <w:rsid w:val="00203011"/>
    <w:rsid w:val="002031FC"/>
    <w:rsid w:val="0020332E"/>
    <w:rsid w:val="00203733"/>
    <w:rsid w:val="0020390A"/>
    <w:rsid w:val="00203A4C"/>
    <w:rsid w:val="002041DB"/>
    <w:rsid w:val="0020460C"/>
    <w:rsid w:val="00205331"/>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3A9"/>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2A"/>
    <w:rsid w:val="00217DA5"/>
    <w:rsid w:val="00217EC2"/>
    <w:rsid w:val="00220268"/>
    <w:rsid w:val="00220555"/>
    <w:rsid w:val="002206DD"/>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152"/>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82F"/>
    <w:rsid w:val="00232E2E"/>
    <w:rsid w:val="00232E42"/>
    <w:rsid w:val="00233827"/>
    <w:rsid w:val="00233EB7"/>
    <w:rsid w:val="00233F42"/>
    <w:rsid w:val="00234272"/>
    <w:rsid w:val="002347C3"/>
    <w:rsid w:val="00234809"/>
    <w:rsid w:val="00234856"/>
    <w:rsid w:val="00234943"/>
    <w:rsid w:val="00234B8E"/>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759"/>
    <w:rsid w:val="00244B6B"/>
    <w:rsid w:val="002454C8"/>
    <w:rsid w:val="00245790"/>
    <w:rsid w:val="00245971"/>
    <w:rsid w:val="00245CE9"/>
    <w:rsid w:val="00245E00"/>
    <w:rsid w:val="00246012"/>
    <w:rsid w:val="002460A3"/>
    <w:rsid w:val="00247B52"/>
    <w:rsid w:val="00247E49"/>
    <w:rsid w:val="00247EB2"/>
    <w:rsid w:val="00250568"/>
    <w:rsid w:val="002507C7"/>
    <w:rsid w:val="002511AF"/>
    <w:rsid w:val="00251AF9"/>
    <w:rsid w:val="00251B0A"/>
    <w:rsid w:val="00251BF4"/>
    <w:rsid w:val="00252146"/>
    <w:rsid w:val="002525B9"/>
    <w:rsid w:val="00252B3D"/>
    <w:rsid w:val="00252BA5"/>
    <w:rsid w:val="00253077"/>
    <w:rsid w:val="002532FE"/>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7A0"/>
    <w:rsid w:val="00260992"/>
    <w:rsid w:val="00260A76"/>
    <w:rsid w:val="00260C68"/>
    <w:rsid w:val="00260FC1"/>
    <w:rsid w:val="002611D2"/>
    <w:rsid w:val="002614DA"/>
    <w:rsid w:val="00261BDD"/>
    <w:rsid w:val="00261C51"/>
    <w:rsid w:val="00261DCD"/>
    <w:rsid w:val="00261DDF"/>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B7B"/>
    <w:rsid w:val="00271292"/>
    <w:rsid w:val="00271B90"/>
    <w:rsid w:val="00271BC9"/>
    <w:rsid w:val="00272005"/>
    <w:rsid w:val="00272039"/>
    <w:rsid w:val="00272184"/>
    <w:rsid w:val="00272283"/>
    <w:rsid w:val="0027244F"/>
    <w:rsid w:val="0027300A"/>
    <w:rsid w:val="00273651"/>
    <w:rsid w:val="0027369B"/>
    <w:rsid w:val="002737F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B9B"/>
    <w:rsid w:val="0028111A"/>
    <w:rsid w:val="002815F0"/>
    <w:rsid w:val="0028165D"/>
    <w:rsid w:val="002817EC"/>
    <w:rsid w:val="00281F5E"/>
    <w:rsid w:val="00282D60"/>
    <w:rsid w:val="00283592"/>
    <w:rsid w:val="0028363C"/>
    <w:rsid w:val="00283E4F"/>
    <w:rsid w:val="00283FA3"/>
    <w:rsid w:val="002845AC"/>
    <w:rsid w:val="00284AD3"/>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8E1"/>
    <w:rsid w:val="00291BB4"/>
    <w:rsid w:val="002924FB"/>
    <w:rsid w:val="002925DE"/>
    <w:rsid w:val="00292696"/>
    <w:rsid w:val="00292C66"/>
    <w:rsid w:val="0029318B"/>
    <w:rsid w:val="00293463"/>
    <w:rsid w:val="00293680"/>
    <w:rsid w:val="00293EDC"/>
    <w:rsid w:val="002940DF"/>
    <w:rsid w:val="002942A8"/>
    <w:rsid w:val="0029457A"/>
    <w:rsid w:val="00294BC0"/>
    <w:rsid w:val="00294C41"/>
    <w:rsid w:val="0029505A"/>
    <w:rsid w:val="002958B8"/>
    <w:rsid w:val="00295C2C"/>
    <w:rsid w:val="00295F12"/>
    <w:rsid w:val="002963F3"/>
    <w:rsid w:val="00296613"/>
    <w:rsid w:val="002972FC"/>
    <w:rsid w:val="00297462"/>
    <w:rsid w:val="00297CA9"/>
    <w:rsid w:val="00297EC6"/>
    <w:rsid w:val="002A0AED"/>
    <w:rsid w:val="002A13AD"/>
    <w:rsid w:val="002A2754"/>
    <w:rsid w:val="002A289B"/>
    <w:rsid w:val="002A2B5B"/>
    <w:rsid w:val="002A307B"/>
    <w:rsid w:val="002A314B"/>
    <w:rsid w:val="002A36DE"/>
    <w:rsid w:val="002A38F1"/>
    <w:rsid w:val="002A3DA4"/>
    <w:rsid w:val="002A4235"/>
    <w:rsid w:val="002A4489"/>
    <w:rsid w:val="002A451D"/>
    <w:rsid w:val="002A4B40"/>
    <w:rsid w:val="002A4CF9"/>
    <w:rsid w:val="002A4DF9"/>
    <w:rsid w:val="002A5358"/>
    <w:rsid w:val="002A5663"/>
    <w:rsid w:val="002A5B92"/>
    <w:rsid w:val="002A5D8B"/>
    <w:rsid w:val="002A5FDA"/>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42"/>
    <w:rsid w:val="002C2E8E"/>
    <w:rsid w:val="002C321C"/>
    <w:rsid w:val="002C3384"/>
    <w:rsid w:val="002C3560"/>
    <w:rsid w:val="002C35FF"/>
    <w:rsid w:val="002C3E73"/>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456"/>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21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482"/>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AF6"/>
    <w:rsid w:val="00307DE3"/>
    <w:rsid w:val="00307EE7"/>
    <w:rsid w:val="0031031B"/>
    <w:rsid w:val="00310502"/>
    <w:rsid w:val="00310564"/>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17E9B"/>
    <w:rsid w:val="00320A16"/>
    <w:rsid w:val="00320D1D"/>
    <w:rsid w:val="00320D94"/>
    <w:rsid w:val="00320E0A"/>
    <w:rsid w:val="00321131"/>
    <w:rsid w:val="00321137"/>
    <w:rsid w:val="003217EF"/>
    <w:rsid w:val="00321955"/>
    <w:rsid w:val="00322186"/>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5FFE"/>
    <w:rsid w:val="003363DA"/>
    <w:rsid w:val="003365F6"/>
    <w:rsid w:val="00336657"/>
    <w:rsid w:val="003368F1"/>
    <w:rsid w:val="00336A3D"/>
    <w:rsid w:val="00336F65"/>
    <w:rsid w:val="003370FB"/>
    <w:rsid w:val="00337980"/>
    <w:rsid w:val="00337989"/>
    <w:rsid w:val="00337D90"/>
    <w:rsid w:val="00340C4D"/>
    <w:rsid w:val="003414D4"/>
    <w:rsid w:val="00341DE0"/>
    <w:rsid w:val="003420E0"/>
    <w:rsid w:val="00342173"/>
    <w:rsid w:val="00342444"/>
    <w:rsid w:val="003428F3"/>
    <w:rsid w:val="00342C49"/>
    <w:rsid w:val="00342CAC"/>
    <w:rsid w:val="00342D06"/>
    <w:rsid w:val="00342F9D"/>
    <w:rsid w:val="003433B9"/>
    <w:rsid w:val="00343B7B"/>
    <w:rsid w:val="00343BED"/>
    <w:rsid w:val="003440FE"/>
    <w:rsid w:val="003445F2"/>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FC6"/>
    <w:rsid w:val="00352130"/>
    <w:rsid w:val="00352289"/>
    <w:rsid w:val="00352C06"/>
    <w:rsid w:val="00352C21"/>
    <w:rsid w:val="0035308C"/>
    <w:rsid w:val="00353262"/>
    <w:rsid w:val="00353573"/>
    <w:rsid w:val="00353707"/>
    <w:rsid w:val="00353F0A"/>
    <w:rsid w:val="00354841"/>
    <w:rsid w:val="00354EFD"/>
    <w:rsid w:val="003555CC"/>
    <w:rsid w:val="00355B9C"/>
    <w:rsid w:val="00355F88"/>
    <w:rsid w:val="003561B4"/>
    <w:rsid w:val="003574ED"/>
    <w:rsid w:val="003576A7"/>
    <w:rsid w:val="003576FA"/>
    <w:rsid w:val="00357C63"/>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67D65"/>
    <w:rsid w:val="00370617"/>
    <w:rsid w:val="00370901"/>
    <w:rsid w:val="003709D8"/>
    <w:rsid w:val="00370D02"/>
    <w:rsid w:val="00371C1B"/>
    <w:rsid w:val="00371D63"/>
    <w:rsid w:val="003728DE"/>
    <w:rsid w:val="00372D99"/>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128"/>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6FC3"/>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B4B"/>
    <w:rsid w:val="003C2E9B"/>
    <w:rsid w:val="003C3368"/>
    <w:rsid w:val="003C38BD"/>
    <w:rsid w:val="003C38C9"/>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A39"/>
    <w:rsid w:val="003D1D40"/>
    <w:rsid w:val="003D1E04"/>
    <w:rsid w:val="003D25C4"/>
    <w:rsid w:val="003D264B"/>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C5D"/>
    <w:rsid w:val="003D75A3"/>
    <w:rsid w:val="003D7644"/>
    <w:rsid w:val="003D76D7"/>
    <w:rsid w:val="003D7ECF"/>
    <w:rsid w:val="003D7EE9"/>
    <w:rsid w:val="003E0B36"/>
    <w:rsid w:val="003E0B8D"/>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1B3"/>
    <w:rsid w:val="003E724B"/>
    <w:rsid w:val="003E7330"/>
    <w:rsid w:val="003E7618"/>
    <w:rsid w:val="003E7784"/>
    <w:rsid w:val="003E7F3D"/>
    <w:rsid w:val="003F0989"/>
    <w:rsid w:val="003F09ED"/>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6FFB"/>
    <w:rsid w:val="003F785D"/>
    <w:rsid w:val="003F7913"/>
    <w:rsid w:val="003F7B68"/>
    <w:rsid w:val="003F7E66"/>
    <w:rsid w:val="004002A8"/>
    <w:rsid w:val="00400408"/>
    <w:rsid w:val="00400760"/>
    <w:rsid w:val="00400A90"/>
    <w:rsid w:val="0040102D"/>
    <w:rsid w:val="004010B3"/>
    <w:rsid w:val="00401465"/>
    <w:rsid w:val="00401E9C"/>
    <w:rsid w:val="00402188"/>
    <w:rsid w:val="0040281F"/>
    <w:rsid w:val="00402AAA"/>
    <w:rsid w:val="00402F90"/>
    <w:rsid w:val="00403185"/>
    <w:rsid w:val="00403939"/>
    <w:rsid w:val="00404F28"/>
    <w:rsid w:val="004050B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DC1"/>
    <w:rsid w:val="00421E61"/>
    <w:rsid w:val="00421F78"/>
    <w:rsid w:val="00422267"/>
    <w:rsid w:val="0042227F"/>
    <w:rsid w:val="00422E51"/>
    <w:rsid w:val="004230EB"/>
    <w:rsid w:val="0042317C"/>
    <w:rsid w:val="00423925"/>
    <w:rsid w:val="00423F52"/>
    <w:rsid w:val="00423FEB"/>
    <w:rsid w:val="00424A25"/>
    <w:rsid w:val="004250A5"/>
    <w:rsid w:val="00425BD7"/>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B11"/>
    <w:rsid w:val="00433C3F"/>
    <w:rsid w:val="00433CB8"/>
    <w:rsid w:val="00433EF9"/>
    <w:rsid w:val="00433F44"/>
    <w:rsid w:val="00433F6B"/>
    <w:rsid w:val="00434526"/>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1F8F"/>
    <w:rsid w:val="004422DF"/>
    <w:rsid w:val="00442BAA"/>
    <w:rsid w:val="00442D11"/>
    <w:rsid w:val="00442D95"/>
    <w:rsid w:val="00442FB4"/>
    <w:rsid w:val="004430B1"/>
    <w:rsid w:val="00443176"/>
    <w:rsid w:val="00443310"/>
    <w:rsid w:val="0044367E"/>
    <w:rsid w:val="004453CF"/>
    <w:rsid w:val="004454C2"/>
    <w:rsid w:val="00445CA0"/>
    <w:rsid w:val="00445CB4"/>
    <w:rsid w:val="00445E9A"/>
    <w:rsid w:val="00446176"/>
    <w:rsid w:val="0044618B"/>
    <w:rsid w:val="00446390"/>
    <w:rsid w:val="004464A2"/>
    <w:rsid w:val="00446920"/>
    <w:rsid w:val="00446D9F"/>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3F4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611"/>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A90"/>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B40"/>
    <w:rsid w:val="00491C2A"/>
    <w:rsid w:val="004921A8"/>
    <w:rsid w:val="004922A5"/>
    <w:rsid w:val="004925EC"/>
    <w:rsid w:val="00492BF1"/>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F89"/>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51"/>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DCC"/>
    <w:rsid w:val="004D6506"/>
    <w:rsid w:val="004D6C0D"/>
    <w:rsid w:val="004D6C28"/>
    <w:rsid w:val="004D6FAF"/>
    <w:rsid w:val="004D70A6"/>
    <w:rsid w:val="004D7409"/>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DD"/>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231"/>
    <w:rsid w:val="004F57EA"/>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019"/>
    <w:rsid w:val="005071A3"/>
    <w:rsid w:val="005077C6"/>
    <w:rsid w:val="00507CFB"/>
    <w:rsid w:val="00510245"/>
    <w:rsid w:val="0051067C"/>
    <w:rsid w:val="00510833"/>
    <w:rsid w:val="0051089A"/>
    <w:rsid w:val="005108DA"/>
    <w:rsid w:val="005108EF"/>
    <w:rsid w:val="00510A01"/>
    <w:rsid w:val="00510D7D"/>
    <w:rsid w:val="00511120"/>
    <w:rsid w:val="00511156"/>
    <w:rsid w:val="0051118C"/>
    <w:rsid w:val="0051138B"/>
    <w:rsid w:val="005113F1"/>
    <w:rsid w:val="00511A66"/>
    <w:rsid w:val="00512229"/>
    <w:rsid w:val="005123F1"/>
    <w:rsid w:val="00512721"/>
    <w:rsid w:val="00512DFB"/>
    <w:rsid w:val="00512E08"/>
    <w:rsid w:val="005135E4"/>
    <w:rsid w:val="00513EDA"/>
    <w:rsid w:val="00513F6B"/>
    <w:rsid w:val="005142A8"/>
    <w:rsid w:val="00514425"/>
    <w:rsid w:val="00514E2D"/>
    <w:rsid w:val="00514EBE"/>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E49"/>
    <w:rsid w:val="00524FBC"/>
    <w:rsid w:val="00525210"/>
    <w:rsid w:val="00525B0A"/>
    <w:rsid w:val="0052624A"/>
    <w:rsid w:val="00526266"/>
    <w:rsid w:val="00526493"/>
    <w:rsid w:val="00526A07"/>
    <w:rsid w:val="00526A2E"/>
    <w:rsid w:val="00526EBE"/>
    <w:rsid w:val="00526F6C"/>
    <w:rsid w:val="005273C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C01"/>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783"/>
    <w:rsid w:val="00541EB7"/>
    <w:rsid w:val="00542945"/>
    <w:rsid w:val="00542AD5"/>
    <w:rsid w:val="00542B3F"/>
    <w:rsid w:val="00542CCB"/>
    <w:rsid w:val="00542EDE"/>
    <w:rsid w:val="00543173"/>
    <w:rsid w:val="0054341E"/>
    <w:rsid w:val="00543C31"/>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1BFE"/>
    <w:rsid w:val="00552423"/>
    <w:rsid w:val="005534BB"/>
    <w:rsid w:val="00553651"/>
    <w:rsid w:val="0055365C"/>
    <w:rsid w:val="00553668"/>
    <w:rsid w:val="00553ADF"/>
    <w:rsid w:val="00553F72"/>
    <w:rsid w:val="005541D4"/>
    <w:rsid w:val="0055436A"/>
    <w:rsid w:val="00554A10"/>
    <w:rsid w:val="005550AC"/>
    <w:rsid w:val="00555168"/>
    <w:rsid w:val="005552C7"/>
    <w:rsid w:val="005565AB"/>
    <w:rsid w:val="00556A21"/>
    <w:rsid w:val="00556A4C"/>
    <w:rsid w:val="00556E29"/>
    <w:rsid w:val="00556EE7"/>
    <w:rsid w:val="00560533"/>
    <w:rsid w:val="0056060F"/>
    <w:rsid w:val="005613E8"/>
    <w:rsid w:val="005614D2"/>
    <w:rsid w:val="0056158C"/>
    <w:rsid w:val="00561622"/>
    <w:rsid w:val="00561816"/>
    <w:rsid w:val="005619B2"/>
    <w:rsid w:val="00561C27"/>
    <w:rsid w:val="0056225F"/>
    <w:rsid w:val="00562414"/>
    <w:rsid w:val="0056255F"/>
    <w:rsid w:val="0056269B"/>
    <w:rsid w:val="0056298E"/>
    <w:rsid w:val="00562C8B"/>
    <w:rsid w:val="00563627"/>
    <w:rsid w:val="0056396A"/>
    <w:rsid w:val="00563B2F"/>
    <w:rsid w:val="005641CA"/>
    <w:rsid w:val="00564478"/>
    <w:rsid w:val="0056457D"/>
    <w:rsid w:val="005647F9"/>
    <w:rsid w:val="00564CE1"/>
    <w:rsid w:val="00565127"/>
    <w:rsid w:val="00565D0D"/>
    <w:rsid w:val="00565F05"/>
    <w:rsid w:val="00565F98"/>
    <w:rsid w:val="00566671"/>
    <w:rsid w:val="00566DAC"/>
    <w:rsid w:val="00566FEA"/>
    <w:rsid w:val="005676F5"/>
    <w:rsid w:val="00567C79"/>
    <w:rsid w:val="00570012"/>
    <w:rsid w:val="00570018"/>
    <w:rsid w:val="005703AF"/>
    <w:rsid w:val="005704B3"/>
    <w:rsid w:val="005705A3"/>
    <w:rsid w:val="005715BD"/>
    <w:rsid w:val="005719B9"/>
    <w:rsid w:val="00571D7A"/>
    <w:rsid w:val="00572C10"/>
    <w:rsid w:val="00572FD2"/>
    <w:rsid w:val="005735B8"/>
    <w:rsid w:val="005735BB"/>
    <w:rsid w:val="00573ABC"/>
    <w:rsid w:val="00573EC6"/>
    <w:rsid w:val="005740BA"/>
    <w:rsid w:val="00574111"/>
    <w:rsid w:val="00574689"/>
    <w:rsid w:val="005746CB"/>
    <w:rsid w:val="00574A48"/>
    <w:rsid w:val="00574A5F"/>
    <w:rsid w:val="00574C1C"/>
    <w:rsid w:val="00574E66"/>
    <w:rsid w:val="00575769"/>
    <w:rsid w:val="005758A1"/>
    <w:rsid w:val="005759A1"/>
    <w:rsid w:val="00575CFA"/>
    <w:rsid w:val="00575FB3"/>
    <w:rsid w:val="005760F7"/>
    <w:rsid w:val="00576192"/>
    <w:rsid w:val="005761FD"/>
    <w:rsid w:val="00576A48"/>
    <w:rsid w:val="00576A9C"/>
    <w:rsid w:val="00576EC9"/>
    <w:rsid w:val="00576F05"/>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C63"/>
    <w:rsid w:val="00582EE0"/>
    <w:rsid w:val="00582FAD"/>
    <w:rsid w:val="00583129"/>
    <w:rsid w:val="005835F6"/>
    <w:rsid w:val="00583D40"/>
    <w:rsid w:val="00583E2B"/>
    <w:rsid w:val="00583E96"/>
    <w:rsid w:val="005840D6"/>
    <w:rsid w:val="00584B8F"/>
    <w:rsid w:val="00584E40"/>
    <w:rsid w:val="0058551B"/>
    <w:rsid w:val="00585C73"/>
    <w:rsid w:val="005867AE"/>
    <w:rsid w:val="00586D8E"/>
    <w:rsid w:val="00587A9A"/>
    <w:rsid w:val="00587F6A"/>
    <w:rsid w:val="00587FAB"/>
    <w:rsid w:val="0059071B"/>
    <w:rsid w:val="00590903"/>
    <w:rsid w:val="00590B1F"/>
    <w:rsid w:val="00590B89"/>
    <w:rsid w:val="00591309"/>
    <w:rsid w:val="00591420"/>
    <w:rsid w:val="005915F9"/>
    <w:rsid w:val="00591842"/>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6AEF"/>
    <w:rsid w:val="00596DF8"/>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86F"/>
    <w:rsid w:val="005A7264"/>
    <w:rsid w:val="005A74DB"/>
    <w:rsid w:val="005A74EC"/>
    <w:rsid w:val="005A78C7"/>
    <w:rsid w:val="005A7E99"/>
    <w:rsid w:val="005B07F8"/>
    <w:rsid w:val="005B0981"/>
    <w:rsid w:val="005B1133"/>
    <w:rsid w:val="005B1263"/>
    <w:rsid w:val="005B18AD"/>
    <w:rsid w:val="005B1C39"/>
    <w:rsid w:val="005B1DA4"/>
    <w:rsid w:val="005B2177"/>
    <w:rsid w:val="005B2FAB"/>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7C4"/>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9AE"/>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00B"/>
    <w:rsid w:val="005E43AE"/>
    <w:rsid w:val="005E462C"/>
    <w:rsid w:val="005E4816"/>
    <w:rsid w:val="005E4F55"/>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1F5"/>
    <w:rsid w:val="005F21FC"/>
    <w:rsid w:val="005F2738"/>
    <w:rsid w:val="005F2CD9"/>
    <w:rsid w:val="005F2DD4"/>
    <w:rsid w:val="005F40BB"/>
    <w:rsid w:val="005F4CC2"/>
    <w:rsid w:val="005F4FED"/>
    <w:rsid w:val="005F551C"/>
    <w:rsid w:val="005F5CE7"/>
    <w:rsid w:val="005F5F36"/>
    <w:rsid w:val="005F618D"/>
    <w:rsid w:val="005F6F53"/>
    <w:rsid w:val="005F73D0"/>
    <w:rsid w:val="005F74C7"/>
    <w:rsid w:val="005F7770"/>
    <w:rsid w:val="005F7C8F"/>
    <w:rsid w:val="005F7F8A"/>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360"/>
    <w:rsid w:val="0060452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07943"/>
    <w:rsid w:val="00607AB7"/>
    <w:rsid w:val="00610620"/>
    <w:rsid w:val="00610C6A"/>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75E"/>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0EA4"/>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42E"/>
    <w:rsid w:val="00640E50"/>
    <w:rsid w:val="00640EC7"/>
    <w:rsid w:val="00641975"/>
    <w:rsid w:val="00641FE4"/>
    <w:rsid w:val="006421A8"/>
    <w:rsid w:val="00642290"/>
    <w:rsid w:val="00642321"/>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03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1F6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7FA"/>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33C"/>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23B"/>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4F80"/>
    <w:rsid w:val="006B550D"/>
    <w:rsid w:val="006B5993"/>
    <w:rsid w:val="006B5CB2"/>
    <w:rsid w:val="006B62DD"/>
    <w:rsid w:val="006B62E9"/>
    <w:rsid w:val="006B64EF"/>
    <w:rsid w:val="006B65FF"/>
    <w:rsid w:val="006B6D7C"/>
    <w:rsid w:val="006B6E7B"/>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563"/>
    <w:rsid w:val="006D1F88"/>
    <w:rsid w:val="006D2216"/>
    <w:rsid w:val="006D27E6"/>
    <w:rsid w:val="006D2A33"/>
    <w:rsid w:val="006D2EB2"/>
    <w:rsid w:val="006D3267"/>
    <w:rsid w:val="006D34F1"/>
    <w:rsid w:val="006D3855"/>
    <w:rsid w:val="006D3E6B"/>
    <w:rsid w:val="006D4804"/>
    <w:rsid w:val="006D576A"/>
    <w:rsid w:val="006D58B9"/>
    <w:rsid w:val="006D5B8A"/>
    <w:rsid w:val="006D6720"/>
    <w:rsid w:val="006D6905"/>
    <w:rsid w:val="006D6C20"/>
    <w:rsid w:val="006D6D63"/>
    <w:rsid w:val="006D71A0"/>
    <w:rsid w:val="006D72D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4FC4"/>
    <w:rsid w:val="006E50C6"/>
    <w:rsid w:val="006E5453"/>
    <w:rsid w:val="006E5475"/>
    <w:rsid w:val="006E5739"/>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4D6"/>
    <w:rsid w:val="006F17CE"/>
    <w:rsid w:val="006F1955"/>
    <w:rsid w:val="006F1C41"/>
    <w:rsid w:val="006F1E76"/>
    <w:rsid w:val="006F231D"/>
    <w:rsid w:val="006F277E"/>
    <w:rsid w:val="006F2852"/>
    <w:rsid w:val="006F2D32"/>
    <w:rsid w:val="006F2F98"/>
    <w:rsid w:val="006F3005"/>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DE6"/>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3C6E"/>
    <w:rsid w:val="00704255"/>
    <w:rsid w:val="00704C93"/>
    <w:rsid w:val="00704D0F"/>
    <w:rsid w:val="00705752"/>
    <w:rsid w:val="00705F93"/>
    <w:rsid w:val="00706347"/>
    <w:rsid w:val="0070663E"/>
    <w:rsid w:val="00706747"/>
    <w:rsid w:val="00706F9F"/>
    <w:rsid w:val="007070EE"/>
    <w:rsid w:val="00707264"/>
    <w:rsid w:val="00707373"/>
    <w:rsid w:val="00707B50"/>
    <w:rsid w:val="00710E16"/>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0F9"/>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A94"/>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0E"/>
    <w:rsid w:val="00734617"/>
    <w:rsid w:val="007346AC"/>
    <w:rsid w:val="007347E0"/>
    <w:rsid w:val="00734B53"/>
    <w:rsid w:val="00734E26"/>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2F49"/>
    <w:rsid w:val="00743779"/>
    <w:rsid w:val="00743C5A"/>
    <w:rsid w:val="00743E88"/>
    <w:rsid w:val="00744089"/>
    <w:rsid w:val="007444C1"/>
    <w:rsid w:val="0074479B"/>
    <w:rsid w:val="0074545B"/>
    <w:rsid w:val="00745643"/>
    <w:rsid w:val="007458C6"/>
    <w:rsid w:val="00745978"/>
    <w:rsid w:val="007459A9"/>
    <w:rsid w:val="00745DFB"/>
    <w:rsid w:val="00746166"/>
    <w:rsid w:val="00746362"/>
    <w:rsid w:val="00746592"/>
    <w:rsid w:val="00746BCA"/>
    <w:rsid w:val="007474E3"/>
    <w:rsid w:val="007477CB"/>
    <w:rsid w:val="00747D9E"/>
    <w:rsid w:val="0075075D"/>
    <w:rsid w:val="00750760"/>
    <w:rsid w:val="00750D2B"/>
    <w:rsid w:val="00750DDB"/>
    <w:rsid w:val="00750F60"/>
    <w:rsid w:val="00750FCA"/>
    <w:rsid w:val="00752085"/>
    <w:rsid w:val="007525FC"/>
    <w:rsid w:val="00752726"/>
    <w:rsid w:val="007527D0"/>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933"/>
    <w:rsid w:val="0076407E"/>
    <w:rsid w:val="00764110"/>
    <w:rsid w:val="00764456"/>
    <w:rsid w:val="00764E15"/>
    <w:rsid w:val="00765855"/>
    <w:rsid w:val="00765CC8"/>
    <w:rsid w:val="00765F41"/>
    <w:rsid w:val="00765F49"/>
    <w:rsid w:val="007660F9"/>
    <w:rsid w:val="007667D9"/>
    <w:rsid w:val="00766982"/>
    <w:rsid w:val="00767205"/>
    <w:rsid w:val="007673BD"/>
    <w:rsid w:val="007673EA"/>
    <w:rsid w:val="0076773C"/>
    <w:rsid w:val="00767852"/>
    <w:rsid w:val="00767D34"/>
    <w:rsid w:val="00770365"/>
    <w:rsid w:val="0077067E"/>
    <w:rsid w:val="007706B8"/>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BE6"/>
    <w:rsid w:val="0079521E"/>
    <w:rsid w:val="00795366"/>
    <w:rsid w:val="00795609"/>
    <w:rsid w:val="0079576B"/>
    <w:rsid w:val="0079581E"/>
    <w:rsid w:val="00795C30"/>
    <w:rsid w:val="00795D21"/>
    <w:rsid w:val="00795EC4"/>
    <w:rsid w:val="0079687A"/>
    <w:rsid w:val="00796C23"/>
    <w:rsid w:val="00796C84"/>
    <w:rsid w:val="00796EA4"/>
    <w:rsid w:val="00797148"/>
    <w:rsid w:val="00797272"/>
    <w:rsid w:val="00797BC5"/>
    <w:rsid w:val="00797D2E"/>
    <w:rsid w:val="00797E62"/>
    <w:rsid w:val="007A01A6"/>
    <w:rsid w:val="007A0537"/>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405"/>
    <w:rsid w:val="007C5554"/>
    <w:rsid w:val="007C57D5"/>
    <w:rsid w:val="007C609B"/>
    <w:rsid w:val="007C6706"/>
    <w:rsid w:val="007C6777"/>
    <w:rsid w:val="007C6AA2"/>
    <w:rsid w:val="007C6EB3"/>
    <w:rsid w:val="007C6ECA"/>
    <w:rsid w:val="007C7BDE"/>
    <w:rsid w:val="007C7E1E"/>
    <w:rsid w:val="007D00DF"/>
    <w:rsid w:val="007D02A3"/>
    <w:rsid w:val="007D0435"/>
    <w:rsid w:val="007D0603"/>
    <w:rsid w:val="007D07E1"/>
    <w:rsid w:val="007D082B"/>
    <w:rsid w:val="007D0C23"/>
    <w:rsid w:val="007D1854"/>
    <w:rsid w:val="007D1C4B"/>
    <w:rsid w:val="007D1D3B"/>
    <w:rsid w:val="007D2187"/>
    <w:rsid w:val="007D229D"/>
    <w:rsid w:val="007D25BC"/>
    <w:rsid w:val="007D29CE"/>
    <w:rsid w:val="007D2BEE"/>
    <w:rsid w:val="007D2F8D"/>
    <w:rsid w:val="007D45FF"/>
    <w:rsid w:val="007D4AB6"/>
    <w:rsid w:val="007D4B22"/>
    <w:rsid w:val="007D4E91"/>
    <w:rsid w:val="007D50FD"/>
    <w:rsid w:val="007D5363"/>
    <w:rsid w:val="007D5449"/>
    <w:rsid w:val="007D5534"/>
    <w:rsid w:val="007D5758"/>
    <w:rsid w:val="007D5923"/>
    <w:rsid w:val="007D5A97"/>
    <w:rsid w:val="007D5C33"/>
    <w:rsid w:val="007D5DB7"/>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A86"/>
    <w:rsid w:val="007E51A8"/>
    <w:rsid w:val="007E5278"/>
    <w:rsid w:val="007E536E"/>
    <w:rsid w:val="007E5C43"/>
    <w:rsid w:val="007E5DAB"/>
    <w:rsid w:val="007E5F8D"/>
    <w:rsid w:val="007E679C"/>
    <w:rsid w:val="007E6818"/>
    <w:rsid w:val="007E6819"/>
    <w:rsid w:val="007E6F77"/>
    <w:rsid w:val="007E784F"/>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81D"/>
    <w:rsid w:val="00802A6A"/>
    <w:rsid w:val="00803081"/>
    <w:rsid w:val="008037C4"/>
    <w:rsid w:val="0080394D"/>
    <w:rsid w:val="00803A3C"/>
    <w:rsid w:val="00803E7F"/>
    <w:rsid w:val="00804202"/>
    <w:rsid w:val="0080475D"/>
    <w:rsid w:val="008049A7"/>
    <w:rsid w:val="00804B47"/>
    <w:rsid w:val="00805563"/>
    <w:rsid w:val="00805D15"/>
    <w:rsid w:val="00805E38"/>
    <w:rsid w:val="00805F60"/>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682"/>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6A"/>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78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71B"/>
    <w:rsid w:val="00847833"/>
    <w:rsid w:val="00847A28"/>
    <w:rsid w:val="00850090"/>
    <w:rsid w:val="008500A9"/>
    <w:rsid w:val="00850A6C"/>
    <w:rsid w:val="00850DE6"/>
    <w:rsid w:val="00851EB4"/>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2D5"/>
    <w:rsid w:val="00855D27"/>
    <w:rsid w:val="00856840"/>
    <w:rsid w:val="00856B69"/>
    <w:rsid w:val="008577AF"/>
    <w:rsid w:val="008579A6"/>
    <w:rsid w:val="00857F89"/>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3DF8"/>
    <w:rsid w:val="008641E8"/>
    <w:rsid w:val="0086429F"/>
    <w:rsid w:val="00864302"/>
    <w:rsid w:val="00864309"/>
    <w:rsid w:val="0086451D"/>
    <w:rsid w:val="0086483B"/>
    <w:rsid w:val="00864D11"/>
    <w:rsid w:val="00864DAF"/>
    <w:rsid w:val="00864E4E"/>
    <w:rsid w:val="00864FAE"/>
    <w:rsid w:val="00865097"/>
    <w:rsid w:val="008652B7"/>
    <w:rsid w:val="00865535"/>
    <w:rsid w:val="00865EE9"/>
    <w:rsid w:val="0086636C"/>
    <w:rsid w:val="00866511"/>
    <w:rsid w:val="008666A0"/>
    <w:rsid w:val="00866B22"/>
    <w:rsid w:val="00866C7C"/>
    <w:rsid w:val="00867115"/>
    <w:rsid w:val="008671AA"/>
    <w:rsid w:val="00867288"/>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2CB9"/>
    <w:rsid w:val="008730AA"/>
    <w:rsid w:val="008732E8"/>
    <w:rsid w:val="008732FF"/>
    <w:rsid w:val="00873328"/>
    <w:rsid w:val="0087348D"/>
    <w:rsid w:val="008734DB"/>
    <w:rsid w:val="0087394A"/>
    <w:rsid w:val="00873EB9"/>
    <w:rsid w:val="008742AF"/>
    <w:rsid w:val="00874B42"/>
    <w:rsid w:val="00874BAD"/>
    <w:rsid w:val="00874D8C"/>
    <w:rsid w:val="008759AC"/>
    <w:rsid w:val="00875A2E"/>
    <w:rsid w:val="00875CD3"/>
    <w:rsid w:val="008766AC"/>
    <w:rsid w:val="00876954"/>
    <w:rsid w:val="00876BC7"/>
    <w:rsid w:val="00876EAC"/>
    <w:rsid w:val="008776D6"/>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4ECD"/>
    <w:rsid w:val="00885159"/>
    <w:rsid w:val="00885267"/>
    <w:rsid w:val="008854C4"/>
    <w:rsid w:val="008858A3"/>
    <w:rsid w:val="00885968"/>
    <w:rsid w:val="00885BBF"/>
    <w:rsid w:val="008861D3"/>
    <w:rsid w:val="00886B6E"/>
    <w:rsid w:val="00886BDE"/>
    <w:rsid w:val="00886E96"/>
    <w:rsid w:val="008872F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227"/>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790"/>
    <w:rsid w:val="008A2952"/>
    <w:rsid w:val="008A2F34"/>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ADE"/>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BDA"/>
    <w:rsid w:val="008B7EEF"/>
    <w:rsid w:val="008C01E9"/>
    <w:rsid w:val="008C052C"/>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E"/>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1E1B"/>
    <w:rsid w:val="008D2349"/>
    <w:rsid w:val="008D26CC"/>
    <w:rsid w:val="008D30FD"/>
    <w:rsid w:val="008D3182"/>
    <w:rsid w:val="008D3196"/>
    <w:rsid w:val="008D3324"/>
    <w:rsid w:val="008D3406"/>
    <w:rsid w:val="008D3726"/>
    <w:rsid w:val="008D375A"/>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28"/>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F7"/>
    <w:rsid w:val="008F0B33"/>
    <w:rsid w:val="008F0CD7"/>
    <w:rsid w:val="008F0D5D"/>
    <w:rsid w:val="008F10CE"/>
    <w:rsid w:val="008F15EA"/>
    <w:rsid w:val="008F16D5"/>
    <w:rsid w:val="008F27C7"/>
    <w:rsid w:val="008F286B"/>
    <w:rsid w:val="008F3373"/>
    <w:rsid w:val="008F3AD8"/>
    <w:rsid w:val="008F3DCC"/>
    <w:rsid w:val="008F4787"/>
    <w:rsid w:val="008F4C6F"/>
    <w:rsid w:val="008F4D3D"/>
    <w:rsid w:val="008F4D4D"/>
    <w:rsid w:val="008F4E79"/>
    <w:rsid w:val="008F4E88"/>
    <w:rsid w:val="008F4FE8"/>
    <w:rsid w:val="008F50A6"/>
    <w:rsid w:val="008F51FC"/>
    <w:rsid w:val="008F5280"/>
    <w:rsid w:val="008F5A1D"/>
    <w:rsid w:val="008F5CA9"/>
    <w:rsid w:val="008F64A9"/>
    <w:rsid w:val="008F677C"/>
    <w:rsid w:val="008F67EF"/>
    <w:rsid w:val="008F68C6"/>
    <w:rsid w:val="008F6979"/>
    <w:rsid w:val="008F6E57"/>
    <w:rsid w:val="008F71DC"/>
    <w:rsid w:val="008F7250"/>
    <w:rsid w:val="008F7297"/>
    <w:rsid w:val="008F759F"/>
    <w:rsid w:val="008F7FF9"/>
    <w:rsid w:val="009001F7"/>
    <w:rsid w:val="0090044F"/>
    <w:rsid w:val="00900D1F"/>
    <w:rsid w:val="00900E07"/>
    <w:rsid w:val="00900F90"/>
    <w:rsid w:val="00901348"/>
    <w:rsid w:val="0090177D"/>
    <w:rsid w:val="00901A42"/>
    <w:rsid w:val="00901CD1"/>
    <w:rsid w:val="00901D90"/>
    <w:rsid w:val="009026C9"/>
    <w:rsid w:val="00902C03"/>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487"/>
    <w:rsid w:val="00915551"/>
    <w:rsid w:val="0091580F"/>
    <w:rsid w:val="009158DF"/>
    <w:rsid w:val="00916382"/>
    <w:rsid w:val="00916901"/>
    <w:rsid w:val="00916905"/>
    <w:rsid w:val="00916BCF"/>
    <w:rsid w:val="00916D26"/>
    <w:rsid w:val="00916EBF"/>
    <w:rsid w:val="0091707E"/>
    <w:rsid w:val="009170D3"/>
    <w:rsid w:val="00917241"/>
    <w:rsid w:val="0091727B"/>
    <w:rsid w:val="0091745D"/>
    <w:rsid w:val="009175DE"/>
    <w:rsid w:val="00917B5E"/>
    <w:rsid w:val="00917C7F"/>
    <w:rsid w:val="00920F57"/>
    <w:rsid w:val="00921299"/>
    <w:rsid w:val="00921411"/>
    <w:rsid w:val="00921449"/>
    <w:rsid w:val="00921B1C"/>
    <w:rsid w:val="00921E43"/>
    <w:rsid w:val="00921F13"/>
    <w:rsid w:val="00922379"/>
    <w:rsid w:val="00922550"/>
    <w:rsid w:val="00922660"/>
    <w:rsid w:val="00922B08"/>
    <w:rsid w:val="00922C1B"/>
    <w:rsid w:val="009230BB"/>
    <w:rsid w:val="00923921"/>
    <w:rsid w:val="00923981"/>
    <w:rsid w:val="009241E5"/>
    <w:rsid w:val="009247D8"/>
    <w:rsid w:val="00924BB6"/>
    <w:rsid w:val="00924D79"/>
    <w:rsid w:val="00924DFE"/>
    <w:rsid w:val="00924EAC"/>
    <w:rsid w:val="009255EB"/>
    <w:rsid w:val="00925652"/>
    <w:rsid w:val="00925EA0"/>
    <w:rsid w:val="009260F5"/>
    <w:rsid w:val="00926150"/>
    <w:rsid w:val="00926221"/>
    <w:rsid w:val="00926A96"/>
    <w:rsid w:val="00926B1B"/>
    <w:rsid w:val="00926B40"/>
    <w:rsid w:val="00927A7F"/>
    <w:rsid w:val="00927C36"/>
    <w:rsid w:val="00930297"/>
    <w:rsid w:val="00930413"/>
    <w:rsid w:val="009304ED"/>
    <w:rsid w:val="0093064D"/>
    <w:rsid w:val="00930CD3"/>
    <w:rsid w:val="00930F4A"/>
    <w:rsid w:val="0093183F"/>
    <w:rsid w:val="00931850"/>
    <w:rsid w:val="0093220A"/>
    <w:rsid w:val="00932326"/>
    <w:rsid w:val="0093234A"/>
    <w:rsid w:val="009329EE"/>
    <w:rsid w:val="00932B0C"/>
    <w:rsid w:val="00932DED"/>
    <w:rsid w:val="009331EA"/>
    <w:rsid w:val="009336CF"/>
    <w:rsid w:val="00933732"/>
    <w:rsid w:val="009337C6"/>
    <w:rsid w:val="00933BEE"/>
    <w:rsid w:val="0093446B"/>
    <w:rsid w:val="00934640"/>
    <w:rsid w:val="009347B4"/>
    <w:rsid w:val="00934E7D"/>
    <w:rsid w:val="00934EB8"/>
    <w:rsid w:val="00935830"/>
    <w:rsid w:val="00935A91"/>
    <w:rsid w:val="009363B5"/>
    <w:rsid w:val="00936592"/>
    <w:rsid w:val="009368A6"/>
    <w:rsid w:val="00936950"/>
    <w:rsid w:val="00936A6C"/>
    <w:rsid w:val="00936BF1"/>
    <w:rsid w:val="00936D74"/>
    <w:rsid w:val="009372FC"/>
    <w:rsid w:val="0093741E"/>
    <w:rsid w:val="009376D1"/>
    <w:rsid w:val="009401D3"/>
    <w:rsid w:val="009404AB"/>
    <w:rsid w:val="00940702"/>
    <w:rsid w:val="009407C5"/>
    <w:rsid w:val="00940A91"/>
    <w:rsid w:val="00940AF7"/>
    <w:rsid w:val="00941261"/>
    <w:rsid w:val="0094155E"/>
    <w:rsid w:val="00941868"/>
    <w:rsid w:val="00941B9F"/>
    <w:rsid w:val="00941E96"/>
    <w:rsid w:val="00942003"/>
    <w:rsid w:val="0094228A"/>
    <w:rsid w:val="0094266F"/>
    <w:rsid w:val="0094287B"/>
    <w:rsid w:val="00942F07"/>
    <w:rsid w:val="00943105"/>
    <w:rsid w:val="00944072"/>
    <w:rsid w:val="009445E0"/>
    <w:rsid w:val="00944F33"/>
    <w:rsid w:val="00944FA0"/>
    <w:rsid w:val="0094513E"/>
    <w:rsid w:val="0094554E"/>
    <w:rsid w:val="00945E56"/>
    <w:rsid w:val="00946690"/>
    <w:rsid w:val="0094690E"/>
    <w:rsid w:val="00946BBE"/>
    <w:rsid w:val="0094707D"/>
    <w:rsid w:val="009472D7"/>
    <w:rsid w:val="00947B3D"/>
    <w:rsid w:val="0095055C"/>
    <w:rsid w:val="009506F2"/>
    <w:rsid w:val="00950766"/>
    <w:rsid w:val="00950923"/>
    <w:rsid w:val="009510E7"/>
    <w:rsid w:val="00951291"/>
    <w:rsid w:val="0095142B"/>
    <w:rsid w:val="00951434"/>
    <w:rsid w:val="00951494"/>
    <w:rsid w:val="009515B9"/>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8B"/>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874"/>
    <w:rsid w:val="00961A1A"/>
    <w:rsid w:val="00961A4C"/>
    <w:rsid w:val="00961F8C"/>
    <w:rsid w:val="009620B0"/>
    <w:rsid w:val="009621A5"/>
    <w:rsid w:val="009623CA"/>
    <w:rsid w:val="0096287B"/>
    <w:rsid w:val="009628F7"/>
    <w:rsid w:val="0096326B"/>
    <w:rsid w:val="009637FD"/>
    <w:rsid w:val="00963DD1"/>
    <w:rsid w:val="0096411E"/>
    <w:rsid w:val="0096416C"/>
    <w:rsid w:val="00964AE5"/>
    <w:rsid w:val="00964CCA"/>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1A"/>
    <w:rsid w:val="00975D72"/>
    <w:rsid w:val="00976B89"/>
    <w:rsid w:val="00977318"/>
    <w:rsid w:val="00977460"/>
    <w:rsid w:val="0097757C"/>
    <w:rsid w:val="0098053B"/>
    <w:rsid w:val="00980584"/>
    <w:rsid w:val="009807C6"/>
    <w:rsid w:val="00980ACA"/>
    <w:rsid w:val="00980DD6"/>
    <w:rsid w:val="00980F14"/>
    <w:rsid w:val="0098125C"/>
    <w:rsid w:val="0098146B"/>
    <w:rsid w:val="00981877"/>
    <w:rsid w:val="009828BD"/>
    <w:rsid w:val="009829FD"/>
    <w:rsid w:val="00982A6F"/>
    <w:rsid w:val="00982F90"/>
    <w:rsid w:val="00983984"/>
    <w:rsid w:val="00983BA8"/>
    <w:rsid w:val="00983C3B"/>
    <w:rsid w:val="0098441A"/>
    <w:rsid w:val="00984DC5"/>
    <w:rsid w:val="00984DFF"/>
    <w:rsid w:val="0098511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351"/>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C5D"/>
    <w:rsid w:val="009A5D79"/>
    <w:rsid w:val="009A608A"/>
    <w:rsid w:val="009A62E0"/>
    <w:rsid w:val="009A6354"/>
    <w:rsid w:val="009A64BF"/>
    <w:rsid w:val="009A69D0"/>
    <w:rsid w:val="009A6BD5"/>
    <w:rsid w:val="009A6DE2"/>
    <w:rsid w:val="009A6E4C"/>
    <w:rsid w:val="009A74C3"/>
    <w:rsid w:val="009A7D1C"/>
    <w:rsid w:val="009B01F8"/>
    <w:rsid w:val="009B0580"/>
    <w:rsid w:val="009B0701"/>
    <w:rsid w:val="009B0714"/>
    <w:rsid w:val="009B0ED2"/>
    <w:rsid w:val="009B0F6A"/>
    <w:rsid w:val="009B129D"/>
    <w:rsid w:val="009B1335"/>
    <w:rsid w:val="009B140E"/>
    <w:rsid w:val="009B14D7"/>
    <w:rsid w:val="009B1665"/>
    <w:rsid w:val="009B18A0"/>
    <w:rsid w:val="009B1A09"/>
    <w:rsid w:val="009B241F"/>
    <w:rsid w:val="009B27B5"/>
    <w:rsid w:val="009B2A6F"/>
    <w:rsid w:val="009B31D6"/>
    <w:rsid w:val="009B385E"/>
    <w:rsid w:val="009B3AE9"/>
    <w:rsid w:val="009B4456"/>
    <w:rsid w:val="009B4C8C"/>
    <w:rsid w:val="009B4E07"/>
    <w:rsid w:val="009B5C61"/>
    <w:rsid w:val="009B5CA5"/>
    <w:rsid w:val="009B5EB0"/>
    <w:rsid w:val="009B5F86"/>
    <w:rsid w:val="009B649A"/>
    <w:rsid w:val="009B68A3"/>
    <w:rsid w:val="009B69D6"/>
    <w:rsid w:val="009B6AAC"/>
    <w:rsid w:val="009B6F45"/>
    <w:rsid w:val="009B6F5B"/>
    <w:rsid w:val="009B702A"/>
    <w:rsid w:val="009C001C"/>
    <w:rsid w:val="009C01F0"/>
    <w:rsid w:val="009C0292"/>
    <w:rsid w:val="009C0303"/>
    <w:rsid w:val="009C0693"/>
    <w:rsid w:val="009C0715"/>
    <w:rsid w:val="009C0E41"/>
    <w:rsid w:val="009C1259"/>
    <w:rsid w:val="009C18BB"/>
    <w:rsid w:val="009C1904"/>
    <w:rsid w:val="009C1AD8"/>
    <w:rsid w:val="009C1C6B"/>
    <w:rsid w:val="009C1DA9"/>
    <w:rsid w:val="009C1E7C"/>
    <w:rsid w:val="009C1FBF"/>
    <w:rsid w:val="009C1FD9"/>
    <w:rsid w:val="009C21E0"/>
    <w:rsid w:val="009C256D"/>
    <w:rsid w:val="009C3555"/>
    <w:rsid w:val="009C3562"/>
    <w:rsid w:val="009C379A"/>
    <w:rsid w:val="009C37C7"/>
    <w:rsid w:val="009C38A5"/>
    <w:rsid w:val="009C3936"/>
    <w:rsid w:val="009C46F6"/>
    <w:rsid w:val="009C473C"/>
    <w:rsid w:val="009C4D48"/>
    <w:rsid w:val="009C4F42"/>
    <w:rsid w:val="009C51DE"/>
    <w:rsid w:val="009C5224"/>
    <w:rsid w:val="009C5419"/>
    <w:rsid w:val="009C5BEB"/>
    <w:rsid w:val="009C5E27"/>
    <w:rsid w:val="009C64FA"/>
    <w:rsid w:val="009C6C1D"/>
    <w:rsid w:val="009C6EDB"/>
    <w:rsid w:val="009C71C0"/>
    <w:rsid w:val="009C76E4"/>
    <w:rsid w:val="009C79A8"/>
    <w:rsid w:val="009C7A47"/>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146"/>
    <w:rsid w:val="009E0591"/>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BDD"/>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275"/>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57"/>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38C0"/>
    <w:rsid w:val="00A0424C"/>
    <w:rsid w:val="00A04486"/>
    <w:rsid w:val="00A049CA"/>
    <w:rsid w:val="00A04A55"/>
    <w:rsid w:val="00A05269"/>
    <w:rsid w:val="00A053CC"/>
    <w:rsid w:val="00A0540D"/>
    <w:rsid w:val="00A05F57"/>
    <w:rsid w:val="00A06181"/>
    <w:rsid w:val="00A06A21"/>
    <w:rsid w:val="00A06AB1"/>
    <w:rsid w:val="00A07034"/>
    <w:rsid w:val="00A07207"/>
    <w:rsid w:val="00A07F76"/>
    <w:rsid w:val="00A10084"/>
    <w:rsid w:val="00A10656"/>
    <w:rsid w:val="00A10897"/>
    <w:rsid w:val="00A10C8A"/>
    <w:rsid w:val="00A11126"/>
    <w:rsid w:val="00A11C70"/>
    <w:rsid w:val="00A11F87"/>
    <w:rsid w:val="00A12295"/>
    <w:rsid w:val="00A124A0"/>
    <w:rsid w:val="00A128AF"/>
    <w:rsid w:val="00A12948"/>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943"/>
    <w:rsid w:val="00A25A01"/>
    <w:rsid w:val="00A25B4B"/>
    <w:rsid w:val="00A25FF6"/>
    <w:rsid w:val="00A260D7"/>
    <w:rsid w:val="00A26164"/>
    <w:rsid w:val="00A262BB"/>
    <w:rsid w:val="00A26603"/>
    <w:rsid w:val="00A268E6"/>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6F"/>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B92"/>
    <w:rsid w:val="00A42DF0"/>
    <w:rsid w:val="00A43557"/>
    <w:rsid w:val="00A4361D"/>
    <w:rsid w:val="00A436C4"/>
    <w:rsid w:val="00A4399E"/>
    <w:rsid w:val="00A43AA0"/>
    <w:rsid w:val="00A43AC9"/>
    <w:rsid w:val="00A44135"/>
    <w:rsid w:val="00A4454A"/>
    <w:rsid w:val="00A4475A"/>
    <w:rsid w:val="00A4478E"/>
    <w:rsid w:val="00A44B1D"/>
    <w:rsid w:val="00A44E9B"/>
    <w:rsid w:val="00A45099"/>
    <w:rsid w:val="00A45858"/>
    <w:rsid w:val="00A45D29"/>
    <w:rsid w:val="00A45EA1"/>
    <w:rsid w:val="00A45FF5"/>
    <w:rsid w:val="00A467C3"/>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884"/>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C99"/>
    <w:rsid w:val="00A63E8C"/>
    <w:rsid w:val="00A63EEE"/>
    <w:rsid w:val="00A64417"/>
    <w:rsid w:val="00A648F9"/>
    <w:rsid w:val="00A64C9F"/>
    <w:rsid w:val="00A653F3"/>
    <w:rsid w:val="00A6547F"/>
    <w:rsid w:val="00A665C7"/>
    <w:rsid w:val="00A66C93"/>
    <w:rsid w:val="00A66F00"/>
    <w:rsid w:val="00A67702"/>
    <w:rsid w:val="00A67E3F"/>
    <w:rsid w:val="00A70ECB"/>
    <w:rsid w:val="00A70F74"/>
    <w:rsid w:val="00A712F7"/>
    <w:rsid w:val="00A71437"/>
    <w:rsid w:val="00A71ECD"/>
    <w:rsid w:val="00A7235A"/>
    <w:rsid w:val="00A72531"/>
    <w:rsid w:val="00A7303D"/>
    <w:rsid w:val="00A73291"/>
    <w:rsid w:val="00A7334C"/>
    <w:rsid w:val="00A73467"/>
    <w:rsid w:val="00A73809"/>
    <w:rsid w:val="00A73A43"/>
    <w:rsid w:val="00A73CFF"/>
    <w:rsid w:val="00A73D3B"/>
    <w:rsid w:val="00A73E27"/>
    <w:rsid w:val="00A7415E"/>
    <w:rsid w:val="00A74E13"/>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B4B"/>
    <w:rsid w:val="00A82E32"/>
    <w:rsid w:val="00A82E84"/>
    <w:rsid w:val="00A83517"/>
    <w:rsid w:val="00A8379A"/>
    <w:rsid w:val="00A842B9"/>
    <w:rsid w:val="00A84378"/>
    <w:rsid w:val="00A84AB7"/>
    <w:rsid w:val="00A84FBB"/>
    <w:rsid w:val="00A85143"/>
    <w:rsid w:val="00A85DFF"/>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E70"/>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AE8"/>
    <w:rsid w:val="00AA1B22"/>
    <w:rsid w:val="00AA1C25"/>
    <w:rsid w:val="00AA1E7C"/>
    <w:rsid w:val="00AA1F09"/>
    <w:rsid w:val="00AA1F45"/>
    <w:rsid w:val="00AA21A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1B22"/>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69"/>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471"/>
    <w:rsid w:val="00AC28FE"/>
    <w:rsid w:val="00AC297B"/>
    <w:rsid w:val="00AC3862"/>
    <w:rsid w:val="00AC4123"/>
    <w:rsid w:val="00AC451A"/>
    <w:rsid w:val="00AC478F"/>
    <w:rsid w:val="00AC4C2C"/>
    <w:rsid w:val="00AC4DE1"/>
    <w:rsid w:val="00AC537D"/>
    <w:rsid w:val="00AC552C"/>
    <w:rsid w:val="00AC55EB"/>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1AF"/>
    <w:rsid w:val="00AD2747"/>
    <w:rsid w:val="00AD2C5E"/>
    <w:rsid w:val="00AD3037"/>
    <w:rsid w:val="00AD3296"/>
    <w:rsid w:val="00AD33BC"/>
    <w:rsid w:val="00AD391C"/>
    <w:rsid w:val="00AD49FA"/>
    <w:rsid w:val="00AD4A41"/>
    <w:rsid w:val="00AD4C26"/>
    <w:rsid w:val="00AD52BD"/>
    <w:rsid w:val="00AD5DB5"/>
    <w:rsid w:val="00AD65CD"/>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1A6"/>
    <w:rsid w:val="00AE6236"/>
    <w:rsid w:val="00AE6583"/>
    <w:rsid w:val="00AE6630"/>
    <w:rsid w:val="00AE6724"/>
    <w:rsid w:val="00AE6BCD"/>
    <w:rsid w:val="00AE6E89"/>
    <w:rsid w:val="00AE710C"/>
    <w:rsid w:val="00AE7375"/>
    <w:rsid w:val="00AE76F3"/>
    <w:rsid w:val="00AE77D6"/>
    <w:rsid w:val="00AF0002"/>
    <w:rsid w:val="00AF0481"/>
    <w:rsid w:val="00AF0AEB"/>
    <w:rsid w:val="00AF0C58"/>
    <w:rsid w:val="00AF1079"/>
    <w:rsid w:val="00AF1D5E"/>
    <w:rsid w:val="00AF203B"/>
    <w:rsid w:val="00AF2427"/>
    <w:rsid w:val="00AF2484"/>
    <w:rsid w:val="00AF2BC0"/>
    <w:rsid w:val="00AF49EA"/>
    <w:rsid w:val="00AF4F20"/>
    <w:rsid w:val="00AF4F66"/>
    <w:rsid w:val="00AF5647"/>
    <w:rsid w:val="00AF56B7"/>
    <w:rsid w:val="00AF5AFE"/>
    <w:rsid w:val="00AF666D"/>
    <w:rsid w:val="00AF6804"/>
    <w:rsid w:val="00AF6AA5"/>
    <w:rsid w:val="00AF6AB0"/>
    <w:rsid w:val="00AF6BCA"/>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43C"/>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33C"/>
    <w:rsid w:val="00B15683"/>
    <w:rsid w:val="00B158D7"/>
    <w:rsid w:val="00B15B7C"/>
    <w:rsid w:val="00B15C7C"/>
    <w:rsid w:val="00B15EDE"/>
    <w:rsid w:val="00B160BA"/>
    <w:rsid w:val="00B1651F"/>
    <w:rsid w:val="00B166D4"/>
    <w:rsid w:val="00B16745"/>
    <w:rsid w:val="00B1759F"/>
    <w:rsid w:val="00B175E1"/>
    <w:rsid w:val="00B175E2"/>
    <w:rsid w:val="00B17922"/>
    <w:rsid w:val="00B179BB"/>
    <w:rsid w:val="00B206CE"/>
    <w:rsid w:val="00B20703"/>
    <w:rsid w:val="00B20C46"/>
    <w:rsid w:val="00B20DA0"/>
    <w:rsid w:val="00B20DB6"/>
    <w:rsid w:val="00B211D4"/>
    <w:rsid w:val="00B21420"/>
    <w:rsid w:val="00B2149A"/>
    <w:rsid w:val="00B2158E"/>
    <w:rsid w:val="00B21FAC"/>
    <w:rsid w:val="00B2231F"/>
    <w:rsid w:val="00B223DF"/>
    <w:rsid w:val="00B22493"/>
    <w:rsid w:val="00B224A8"/>
    <w:rsid w:val="00B229BB"/>
    <w:rsid w:val="00B22BB6"/>
    <w:rsid w:val="00B22C57"/>
    <w:rsid w:val="00B23142"/>
    <w:rsid w:val="00B2360C"/>
    <w:rsid w:val="00B23832"/>
    <w:rsid w:val="00B23EFF"/>
    <w:rsid w:val="00B245CF"/>
    <w:rsid w:val="00B24765"/>
    <w:rsid w:val="00B24FBC"/>
    <w:rsid w:val="00B25AB2"/>
    <w:rsid w:val="00B26305"/>
    <w:rsid w:val="00B26A62"/>
    <w:rsid w:val="00B26AD4"/>
    <w:rsid w:val="00B26C74"/>
    <w:rsid w:val="00B26CFD"/>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4E11"/>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6F"/>
    <w:rsid w:val="00B56CB8"/>
    <w:rsid w:val="00B56D3B"/>
    <w:rsid w:val="00B56E85"/>
    <w:rsid w:val="00B56FB8"/>
    <w:rsid w:val="00B57901"/>
    <w:rsid w:val="00B57907"/>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0DE5"/>
    <w:rsid w:val="00B71320"/>
    <w:rsid w:val="00B71A99"/>
    <w:rsid w:val="00B71B3E"/>
    <w:rsid w:val="00B71BB3"/>
    <w:rsid w:val="00B7210F"/>
    <w:rsid w:val="00B72791"/>
    <w:rsid w:val="00B73397"/>
    <w:rsid w:val="00B7377D"/>
    <w:rsid w:val="00B739CC"/>
    <w:rsid w:val="00B740EF"/>
    <w:rsid w:val="00B744B1"/>
    <w:rsid w:val="00B74861"/>
    <w:rsid w:val="00B74B2A"/>
    <w:rsid w:val="00B74B7C"/>
    <w:rsid w:val="00B75123"/>
    <w:rsid w:val="00B7562B"/>
    <w:rsid w:val="00B75A06"/>
    <w:rsid w:val="00B75B80"/>
    <w:rsid w:val="00B75C14"/>
    <w:rsid w:val="00B75D1F"/>
    <w:rsid w:val="00B763A7"/>
    <w:rsid w:val="00B76499"/>
    <w:rsid w:val="00B765CC"/>
    <w:rsid w:val="00B76A62"/>
    <w:rsid w:val="00B76FAE"/>
    <w:rsid w:val="00B7732A"/>
    <w:rsid w:val="00B77603"/>
    <w:rsid w:val="00B7762C"/>
    <w:rsid w:val="00B777AA"/>
    <w:rsid w:val="00B77C75"/>
    <w:rsid w:val="00B77F09"/>
    <w:rsid w:val="00B8027E"/>
    <w:rsid w:val="00B80545"/>
    <w:rsid w:val="00B80BE4"/>
    <w:rsid w:val="00B80CD3"/>
    <w:rsid w:val="00B81AA9"/>
    <w:rsid w:val="00B81EC8"/>
    <w:rsid w:val="00B82061"/>
    <w:rsid w:val="00B8246A"/>
    <w:rsid w:val="00B8248A"/>
    <w:rsid w:val="00B82664"/>
    <w:rsid w:val="00B82A0A"/>
    <w:rsid w:val="00B82EA0"/>
    <w:rsid w:val="00B83024"/>
    <w:rsid w:val="00B836F9"/>
    <w:rsid w:val="00B83743"/>
    <w:rsid w:val="00B8374F"/>
    <w:rsid w:val="00B838BC"/>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2EEC"/>
    <w:rsid w:val="00B9359C"/>
    <w:rsid w:val="00B93856"/>
    <w:rsid w:val="00B93B79"/>
    <w:rsid w:val="00B93FEB"/>
    <w:rsid w:val="00B942BD"/>
    <w:rsid w:val="00B94515"/>
    <w:rsid w:val="00B94A33"/>
    <w:rsid w:val="00B94F63"/>
    <w:rsid w:val="00B9514D"/>
    <w:rsid w:val="00B95327"/>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A6E"/>
    <w:rsid w:val="00BA0E6D"/>
    <w:rsid w:val="00BA1061"/>
    <w:rsid w:val="00BA12BF"/>
    <w:rsid w:val="00BA1490"/>
    <w:rsid w:val="00BA156B"/>
    <w:rsid w:val="00BA1605"/>
    <w:rsid w:val="00BA287A"/>
    <w:rsid w:val="00BA2A44"/>
    <w:rsid w:val="00BA2DDF"/>
    <w:rsid w:val="00BA35DE"/>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3DE"/>
    <w:rsid w:val="00BA655E"/>
    <w:rsid w:val="00BA7507"/>
    <w:rsid w:val="00BA7B4C"/>
    <w:rsid w:val="00BA7D2F"/>
    <w:rsid w:val="00BB03B6"/>
    <w:rsid w:val="00BB06D7"/>
    <w:rsid w:val="00BB09F9"/>
    <w:rsid w:val="00BB0F06"/>
    <w:rsid w:val="00BB122A"/>
    <w:rsid w:val="00BB1304"/>
    <w:rsid w:val="00BB15B8"/>
    <w:rsid w:val="00BB1B50"/>
    <w:rsid w:val="00BB1C51"/>
    <w:rsid w:val="00BB1C6C"/>
    <w:rsid w:val="00BB1CF5"/>
    <w:rsid w:val="00BB1F66"/>
    <w:rsid w:val="00BB225C"/>
    <w:rsid w:val="00BB2277"/>
    <w:rsid w:val="00BB240A"/>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305"/>
    <w:rsid w:val="00BC15FC"/>
    <w:rsid w:val="00BC1BF9"/>
    <w:rsid w:val="00BC1F14"/>
    <w:rsid w:val="00BC2134"/>
    <w:rsid w:val="00BC2A13"/>
    <w:rsid w:val="00BC2C8D"/>
    <w:rsid w:val="00BC3C04"/>
    <w:rsid w:val="00BC3F46"/>
    <w:rsid w:val="00BC4020"/>
    <w:rsid w:val="00BC4598"/>
    <w:rsid w:val="00BC49CD"/>
    <w:rsid w:val="00BC5478"/>
    <w:rsid w:val="00BC54AC"/>
    <w:rsid w:val="00BC54EF"/>
    <w:rsid w:val="00BC5557"/>
    <w:rsid w:val="00BC559A"/>
    <w:rsid w:val="00BC5780"/>
    <w:rsid w:val="00BC5D9E"/>
    <w:rsid w:val="00BC5DFA"/>
    <w:rsid w:val="00BC5E39"/>
    <w:rsid w:val="00BC5EC4"/>
    <w:rsid w:val="00BC60F0"/>
    <w:rsid w:val="00BC62FE"/>
    <w:rsid w:val="00BC6D72"/>
    <w:rsid w:val="00BC6E8D"/>
    <w:rsid w:val="00BC7173"/>
    <w:rsid w:val="00BC71BC"/>
    <w:rsid w:val="00BC7202"/>
    <w:rsid w:val="00BC772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AD1"/>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6A3"/>
    <w:rsid w:val="00BE4EEF"/>
    <w:rsid w:val="00BE520A"/>
    <w:rsid w:val="00BE5406"/>
    <w:rsid w:val="00BE5BF2"/>
    <w:rsid w:val="00BE64AA"/>
    <w:rsid w:val="00BE6801"/>
    <w:rsid w:val="00BE69BB"/>
    <w:rsid w:val="00BE6DFC"/>
    <w:rsid w:val="00BE6F8F"/>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4EB9"/>
    <w:rsid w:val="00BF5778"/>
    <w:rsid w:val="00BF57DE"/>
    <w:rsid w:val="00BF5D87"/>
    <w:rsid w:val="00BF5E1E"/>
    <w:rsid w:val="00BF5E5C"/>
    <w:rsid w:val="00BF5ECF"/>
    <w:rsid w:val="00BF65CD"/>
    <w:rsid w:val="00BF730C"/>
    <w:rsid w:val="00BF759E"/>
    <w:rsid w:val="00BF7883"/>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4FC3"/>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028"/>
    <w:rsid w:val="00C1322C"/>
    <w:rsid w:val="00C132C8"/>
    <w:rsid w:val="00C1346B"/>
    <w:rsid w:val="00C134BA"/>
    <w:rsid w:val="00C13CD0"/>
    <w:rsid w:val="00C140F7"/>
    <w:rsid w:val="00C14361"/>
    <w:rsid w:val="00C14669"/>
    <w:rsid w:val="00C146B2"/>
    <w:rsid w:val="00C146EE"/>
    <w:rsid w:val="00C14DD9"/>
    <w:rsid w:val="00C150EB"/>
    <w:rsid w:val="00C15A13"/>
    <w:rsid w:val="00C15D91"/>
    <w:rsid w:val="00C15DF5"/>
    <w:rsid w:val="00C162AA"/>
    <w:rsid w:val="00C162BC"/>
    <w:rsid w:val="00C16533"/>
    <w:rsid w:val="00C165B7"/>
    <w:rsid w:val="00C1677A"/>
    <w:rsid w:val="00C167F8"/>
    <w:rsid w:val="00C16A4C"/>
    <w:rsid w:val="00C16C91"/>
    <w:rsid w:val="00C170C0"/>
    <w:rsid w:val="00C17B91"/>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121"/>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2D0"/>
    <w:rsid w:val="00C27473"/>
    <w:rsid w:val="00C278D9"/>
    <w:rsid w:val="00C30165"/>
    <w:rsid w:val="00C30987"/>
    <w:rsid w:val="00C30AFA"/>
    <w:rsid w:val="00C30B3C"/>
    <w:rsid w:val="00C30B58"/>
    <w:rsid w:val="00C30D8E"/>
    <w:rsid w:val="00C30DEB"/>
    <w:rsid w:val="00C30E89"/>
    <w:rsid w:val="00C31358"/>
    <w:rsid w:val="00C31439"/>
    <w:rsid w:val="00C3180C"/>
    <w:rsid w:val="00C31C12"/>
    <w:rsid w:val="00C31E6E"/>
    <w:rsid w:val="00C324FF"/>
    <w:rsid w:val="00C32704"/>
    <w:rsid w:val="00C32969"/>
    <w:rsid w:val="00C32A12"/>
    <w:rsid w:val="00C32AF1"/>
    <w:rsid w:val="00C32F8A"/>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77"/>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6DF"/>
    <w:rsid w:val="00C51B84"/>
    <w:rsid w:val="00C52067"/>
    <w:rsid w:val="00C52215"/>
    <w:rsid w:val="00C52634"/>
    <w:rsid w:val="00C52B31"/>
    <w:rsid w:val="00C5304D"/>
    <w:rsid w:val="00C532A1"/>
    <w:rsid w:val="00C537ED"/>
    <w:rsid w:val="00C53AA8"/>
    <w:rsid w:val="00C53AF9"/>
    <w:rsid w:val="00C5431F"/>
    <w:rsid w:val="00C5456C"/>
    <w:rsid w:val="00C54994"/>
    <w:rsid w:val="00C54DE2"/>
    <w:rsid w:val="00C5546B"/>
    <w:rsid w:val="00C557C0"/>
    <w:rsid w:val="00C55E26"/>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893"/>
    <w:rsid w:val="00C70FF3"/>
    <w:rsid w:val="00C715E0"/>
    <w:rsid w:val="00C71C43"/>
    <w:rsid w:val="00C72D39"/>
    <w:rsid w:val="00C72E75"/>
    <w:rsid w:val="00C72F7B"/>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77DE8"/>
    <w:rsid w:val="00C80C33"/>
    <w:rsid w:val="00C80F2F"/>
    <w:rsid w:val="00C8378D"/>
    <w:rsid w:val="00C83B22"/>
    <w:rsid w:val="00C840EB"/>
    <w:rsid w:val="00C845B7"/>
    <w:rsid w:val="00C85151"/>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A06"/>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60F"/>
    <w:rsid w:val="00CA4884"/>
    <w:rsid w:val="00CA59B8"/>
    <w:rsid w:val="00CA6653"/>
    <w:rsid w:val="00CA6EE9"/>
    <w:rsid w:val="00CA7615"/>
    <w:rsid w:val="00CA77E7"/>
    <w:rsid w:val="00CA78A7"/>
    <w:rsid w:val="00CA794F"/>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0BD"/>
    <w:rsid w:val="00CB33B9"/>
    <w:rsid w:val="00CB395E"/>
    <w:rsid w:val="00CB3A8F"/>
    <w:rsid w:val="00CB4229"/>
    <w:rsid w:val="00CB43FE"/>
    <w:rsid w:val="00CB45F8"/>
    <w:rsid w:val="00CB4A05"/>
    <w:rsid w:val="00CB5131"/>
    <w:rsid w:val="00CB5179"/>
    <w:rsid w:val="00CB568D"/>
    <w:rsid w:val="00CB5968"/>
    <w:rsid w:val="00CB5BCA"/>
    <w:rsid w:val="00CB6AFC"/>
    <w:rsid w:val="00CB7136"/>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C60"/>
    <w:rsid w:val="00CC6E76"/>
    <w:rsid w:val="00CC731B"/>
    <w:rsid w:val="00CC7676"/>
    <w:rsid w:val="00CC7832"/>
    <w:rsid w:val="00CC7B75"/>
    <w:rsid w:val="00CC7BC7"/>
    <w:rsid w:val="00CC7E21"/>
    <w:rsid w:val="00CC7FEC"/>
    <w:rsid w:val="00CD02E6"/>
    <w:rsid w:val="00CD102F"/>
    <w:rsid w:val="00CD1112"/>
    <w:rsid w:val="00CD1207"/>
    <w:rsid w:val="00CD1265"/>
    <w:rsid w:val="00CD12E6"/>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A21"/>
    <w:rsid w:val="00CE0C01"/>
    <w:rsid w:val="00CE0F1A"/>
    <w:rsid w:val="00CE1328"/>
    <w:rsid w:val="00CE1BBC"/>
    <w:rsid w:val="00CE1CBE"/>
    <w:rsid w:val="00CE1D3C"/>
    <w:rsid w:val="00CE1F5A"/>
    <w:rsid w:val="00CE209D"/>
    <w:rsid w:val="00CE272F"/>
    <w:rsid w:val="00CE277A"/>
    <w:rsid w:val="00CE2D7F"/>
    <w:rsid w:val="00CE31FB"/>
    <w:rsid w:val="00CE3400"/>
    <w:rsid w:val="00CE3881"/>
    <w:rsid w:val="00CE38F8"/>
    <w:rsid w:val="00CE3C63"/>
    <w:rsid w:val="00CE4184"/>
    <w:rsid w:val="00CE44DC"/>
    <w:rsid w:val="00CE453E"/>
    <w:rsid w:val="00CE4A76"/>
    <w:rsid w:val="00CE4A97"/>
    <w:rsid w:val="00CE5F1C"/>
    <w:rsid w:val="00CE5F7A"/>
    <w:rsid w:val="00CE6167"/>
    <w:rsid w:val="00CE61A8"/>
    <w:rsid w:val="00CE69B7"/>
    <w:rsid w:val="00CE6E54"/>
    <w:rsid w:val="00CE6F2A"/>
    <w:rsid w:val="00CE713D"/>
    <w:rsid w:val="00CE7324"/>
    <w:rsid w:val="00CE7BD0"/>
    <w:rsid w:val="00CE7E48"/>
    <w:rsid w:val="00CE7EDB"/>
    <w:rsid w:val="00CF0247"/>
    <w:rsid w:val="00CF036F"/>
    <w:rsid w:val="00CF063E"/>
    <w:rsid w:val="00CF065E"/>
    <w:rsid w:val="00CF12E0"/>
    <w:rsid w:val="00CF1F26"/>
    <w:rsid w:val="00CF1F40"/>
    <w:rsid w:val="00CF26A1"/>
    <w:rsid w:val="00CF2886"/>
    <w:rsid w:val="00CF2A48"/>
    <w:rsid w:val="00CF2ABF"/>
    <w:rsid w:val="00CF2EBB"/>
    <w:rsid w:val="00CF3444"/>
    <w:rsid w:val="00CF3659"/>
    <w:rsid w:val="00CF3F6E"/>
    <w:rsid w:val="00CF4C20"/>
    <w:rsid w:val="00CF5159"/>
    <w:rsid w:val="00CF57B2"/>
    <w:rsid w:val="00CF5967"/>
    <w:rsid w:val="00CF5C7A"/>
    <w:rsid w:val="00CF603F"/>
    <w:rsid w:val="00CF64AC"/>
    <w:rsid w:val="00CF67DF"/>
    <w:rsid w:val="00CF68B1"/>
    <w:rsid w:val="00CF6922"/>
    <w:rsid w:val="00CF6C84"/>
    <w:rsid w:val="00CF6D14"/>
    <w:rsid w:val="00CF6D76"/>
    <w:rsid w:val="00CF73A4"/>
    <w:rsid w:val="00CF74DF"/>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60"/>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2B3"/>
    <w:rsid w:val="00D175A9"/>
    <w:rsid w:val="00D17F9A"/>
    <w:rsid w:val="00D2011A"/>
    <w:rsid w:val="00D2073F"/>
    <w:rsid w:val="00D20AD2"/>
    <w:rsid w:val="00D20BB8"/>
    <w:rsid w:val="00D214E7"/>
    <w:rsid w:val="00D21CA0"/>
    <w:rsid w:val="00D21CD3"/>
    <w:rsid w:val="00D21E8A"/>
    <w:rsid w:val="00D2267C"/>
    <w:rsid w:val="00D22895"/>
    <w:rsid w:val="00D23005"/>
    <w:rsid w:val="00D2333E"/>
    <w:rsid w:val="00D23D0E"/>
    <w:rsid w:val="00D24149"/>
    <w:rsid w:val="00D24C98"/>
    <w:rsid w:val="00D24D9F"/>
    <w:rsid w:val="00D25604"/>
    <w:rsid w:val="00D25B8C"/>
    <w:rsid w:val="00D26691"/>
    <w:rsid w:val="00D26FC2"/>
    <w:rsid w:val="00D270B3"/>
    <w:rsid w:val="00D27135"/>
    <w:rsid w:val="00D2725B"/>
    <w:rsid w:val="00D30DFC"/>
    <w:rsid w:val="00D31D2C"/>
    <w:rsid w:val="00D323D1"/>
    <w:rsid w:val="00D3264A"/>
    <w:rsid w:val="00D32A6E"/>
    <w:rsid w:val="00D32E8E"/>
    <w:rsid w:val="00D33354"/>
    <w:rsid w:val="00D33742"/>
    <w:rsid w:val="00D33F14"/>
    <w:rsid w:val="00D34079"/>
    <w:rsid w:val="00D34502"/>
    <w:rsid w:val="00D34734"/>
    <w:rsid w:val="00D34820"/>
    <w:rsid w:val="00D34FE5"/>
    <w:rsid w:val="00D3542A"/>
    <w:rsid w:val="00D35677"/>
    <w:rsid w:val="00D35F5A"/>
    <w:rsid w:val="00D3614C"/>
    <w:rsid w:val="00D3659C"/>
    <w:rsid w:val="00D3697A"/>
    <w:rsid w:val="00D370E5"/>
    <w:rsid w:val="00D37164"/>
    <w:rsid w:val="00D372E8"/>
    <w:rsid w:val="00D37659"/>
    <w:rsid w:val="00D37D9C"/>
    <w:rsid w:val="00D40641"/>
    <w:rsid w:val="00D40820"/>
    <w:rsid w:val="00D40DB3"/>
    <w:rsid w:val="00D40DF5"/>
    <w:rsid w:val="00D41403"/>
    <w:rsid w:val="00D41622"/>
    <w:rsid w:val="00D41678"/>
    <w:rsid w:val="00D41FB8"/>
    <w:rsid w:val="00D42003"/>
    <w:rsid w:val="00D42E52"/>
    <w:rsid w:val="00D43AC8"/>
    <w:rsid w:val="00D43C10"/>
    <w:rsid w:val="00D43D05"/>
    <w:rsid w:val="00D44334"/>
    <w:rsid w:val="00D4447C"/>
    <w:rsid w:val="00D44859"/>
    <w:rsid w:val="00D44C91"/>
    <w:rsid w:val="00D44F6F"/>
    <w:rsid w:val="00D456E2"/>
    <w:rsid w:val="00D45A41"/>
    <w:rsid w:val="00D45ADC"/>
    <w:rsid w:val="00D460F1"/>
    <w:rsid w:val="00D46251"/>
    <w:rsid w:val="00D468F2"/>
    <w:rsid w:val="00D472AF"/>
    <w:rsid w:val="00D4761C"/>
    <w:rsid w:val="00D47C8E"/>
    <w:rsid w:val="00D47FF7"/>
    <w:rsid w:val="00D500BD"/>
    <w:rsid w:val="00D503C0"/>
    <w:rsid w:val="00D50917"/>
    <w:rsid w:val="00D50CB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3B6"/>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025"/>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B03"/>
    <w:rsid w:val="00D87E3C"/>
    <w:rsid w:val="00D9006A"/>
    <w:rsid w:val="00D90076"/>
    <w:rsid w:val="00D901A5"/>
    <w:rsid w:val="00D901FD"/>
    <w:rsid w:val="00D902A0"/>
    <w:rsid w:val="00D902DD"/>
    <w:rsid w:val="00D90307"/>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6EF"/>
    <w:rsid w:val="00D93E1C"/>
    <w:rsid w:val="00D943AD"/>
    <w:rsid w:val="00D947AE"/>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B3F"/>
    <w:rsid w:val="00DA4F0F"/>
    <w:rsid w:val="00DA5902"/>
    <w:rsid w:val="00DA6459"/>
    <w:rsid w:val="00DA64FC"/>
    <w:rsid w:val="00DA6961"/>
    <w:rsid w:val="00DA6A1D"/>
    <w:rsid w:val="00DA6F2A"/>
    <w:rsid w:val="00DA70A2"/>
    <w:rsid w:val="00DA75D8"/>
    <w:rsid w:val="00DA7A4B"/>
    <w:rsid w:val="00DA7ACC"/>
    <w:rsid w:val="00DB09E9"/>
    <w:rsid w:val="00DB0C35"/>
    <w:rsid w:val="00DB0F93"/>
    <w:rsid w:val="00DB17F5"/>
    <w:rsid w:val="00DB19B1"/>
    <w:rsid w:val="00DB1BF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A27"/>
    <w:rsid w:val="00DC2D5C"/>
    <w:rsid w:val="00DC2F5F"/>
    <w:rsid w:val="00DC2F74"/>
    <w:rsid w:val="00DC3078"/>
    <w:rsid w:val="00DC3086"/>
    <w:rsid w:val="00DC322E"/>
    <w:rsid w:val="00DC34EA"/>
    <w:rsid w:val="00DC36F4"/>
    <w:rsid w:val="00DC37BD"/>
    <w:rsid w:val="00DC3889"/>
    <w:rsid w:val="00DC3AEA"/>
    <w:rsid w:val="00DC3C99"/>
    <w:rsid w:val="00DC4118"/>
    <w:rsid w:val="00DC42AF"/>
    <w:rsid w:val="00DC4361"/>
    <w:rsid w:val="00DC455B"/>
    <w:rsid w:val="00DC4B81"/>
    <w:rsid w:val="00DC4B93"/>
    <w:rsid w:val="00DC5F11"/>
    <w:rsid w:val="00DC5FAE"/>
    <w:rsid w:val="00DC62BC"/>
    <w:rsid w:val="00DC67BA"/>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9C7"/>
    <w:rsid w:val="00DD5A6E"/>
    <w:rsid w:val="00DD5C06"/>
    <w:rsid w:val="00DD5D1D"/>
    <w:rsid w:val="00DD5DD0"/>
    <w:rsid w:val="00DD63FD"/>
    <w:rsid w:val="00DD65B0"/>
    <w:rsid w:val="00DD6ACB"/>
    <w:rsid w:val="00DD6E3B"/>
    <w:rsid w:val="00DD70A7"/>
    <w:rsid w:val="00DD7238"/>
    <w:rsid w:val="00DD735B"/>
    <w:rsid w:val="00DD73B5"/>
    <w:rsid w:val="00DD749D"/>
    <w:rsid w:val="00DD75DF"/>
    <w:rsid w:val="00DD7833"/>
    <w:rsid w:val="00DE03C3"/>
    <w:rsid w:val="00DE07DE"/>
    <w:rsid w:val="00DE0987"/>
    <w:rsid w:val="00DE09EA"/>
    <w:rsid w:val="00DE0E1F"/>
    <w:rsid w:val="00DE14D1"/>
    <w:rsid w:val="00DE14DB"/>
    <w:rsid w:val="00DE1BB0"/>
    <w:rsid w:val="00DE1FE4"/>
    <w:rsid w:val="00DE20CE"/>
    <w:rsid w:val="00DE27B9"/>
    <w:rsid w:val="00DE291C"/>
    <w:rsid w:val="00DE3281"/>
    <w:rsid w:val="00DE32BD"/>
    <w:rsid w:val="00DE41BC"/>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6EC"/>
    <w:rsid w:val="00DF4993"/>
    <w:rsid w:val="00DF4B20"/>
    <w:rsid w:val="00DF4E4F"/>
    <w:rsid w:val="00DF52EB"/>
    <w:rsid w:val="00DF5489"/>
    <w:rsid w:val="00DF54C2"/>
    <w:rsid w:val="00DF5538"/>
    <w:rsid w:val="00DF58D4"/>
    <w:rsid w:val="00DF5DCE"/>
    <w:rsid w:val="00DF5FCB"/>
    <w:rsid w:val="00DF67BA"/>
    <w:rsid w:val="00DF68B6"/>
    <w:rsid w:val="00DF6FF9"/>
    <w:rsid w:val="00DF7419"/>
    <w:rsid w:val="00DF7628"/>
    <w:rsid w:val="00DF79B4"/>
    <w:rsid w:val="00E00725"/>
    <w:rsid w:val="00E008B2"/>
    <w:rsid w:val="00E00B08"/>
    <w:rsid w:val="00E00BA9"/>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2F"/>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1F6F"/>
    <w:rsid w:val="00E3206C"/>
    <w:rsid w:val="00E3215F"/>
    <w:rsid w:val="00E32A05"/>
    <w:rsid w:val="00E32BE3"/>
    <w:rsid w:val="00E32E70"/>
    <w:rsid w:val="00E32FB7"/>
    <w:rsid w:val="00E3371C"/>
    <w:rsid w:val="00E34147"/>
    <w:rsid w:val="00E34CB6"/>
    <w:rsid w:val="00E34D35"/>
    <w:rsid w:val="00E3515A"/>
    <w:rsid w:val="00E357A7"/>
    <w:rsid w:val="00E3585C"/>
    <w:rsid w:val="00E35F9D"/>
    <w:rsid w:val="00E3606E"/>
    <w:rsid w:val="00E368B6"/>
    <w:rsid w:val="00E36E2C"/>
    <w:rsid w:val="00E36ECB"/>
    <w:rsid w:val="00E3707E"/>
    <w:rsid w:val="00E37291"/>
    <w:rsid w:val="00E37602"/>
    <w:rsid w:val="00E37C0C"/>
    <w:rsid w:val="00E400B8"/>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B36"/>
    <w:rsid w:val="00E4522B"/>
    <w:rsid w:val="00E4591C"/>
    <w:rsid w:val="00E4630A"/>
    <w:rsid w:val="00E46901"/>
    <w:rsid w:val="00E469DD"/>
    <w:rsid w:val="00E46C23"/>
    <w:rsid w:val="00E470BE"/>
    <w:rsid w:val="00E473E7"/>
    <w:rsid w:val="00E47A98"/>
    <w:rsid w:val="00E47D1E"/>
    <w:rsid w:val="00E50111"/>
    <w:rsid w:val="00E5080E"/>
    <w:rsid w:val="00E50B04"/>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A4C"/>
    <w:rsid w:val="00E54CA9"/>
    <w:rsid w:val="00E550C7"/>
    <w:rsid w:val="00E55213"/>
    <w:rsid w:val="00E55516"/>
    <w:rsid w:val="00E55F48"/>
    <w:rsid w:val="00E562E6"/>
    <w:rsid w:val="00E56586"/>
    <w:rsid w:val="00E5662B"/>
    <w:rsid w:val="00E5721E"/>
    <w:rsid w:val="00E5734B"/>
    <w:rsid w:val="00E574BA"/>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454"/>
    <w:rsid w:val="00E74A3E"/>
    <w:rsid w:val="00E74CBF"/>
    <w:rsid w:val="00E74F5A"/>
    <w:rsid w:val="00E74FC7"/>
    <w:rsid w:val="00E75FFA"/>
    <w:rsid w:val="00E76018"/>
    <w:rsid w:val="00E764C6"/>
    <w:rsid w:val="00E776DD"/>
    <w:rsid w:val="00E77CAE"/>
    <w:rsid w:val="00E77DDD"/>
    <w:rsid w:val="00E8018B"/>
    <w:rsid w:val="00E80430"/>
    <w:rsid w:val="00E8055B"/>
    <w:rsid w:val="00E807E2"/>
    <w:rsid w:val="00E808D3"/>
    <w:rsid w:val="00E816AF"/>
    <w:rsid w:val="00E81C5F"/>
    <w:rsid w:val="00E81D89"/>
    <w:rsid w:val="00E81E6A"/>
    <w:rsid w:val="00E8224D"/>
    <w:rsid w:val="00E825EC"/>
    <w:rsid w:val="00E829ED"/>
    <w:rsid w:val="00E82B4E"/>
    <w:rsid w:val="00E83286"/>
    <w:rsid w:val="00E8331A"/>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6DF"/>
    <w:rsid w:val="00E958A6"/>
    <w:rsid w:val="00E9636B"/>
    <w:rsid w:val="00E96576"/>
    <w:rsid w:val="00E96C87"/>
    <w:rsid w:val="00E96D09"/>
    <w:rsid w:val="00E96FED"/>
    <w:rsid w:val="00E97776"/>
    <w:rsid w:val="00E979FE"/>
    <w:rsid w:val="00E97BFB"/>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4FDC"/>
    <w:rsid w:val="00EA57A3"/>
    <w:rsid w:val="00EA5A7F"/>
    <w:rsid w:val="00EA5C9A"/>
    <w:rsid w:val="00EA660E"/>
    <w:rsid w:val="00EA6C70"/>
    <w:rsid w:val="00EA7530"/>
    <w:rsid w:val="00EA783F"/>
    <w:rsid w:val="00EA7BF6"/>
    <w:rsid w:val="00EA7C61"/>
    <w:rsid w:val="00EA7ED7"/>
    <w:rsid w:val="00EB0092"/>
    <w:rsid w:val="00EB042B"/>
    <w:rsid w:val="00EB1712"/>
    <w:rsid w:val="00EB1E86"/>
    <w:rsid w:val="00EB2307"/>
    <w:rsid w:val="00EB28E2"/>
    <w:rsid w:val="00EB2C20"/>
    <w:rsid w:val="00EB3226"/>
    <w:rsid w:val="00EB3564"/>
    <w:rsid w:val="00EB38F4"/>
    <w:rsid w:val="00EB3A4A"/>
    <w:rsid w:val="00EB3C9C"/>
    <w:rsid w:val="00EB3DBF"/>
    <w:rsid w:val="00EB3EB1"/>
    <w:rsid w:val="00EB3F8C"/>
    <w:rsid w:val="00EB4036"/>
    <w:rsid w:val="00EB4B1A"/>
    <w:rsid w:val="00EB5007"/>
    <w:rsid w:val="00EB52AF"/>
    <w:rsid w:val="00EB5537"/>
    <w:rsid w:val="00EB5940"/>
    <w:rsid w:val="00EB5F11"/>
    <w:rsid w:val="00EB61ED"/>
    <w:rsid w:val="00EB639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C00"/>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16D"/>
    <w:rsid w:val="00ED6202"/>
    <w:rsid w:val="00ED635F"/>
    <w:rsid w:val="00ED644A"/>
    <w:rsid w:val="00ED6451"/>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057"/>
    <w:rsid w:val="00EF28CB"/>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EA9"/>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8D"/>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99C"/>
    <w:rsid w:val="00F20DF0"/>
    <w:rsid w:val="00F210A1"/>
    <w:rsid w:val="00F21378"/>
    <w:rsid w:val="00F21940"/>
    <w:rsid w:val="00F21A36"/>
    <w:rsid w:val="00F21E4C"/>
    <w:rsid w:val="00F21F1B"/>
    <w:rsid w:val="00F2284B"/>
    <w:rsid w:val="00F22851"/>
    <w:rsid w:val="00F229EB"/>
    <w:rsid w:val="00F22BA4"/>
    <w:rsid w:val="00F233FC"/>
    <w:rsid w:val="00F23E78"/>
    <w:rsid w:val="00F23EA0"/>
    <w:rsid w:val="00F24333"/>
    <w:rsid w:val="00F247C5"/>
    <w:rsid w:val="00F248B9"/>
    <w:rsid w:val="00F24944"/>
    <w:rsid w:val="00F24C06"/>
    <w:rsid w:val="00F24DDE"/>
    <w:rsid w:val="00F25298"/>
    <w:rsid w:val="00F25616"/>
    <w:rsid w:val="00F25B71"/>
    <w:rsid w:val="00F265E8"/>
    <w:rsid w:val="00F26603"/>
    <w:rsid w:val="00F267DB"/>
    <w:rsid w:val="00F269A3"/>
    <w:rsid w:val="00F271BB"/>
    <w:rsid w:val="00F272C0"/>
    <w:rsid w:val="00F27780"/>
    <w:rsid w:val="00F277A6"/>
    <w:rsid w:val="00F27A37"/>
    <w:rsid w:val="00F27A3F"/>
    <w:rsid w:val="00F27AB5"/>
    <w:rsid w:val="00F301CC"/>
    <w:rsid w:val="00F303A1"/>
    <w:rsid w:val="00F304DF"/>
    <w:rsid w:val="00F3099C"/>
    <w:rsid w:val="00F30F65"/>
    <w:rsid w:val="00F31A5B"/>
    <w:rsid w:val="00F31C91"/>
    <w:rsid w:val="00F31D19"/>
    <w:rsid w:val="00F3204F"/>
    <w:rsid w:val="00F321F6"/>
    <w:rsid w:val="00F326FA"/>
    <w:rsid w:val="00F327AA"/>
    <w:rsid w:val="00F3304D"/>
    <w:rsid w:val="00F331B8"/>
    <w:rsid w:val="00F331DA"/>
    <w:rsid w:val="00F33227"/>
    <w:rsid w:val="00F337DF"/>
    <w:rsid w:val="00F33D77"/>
    <w:rsid w:val="00F33DEA"/>
    <w:rsid w:val="00F33E93"/>
    <w:rsid w:val="00F34566"/>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8C"/>
    <w:rsid w:val="00F411B4"/>
    <w:rsid w:val="00F41594"/>
    <w:rsid w:val="00F4185B"/>
    <w:rsid w:val="00F418D3"/>
    <w:rsid w:val="00F418F0"/>
    <w:rsid w:val="00F42107"/>
    <w:rsid w:val="00F42A49"/>
    <w:rsid w:val="00F42A7A"/>
    <w:rsid w:val="00F42EFD"/>
    <w:rsid w:val="00F43039"/>
    <w:rsid w:val="00F440C9"/>
    <w:rsid w:val="00F440EE"/>
    <w:rsid w:val="00F44818"/>
    <w:rsid w:val="00F451F3"/>
    <w:rsid w:val="00F4541A"/>
    <w:rsid w:val="00F45C9E"/>
    <w:rsid w:val="00F45CA1"/>
    <w:rsid w:val="00F45E21"/>
    <w:rsid w:val="00F46526"/>
    <w:rsid w:val="00F47012"/>
    <w:rsid w:val="00F47307"/>
    <w:rsid w:val="00F4763B"/>
    <w:rsid w:val="00F476C9"/>
    <w:rsid w:val="00F47BB9"/>
    <w:rsid w:val="00F47E7E"/>
    <w:rsid w:val="00F501F3"/>
    <w:rsid w:val="00F5023D"/>
    <w:rsid w:val="00F50C6C"/>
    <w:rsid w:val="00F50F92"/>
    <w:rsid w:val="00F51033"/>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6F2"/>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5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1F8"/>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0"/>
    <w:rsid w:val="00F85101"/>
    <w:rsid w:val="00F851C4"/>
    <w:rsid w:val="00F85475"/>
    <w:rsid w:val="00F858E0"/>
    <w:rsid w:val="00F85E37"/>
    <w:rsid w:val="00F864E7"/>
    <w:rsid w:val="00F8670F"/>
    <w:rsid w:val="00F86963"/>
    <w:rsid w:val="00F86AAC"/>
    <w:rsid w:val="00F87086"/>
    <w:rsid w:val="00F878C6"/>
    <w:rsid w:val="00F87C70"/>
    <w:rsid w:val="00F90134"/>
    <w:rsid w:val="00F907C7"/>
    <w:rsid w:val="00F9198D"/>
    <w:rsid w:val="00F91B15"/>
    <w:rsid w:val="00F91B7E"/>
    <w:rsid w:val="00F92016"/>
    <w:rsid w:val="00F925B4"/>
    <w:rsid w:val="00F925F6"/>
    <w:rsid w:val="00F93AA3"/>
    <w:rsid w:val="00F93F4D"/>
    <w:rsid w:val="00F94191"/>
    <w:rsid w:val="00F9443B"/>
    <w:rsid w:val="00F94CA5"/>
    <w:rsid w:val="00F952C5"/>
    <w:rsid w:val="00F952EC"/>
    <w:rsid w:val="00F953FE"/>
    <w:rsid w:val="00F96AB2"/>
    <w:rsid w:val="00F97189"/>
    <w:rsid w:val="00F97540"/>
    <w:rsid w:val="00F9777B"/>
    <w:rsid w:val="00F979B0"/>
    <w:rsid w:val="00F97FB0"/>
    <w:rsid w:val="00FA0BCC"/>
    <w:rsid w:val="00FA0EDC"/>
    <w:rsid w:val="00FA1070"/>
    <w:rsid w:val="00FA13B3"/>
    <w:rsid w:val="00FA164F"/>
    <w:rsid w:val="00FA165E"/>
    <w:rsid w:val="00FA1ACB"/>
    <w:rsid w:val="00FA1BB5"/>
    <w:rsid w:val="00FA1FDF"/>
    <w:rsid w:val="00FA21F4"/>
    <w:rsid w:val="00FA243E"/>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6F27"/>
    <w:rsid w:val="00FA70CC"/>
    <w:rsid w:val="00FA7277"/>
    <w:rsid w:val="00FA7316"/>
    <w:rsid w:val="00FA7339"/>
    <w:rsid w:val="00FA77D4"/>
    <w:rsid w:val="00FA798A"/>
    <w:rsid w:val="00FA7E20"/>
    <w:rsid w:val="00FB0FF2"/>
    <w:rsid w:val="00FB17AF"/>
    <w:rsid w:val="00FB18B5"/>
    <w:rsid w:val="00FB197F"/>
    <w:rsid w:val="00FB23DD"/>
    <w:rsid w:val="00FB27D7"/>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CB4"/>
    <w:rsid w:val="00FB7D96"/>
    <w:rsid w:val="00FC0142"/>
    <w:rsid w:val="00FC03A1"/>
    <w:rsid w:val="00FC0623"/>
    <w:rsid w:val="00FC1D06"/>
    <w:rsid w:val="00FC1F16"/>
    <w:rsid w:val="00FC1FB3"/>
    <w:rsid w:val="00FC2855"/>
    <w:rsid w:val="00FC2977"/>
    <w:rsid w:val="00FC317B"/>
    <w:rsid w:val="00FC38D2"/>
    <w:rsid w:val="00FC39F0"/>
    <w:rsid w:val="00FC3AF0"/>
    <w:rsid w:val="00FC3C61"/>
    <w:rsid w:val="00FC3C67"/>
    <w:rsid w:val="00FC3CCA"/>
    <w:rsid w:val="00FC42C3"/>
    <w:rsid w:val="00FC47DE"/>
    <w:rsid w:val="00FC48B4"/>
    <w:rsid w:val="00FC4A9E"/>
    <w:rsid w:val="00FC4DDB"/>
    <w:rsid w:val="00FC51A3"/>
    <w:rsid w:val="00FC5353"/>
    <w:rsid w:val="00FC539A"/>
    <w:rsid w:val="00FC5642"/>
    <w:rsid w:val="00FC5DF3"/>
    <w:rsid w:val="00FC5F6D"/>
    <w:rsid w:val="00FC6457"/>
    <w:rsid w:val="00FC66C1"/>
    <w:rsid w:val="00FC6703"/>
    <w:rsid w:val="00FC6BA8"/>
    <w:rsid w:val="00FC6F52"/>
    <w:rsid w:val="00FC71C6"/>
    <w:rsid w:val="00FC7248"/>
    <w:rsid w:val="00FC7915"/>
    <w:rsid w:val="00FC7A90"/>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3FC5"/>
    <w:rsid w:val="00FD4795"/>
    <w:rsid w:val="00FD49B4"/>
    <w:rsid w:val="00FD4B84"/>
    <w:rsid w:val="00FD53C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 w:val="00FF7C91"/>
    <w:rsid w:val="372C1C6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style="mso-position-horizontal-relative:page;mso-position-vertical-relative:page" stroke="f">
      <v:stroke on="f"/>
      <o:colormru v:ext="edit" colors="white"/>
    </o:shapedefaults>
    <o:shapelayout v:ext="edit">
      <o:idmap v:ext="edit" data="1"/>
    </o:shapelayout>
  </w:shapeDefaults>
  <w:decimalSymbol w:val="."/>
  <w:listSeparator w:val=","/>
  <w14:docId w14:val="52DC5C06"/>
  <w14:defaultImageDpi w14:val="32767"/>
  <w15:docId w15:val="{94935CF6-D3A5-49A1-9D69-FF8A80F7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6F3005"/>
    <w:pPr>
      <w:keepNext/>
      <w:spacing w:before="360" w:after="240" w:line="200" w:lineRule="atLeast"/>
    </w:pPr>
    <w:rPr>
      <w:b/>
      <w:bCs/>
      <w:sz w:val="18"/>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64266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CB7136"/>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642667"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642667" w:themeColor="text2"/>
      <w:kern w:val="32"/>
      <w:sz w:val="40"/>
      <w:szCs w:val="32"/>
    </w:rPr>
  </w:style>
  <w:style w:type="paragraph" w:customStyle="1" w:styleId="References">
    <w:name w:val="References"/>
    <w:basedOn w:val="BodyText"/>
    <w:qFormat/>
    <w:rsid w:val="00705F93"/>
    <w:pPr>
      <w:ind w:left="709" w:hanging="709"/>
    </w:pPr>
  </w:style>
  <w:style w:type="character" w:styleId="UnresolvedMention">
    <w:name w:val="Unresolved Mention"/>
    <w:basedOn w:val="DefaultParagraphFont"/>
    <w:uiPriority w:val="99"/>
    <w:semiHidden/>
    <w:unhideWhenUsed/>
    <w:rsid w:val="00565F05"/>
    <w:rPr>
      <w:color w:val="808080"/>
      <w:shd w:val="clear" w:color="auto" w:fill="E6E6E6"/>
    </w:rPr>
  </w:style>
  <w:style w:type="paragraph" w:styleId="Revision">
    <w:name w:val="Revision"/>
    <w:hidden/>
    <w:uiPriority w:val="99"/>
    <w:semiHidden/>
    <w:rsid w:val="00915487"/>
    <w:pPr>
      <w:spacing w:line="240" w:lineRule="auto"/>
    </w:pPr>
  </w:style>
  <w:style w:type="paragraph" w:customStyle="1" w:styleId="Pa24">
    <w:name w:val="Pa24"/>
    <w:basedOn w:val="Normal"/>
    <w:next w:val="Normal"/>
    <w:uiPriority w:val="99"/>
    <w:rsid w:val="00596DF8"/>
    <w:pPr>
      <w:autoSpaceDE w:val="0"/>
      <w:autoSpaceDN w:val="0"/>
      <w:adjustRightInd w:val="0"/>
      <w:spacing w:line="191" w:lineRule="atLeast"/>
    </w:pPr>
    <w:rPr>
      <w:rFonts w:ascii="VIC Light" w:hAnsi="VIC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0987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1427878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2767604">
      <w:bodyDiv w:val="1"/>
      <w:marLeft w:val="0"/>
      <w:marRight w:val="0"/>
      <w:marTop w:val="0"/>
      <w:marBottom w:val="0"/>
      <w:divBdr>
        <w:top w:val="none" w:sz="0" w:space="0" w:color="auto"/>
        <w:left w:val="none" w:sz="0" w:space="0" w:color="auto"/>
        <w:bottom w:val="none" w:sz="0" w:space="0" w:color="auto"/>
        <w:right w:val="none" w:sz="0" w:space="0" w:color="auto"/>
      </w:divBdr>
    </w:div>
    <w:div w:id="51750265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0562120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852115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64533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planning.vic.gov.au" TargetMode="External"/><Relationship Id="rId32" Type="http://schemas.openxmlformats.org/officeDocument/2006/relationships/hyperlink" Target="https://www.data.vic.gov.au" TargetMode="External"/><Relationship Id="rId37" Type="http://schemas.openxmlformats.org/officeDocument/2006/relationships/image" Target="media/image7.png"/><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mailto:customer.service@delwp.vic.gov.au" TargetMode="Externa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planning.vic.gov.au/land-use-and-population-research/housing-development-data"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creativecommons.org/licenses/by/4.0/" TargetMode="External"/><Relationship Id="rId27" Type="http://schemas.openxmlformats.org/officeDocument/2006/relationships/header" Target="header3.xml"/><Relationship Id="rId30" Type="http://schemas.openxmlformats.org/officeDocument/2006/relationships/footer" Target="footer7.xml"/><Relationship Id="rId35"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030B73B6E447D0B63C2295708711EC"/>
        <w:category>
          <w:name w:val="General"/>
          <w:gallery w:val="placeholder"/>
        </w:category>
        <w:types>
          <w:type w:val="bbPlcHdr"/>
        </w:types>
        <w:behaviors>
          <w:behavior w:val="content"/>
        </w:behaviors>
        <w:guid w:val="{3B184ACA-A927-4F02-B392-4CC93446DD83}"/>
      </w:docPartPr>
      <w:docPartBody>
        <w:p w:rsidR="0079253E" w:rsidRDefault="00DB7FE1">
          <w:pPr>
            <w:pStyle w:val="D7030B73B6E447D0B63C2295708711EC"/>
          </w:pPr>
          <w:r w:rsidRPr="00F66997">
            <w:rPr>
              <w:rStyle w:val="PlaceholderText"/>
            </w:rPr>
            <w:t>Click here to enter text.</w:t>
          </w:r>
        </w:p>
      </w:docPartBody>
    </w:docPart>
    <w:docPart>
      <w:docPartPr>
        <w:name w:val="AB8C947A3358477E9337DD7783F41551"/>
        <w:category>
          <w:name w:val="General"/>
          <w:gallery w:val="placeholder"/>
        </w:category>
        <w:types>
          <w:type w:val="bbPlcHdr"/>
        </w:types>
        <w:behaviors>
          <w:behavior w:val="content"/>
        </w:behaviors>
        <w:guid w:val="{3AF44236-AA0D-41AE-B568-3156D096D879}"/>
      </w:docPartPr>
      <w:docPartBody>
        <w:p w:rsidR="0079253E" w:rsidRDefault="00DB7FE1">
          <w:pPr>
            <w:pStyle w:val="AB8C947A3358477E9337DD7783F41551"/>
          </w:pPr>
          <w:r w:rsidRPr="00CE796C">
            <w:rPr>
              <w:rStyle w:val="PlaceholderText"/>
            </w:rPr>
            <w:t>Click here to enter text.</w:t>
          </w:r>
        </w:p>
      </w:docPartBody>
    </w:docPart>
    <w:docPart>
      <w:docPartPr>
        <w:name w:val="209BC6F9BB4D49BBA402FDFD2CA9724A"/>
        <w:category>
          <w:name w:val="General"/>
          <w:gallery w:val="placeholder"/>
        </w:category>
        <w:types>
          <w:type w:val="bbPlcHdr"/>
        </w:types>
        <w:behaviors>
          <w:behavior w:val="content"/>
        </w:behaviors>
        <w:guid w:val="{A63A1559-3D11-43D6-9569-A420F2EAE98F}"/>
      </w:docPartPr>
      <w:docPartBody>
        <w:p w:rsidR="00FD45C6" w:rsidRDefault="00C0622E" w:rsidP="00C0622E">
          <w:pPr>
            <w:pStyle w:val="209BC6F9BB4D49BBA402FDFD2CA9724A"/>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IC Light">
    <w:altName w:val="VIC Light"/>
    <w:panose1 w:val="00000400000000000000"/>
    <w:charset w:val="00"/>
    <w:family w:val="auto"/>
    <w:pitch w:val="variable"/>
    <w:sig w:usb0="00000007" w:usb1="00000000" w:usb2="00000000" w:usb3="00000000" w:csb0="00000093"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FE1"/>
    <w:rsid w:val="001F473F"/>
    <w:rsid w:val="00271C2B"/>
    <w:rsid w:val="00285A9A"/>
    <w:rsid w:val="002B0A59"/>
    <w:rsid w:val="002F07CA"/>
    <w:rsid w:val="003C77F2"/>
    <w:rsid w:val="00480571"/>
    <w:rsid w:val="0079253E"/>
    <w:rsid w:val="008B0274"/>
    <w:rsid w:val="0093419D"/>
    <w:rsid w:val="00952743"/>
    <w:rsid w:val="00957C37"/>
    <w:rsid w:val="009B2C1A"/>
    <w:rsid w:val="009E6187"/>
    <w:rsid w:val="00A01697"/>
    <w:rsid w:val="00A77D45"/>
    <w:rsid w:val="00AB1C39"/>
    <w:rsid w:val="00BB0B64"/>
    <w:rsid w:val="00C0622E"/>
    <w:rsid w:val="00C46A2F"/>
    <w:rsid w:val="00C90FDC"/>
    <w:rsid w:val="00CC4A29"/>
    <w:rsid w:val="00DB7FE1"/>
    <w:rsid w:val="00E148C4"/>
    <w:rsid w:val="00E30A58"/>
    <w:rsid w:val="00E538CB"/>
    <w:rsid w:val="00F475C1"/>
    <w:rsid w:val="00F53E2F"/>
    <w:rsid w:val="00FD4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7030B73B6E447D0B63C2295708711EC">
    <w:name w:val="D7030B73B6E447D0B63C2295708711EC"/>
  </w:style>
  <w:style w:type="paragraph" w:customStyle="1" w:styleId="089C87E432F54C0F88376700F375AC72">
    <w:name w:val="089C87E432F54C0F88376700F375AC72"/>
  </w:style>
  <w:style w:type="paragraph" w:customStyle="1" w:styleId="AB8C947A3358477E9337DD7783F41551">
    <w:name w:val="AB8C947A3358477E9337DD7783F41551"/>
  </w:style>
  <w:style w:type="paragraph" w:customStyle="1" w:styleId="5B7506558CCF493F87717C0CBEC50853">
    <w:name w:val="5B7506558CCF493F87717C0CBEC50853"/>
  </w:style>
  <w:style w:type="paragraph" w:customStyle="1" w:styleId="2694A1F638D44FAB81E8B1326108AD84">
    <w:name w:val="2694A1F638D44FAB81E8B1326108AD84"/>
  </w:style>
  <w:style w:type="paragraph" w:customStyle="1" w:styleId="209BC6F9BB4D49BBA402FDFD2CA9724A">
    <w:name w:val="209BC6F9BB4D49BBA402FDFD2CA9724A"/>
    <w:rsid w:val="00C06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ata Analysis" ma:contentTypeID="0x0101002517F445A0F35E449C98AAD631F2B038EA00EF5EA2EB79FE3847923C0E9AEB3DAB78" ma:contentTypeVersion="9" ma:contentTypeDescription="Analysis of data to inform an outcome or decision point - DELWP" ma:contentTypeScope="" ma:versionID="d96e6fca6a0d6f790c0ba19a56c0478d">
  <xsd:schema xmlns:xsd="http://www.w3.org/2001/XMLSchema" xmlns:xs="http://www.w3.org/2001/XMLSchema" xmlns:p="http://schemas.microsoft.com/office/2006/metadata/properties" xmlns:ns1="a5f32de4-e402-4188-b034-e71ca7d22e54" xmlns:ns2="http://schemas.microsoft.com/sharepoint/v3" xmlns:ns3="9fd47c19-1c4a-4d7d-b342-c10cef269344" xmlns:ns4="c42f9c80-6326-4d3e-8624-f1221488f056" targetNamespace="http://schemas.microsoft.com/office/2006/metadata/properties" ma:root="true" ma:fieldsID="97e3492f8adc42e8dce9b952e9f0e80b" ns1:_="" ns2:_="" ns3:_="" ns4:_="">
    <xsd:import namespace="a5f32de4-e402-4188-b034-e71ca7d22e54"/>
    <xsd:import namespace="http://schemas.microsoft.com/sharepoint/v3"/>
    <xsd:import namespace="9fd47c19-1c4a-4d7d-b342-c10cef269344"/>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Tasks" minOccurs="0"/>
                <xsd:element ref="ns4:Project_x0020_Name" minOccurs="0"/>
                <xsd:element ref="ns4:Sub_x0020_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Land Use and Population Research|74d70c3d-1a73-4227-abac-9cd6b91945b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94abe0a8-f579-4a92-a5a2-e8e98f793e03}"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94abe0a8-f579-4a92-a5a2-e8e98f793e03}"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4;#Forward Policy and Business Strategy|8390fb7a-894d-4536-a591-336c8a33878d"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Tasks" ma:index="31" nillable="true" ma:displayName="Tasks" ma:format="Dropdown" ma:internalName="Tasks">
      <xsd:simpleType>
        <xsd:restriction base="dms:Choice">
          <xsd:enumeration value="Projects"/>
          <xsd:enumeration value="Presentations"/>
          <xsd:enumeration value="Administration"/>
          <xsd:enumeration value="Requests"/>
        </xsd:restriction>
      </xsd:simpleType>
    </xsd:element>
    <xsd:element name="Project_x0020_Name" ma:index="32" nillable="true" ma:displayName="Project Name" ma:list="{edd028d9-664e-4f74-9ede-1ed8223dba50}" ma:internalName="Project_x0020_Name" ma:showField="Title" ma:web="c42f9c80-6326-4d3e-8624-f1221488f056">
      <xsd:simpleType>
        <xsd:restriction base="dms:Lookup"/>
      </xsd:simpleType>
    </xsd:element>
    <xsd:element name="Sub_x0020_Project" ma:index="33" nillable="true" ma:displayName="Sub Project" ma:list="{b813da27-7a5d-444a-aca6-cddc26416310}" ma:internalName="Sub_x0020_Project"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2517F445A0F35E449C98AAD631F2B038EA" PreviousValue="false"/>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Sub_x0020_Project xmlns="c42f9c80-6326-4d3e-8624-f1221488f056" xsi:nil="tru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Tasks xmlns="c42f9c80-6326-4d3e-8624-f1221488f056">Projects</Tasks>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Forward Policy and Business Strategy</TermName>
          <TermId xmlns="http://schemas.microsoft.com/office/infopath/2007/PartnerControls">8390fb7a-894d-4536-a591-336c8a33878d</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Use and Population Research</TermName>
          <TermId xmlns="http://schemas.microsoft.com/office/infopath/2007/PartnerControls">74d70c3d-1a73-4227-abac-9cd6b91945bb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5</Project_x0020_Name>
    <_dlc_DocId xmlns="a5f32de4-e402-4188-b034-e71ca7d22e54">5S3XEAUYJM2F-59017002-14</_dlc_DocId>
    <_dlc_DocIdUrl xmlns="a5f32de4-e402-4188-b034-e71ca7d22e54">
      <Url>https://delwpvicgovau.sharepoint.com/sites/ecm_347/_layouts/15/DocIdRedir.aspx?ID=5S3XEAUYJM2F-59017002-14</Url>
      <Description>5S3XEAUYJM2F-59017002-14</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F7B54-DA63-4E6D-98B7-783C896F59FE}">
  <ds:schemaRefs>
    <ds:schemaRef ds:uri="http://schemas.microsoft.com/sharepoint/v3/contenttype/forms"/>
  </ds:schemaRefs>
</ds:datastoreItem>
</file>

<file path=customXml/itemProps2.xml><?xml version="1.0" encoding="utf-8"?>
<ds:datastoreItem xmlns:ds="http://schemas.openxmlformats.org/officeDocument/2006/customXml" ds:itemID="{B5117F5B-189B-4C82-A530-B103F0776CC2}">
  <ds:schemaRefs>
    <ds:schemaRef ds:uri="http://schemas.microsoft.com/office/2006/metadata/customXsn"/>
  </ds:schemaRefs>
</ds:datastoreItem>
</file>

<file path=customXml/itemProps3.xml><?xml version="1.0" encoding="utf-8"?>
<ds:datastoreItem xmlns:ds="http://schemas.openxmlformats.org/officeDocument/2006/customXml" ds:itemID="{7F44A685-A133-456A-A2E4-F6FBF5DD61D6}">
  <ds:schemaRefs>
    <ds:schemaRef ds:uri="http://schemas.microsoft.com/sharepoint/events"/>
  </ds:schemaRefs>
</ds:datastoreItem>
</file>

<file path=customXml/itemProps4.xml><?xml version="1.0" encoding="utf-8"?>
<ds:datastoreItem xmlns:ds="http://schemas.openxmlformats.org/officeDocument/2006/customXml" ds:itemID="{591A5E9F-5881-414B-908A-1F75688FF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2E5CE9-D0AB-4DBA-A74B-03F5FA3A6E55}">
  <ds:schemaRefs>
    <ds:schemaRef ds:uri="Microsoft.SharePoint.Taxonomy.ContentTypeSync"/>
  </ds:schemaRefs>
</ds:datastoreItem>
</file>

<file path=customXml/itemProps6.xml><?xml version="1.0" encoding="utf-8"?>
<ds:datastoreItem xmlns:ds="http://schemas.openxmlformats.org/officeDocument/2006/customXml" ds:itemID="{6DA86E1D-F5E8-4C99-9A53-A5A9844FB47C}">
  <ds:schemaRefs>
    <ds:schemaRef ds:uri="http://schemas.microsoft.com/office/2006/metadata/properties"/>
    <ds:schemaRef ds:uri="a5f32de4-e402-4188-b034-e71ca7d22e54"/>
    <ds:schemaRef ds:uri="http://www.w3.org/XML/1998/namespace"/>
    <ds:schemaRef ds:uri="http://purl.org/dc/elements/1.1/"/>
    <ds:schemaRef ds:uri="http://schemas.microsoft.com/office/2006/documentManagement/types"/>
    <ds:schemaRef ds:uri="http://schemas.microsoft.com/sharepoint/v3"/>
    <ds:schemaRef ds:uri="http://schemas.microsoft.com/office/infopath/2007/PartnerControls"/>
    <ds:schemaRef ds:uri="c42f9c80-6326-4d3e-8624-f1221488f056"/>
    <ds:schemaRef ds:uri="9fd47c19-1c4a-4d7d-b342-c10cef269344"/>
    <ds:schemaRef ds:uri="http://schemas.openxmlformats.org/package/2006/metadata/core-properties"/>
    <ds:schemaRef ds:uri="http://purl.org/dc/dcmitype/"/>
    <ds:schemaRef ds:uri="http://purl.org/dc/terms/"/>
  </ds:schemaRefs>
</ds:datastoreItem>
</file>

<file path=customXml/itemProps7.xml><?xml version="1.0" encoding="utf-8"?>
<ds:datastoreItem xmlns:ds="http://schemas.openxmlformats.org/officeDocument/2006/customXml" ds:itemID="{4D935C99-EC61-4E02-BB08-10583877A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3441</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12 Years of Housing Development Data</vt:lpstr>
    </vt:vector>
  </TitlesOfParts>
  <Company/>
  <LinksUpToDate>false</LinksUpToDate>
  <CharactersWithSpaces>23009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Years of Housing Development Data</dc:title>
  <dc:subject/>
  <dc:creator>David Matthews</dc:creator>
  <cp:keywords/>
  <dc:description/>
  <cp:lastModifiedBy>David P Matthews (DELWP)</cp:lastModifiedBy>
  <cp:revision>2</cp:revision>
  <cp:lastPrinted>2018-02-22T23:47:00Z</cp:lastPrinted>
  <dcterms:created xsi:type="dcterms:W3CDTF">2018-04-26T23:11:00Z</dcterms:created>
  <dcterms:modified xsi:type="dcterms:W3CDTF">2018-04-26T23:11:00Z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12 Years of Housing Development Data</vt:lpwstr>
  </property>
  <property fmtid="{D5CDD505-2E9C-101B-9397-08002B2CF9AE}" pid="3" name="xSubtitle">
    <vt:lpwstr>2005 to 2016</vt:lpwstr>
  </property>
  <property fmtid="{D5CDD505-2E9C-101B-9397-08002B2CF9AE}" pid="4" name="xDate">
    <vt:lpwstr>February 2018</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12 Years of Housing Development Data</vt:lpwstr>
  </property>
  <property fmtid="{D5CDD505-2E9C-101B-9397-08002B2CF9AE}" pid="16" name="xFooterSubtitle">
    <vt:lpwstr>2005 to 2016</vt:lpwstr>
  </property>
  <property fmtid="{D5CDD505-2E9C-101B-9397-08002B2CF9AE}" pid="17" name="xAppendixName">
    <vt:lpwstr>Appendix</vt:lpwstr>
  </property>
  <property fmtid="{D5CDD505-2E9C-101B-9397-08002B2CF9AE}" pid="18" name="ContentTypeId">
    <vt:lpwstr>0x0101002517F445A0F35E449C98AAD631F2B038EA00EF5EA2EB79FE3847923C0E9AEB3DAB78</vt:lpwstr>
  </property>
  <property fmtid="{D5CDD505-2E9C-101B-9397-08002B2CF9AE}" pid="19" name="_dlc_DocIdItemGuid">
    <vt:lpwstr>a580d326-5085-4cc5-bb67-5f079fe3c9ac</vt:lpwstr>
  </property>
  <property fmtid="{D5CDD505-2E9C-101B-9397-08002B2CF9AE}" pid="20" name="Section">
    <vt:lpwstr>6;#All|8270565e-a836-42c0-aa61-1ac7b0ff14aa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7;#Land Use and Population Research|74d70c3d-1a73-4227-abac-9cd6b91945bb</vt:lpwstr>
  </property>
  <property fmtid="{D5CDD505-2E9C-101B-9397-08002B2CF9AE}" pid="24" name="o85941e134754762b9719660a258a6e6">
    <vt:lpwstr/>
  </property>
  <property fmtid="{D5CDD505-2E9C-101B-9397-08002B2CF9AE}" pid="25" name="Reference Type">
    <vt:lpwstr/>
  </property>
  <property fmtid="{D5CDD505-2E9C-101B-9397-08002B2CF9AE}" pid="26" name="Copyright Licence Name">
    <vt:lpwstr/>
  </property>
  <property fmtid="{D5CDD505-2E9C-101B-9397-08002B2CF9AE}" pid="27" name="Copyright License Type">
    <vt:lpwstr/>
  </property>
  <property fmtid="{D5CDD505-2E9C-101B-9397-08002B2CF9AE}" pid="28" name="df723ab3fe1c4eb7a0b151674e7ac40d">
    <vt:lpwstr/>
  </property>
  <property fmtid="{D5CDD505-2E9C-101B-9397-08002B2CF9AE}" pid="29" name="Division">
    <vt:lpwstr>4;#Forward Policy and Business Strategy|8390fb7a-894d-4536-a591-336c8a33878d</vt:lpwstr>
  </property>
  <property fmtid="{D5CDD505-2E9C-101B-9397-08002B2CF9AE}" pid="30" name="Group1">
    <vt:lpwstr>5;#Planning|a27341dd-7be7-4882-a552-a667d667e276</vt:lpwstr>
  </property>
  <property fmtid="{D5CDD505-2E9C-101B-9397-08002B2CF9AE}" pid="31" name="Dissemination Limiting Marker">
    <vt:lpwstr>2;#FOUO|955eb6fc-b35a-4808-8aa5-31e514fa3f26</vt:lpwstr>
  </property>
  <property fmtid="{D5CDD505-2E9C-101B-9397-08002B2CF9AE}" pid="32" name="Security Classification">
    <vt:lpwstr>3;#Unclassified|7fa379f4-4aba-4692-ab80-7d39d3a23cf4</vt:lpwstr>
  </property>
  <property fmtid="{D5CDD505-2E9C-101B-9397-08002B2CF9AE}" pid="33" name="ld508a88e6264ce89693af80a72862cb">
    <vt:lpwstr/>
  </property>
  <property fmtid="{D5CDD505-2E9C-101B-9397-08002B2CF9AE}" pid="34" name="SharedWithUsers">
    <vt:lpwstr>115;#Simon R Micmacher (DELWP);#144;#Peter V Elliott (DELWP);#27;#Fiona M McKenzie (DELWP)</vt:lpwstr>
  </property>
</Properties>
</file>