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19" w:rsidRPr="00D041E1" w:rsidRDefault="00801919" w:rsidP="00E31DDA">
      <w:pPr>
        <w:spacing w:afterLines="113" w:after="271" w:line="240" w:lineRule="atLeast"/>
        <w:rPr>
          <w:rFonts w:cs="Tahoma"/>
          <w:lang w:eastAsia="en-AU"/>
        </w:rPr>
        <w:sectPr w:rsidR="00801919" w:rsidRPr="00D041E1" w:rsidSect="00664E33">
          <w:headerReference w:type="default" r:id="rId9"/>
          <w:footerReference w:type="default" r:id="rId10"/>
          <w:headerReference w:type="first" r:id="rId11"/>
          <w:footerReference w:type="first" r:id="rId12"/>
          <w:pgSz w:w="11906" w:h="16838"/>
          <w:pgMar w:top="1440" w:right="665" w:bottom="1440" w:left="686" w:header="708" w:footer="0" w:gutter="0"/>
          <w:cols w:space="708"/>
          <w:titlePg/>
          <w:docGrid w:linePitch="360"/>
        </w:sectPr>
      </w:pPr>
    </w:p>
    <w:p w:rsidR="004859DA" w:rsidRPr="00D041E1" w:rsidRDefault="0074796E" w:rsidP="00E31DDA">
      <w:pPr>
        <w:spacing w:afterLines="113" w:after="271" w:line="240" w:lineRule="atLeast"/>
        <w:ind w:left="4962" w:hanging="1"/>
        <w:rPr>
          <w:rFonts w:cs="Tahoma"/>
          <w:color w:val="228591"/>
          <w:sz w:val="40"/>
        </w:rPr>
      </w:pPr>
      <w:r>
        <w:rPr>
          <w:b/>
          <w:noProof/>
          <w:lang w:eastAsia="en-AU"/>
        </w:rPr>
        <w:lastRenderedPageBreak/>
        <w:pict>
          <v:shapetype id="_x0000_t202" coordsize="21600,21600" o:spt="202" path="m,l,21600r21600,l21600,xe">
            <v:stroke joinstyle="miter"/>
            <v:path gradientshapeok="t" o:connecttype="rect"/>
          </v:shapetype>
          <v:shape id="_x0000_s1088" type="#_x0000_t202" style="position:absolute;left:0;text-align:left;margin-left:-6.2pt;margin-top:2.9pt;width:219.3pt;height:345pt;z-index:251656704;mso-wrap-distance-right:28.35pt" strokecolor="#228591" strokeweight="2pt">
            <v:textbox style="mso-next-textbox:#_x0000_s1088" inset="1.5mm,,0">
              <w:txbxContent>
                <w:p w:rsidR="00BE5A8F" w:rsidRPr="00E31DDA" w:rsidRDefault="00BE5A8F" w:rsidP="00440A12">
                  <w:pPr>
                    <w:spacing w:before="85" w:after="170" w:line="300" w:lineRule="atLeast"/>
                    <w:rPr>
                      <w:rStyle w:val="A1"/>
                      <w:rFonts w:cs="Tahoma"/>
                      <w:b w:val="0"/>
                      <w:color w:val="228591"/>
                      <w:sz w:val="24"/>
                    </w:rPr>
                  </w:pPr>
                  <w:r w:rsidRPr="00E31DDA">
                    <w:rPr>
                      <w:rStyle w:val="A1"/>
                      <w:rFonts w:cs="Tahoma"/>
                      <w:b w:val="0"/>
                      <w:color w:val="228591"/>
                      <w:sz w:val="24"/>
                    </w:rPr>
                    <w:t xml:space="preserve">Welcome to Issue </w:t>
                  </w:r>
                  <w:r w:rsidR="005F6DF3">
                    <w:rPr>
                      <w:rStyle w:val="A1"/>
                      <w:rFonts w:cs="Tahoma"/>
                      <w:b w:val="0"/>
                      <w:color w:val="228591"/>
                      <w:sz w:val="24"/>
                    </w:rPr>
                    <w:t>69</w:t>
                  </w:r>
                  <w:r w:rsidRPr="00E31DDA">
                    <w:rPr>
                      <w:rStyle w:val="A1"/>
                      <w:rFonts w:cs="Tahoma"/>
                      <w:b w:val="0"/>
                      <w:color w:val="228591"/>
                      <w:sz w:val="24"/>
                    </w:rPr>
                    <w:t xml:space="preserve"> of Research Matters, the Department of Environment, Land, Water &amp; Planning’s quarterly planning research bulletin, featuring DELWP research and analysis, news about recently released data, and research from other sources.</w:t>
                  </w:r>
                  <w:r w:rsidR="00440A12">
                    <w:rPr>
                      <w:rStyle w:val="A1"/>
                      <w:rFonts w:cs="Tahoma"/>
                      <w:b w:val="0"/>
                      <w:color w:val="228591"/>
                      <w:sz w:val="24"/>
                    </w:rPr>
                    <w:t xml:space="preserve"> </w:t>
                  </w:r>
                  <w:r w:rsidRPr="00E31DDA">
                    <w:rPr>
                      <w:rStyle w:val="A1"/>
                      <w:rFonts w:cs="Tahoma"/>
                      <w:b w:val="0"/>
                      <w:color w:val="228591"/>
                      <w:sz w:val="24"/>
                    </w:rPr>
                    <w:t>If you have any questions or comments, you can contact us at:</w:t>
                  </w:r>
                </w:p>
                <w:p w:rsidR="00BE5A8F" w:rsidRPr="005F6DF3" w:rsidRDefault="00BE5A8F" w:rsidP="00440A12">
                  <w:pPr>
                    <w:spacing w:before="85" w:after="170" w:line="300" w:lineRule="atLeast"/>
                    <w:rPr>
                      <w:rStyle w:val="A1"/>
                      <w:rFonts w:cs="Tahoma"/>
                      <w:b w:val="0"/>
                      <w:color w:val="228591"/>
                      <w:u w:val="single"/>
                    </w:rPr>
                  </w:pPr>
                  <w:r w:rsidRPr="005F6DF3">
                    <w:rPr>
                      <w:rStyle w:val="A1"/>
                      <w:rFonts w:cs="Tahoma"/>
                      <w:b w:val="0"/>
                      <w:color w:val="228591"/>
                      <w:u w:val="single"/>
                    </w:rPr>
                    <w:t>spatialanalysis.research@dtpli.vic.gov.au</w:t>
                  </w:r>
                </w:p>
                <w:p w:rsidR="00BE5A8F" w:rsidRPr="00D041E1" w:rsidRDefault="00BE5A8F" w:rsidP="00801919">
                  <w:pPr>
                    <w:spacing w:after="0" w:line="240" w:lineRule="auto"/>
                    <w:rPr>
                      <w:rStyle w:val="A1"/>
                      <w:rFonts w:cs="Tahoma"/>
                      <w:color w:val="auto"/>
                    </w:rPr>
                  </w:pPr>
                </w:p>
                <w:p w:rsidR="00BE5A8F" w:rsidRPr="00D041E1" w:rsidRDefault="00133868" w:rsidP="005F6DF3">
                  <w:pPr>
                    <w:spacing w:after="0" w:line="360" w:lineRule="auto"/>
                    <w:rPr>
                      <w:rStyle w:val="A1"/>
                      <w:rFonts w:cs="Tahoma"/>
                      <w:color w:val="228591"/>
                      <w:sz w:val="28"/>
                    </w:rPr>
                  </w:pPr>
                  <w:r>
                    <w:rPr>
                      <w:rStyle w:val="A1"/>
                      <w:rFonts w:cs="Tahoma"/>
                      <w:color w:val="228591"/>
                      <w:sz w:val="28"/>
                    </w:rPr>
                    <w:t>Contents</w:t>
                  </w:r>
                </w:p>
                <w:p w:rsidR="00BE5A8F" w:rsidRPr="00D041E1" w:rsidRDefault="00BE5A8F" w:rsidP="005F6DF3">
                  <w:pPr>
                    <w:tabs>
                      <w:tab w:val="left" w:pos="284"/>
                    </w:tabs>
                    <w:spacing w:after="0" w:line="240" w:lineRule="auto"/>
                    <w:rPr>
                      <w:rFonts w:cs="Tahoma"/>
                    </w:rPr>
                  </w:pPr>
                  <w:r w:rsidRPr="00D041E1">
                    <w:rPr>
                      <w:rFonts w:cs="Tahoma"/>
                      <w:b/>
                      <w:color w:val="228591"/>
                      <w:sz w:val="28"/>
                    </w:rPr>
                    <w:t>1</w:t>
                  </w:r>
                  <w:r w:rsidR="005F6DF3">
                    <w:rPr>
                      <w:rFonts w:cs="Tahoma"/>
                      <w:b/>
                      <w:color w:val="228591"/>
                      <w:sz w:val="28"/>
                    </w:rPr>
                    <w:tab/>
                  </w:r>
                  <w:r w:rsidR="00133868">
                    <w:rPr>
                      <w:rFonts w:cs="Tahoma"/>
                    </w:rPr>
                    <w:t>In this issue …</w:t>
                  </w:r>
                </w:p>
                <w:p w:rsidR="00BE5A8F" w:rsidRPr="00D041E1" w:rsidRDefault="00BE5A8F" w:rsidP="005F6DF3">
                  <w:pPr>
                    <w:tabs>
                      <w:tab w:val="left" w:pos="284"/>
                    </w:tabs>
                    <w:spacing w:after="0" w:line="240" w:lineRule="auto"/>
                    <w:rPr>
                      <w:rFonts w:cs="Tahoma"/>
                    </w:rPr>
                  </w:pPr>
                </w:p>
                <w:p w:rsidR="00044358" w:rsidRPr="00D041E1" w:rsidRDefault="00BE5A8F" w:rsidP="005F6DF3">
                  <w:pPr>
                    <w:tabs>
                      <w:tab w:val="left" w:pos="284"/>
                    </w:tabs>
                    <w:spacing w:after="0" w:line="240" w:lineRule="auto"/>
                    <w:rPr>
                      <w:rFonts w:cs="Tahoma"/>
                    </w:rPr>
                  </w:pPr>
                  <w:r w:rsidRPr="00D041E1">
                    <w:rPr>
                      <w:rFonts w:cs="Tahoma"/>
                      <w:b/>
                      <w:color w:val="228591"/>
                      <w:sz w:val="28"/>
                    </w:rPr>
                    <w:t>2</w:t>
                  </w:r>
                  <w:r w:rsidR="005F6DF3">
                    <w:rPr>
                      <w:rFonts w:cs="Tahoma"/>
                      <w:b/>
                      <w:color w:val="228591"/>
                      <w:sz w:val="28"/>
                    </w:rPr>
                    <w:tab/>
                  </w:r>
                  <w:r w:rsidR="00044358" w:rsidRPr="00D041E1">
                    <w:rPr>
                      <w:rFonts w:cs="Tahoma"/>
                    </w:rPr>
                    <w:t>Six million Victorians for Christmas</w:t>
                  </w:r>
                  <w:r w:rsidR="00970714">
                    <w:rPr>
                      <w:rFonts w:cs="Tahoma"/>
                    </w:rPr>
                    <w:t>?</w:t>
                  </w:r>
                  <w:r w:rsidR="00044358" w:rsidRPr="00D041E1">
                    <w:rPr>
                      <w:rFonts w:cs="Tahoma"/>
                    </w:rPr>
                    <w:t xml:space="preserve"> </w:t>
                  </w:r>
                </w:p>
                <w:p w:rsidR="00BE5A8F" w:rsidRPr="00D041E1" w:rsidRDefault="00BE5A8F" w:rsidP="005F6DF3">
                  <w:pPr>
                    <w:tabs>
                      <w:tab w:val="left" w:pos="284"/>
                    </w:tabs>
                    <w:spacing w:after="0" w:line="240" w:lineRule="auto"/>
                    <w:rPr>
                      <w:rFonts w:cs="Tahoma"/>
                    </w:rPr>
                  </w:pPr>
                </w:p>
                <w:p w:rsidR="00F2490D" w:rsidRPr="00D041E1" w:rsidRDefault="00BE5A8F" w:rsidP="005F6DF3">
                  <w:pPr>
                    <w:tabs>
                      <w:tab w:val="left" w:pos="284"/>
                    </w:tabs>
                    <w:spacing w:after="0" w:line="240" w:lineRule="auto"/>
                    <w:ind w:left="284" w:hanging="284"/>
                    <w:rPr>
                      <w:rFonts w:cs="Tahoma"/>
                    </w:rPr>
                  </w:pPr>
                  <w:r w:rsidRPr="00D041E1">
                    <w:rPr>
                      <w:rFonts w:cs="Tahoma"/>
                      <w:b/>
                      <w:color w:val="228591"/>
                      <w:sz w:val="28"/>
                    </w:rPr>
                    <w:t>3</w:t>
                  </w:r>
                  <w:r w:rsidR="005F6DF3">
                    <w:rPr>
                      <w:rFonts w:cs="Tahoma"/>
                      <w:b/>
                      <w:color w:val="228591"/>
                      <w:sz w:val="28"/>
                    </w:rPr>
                    <w:tab/>
                  </w:r>
                  <w:r w:rsidR="00F2490D" w:rsidRPr="00D041E1">
                    <w:rPr>
                      <w:rFonts w:cs="Tahoma"/>
                    </w:rPr>
                    <w:t>Small towns: change and adaptation in the Wimmera and Mallee</w:t>
                  </w:r>
                  <w:r w:rsidR="00970714">
                    <w:rPr>
                      <w:rFonts w:cs="Tahoma"/>
                    </w:rPr>
                    <w:t>.</w:t>
                  </w:r>
                </w:p>
                <w:p w:rsidR="00BE5A8F" w:rsidRDefault="00BE5A8F" w:rsidP="005F6DF3">
                  <w:pPr>
                    <w:tabs>
                      <w:tab w:val="left" w:pos="284"/>
                    </w:tabs>
                    <w:spacing w:after="0" w:line="240" w:lineRule="auto"/>
                    <w:rPr>
                      <w:rFonts w:cs="Tahoma"/>
                      <w:bCs/>
                    </w:rPr>
                  </w:pPr>
                </w:p>
                <w:p w:rsidR="00BE5A8F" w:rsidRPr="00D041E1" w:rsidRDefault="00044358" w:rsidP="005F6DF3">
                  <w:pPr>
                    <w:tabs>
                      <w:tab w:val="left" w:pos="284"/>
                    </w:tabs>
                    <w:spacing w:after="0" w:line="240" w:lineRule="auto"/>
                    <w:ind w:left="284" w:hanging="284"/>
                    <w:rPr>
                      <w:rFonts w:cs="Tahoma"/>
                      <w:bCs/>
                    </w:rPr>
                  </w:pPr>
                  <w:r>
                    <w:rPr>
                      <w:rFonts w:cs="Tahoma"/>
                      <w:b/>
                      <w:color w:val="228591"/>
                      <w:sz w:val="28"/>
                    </w:rPr>
                    <w:t>5</w:t>
                  </w:r>
                  <w:r w:rsidR="005F6DF3">
                    <w:rPr>
                      <w:rFonts w:cs="Tahoma"/>
                      <w:b/>
                      <w:color w:val="228591"/>
                      <w:sz w:val="28"/>
                    </w:rPr>
                    <w:tab/>
                  </w:r>
                  <w:r w:rsidRPr="00D041E1">
                    <w:rPr>
                      <w:rFonts w:cs="Tahoma"/>
                      <w:bCs/>
                    </w:rPr>
                    <w:t>Conference review: Australian Population Association</w:t>
                  </w:r>
                  <w:r w:rsidR="00970714">
                    <w:rPr>
                      <w:rFonts w:cs="Tahoma"/>
                      <w:bCs/>
                    </w:rPr>
                    <w:t>.</w:t>
                  </w:r>
                </w:p>
              </w:txbxContent>
            </v:textbox>
            <w10:wrap type="square"/>
          </v:shape>
        </w:pict>
      </w:r>
      <w:r w:rsidR="00133868">
        <w:rPr>
          <w:rFonts w:cs="Tahoma"/>
          <w:bCs/>
          <w:color w:val="228591"/>
          <w:sz w:val="40"/>
        </w:rPr>
        <w:t>In this issue …</w:t>
      </w:r>
    </w:p>
    <w:p w:rsidR="00F2490D" w:rsidRPr="00D041E1" w:rsidRDefault="00F2490D" w:rsidP="00F2490D">
      <w:pPr>
        <w:spacing w:afterLines="113" w:after="271" w:line="240" w:lineRule="atLeast"/>
        <w:ind w:left="4321" w:hanging="1"/>
        <w:rPr>
          <w:rFonts w:cs="Tahoma"/>
        </w:rPr>
      </w:pPr>
      <w:r>
        <w:rPr>
          <w:rFonts w:cs="Tahoma"/>
        </w:rPr>
        <w:t>D</w:t>
      </w:r>
      <w:r w:rsidRPr="00D041E1">
        <w:rPr>
          <w:rFonts w:cs="Tahoma"/>
        </w:rPr>
        <w:t>emographic analysis reveals a glimpse forward to consider Victoria’s sixth millionth resident, using a range of data to speculate on that person’s age, ethnic background and family characteristics.</w:t>
      </w:r>
    </w:p>
    <w:p w:rsidR="005A4169" w:rsidRDefault="007B63AD" w:rsidP="00E31DDA">
      <w:pPr>
        <w:spacing w:afterLines="113" w:after="271" w:line="240" w:lineRule="atLeast"/>
        <w:ind w:left="4321" w:hanging="1"/>
        <w:rPr>
          <w:rFonts w:cs="Tahoma"/>
        </w:rPr>
      </w:pPr>
      <w:r w:rsidRPr="00D041E1">
        <w:rPr>
          <w:rFonts w:cs="Tahoma"/>
          <w:i/>
        </w:rPr>
        <w:t>Research Matters</w:t>
      </w:r>
      <w:r w:rsidR="00751F9F" w:rsidRPr="00D041E1">
        <w:rPr>
          <w:rFonts w:cs="Tahoma"/>
        </w:rPr>
        <w:t xml:space="preserve"> </w:t>
      </w:r>
      <w:r w:rsidR="00970714">
        <w:rPr>
          <w:rFonts w:cs="Tahoma"/>
        </w:rPr>
        <w:t xml:space="preserve">then </w:t>
      </w:r>
      <w:r w:rsidR="00751F9F" w:rsidRPr="00D041E1">
        <w:rPr>
          <w:rFonts w:cs="Tahoma"/>
        </w:rPr>
        <w:t>head</w:t>
      </w:r>
      <w:r w:rsidRPr="00D041E1">
        <w:rPr>
          <w:rFonts w:cs="Tahoma"/>
        </w:rPr>
        <w:t>s</w:t>
      </w:r>
      <w:r w:rsidR="00751F9F" w:rsidRPr="00D041E1">
        <w:rPr>
          <w:rFonts w:cs="Tahoma"/>
        </w:rPr>
        <w:t xml:space="preserve"> to the western edge of Victoria to review a number of small towns that, while declining in size, have not left the map. The story of such towns provide</w:t>
      </w:r>
      <w:r w:rsidRPr="00D041E1">
        <w:rPr>
          <w:rFonts w:cs="Tahoma"/>
        </w:rPr>
        <w:t>s</w:t>
      </w:r>
      <w:r w:rsidR="00751F9F" w:rsidRPr="00D041E1">
        <w:rPr>
          <w:rFonts w:cs="Tahoma"/>
        </w:rPr>
        <w:t xml:space="preserve"> interesting examples of adaptation in the face of major economic and social change.</w:t>
      </w:r>
    </w:p>
    <w:p w:rsidR="00044358" w:rsidRPr="00D041E1" w:rsidRDefault="00044358" w:rsidP="00E31DDA">
      <w:pPr>
        <w:spacing w:afterLines="113" w:after="271" w:line="240" w:lineRule="atLeast"/>
        <w:ind w:left="4321" w:hanging="1"/>
        <w:rPr>
          <w:rFonts w:cs="Tahoma"/>
        </w:rPr>
      </w:pPr>
      <w:r>
        <w:rPr>
          <w:rFonts w:cs="Tahoma"/>
        </w:rPr>
        <w:t>A review of the Australian Population Association Conference is also provided in this edition</w:t>
      </w:r>
      <w:r w:rsidR="005F6DF3">
        <w:rPr>
          <w:rFonts w:cs="Tahoma"/>
        </w:rPr>
        <w:t>.</w:t>
      </w:r>
    </w:p>
    <w:p w:rsidR="00664E33" w:rsidRPr="00D041E1" w:rsidRDefault="002A3F24" w:rsidP="00952C25">
      <w:pPr>
        <w:spacing w:afterLines="113" w:after="271" w:line="240" w:lineRule="atLeast"/>
        <w:ind w:left="4321" w:hanging="1"/>
        <w:rPr>
          <w:rFonts w:cs="Tahoma"/>
        </w:rPr>
        <w:sectPr w:rsidR="00664E33" w:rsidRPr="00D041E1" w:rsidSect="007C2A14">
          <w:type w:val="continuous"/>
          <w:pgSz w:w="11906" w:h="16838"/>
          <w:pgMar w:top="1440" w:right="851" w:bottom="1440" w:left="709" w:header="709" w:footer="0" w:gutter="0"/>
          <w:cols w:space="1693"/>
          <w:titlePg/>
          <w:docGrid w:linePitch="360"/>
        </w:sectPr>
      </w:pPr>
      <w:r w:rsidRPr="00D041E1">
        <w:rPr>
          <w:rFonts w:cs="Tahoma"/>
          <w:i/>
          <w:iCs/>
        </w:rPr>
        <w:t>.</w:t>
      </w:r>
      <w:r w:rsidR="0074796E">
        <w:rPr>
          <w:noProof/>
          <w:lang w:eastAsia="en-AU"/>
        </w:rPr>
        <w:pict>
          <v:rect id="_x0000_s1110" style="position:absolute;left:0;text-align:left;margin-left:262.3pt;margin-top:216.25pt;width:29.1pt;height:18pt;z-index:251653632;mso-position-horizontal-relative:text;mso-position-vertical-relative:text" stroked="f"/>
        </w:pict>
      </w:r>
    </w:p>
    <w:p w:rsidR="00044358" w:rsidRDefault="00F2490D" w:rsidP="00044358">
      <w:pPr>
        <w:spacing w:afterLines="113" w:after="271" w:line="240" w:lineRule="atLeast"/>
        <w:rPr>
          <w:rFonts w:cs="Tahoma"/>
          <w:bCs/>
          <w:color w:val="228591"/>
          <w:sz w:val="40"/>
          <w:szCs w:val="40"/>
        </w:rPr>
        <w:sectPr w:rsidR="00044358" w:rsidSect="00952C25">
          <w:headerReference w:type="default" r:id="rId13"/>
          <w:headerReference w:type="first" r:id="rId14"/>
          <w:type w:val="continuous"/>
          <w:pgSz w:w="11906" w:h="16838"/>
          <w:pgMar w:top="1440" w:right="873" w:bottom="1276" w:left="873" w:header="709" w:footer="0" w:gutter="0"/>
          <w:cols w:space="708"/>
          <w:titlePg/>
          <w:docGrid w:linePitch="360"/>
        </w:sectPr>
      </w:pPr>
      <w:r>
        <w:rPr>
          <w:rFonts w:cs="Tahoma"/>
          <w:bCs/>
          <w:color w:val="228591"/>
          <w:sz w:val="40"/>
          <w:szCs w:val="40"/>
        </w:rPr>
        <w:lastRenderedPageBreak/>
        <w:br w:type="page"/>
      </w:r>
      <w:r w:rsidR="00044358" w:rsidRPr="002F28B4">
        <w:rPr>
          <w:rFonts w:cs="Tahoma"/>
          <w:bCs/>
          <w:color w:val="228591"/>
          <w:sz w:val="40"/>
          <w:szCs w:val="40"/>
        </w:rPr>
        <w:lastRenderedPageBreak/>
        <w:t>Six million Victorians for Christmas</w:t>
      </w:r>
      <w:r w:rsidR="00970714">
        <w:rPr>
          <w:rFonts w:cs="Tahoma"/>
          <w:bCs/>
          <w:color w:val="228591"/>
          <w:sz w:val="40"/>
          <w:szCs w:val="40"/>
        </w:rPr>
        <w:t>?</w:t>
      </w:r>
    </w:p>
    <w:p w:rsidR="00044358" w:rsidRPr="00D041E1" w:rsidRDefault="00044358" w:rsidP="00044358">
      <w:pPr>
        <w:spacing w:afterLines="113" w:after="271" w:line="240" w:lineRule="atLeast"/>
        <w:rPr>
          <w:rFonts w:cs="Tahoma"/>
          <w:noProof/>
          <w:lang w:val="en"/>
        </w:rPr>
      </w:pPr>
      <w:r w:rsidRPr="00D041E1">
        <w:rPr>
          <w:rFonts w:cs="Tahoma"/>
          <w:noProof/>
          <w:lang w:val="en"/>
        </w:rPr>
        <w:lastRenderedPageBreak/>
        <w:t xml:space="preserve">The resident population of Victoria currently sits at an estimated 5.9 million. The current growth rate is nearly two per cent per year, representing more than 100,000 people a year. This growth is being driven by high birth numbers, strong migration from overseas and record interstate arrivals. According to Victoria in Future 2014 (VIF2014) population projections, Victoria can expect to reach the six million mark </w:t>
      </w:r>
      <w:r w:rsidR="00970714">
        <w:rPr>
          <w:rFonts w:cs="Tahoma"/>
          <w:noProof/>
          <w:lang w:val="en"/>
        </w:rPr>
        <w:t xml:space="preserve">at around </w:t>
      </w:r>
      <w:r w:rsidRPr="00D041E1">
        <w:rPr>
          <w:rFonts w:cs="Tahoma"/>
          <w:noProof/>
          <w:lang w:val="en"/>
        </w:rPr>
        <w:t xml:space="preserve">Christmas </w:t>
      </w:r>
      <w:r w:rsidR="00970714">
        <w:rPr>
          <w:rFonts w:cs="Tahoma"/>
          <w:noProof/>
          <w:lang w:val="en"/>
        </w:rPr>
        <w:t>2015</w:t>
      </w:r>
      <w:r w:rsidRPr="00D041E1">
        <w:rPr>
          <w:rFonts w:cs="Tahoma"/>
          <w:noProof/>
          <w:lang w:val="en"/>
        </w:rPr>
        <w:t>.</w:t>
      </w:r>
    </w:p>
    <w:p w:rsidR="00044358" w:rsidRPr="00D041E1" w:rsidRDefault="00044358" w:rsidP="00044358">
      <w:pPr>
        <w:spacing w:afterLines="113" w:after="271" w:line="240" w:lineRule="atLeast"/>
        <w:rPr>
          <w:rFonts w:cs="Tahoma"/>
          <w:noProof/>
          <w:lang w:val="en"/>
        </w:rPr>
      </w:pPr>
      <w:r w:rsidRPr="00D041E1">
        <w:rPr>
          <w:rFonts w:cs="Tahoma"/>
          <w:noProof/>
          <w:lang w:val="en"/>
        </w:rPr>
        <w:t xml:space="preserve">What </w:t>
      </w:r>
      <w:r w:rsidR="00970714">
        <w:rPr>
          <w:rFonts w:cs="Tahoma"/>
          <w:noProof/>
          <w:lang w:val="en"/>
        </w:rPr>
        <w:t xml:space="preserve">might </w:t>
      </w:r>
      <w:r w:rsidRPr="00D041E1">
        <w:rPr>
          <w:rFonts w:cs="Tahoma"/>
          <w:noProof/>
          <w:lang w:val="en"/>
        </w:rPr>
        <w:t xml:space="preserve">the six millionth </w:t>
      </w:r>
      <w:r w:rsidR="00970714">
        <w:rPr>
          <w:rFonts w:cs="Tahoma"/>
          <w:noProof/>
          <w:lang w:val="en"/>
        </w:rPr>
        <w:t xml:space="preserve">Victorian </w:t>
      </w:r>
      <w:r w:rsidR="00970714" w:rsidRPr="00D041E1">
        <w:rPr>
          <w:rFonts w:cs="Tahoma"/>
          <w:noProof/>
          <w:lang w:val="en"/>
        </w:rPr>
        <w:t>(Six-mil-Vic)</w:t>
      </w:r>
      <w:r w:rsidR="00970714">
        <w:rPr>
          <w:rFonts w:cs="Tahoma"/>
          <w:noProof/>
          <w:lang w:val="en"/>
        </w:rPr>
        <w:t xml:space="preserve"> </w:t>
      </w:r>
      <w:r w:rsidRPr="00D041E1">
        <w:rPr>
          <w:rFonts w:cs="Tahoma"/>
          <w:noProof/>
          <w:lang w:val="en"/>
        </w:rPr>
        <w:t>be like? Where will they live? How will they enter our population and where will they come from?</w:t>
      </w:r>
    </w:p>
    <w:p w:rsidR="00044358" w:rsidRPr="00D041E1" w:rsidRDefault="00044358" w:rsidP="00044358">
      <w:pPr>
        <w:spacing w:afterLines="113" w:after="271" w:line="240" w:lineRule="atLeast"/>
        <w:rPr>
          <w:rFonts w:cs="Tahoma"/>
          <w:noProof/>
          <w:lang w:val="en"/>
        </w:rPr>
      </w:pPr>
      <w:r w:rsidRPr="00D041E1">
        <w:rPr>
          <w:rFonts w:cs="Tahoma"/>
          <w:noProof/>
          <w:lang w:val="en"/>
        </w:rPr>
        <w:t>For starters, there is a nine-out-of-ten chance they will live in Melbourne. While Greater Melbourne has 75 per cent of the state's population, it's currently accounting for about 90 per cent of the growth.</w:t>
      </w:r>
    </w:p>
    <w:p w:rsidR="00044358" w:rsidRPr="00D041E1" w:rsidRDefault="00044358" w:rsidP="00044358">
      <w:pPr>
        <w:spacing w:afterLines="113" w:after="271" w:line="240" w:lineRule="atLeast"/>
        <w:rPr>
          <w:rFonts w:cs="Tahoma"/>
          <w:noProof/>
          <w:lang w:val="en"/>
        </w:rPr>
      </w:pPr>
      <w:r w:rsidRPr="00D041E1">
        <w:rPr>
          <w:rFonts w:cs="Tahoma"/>
          <w:noProof/>
          <w:lang w:val="en"/>
        </w:rPr>
        <w:t>It is quite likely that the Six-mil-Vic will be a migrant from overseas. Almost half (47 per cent) of the entrants to the population have arrived in the last couple of years. If Six-mil-Vic is one of 125,000 overseas migrants, perhaps they will be a permanent migrant (20 per cent of all migrant arrivals). However, they are more likely to be here on a temporary visa and staying for more than 12 months (55 per cent of recent migrant arrivals). This could be as a student (over a quarter of all migrant arrivals) or as a working holiday-maker or a temporary skilled worker (457 visa). It is worth noting, though, that in recent times about three out of every five temporary migrants has applied for, and been granted, permanent status.</w:t>
      </w:r>
    </w:p>
    <w:p w:rsidR="00044358" w:rsidRPr="00D041E1" w:rsidRDefault="00044358" w:rsidP="00044358">
      <w:pPr>
        <w:spacing w:afterLines="113" w:after="271" w:line="240" w:lineRule="atLeast"/>
        <w:rPr>
          <w:rFonts w:cs="Tahoma"/>
          <w:noProof/>
          <w:lang w:val="en"/>
        </w:rPr>
      </w:pPr>
      <w:r w:rsidRPr="00D041E1">
        <w:rPr>
          <w:rFonts w:cs="Tahoma"/>
          <w:noProof/>
          <w:lang w:val="en"/>
        </w:rPr>
        <w:t xml:space="preserve">Where might Six-mil-Vic have come from? Interestingly, they are quite likely to be an Australian who has been overseas for more than 12 out of the past 16 months (and has therefore been counted out of the Victorian population), or a New </w:t>
      </w:r>
      <w:r w:rsidRPr="00D041E1">
        <w:rPr>
          <w:rFonts w:cs="Tahoma"/>
          <w:noProof/>
          <w:lang w:val="en"/>
        </w:rPr>
        <w:lastRenderedPageBreak/>
        <w:t>Zealander. These two categories account for 25 per cent of migrant arrivals. If they are not an Australian/NZ citizen, their most likely country of origin is the UK, China or India.</w:t>
      </w:r>
    </w:p>
    <w:p w:rsidR="00044358" w:rsidRPr="00D041E1" w:rsidRDefault="00044358" w:rsidP="00044358">
      <w:pPr>
        <w:spacing w:afterLines="113" w:after="271" w:line="240" w:lineRule="atLeast"/>
        <w:rPr>
          <w:rFonts w:cs="Tahoma"/>
          <w:noProof/>
          <w:lang w:val="en"/>
        </w:rPr>
      </w:pPr>
      <w:r w:rsidRPr="00D041E1">
        <w:rPr>
          <w:rFonts w:cs="Tahoma"/>
          <w:noProof/>
          <w:lang w:val="en"/>
        </w:rPr>
        <w:t>If not from overseas, then Six-mil-Vic is slightly more likely to have been born in Victoria (29 per cent) than having arrived from interstate (24 per cent).</w:t>
      </w:r>
    </w:p>
    <w:p w:rsidR="00044358" w:rsidRPr="00D041E1" w:rsidRDefault="00044358" w:rsidP="00044358">
      <w:pPr>
        <w:spacing w:afterLines="113" w:after="271" w:line="240" w:lineRule="atLeast"/>
        <w:rPr>
          <w:rFonts w:cs="Tahoma"/>
          <w:noProof/>
          <w:lang w:val="en"/>
        </w:rPr>
      </w:pPr>
      <w:r w:rsidRPr="00D041E1">
        <w:rPr>
          <w:rFonts w:cs="Tahoma"/>
          <w:noProof/>
          <w:lang w:val="en"/>
        </w:rPr>
        <w:t xml:space="preserve">Six-mil-Vic </w:t>
      </w:r>
      <w:r w:rsidR="00970714">
        <w:rPr>
          <w:rFonts w:cs="Tahoma"/>
          <w:noProof/>
          <w:lang w:val="en"/>
        </w:rPr>
        <w:t xml:space="preserve">might also </w:t>
      </w:r>
      <w:r w:rsidRPr="00D041E1">
        <w:rPr>
          <w:rFonts w:cs="Tahoma"/>
          <w:noProof/>
          <w:lang w:val="en"/>
        </w:rPr>
        <w:t>be a newborn in late December 2015. If so, there is a good chance they will be born in Melbourne – nearly 80 per cent of the 75,000-plus births expected this year will be. If this is the case, they could well be born in the Casey or Wyndham areas. There are around 4,000 births per annum in each of these areas – combined, that's more births than in an inner region stretching all the way from Brunswick to Windsor, and from Footscray to Hawthorn. If they are born in regional Victoria, they could well be one of the 2,300 born in Geelong, the 1,800 in Ballarat, or the 1,300 in Bendigo. Wherever Six-mil-Vic may be born, they'll be slightly more likely to be a boy than a girl – about 106 boys are born for every 100 girls.</w:t>
      </w:r>
    </w:p>
    <w:p w:rsidR="00044358" w:rsidRPr="00D041E1" w:rsidRDefault="00044358" w:rsidP="00044358">
      <w:pPr>
        <w:spacing w:afterLines="113" w:after="271" w:line="240" w:lineRule="atLeast"/>
        <w:rPr>
          <w:rFonts w:cs="Tahoma"/>
          <w:noProof/>
          <w:lang w:val="en"/>
        </w:rPr>
      </w:pPr>
      <w:r w:rsidRPr="00D041E1">
        <w:rPr>
          <w:rFonts w:cs="Tahoma"/>
          <w:noProof/>
          <w:lang w:val="en"/>
        </w:rPr>
        <w:t>Or they could be one of the 70,000 annual interstate arrivals. In this case, they'll most likely be from NSW (34 per cent) or Queensland (29 per cent).</w:t>
      </w:r>
    </w:p>
    <w:p w:rsidR="00044358" w:rsidRPr="00D041E1" w:rsidRDefault="00044358" w:rsidP="00044358">
      <w:pPr>
        <w:spacing w:afterLines="113" w:after="271" w:line="240" w:lineRule="atLeast"/>
        <w:rPr>
          <w:rFonts w:cs="Tahoma"/>
          <w:noProof/>
          <w:lang w:val="en-US"/>
        </w:rPr>
      </w:pPr>
      <w:r w:rsidRPr="00D041E1">
        <w:rPr>
          <w:rFonts w:cs="Tahoma"/>
          <w:noProof/>
          <w:lang w:val="en"/>
        </w:rPr>
        <w:t>In conclusion, Six-mil-Vic might be a student from China, a 457 worker from the UK, a humanitarian arrival from Myanmar, a newborn in outer Melbourne, or a retiree from Taree. However they get here and wherever they come from, Six-mil-Vic will be a valuable addition to our state. But will they be here to see the arrival of Sev-mil-Vic? We'll find out in January 2025... on a Tuesday... about 10pm.</w:t>
      </w:r>
      <w:r w:rsidRPr="00D041E1">
        <w:rPr>
          <w:rFonts w:cs="Tahoma"/>
          <w:noProof/>
          <w:lang w:val="en-US"/>
        </w:rPr>
        <w:t xml:space="preserve"> </w:t>
      </w:r>
    </w:p>
    <w:p w:rsidR="00044358" w:rsidRPr="00D041E1" w:rsidRDefault="00044358" w:rsidP="00044358">
      <w:pPr>
        <w:spacing w:afterLines="113" w:after="271" w:line="240" w:lineRule="atLeast"/>
        <w:rPr>
          <w:rFonts w:cs="Tahoma"/>
          <w:noProof/>
          <w:lang w:val="en-US"/>
        </w:rPr>
      </w:pPr>
    </w:p>
    <w:p w:rsidR="00044358" w:rsidRDefault="00044358" w:rsidP="00E31DDA">
      <w:pPr>
        <w:spacing w:afterLines="113" w:after="271" w:line="240" w:lineRule="atLeast"/>
        <w:rPr>
          <w:rFonts w:cs="Tahoma"/>
          <w:bCs/>
          <w:color w:val="228591"/>
          <w:sz w:val="40"/>
        </w:rPr>
        <w:sectPr w:rsidR="00044358" w:rsidSect="00044358">
          <w:headerReference w:type="default" r:id="rId15"/>
          <w:headerReference w:type="first" r:id="rId16"/>
          <w:footerReference w:type="first" r:id="rId17"/>
          <w:type w:val="continuous"/>
          <w:pgSz w:w="11906" w:h="16838"/>
          <w:pgMar w:top="1440" w:right="873" w:bottom="1276" w:left="873" w:header="709" w:footer="0" w:gutter="0"/>
          <w:cols w:num="2" w:space="708"/>
          <w:titlePg/>
          <w:docGrid w:linePitch="360"/>
        </w:sectPr>
      </w:pPr>
    </w:p>
    <w:p w:rsidR="00030FE9" w:rsidRPr="00E31DDA" w:rsidRDefault="00044358" w:rsidP="00E31DDA">
      <w:pPr>
        <w:spacing w:afterLines="113" w:after="271" w:line="240" w:lineRule="atLeast"/>
        <w:rPr>
          <w:rFonts w:cs="Tahoma"/>
          <w:bCs/>
          <w:color w:val="228591"/>
        </w:rPr>
        <w:sectPr w:rsidR="00030FE9" w:rsidRPr="00E31DDA" w:rsidSect="00E31DDA">
          <w:type w:val="continuous"/>
          <w:pgSz w:w="11906" w:h="16838"/>
          <w:pgMar w:top="1440" w:right="873" w:bottom="1276" w:left="873" w:header="709" w:footer="0" w:gutter="0"/>
          <w:cols w:space="708"/>
          <w:titlePg/>
          <w:docGrid w:linePitch="360"/>
        </w:sectPr>
      </w:pPr>
      <w:r>
        <w:rPr>
          <w:rFonts w:cs="Tahoma"/>
          <w:bCs/>
          <w:color w:val="228591"/>
          <w:sz w:val="40"/>
        </w:rPr>
        <w:lastRenderedPageBreak/>
        <w:br w:type="page"/>
      </w:r>
      <w:r w:rsidR="00005870" w:rsidRPr="00E31DDA">
        <w:rPr>
          <w:rFonts w:cs="Tahoma"/>
          <w:bCs/>
          <w:color w:val="228591"/>
          <w:sz w:val="40"/>
        </w:rPr>
        <w:lastRenderedPageBreak/>
        <w:t xml:space="preserve">Small towns: </w:t>
      </w:r>
      <w:r w:rsidR="00F7764C" w:rsidRPr="00E31DDA">
        <w:rPr>
          <w:rFonts w:cs="Tahoma"/>
          <w:bCs/>
          <w:color w:val="228591"/>
          <w:sz w:val="40"/>
        </w:rPr>
        <w:t>change and</w:t>
      </w:r>
      <w:r w:rsidR="00704118" w:rsidRPr="00E31DDA">
        <w:rPr>
          <w:rFonts w:cs="Tahoma"/>
          <w:bCs/>
          <w:color w:val="228591"/>
          <w:sz w:val="40"/>
        </w:rPr>
        <w:t xml:space="preserve"> adaptation in </w:t>
      </w:r>
      <w:r w:rsidR="00F7764C" w:rsidRPr="00E31DDA">
        <w:rPr>
          <w:rFonts w:cs="Tahoma"/>
          <w:bCs/>
          <w:color w:val="228591"/>
          <w:sz w:val="40"/>
        </w:rPr>
        <w:t>the Wimmera</w:t>
      </w:r>
      <w:r w:rsidR="00E31DDA">
        <w:rPr>
          <w:rFonts w:cs="Tahoma"/>
          <w:bCs/>
          <w:color w:val="228591"/>
          <w:sz w:val="40"/>
        </w:rPr>
        <w:t xml:space="preserve"> and Mallee</w:t>
      </w:r>
    </w:p>
    <w:p w:rsidR="003463AC" w:rsidRPr="00D041E1" w:rsidRDefault="003463AC" w:rsidP="00E31DDA">
      <w:pPr>
        <w:autoSpaceDE w:val="0"/>
        <w:autoSpaceDN w:val="0"/>
        <w:adjustRightInd w:val="0"/>
        <w:spacing w:afterLines="113" w:after="271" w:line="240" w:lineRule="atLeast"/>
        <w:rPr>
          <w:rFonts w:cs="Tahoma"/>
          <w:color w:val="000000"/>
          <w:lang w:eastAsia="en-AU"/>
        </w:rPr>
      </w:pPr>
      <w:r w:rsidRPr="00D041E1">
        <w:rPr>
          <w:rFonts w:cs="Tahoma"/>
          <w:color w:val="000000"/>
          <w:lang w:eastAsia="en-AU"/>
        </w:rPr>
        <w:lastRenderedPageBreak/>
        <w:t xml:space="preserve">The population of many small </w:t>
      </w:r>
      <w:r w:rsidR="0088236A" w:rsidRPr="00D041E1">
        <w:rPr>
          <w:rFonts w:cs="Tahoma"/>
          <w:color w:val="000000"/>
          <w:lang w:eastAsia="en-AU"/>
        </w:rPr>
        <w:t xml:space="preserve">Victoria </w:t>
      </w:r>
      <w:r w:rsidRPr="00D041E1">
        <w:rPr>
          <w:rFonts w:cs="Tahoma"/>
          <w:color w:val="000000"/>
          <w:lang w:eastAsia="en-AU"/>
        </w:rPr>
        <w:t xml:space="preserve">towns has seen a gradual decrease in recent decades. Evolving farming practices coupled with increased car ownership and extensive road infrastructure has led to fewer farmers and farm workers ‘living on the land’. Many farmers and their families now choose to commute from regional centres such as Horsham </w:t>
      </w:r>
      <w:r w:rsidR="0088236A" w:rsidRPr="00D041E1">
        <w:rPr>
          <w:rFonts w:cs="Tahoma"/>
          <w:color w:val="000000"/>
          <w:lang w:eastAsia="en-AU"/>
        </w:rPr>
        <w:t>where they enjoy</w:t>
      </w:r>
      <w:r w:rsidRPr="00D041E1">
        <w:rPr>
          <w:rFonts w:cs="Tahoma"/>
          <w:color w:val="000000"/>
          <w:lang w:eastAsia="en-AU"/>
        </w:rPr>
        <w:t xml:space="preserve"> easy access to work, school and services.</w:t>
      </w:r>
    </w:p>
    <w:p w:rsidR="00B17BEF" w:rsidRPr="00D041E1" w:rsidRDefault="00B17BEF" w:rsidP="00E31DDA">
      <w:pPr>
        <w:autoSpaceDE w:val="0"/>
        <w:autoSpaceDN w:val="0"/>
        <w:adjustRightInd w:val="0"/>
        <w:spacing w:afterLines="113" w:after="271" w:line="240" w:lineRule="atLeast"/>
        <w:rPr>
          <w:rFonts w:cs="Tahoma"/>
          <w:color w:val="000000"/>
          <w:lang w:eastAsia="en-AU"/>
        </w:rPr>
      </w:pPr>
      <w:r w:rsidRPr="00D041E1">
        <w:rPr>
          <w:rFonts w:cs="Tahoma"/>
          <w:color w:val="000000"/>
          <w:lang w:eastAsia="en-AU"/>
        </w:rPr>
        <w:t xml:space="preserve">Agriculture </w:t>
      </w:r>
      <w:r w:rsidR="002C71E7" w:rsidRPr="00D041E1">
        <w:rPr>
          <w:rFonts w:cs="Tahoma"/>
          <w:color w:val="000000"/>
          <w:lang w:eastAsia="en-AU"/>
        </w:rPr>
        <w:t>is</w:t>
      </w:r>
      <w:r w:rsidRPr="00D041E1">
        <w:rPr>
          <w:rFonts w:cs="Tahoma"/>
          <w:color w:val="000000"/>
          <w:lang w:eastAsia="en-AU"/>
        </w:rPr>
        <w:t xml:space="preserve"> the </w:t>
      </w:r>
      <w:r w:rsidR="002C71E7" w:rsidRPr="00D041E1">
        <w:rPr>
          <w:rFonts w:cs="Tahoma"/>
          <w:color w:val="000000"/>
          <w:lang w:eastAsia="en-AU"/>
        </w:rPr>
        <w:t>main</w:t>
      </w:r>
      <w:r w:rsidRPr="00D041E1">
        <w:rPr>
          <w:rFonts w:cs="Tahoma"/>
          <w:color w:val="000000"/>
          <w:lang w:eastAsia="en-AU"/>
        </w:rPr>
        <w:t xml:space="preserve"> driver of the Wimmera and Mallee economies </w:t>
      </w:r>
      <w:r w:rsidR="00970714">
        <w:rPr>
          <w:rFonts w:cs="Tahoma"/>
          <w:color w:val="000000"/>
          <w:lang w:eastAsia="en-AU"/>
        </w:rPr>
        <w:t xml:space="preserve">which </w:t>
      </w:r>
      <w:r w:rsidRPr="00D041E1">
        <w:rPr>
          <w:rFonts w:cs="Tahoma"/>
          <w:color w:val="000000"/>
          <w:lang w:eastAsia="en-AU"/>
        </w:rPr>
        <w:t xml:space="preserve">are key grain production areas in </w:t>
      </w:r>
      <w:r w:rsidR="00A457BA" w:rsidRPr="00D041E1">
        <w:rPr>
          <w:rFonts w:cs="Tahoma"/>
          <w:color w:val="000000"/>
          <w:lang w:eastAsia="en-AU"/>
        </w:rPr>
        <w:t>Victori</w:t>
      </w:r>
      <w:r w:rsidRPr="00D041E1">
        <w:rPr>
          <w:rFonts w:cs="Tahoma"/>
          <w:color w:val="000000"/>
          <w:lang w:eastAsia="en-AU"/>
        </w:rPr>
        <w:t>a. The Wimmera</w:t>
      </w:r>
      <w:r w:rsidR="001829A5" w:rsidRPr="00D041E1">
        <w:rPr>
          <w:rFonts w:cs="Tahoma"/>
          <w:color w:val="000000"/>
          <w:lang w:eastAsia="en-AU"/>
        </w:rPr>
        <w:t xml:space="preserve"> Southern Mallee</w:t>
      </w:r>
      <w:r w:rsidRPr="00D041E1">
        <w:rPr>
          <w:rFonts w:cs="Tahoma"/>
          <w:color w:val="000000"/>
          <w:lang w:eastAsia="en-AU"/>
        </w:rPr>
        <w:t xml:space="preserve"> and Loddon Mallee North Regional Growth Plans are the Victorian Government’s strategies to guide the development of these regions</w:t>
      </w:r>
      <w:r w:rsidR="002C71E7" w:rsidRPr="00D041E1">
        <w:rPr>
          <w:rFonts w:cs="Tahoma"/>
          <w:color w:val="000000"/>
          <w:lang w:eastAsia="en-AU"/>
        </w:rPr>
        <w:t xml:space="preserve"> and support </w:t>
      </w:r>
      <w:r w:rsidR="00A457BA" w:rsidRPr="00D041E1">
        <w:rPr>
          <w:rFonts w:cs="Tahoma"/>
          <w:color w:val="000000"/>
          <w:lang w:eastAsia="en-AU"/>
        </w:rPr>
        <w:t xml:space="preserve">their </w:t>
      </w:r>
      <w:r w:rsidR="002C71E7" w:rsidRPr="00D041E1">
        <w:rPr>
          <w:rFonts w:cs="Tahoma"/>
          <w:color w:val="000000"/>
          <w:lang w:eastAsia="en-AU"/>
        </w:rPr>
        <w:t>economic growth and diversification.</w:t>
      </w:r>
    </w:p>
    <w:p w:rsidR="00FF0631" w:rsidRPr="00D041E1" w:rsidRDefault="00A457BA" w:rsidP="00E31DDA">
      <w:pPr>
        <w:spacing w:afterLines="113" w:after="271" w:line="240" w:lineRule="atLeast"/>
        <w:rPr>
          <w:rFonts w:cs="Tahoma"/>
          <w:color w:val="000000"/>
          <w:lang w:eastAsia="en-AU"/>
        </w:rPr>
      </w:pPr>
      <w:r w:rsidRPr="00D041E1">
        <w:rPr>
          <w:rFonts w:cs="Tahoma"/>
          <w:color w:val="000000"/>
          <w:lang w:eastAsia="en-AU"/>
        </w:rPr>
        <w:t>Despite the trend towards the concentration of populations in regional centres, s</w:t>
      </w:r>
      <w:r w:rsidR="00336C39" w:rsidRPr="00D041E1">
        <w:rPr>
          <w:rFonts w:cs="Tahoma"/>
          <w:color w:val="000000"/>
          <w:lang w:eastAsia="en-AU"/>
        </w:rPr>
        <w:t xml:space="preserve">ome </w:t>
      </w:r>
      <w:r w:rsidRPr="00D041E1">
        <w:rPr>
          <w:rFonts w:cs="Tahoma"/>
          <w:color w:val="000000"/>
          <w:lang w:eastAsia="en-AU"/>
        </w:rPr>
        <w:t xml:space="preserve">small </w:t>
      </w:r>
      <w:r w:rsidR="00336C39" w:rsidRPr="00D041E1">
        <w:rPr>
          <w:rFonts w:cs="Tahoma"/>
          <w:color w:val="000000"/>
          <w:lang w:eastAsia="en-AU"/>
        </w:rPr>
        <w:t xml:space="preserve">towns are proving resilient to changes in economy, population, housing and employment patterns. </w:t>
      </w:r>
      <w:r w:rsidR="000C558C" w:rsidRPr="00D041E1">
        <w:rPr>
          <w:rFonts w:cs="Tahoma"/>
          <w:color w:val="000000"/>
          <w:lang w:eastAsia="en-AU"/>
        </w:rPr>
        <w:t>T</w:t>
      </w:r>
      <w:r w:rsidR="00336C39" w:rsidRPr="00D041E1">
        <w:rPr>
          <w:rFonts w:cs="Tahoma"/>
          <w:color w:val="000000"/>
          <w:lang w:eastAsia="en-AU"/>
        </w:rPr>
        <w:t>hese towns provide valuable insights into local dynamics – economic, social and demographic.</w:t>
      </w:r>
    </w:p>
    <w:p w:rsidR="00B62B10" w:rsidRPr="00E31DDA" w:rsidRDefault="0085777A" w:rsidP="00E31DDA">
      <w:pPr>
        <w:spacing w:afterLines="113" w:after="271" w:line="240" w:lineRule="atLeast"/>
        <w:rPr>
          <w:rFonts w:cs="Tahoma"/>
          <w:b/>
          <w:color w:val="228591"/>
          <w:sz w:val="28"/>
          <w:lang w:val="en-US"/>
        </w:rPr>
      </w:pPr>
      <w:r w:rsidRPr="00E31DDA">
        <w:rPr>
          <w:rFonts w:cs="Tahoma"/>
          <w:b/>
          <w:color w:val="228591"/>
          <w:sz w:val="28"/>
          <w:lang w:val="en-US"/>
        </w:rPr>
        <w:t>M</w:t>
      </w:r>
      <w:r w:rsidR="00B62B10" w:rsidRPr="00E31DDA">
        <w:rPr>
          <w:rFonts w:cs="Tahoma"/>
          <w:b/>
          <w:color w:val="228591"/>
          <w:sz w:val="28"/>
          <w:lang w:val="en-US"/>
        </w:rPr>
        <w:t>urtoa</w:t>
      </w:r>
      <w:r w:rsidR="00934A84" w:rsidRPr="00E31DDA">
        <w:rPr>
          <w:rFonts w:cs="Tahoma"/>
          <w:b/>
          <w:color w:val="228591"/>
          <w:sz w:val="28"/>
          <w:lang w:val="en-US"/>
        </w:rPr>
        <w:t xml:space="preserve">: </w:t>
      </w:r>
      <w:r w:rsidR="00B62B10" w:rsidRPr="00E31DDA">
        <w:rPr>
          <w:rFonts w:cs="Tahoma"/>
          <w:b/>
          <w:color w:val="228591"/>
          <w:sz w:val="28"/>
          <w:lang w:val="en-US"/>
        </w:rPr>
        <w:t>small</w:t>
      </w:r>
      <w:r w:rsidR="00236410" w:rsidRPr="00E31DDA">
        <w:rPr>
          <w:rFonts w:cs="Tahoma"/>
          <w:b/>
          <w:color w:val="228591"/>
          <w:sz w:val="28"/>
          <w:lang w:val="en-US"/>
        </w:rPr>
        <w:t xml:space="preserve"> </w:t>
      </w:r>
      <w:r w:rsidR="00B62B10" w:rsidRPr="00E31DDA">
        <w:rPr>
          <w:rFonts w:cs="Tahoma"/>
          <w:b/>
          <w:color w:val="228591"/>
          <w:sz w:val="28"/>
          <w:lang w:val="en-US"/>
        </w:rPr>
        <w:t>school a drawcard</w:t>
      </w:r>
    </w:p>
    <w:p w:rsidR="00B62B10" w:rsidRPr="00D041E1" w:rsidRDefault="00005870" w:rsidP="00E31DDA">
      <w:pPr>
        <w:spacing w:afterLines="113" w:after="271" w:line="240" w:lineRule="atLeast"/>
        <w:rPr>
          <w:rFonts w:cs="Tahoma"/>
          <w:lang w:val="en-US"/>
        </w:rPr>
      </w:pPr>
      <w:r w:rsidRPr="00D041E1">
        <w:rPr>
          <w:rFonts w:cs="Tahoma"/>
          <w:lang w:val="en-US"/>
        </w:rPr>
        <w:t xml:space="preserve">The town of Murtoa had a population of 783 at the time of the 2011 census. </w:t>
      </w:r>
      <w:r w:rsidR="00B62B10" w:rsidRPr="00D041E1">
        <w:rPr>
          <w:rFonts w:cs="Tahoma"/>
          <w:lang w:val="en-US"/>
        </w:rPr>
        <w:t>Located</w:t>
      </w:r>
      <w:r w:rsidRPr="00D041E1">
        <w:rPr>
          <w:rFonts w:cs="Tahoma"/>
          <w:lang w:val="en-US"/>
        </w:rPr>
        <w:t xml:space="preserve"> 25 kilometres north east of Horsham</w:t>
      </w:r>
      <w:r w:rsidR="00B62B10" w:rsidRPr="00D041E1">
        <w:rPr>
          <w:rFonts w:cs="Tahoma"/>
          <w:lang w:val="en-US"/>
        </w:rPr>
        <w:t>, the town’s</w:t>
      </w:r>
      <w:r w:rsidR="00085356" w:rsidRPr="00D041E1">
        <w:rPr>
          <w:rFonts w:cs="Tahoma"/>
          <w:lang w:val="en-US"/>
        </w:rPr>
        <w:t xml:space="preserve"> </w:t>
      </w:r>
      <w:r w:rsidRPr="00D041E1">
        <w:rPr>
          <w:rFonts w:cs="Tahoma"/>
          <w:lang w:val="en-US"/>
        </w:rPr>
        <w:t xml:space="preserve">proximity </w:t>
      </w:r>
      <w:r w:rsidR="00B62B10" w:rsidRPr="00D041E1">
        <w:rPr>
          <w:rFonts w:cs="Tahoma"/>
          <w:lang w:val="en-US"/>
        </w:rPr>
        <w:t xml:space="preserve">to the regional centre </w:t>
      </w:r>
      <w:r w:rsidRPr="00D041E1">
        <w:rPr>
          <w:rFonts w:cs="Tahoma"/>
          <w:lang w:val="en-US"/>
        </w:rPr>
        <w:t xml:space="preserve">has led to a rather unusual pattern of </w:t>
      </w:r>
      <w:r w:rsidR="00B62B10" w:rsidRPr="00D041E1">
        <w:rPr>
          <w:rFonts w:cs="Tahoma"/>
          <w:lang w:val="en-US"/>
        </w:rPr>
        <w:t>‘</w:t>
      </w:r>
      <w:r w:rsidRPr="00D041E1">
        <w:rPr>
          <w:rFonts w:cs="Tahoma"/>
          <w:lang w:val="en-US"/>
        </w:rPr>
        <w:t>reverse commuting</w:t>
      </w:r>
      <w:r w:rsidR="00B62B10" w:rsidRPr="00D041E1">
        <w:rPr>
          <w:rFonts w:cs="Tahoma"/>
          <w:lang w:val="en-US"/>
        </w:rPr>
        <w:t>’</w:t>
      </w:r>
      <w:r w:rsidRPr="00D041E1">
        <w:rPr>
          <w:rFonts w:cs="Tahoma"/>
          <w:lang w:val="en-US"/>
        </w:rPr>
        <w:t xml:space="preserve"> by a group of Horsham</w:t>
      </w:r>
      <w:r w:rsidR="00B62B10" w:rsidRPr="00D041E1">
        <w:rPr>
          <w:rFonts w:cs="Tahoma"/>
          <w:lang w:val="en-US"/>
        </w:rPr>
        <w:t>-based</w:t>
      </w:r>
      <w:r w:rsidRPr="00D041E1">
        <w:rPr>
          <w:rFonts w:cs="Tahoma"/>
          <w:lang w:val="en-US"/>
        </w:rPr>
        <w:t xml:space="preserve"> school children. </w:t>
      </w:r>
    </w:p>
    <w:p w:rsidR="00B62B10" w:rsidRDefault="00005870" w:rsidP="00044358">
      <w:pPr>
        <w:spacing w:afterLines="113" w:after="271" w:line="240" w:lineRule="atLeast"/>
        <w:rPr>
          <w:rFonts w:cs="Tahoma"/>
        </w:rPr>
      </w:pPr>
      <w:r w:rsidRPr="00D041E1">
        <w:rPr>
          <w:rFonts w:cs="Tahoma"/>
          <w:lang w:val="en-US"/>
        </w:rPr>
        <w:t>The local school</w:t>
      </w:r>
      <w:r w:rsidR="00B62B10" w:rsidRPr="00D041E1">
        <w:rPr>
          <w:rFonts w:cs="Tahoma"/>
          <w:lang w:val="en-US"/>
        </w:rPr>
        <w:t>, Murtoa College,</w:t>
      </w:r>
      <w:r w:rsidRPr="00D041E1">
        <w:rPr>
          <w:rFonts w:cs="Tahoma"/>
          <w:lang w:val="en-US"/>
        </w:rPr>
        <w:t xml:space="preserve"> </w:t>
      </w:r>
      <w:r w:rsidR="00B62B10" w:rsidRPr="00D041E1">
        <w:rPr>
          <w:rFonts w:cs="Tahoma"/>
          <w:lang w:val="en-US"/>
        </w:rPr>
        <w:t xml:space="preserve">caters for children in grades </w:t>
      </w:r>
      <w:r w:rsidR="00C76A37" w:rsidRPr="00D041E1">
        <w:rPr>
          <w:rFonts w:cs="Tahoma"/>
          <w:lang w:val="en-US"/>
        </w:rPr>
        <w:t>P</w:t>
      </w:r>
      <w:r w:rsidR="00B62B10" w:rsidRPr="00D041E1">
        <w:rPr>
          <w:rFonts w:cs="Tahoma"/>
          <w:lang w:val="en-US"/>
        </w:rPr>
        <w:t xml:space="preserve">rep through to Year 12 and </w:t>
      </w:r>
      <w:r w:rsidRPr="00D041E1">
        <w:rPr>
          <w:rFonts w:cs="Tahoma"/>
          <w:lang w:val="en-US"/>
        </w:rPr>
        <w:t xml:space="preserve">has become </w:t>
      </w:r>
      <w:r w:rsidR="00F7764C" w:rsidRPr="00D041E1">
        <w:rPr>
          <w:rFonts w:cs="Tahoma"/>
          <w:lang w:val="en-US"/>
        </w:rPr>
        <w:t xml:space="preserve">an </w:t>
      </w:r>
      <w:r w:rsidRPr="00D041E1">
        <w:rPr>
          <w:rFonts w:cs="Tahoma"/>
          <w:lang w:val="en-US"/>
        </w:rPr>
        <w:t xml:space="preserve">attractive </w:t>
      </w:r>
      <w:r w:rsidR="00F7764C" w:rsidRPr="00D041E1">
        <w:rPr>
          <w:rFonts w:cs="Tahoma"/>
          <w:lang w:val="en-US"/>
        </w:rPr>
        <w:t xml:space="preserve">option for </w:t>
      </w:r>
      <w:r w:rsidRPr="00D041E1">
        <w:rPr>
          <w:rFonts w:cs="Tahoma"/>
          <w:lang w:val="en-US"/>
        </w:rPr>
        <w:t xml:space="preserve">families in Horsham who want to send their children to a </w:t>
      </w:r>
      <w:r w:rsidR="00B62B10" w:rsidRPr="00D041E1">
        <w:rPr>
          <w:rFonts w:cs="Tahoma"/>
          <w:lang w:val="en-US"/>
        </w:rPr>
        <w:t>smaller, community</w:t>
      </w:r>
      <w:r w:rsidR="00C76A37" w:rsidRPr="00D041E1">
        <w:rPr>
          <w:rFonts w:cs="Tahoma"/>
          <w:lang w:val="en-US"/>
        </w:rPr>
        <w:t>-</w:t>
      </w:r>
      <w:r w:rsidR="00B62B10" w:rsidRPr="00D041E1">
        <w:rPr>
          <w:rFonts w:cs="Tahoma"/>
          <w:lang w:val="en-US"/>
        </w:rPr>
        <w:t>based</w:t>
      </w:r>
      <w:r w:rsidR="00851F12" w:rsidRPr="00D041E1">
        <w:rPr>
          <w:rFonts w:cs="Tahoma"/>
          <w:lang w:val="en-US"/>
        </w:rPr>
        <w:t xml:space="preserve"> </w:t>
      </w:r>
      <w:r w:rsidRPr="00D041E1">
        <w:rPr>
          <w:rFonts w:cs="Tahoma"/>
          <w:lang w:val="en-US"/>
        </w:rPr>
        <w:t>school</w:t>
      </w:r>
      <w:r w:rsidR="00B62B10" w:rsidRPr="00D041E1">
        <w:rPr>
          <w:rFonts w:cs="Tahoma"/>
          <w:lang w:val="en-US"/>
        </w:rPr>
        <w:t xml:space="preserve"> </w:t>
      </w:r>
      <w:r w:rsidR="00C76A37" w:rsidRPr="00D041E1">
        <w:rPr>
          <w:rFonts w:cs="Tahoma"/>
          <w:lang w:val="en-US"/>
        </w:rPr>
        <w:t>–</w:t>
      </w:r>
      <w:r w:rsidR="00B62B10" w:rsidRPr="00D041E1">
        <w:rPr>
          <w:rFonts w:cs="Tahoma"/>
          <w:lang w:val="en-US"/>
        </w:rPr>
        <w:t xml:space="preserve"> a strong point of difference </w:t>
      </w:r>
      <w:r w:rsidR="00F7764C" w:rsidRPr="00D041E1">
        <w:rPr>
          <w:rFonts w:cs="Tahoma"/>
          <w:lang w:val="en-US"/>
        </w:rPr>
        <w:t xml:space="preserve">compared with the larger schools </w:t>
      </w:r>
      <w:r w:rsidR="00851F12" w:rsidRPr="00D041E1">
        <w:rPr>
          <w:rFonts w:cs="Tahoma"/>
          <w:lang w:val="en-US"/>
        </w:rPr>
        <w:t>in Horsham.</w:t>
      </w:r>
      <w:r w:rsidR="00044358">
        <w:rPr>
          <w:rFonts w:cs="Tahoma"/>
          <w:lang w:val="en-US"/>
        </w:rPr>
        <w:t xml:space="preserve"> </w:t>
      </w:r>
      <w:r w:rsidR="00B62B10" w:rsidRPr="00D041E1">
        <w:rPr>
          <w:rFonts w:cs="Tahoma"/>
        </w:rPr>
        <w:t>Murtoa</w:t>
      </w:r>
      <w:r w:rsidR="00F7764C" w:rsidRPr="00D041E1">
        <w:rPr>
          <w:rFonts w:cs="Tahoma"/>
        </w:rPr>
        <w:t xml:space="preserve"> College also draws</w:t>
      </w:r>
      <w:r w:rsidR="00B62B10" w:rsidRPr="00D041E1">
        <w:rPr>
          <w:rFonts w:cs="Tahoma"/>
        </w:rPr>
        <w:t xml:space="preserve"> students from the small surrounding towns of Rupanyup, Glenorchy and Minyip </w:t>
      </w:r>
      <w:r w:rsidR="00F7764C" w:rsidRPr="00D041E1">
        <w:rPr>
          <w:rFonts w:cs="Tahoma"/>
        </w:rPr>
        <w:t>with around 300 children currently attending the school.</w:t>
      </w:r>
    </w:p>
    <w:p w:rsidR="00970714" w:rsidRPr="00D041E1" w:rsidRDefault="00970714" w:rsidP="00044358">
      <w:pPr>
        <w:spacing w:afterLines="113" w:after="271" w:line="240" w:lineRule="atLeast"/>
        <w:rPr>
          <w:rFonts w:cs="Tahoma"/>
        </w:rPr>
      </w:pPr>
    </w:p>
    <w:p w:rsidR="00B535C3" w:rsidRPr="00D041E1" w:rsidRDefault="00087264" w:rsidP="00CF6C92">
      <w:pPr>
        <w:spacing w:after="0" w:line="240" w:lineRule="auto"/>
        <w:rPr>
          <w:rStyle w:val="LineNumber"/>
          <w:rFonts w:eastAsia="Times New Roman" w:cs="Tahoma"/>
          <w:lang w:eastAsia="en-AU"/>
        </w:rPr>
      </w:pPr>
      <w:r>
        <w:rPr>
          <w:rStyle w:val="LineNumber"/>
          <w:rFonts w:eastAsia="Times New Roman" w:cs="Tahoma"/>
          <w:lang w:eastAsia="en-A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85pt;height:123.25pt;mso-position-horizontal-relative:char;mso-position-vertical-relative:line">
            <v:imagedata r:id="rId18" o:title=""/>
          </v:shape>
        </w:pict>
      </w:r>
    </w:p>
    <w:p w:rsidR="00FF0631" w:rsidRPr="005F6DF3" w:rsidRDefault="00005870" w:rsidP="00CF6C92">
      <w:pPr>
        <w:spacing w:after="0" w:line="240" w:lineRule="auto"/>
        <w:rPr>
          <w:rFonts w:cs="Tahoma"/>
          <w:sz w:val="18"/>
        </w:rPr>
      </w:pPr>
      <w:r w:rsidRPr="005F6DF3">
        <w:rPr>
          <w:rFonts w:cs="Tahoma"/>
          <w:sz w:val="18"/>
        </w:rPr>
        <w:t>Murtoa College</w:t>
      </w:r>
      <w:r w:rsidR="00C44B40" w:rsidRPr="005F6DF3">
        <w:rPr>
          <w:rFonts w:cs="Tahoma"/>
          <w:sz w:val="18"/>
        </w:rPr>
        <w:t xml:space="preserve"> </w:t>
      </w:r>
      <w:r w:rsidR="008D5BCE" w:rsidRPr="005F6DF3">
        <w:rPr>
          <w:rFonts w:cs="Tahoma"/>
          <w:sz w:val="18"/>
        </w:rPr>
        <w:t>(</w:t>
      </w:r>
      <w:r w:rsidRPr="005F6DF3">
        <w:rPr>
          <w:rFonts w:cs="Tahoma"/>
          <w:sz w:val="18"/>
        </w:rPr>
        <w:t>photo: Fiona McKenzie 2014</w:t>
      </w:r>
      <w:r w:rsidR="008D5BCE" w:rsidRPr="005F6DF3">
        <w:rPr>
          <w:rFonts w:cs="Tahoma"/>
          <w:sz w:val="18"/>
        </w:rPr>
        <w:t>)</w:t>
      </w:r>
      <w:r w:rsidR="00970714">
        <w:rPr>
          <w:rFonts w:cs="Tahoma"/>
          <w:sz w:val="18"/>
        </w:rPr>
        <w:br/>
      </w:r>
    </w:p>
    <w:p w:rsidR="00970714" w:rsidRPr="00D041E1" w:rsidRDefault="00970714" w:rsidP="00970714">
      <w:pPr>
        <w:spacing w:afterLines="113" w:after="271" w:line="240" w:lineRule="atLeast"/>
        <w:rPr>
          <w:rFonts w:cs="Tahoma"/>
          <w:lang w:val="en-US"/>
        </w:rPr>
      </w:pPr>
      <w:r w:rsidRPr="00D041E1">
        <w:rPr>
          <w:rFonts w:cs="Tahoma"/>
          <w:lang w:val="en-US"/>
        </w:rPr>
        <w:t>Rather than shrinking and closing, the school has been able to draw upon a much larger pool of potential students from Horsham to maintain a thriving small school community. Within this regional network it provides a unique schooling option.</w:t>
      </w:r>
    </w:p>
    <w:p w:rsidR="00F7764C" w:rsidRPr="00E31DDA" w:rsidRDefault="00F7764C" w:rsidP="008D5BCE">
      <w:pPr>
        <w:spacing w:before="120" w:afterLines="113" w:after="271" w:line="240" w:lineRule="atLeast"/>
        <w:rPr>
          <w:rFonts w:cs="Tahoma"/>
          <w:b/>
          <w:color w:val="228591"/>
          <w:sz w:val="28"/>
          <w:lang w:val="en-US"/>
        </w:rPr>
      </w:pPr>
      <w:proofErr w:type="spellStart"/>
      <w:r w:rsidRPr="00E31DDA">
        <w:rPr>
          <w:rFonts w:cs="Tahoma"/>
          <w:b/>
          <w:color w:val="228591"/>
          <w:sz w:val="28"/>
          <w:lang w:val="en-US"/>
        </w:rPr>
        <w:t>Tresco</w:t>
      </w:r>
      <w:proofErr w:type="spellEnd"/>
      <w:r w:rsidR="00934A84" w:rsidRPr="00E31DDA">
        <w:rPr>
          <w:rFonts w:cs="Tahoma"/>
          <w:b/>
          <w:color w:val="228591"/>
          <w:sz w:val="28"/>
          <w:lang w:val="en-US"/>
        </w:rPr>
        <w:t>:</w:t>
      </w:r>
      <w:r w:rsidRPr="00E31DDA">
        <w:rPr>
          <w:rFonts w:cs="Tahoma"/>
          <w:b/>
          <w:color w:val="228591"/>
          <w:sz w:val="28"/>
          <w:lang w:val="en-US"/>
        </w:rPr>
        <w:t xml:space="preserve"> </w:t>
      </w:r>
      <w:r w:rsidR="00236410" w:rsidRPr="00E31DDA">
        <w:rPr>
          <w:rFonts w:cs="Tahoma"/>
          <w:b/>
          <w:color w:val="228591"/>
          <w:sz w:val="28"/>
          <w:lang w:val="en-US"/>
        </w:rPr>
        <w:t>a commuter community</w:t>
      </w:r>
    </w:p>
    <w:p w:rsidR="00F7764C" w:rsidRPr="00D041E1" w:rsidRDefault="00005870" w:rsidP="00970714">
      <w:pPr>
        <w:spacing w:afterLines="113" w:after="271" w:line="240" w:lineRule="atLeast"/>
        <w:ind w:right="48"/>
        <w:rPr>
          <w:rFonts w:cs="Tahoma"/>
          <w:lang w:val="en-US"/>
        </w:rPr>
      </w:pPr>
      <w:r w:rsidRPr="00D041E1">
        <w:rPr>
          <w:rFonts w:cs="Tahoma"/>
          <w:lang w:val="en-US"/>
        </w:rPr>
        <w:t xml:space="preserve">Tresco is located on the edge of the Mallee, five kilometres from Lake Boga and 16 kilometres from Swan Hill. It had a population of 53 in 2011, too small to </w:t>
      </w:r>
      <w:r w:rsidR="00F7764C" w:rsidRPr="00D041E1">
        <w:rPr>
          <w:rFonts w:cs="Tahoma"/>
          <w:lang w:val="en-US"/>
        </w:rPr>
        <w:t xml:space="preserve">even </w:t>
      </w:r>
      <w:r w:rsidRPr="00D041E1">
        <w:rPr>
          <w:rFonts w:cs="Tahoma"/>
          <w:lang w:val="en-US"/>
        </w:rPr>
        <w:t>be counted as a ‘rural locality’ by the A</w:t>
      </w:r>
      <w:r w:rsidR="00540B4E" w:rsidRPr="00D041E1">
        <w:rPr>
          <w:rFonts w:cs="Tahoma"/>
          <w:lang w:val="en-US"/>
        </w:rPr>
        <w:t xml:space="preserve">ustralian </w:t>
      </w:r>
      <w:r w:rsidRPr="00D041E1">
        <w:rPr>
          <w:rFonts w:cs="Tahoma"/>
          <w:lang w:val="en-US"/>
        </w:rPr>
        <w:t>B</w:t>
      </w:r>
      <w:r w:rsidR="00540B4E" w:rsidRPr="00D041E1">
        <w:rPr>
          <w:rFonts w:cs="Tahoma"/>
          <w:lang w:val="en-US"/>
        </w:rPr>
        <w:t xml:space="preserve">ureau of </w:t>
      </w:r>
      <w:r w:rsidRPr="00D041E1">
        <w:rPr>
          <w:rFonts w:cs="Tahoma"/>
          <w:lang w:val="en-US"/>
        </w:rPr>
        <w:t>S</w:t>
      </w:r>
      <w:r w:rsidR="00540B4E" w:rsidRPr="00D041E1">
        <w:rPr>
          <w:rFonts w:cs="Tahoma"/>
          <w:lang w:val="en-US"/>
        </w:rPr>
        <w:t>tatistics</w:t>
      </w:r>
      <w:r w:rsidRPr="00D041E1">
        <w:rPr>
          <w:rFonts w:cs="Tahoma"/>
          <w:lang w:val="en-US"/>
        </w:rPr>
        <w:t>. While undertaking research for the Lake Boga study</w:t>
      </w:r>
      <w:r w:rsidR="00FE1078" w:rsidRPr="00D041E1">
        <w:rPr>
          <w:rFonts w:cs="Tahoma"/>
          <w:lang w:val="en-US"/>
        </w:rPr>
        <w:t xml:space="preserve"> in 2010</w:t>
      </w:r>
      <w:r w:rsidRPr="00D041E1">
        <w:rPr>
          <w:rFonts w:cs="Tahoma"/>
          <w:lang w:val="en-US"/>
        </w:rPr>
        <w:t xml:space="preserve">, </w:t>
      </w:r>
      <w:r w:rsidR="00A25303" w:rsidRPr="00D041E1">
        <w:rPr>
          <w:rFonts w:cs="Tahoma"/>
          <w:lang w:val="en-US"/>
        </w:rPr>
        <w:t>Depart</w:t>
      </w:r>
      <w:r w:rsidR="00970714">
        <w:rPr>
          <w:rFonts w:cs="Tahoma"/>
          <w:lang w:val="en-US"/>
        </w:rPr>
        <w:t>-</w:t>
      </w:r>
      <w:r w:rsidR="00A25303" w:rsidRPr="00D041E1">
        <w:rPr>
          <w:rFonts w:cs="Tahoma"/>
          <w:lang w:val="en-US"/>
        </w:rPr>
        <w:t xml:space="preserve">mental </w:t>
      </w:r>
      <w:r w:rsidRPr="00D041E1">
        <w:rPr>
          <w:rFonts w:cs="Tahoma"/>
          <w:lang w:val="en-US"/>
        </w:rPr>
        <w:t>researchers often heard Tresco referred to as a ‘ghost town’</w:t>
      </w:r>
      <w:r w:rsidR="00934A84" w:rsidRPr="00D041E1">
        <w:rPr>
          <w:rFonts w:cs="Tahoma"/>
          <w:lang w:val="en-US"/>
        </w:rPr>
        <w:t>.</w:t>
      </w:r>
      <w:r w:rsidRPr="00D041E1">
        <w:rPr>
          <w:rFonts w:cs="Tahoma"/>
          <w:lang w:val="en-US"/>
        </w:rPr>
        <w:t xml:space="preserve"> Having expected tumbleweeds, empty houses and broken windows, </w:t>
      </w:r>
      <w:r w:rsidR="00934A84" w:rsidRPr="00D041E1">
        <w:rPr>
          <w:rFonts w:cs="Tahoma"/>
          <w:lang w:val="en-US"/>
        </w:rPr>
        <w:t>the researchers were</w:t>
      </w:r>
      <w:r w:rsidRPr="00D041E1">
        <w:rPr>
          <w:rFonts w:cs="Tahoma"/>
          <w:lang w:val="en-US"/>
        </w:rPr>
        <w:t xml:space="preserve"> surpris</w:t>
      </w:r>
      <w:r w:rsidR="00934A84" w:rsidRPr="00D041E1">
        <w:rPr>
          <w:rFonts w:cs="Tahoma"/>
          <w:lang w:val="en-US"/>
        </w:rPr>
        <w:t>ed</w:t>
      </w:r>
      <w:r w:rsidRPr="00D041E1">
        <w:rPr>
          <w:rFonts w:cs="Tahoma"/>
          <w:lang w:val="en-US"/>
        </w:rPr>
        <w:t xml:space="preserve"> to find occupied houses. </w:t>
      </w:r>
    </w:p>
    <w:p w:rsidR="00FF0631" w:rsidRPr="00D041E1" w:rsidRDefault="00005870" w:rsidP="00E31DDA">
      <w:pPr>
        <w:spacing w:afterLines="113" w:after="271" w:line="240" w:lineRule="atLeast"/>
        <w:rPr>
          <w:rFonts w:cs="Tahoma"/>
          <w:lang w:val="en-US"/>
        </w:rPr>
      </w:pPr>
      <w:r w:rsidRPr="00D041E1">
        <w:rPr>
          <w:rFonts w:cs="Tahoma"/>
          <w:lang w:val="en-US"/>
        </w:rPr>
        <w:t xml:space="preserve">A historic plaque documented every business </w:t>
      </w:r>
      <w:r w:rsidR="00BE431F" w:rsidRPr="00D041E1">
        <w:rPr>
          <w:rFonts w:cs="Tahoma"/>
          <w:lang w:val="en-US"/>
        </w:rPr>
        <w:t xml:space="preserve">that had been </w:t>
      </w:r>
      <w:r w:rsidR="00F7764C" w:rsidRPr="00D041E1">
        <w:rPr>
          <w:rFonts w:cs="Tahoma"/>
          <w:lang w:val="en-US"/>
        </w:rPr>
        <w:t xml:space="preserve">established </w:t>
      </w:r>
      <w:r w:rsidR="00BE431F" w:rsidRPr="00D041E1">
        <w:rPr>
          <w:rFonts w:cs="Tahoma"/>
          <w:lang w:val="en-US"/>
        </w:rPr>
        <w:t>since the</w:t>
      </w:r>
      <w:r w:rsidR="00F7764C" w:rsidRPr="00D041E1">
        <w:rPr>
          <w:rFonts w:cs="Tahoma"/>
          <w:lang w:val="en-US"/>
        </w:rPr>
        <w:t xml:space="preserve"> town</w:t>
      </w:r>
      <w:r w:rsidR="00BE431F" w:rsidRPr="00D041E1">
        <w:rPr>
          <w:rFonts w:cs="Tahoma"/>
          <w:lang w:val="en-US"/>
        </w:rPr>
        <w:t xml:space="preserve">’s inception and included </w:t>
      </w:r>
      <w:r w:rsidRPr="00D041E1">
        <w:rPr>
          <w:rFonts w:cs="Tahoma"/>
          <w:lang w:val="en-US"/>
        </w:rPr>
        <w:t xml:space="preserve">when </w:t>
      </w:r>
      <w:r w:rsidR="00BE431F" w:rsidRPr="00D041E1">
        <w:rPr>
          <w:rFonts w:cs="Tahoma"/>
          <w:lang w:val="en-US"/>
        </w:rPr>
        <w:t>the businesses</w:t>
      </w:r>
      <w:r w:rsidRPr="00D041E1">
        <w:rPr>
          <w:rFonts w:cs="Tahoma"/>
          <w:lang w:val="en-US"/>
        </w:rPr>
        <w:t xml:space="preserve"> had </w:t>
      </w:r>
      <w:r w:rsidR="00BE431F" w:rsidRPr="00D041E1">
        <w:rPr>
          <w:rFonts w:cs="Tahoma"/>
          <w:lang w:val="en-US"/>
        </w:rPr>
        <w:t>opened</w:t>
      </w:r>
      <w:r w:rsidR="002D4308" w:rsidRPr="00D041E1">
        <w:rPr>
          <w:rFonts w:cs="Tahoma"/>
          <w:lang w:val="en-US"/>
        </w:rPr>
        <w:t xml:space="preserve"> and when they had closed (</w:t>
      </w:r>
      <w:r w:rsidR="00715399" w:rsidRPr="00D041E1">
        <w:rPr>
          <w:rFonts w:cs="Tahoma"/>
          <w:lang w:val="en-US"/>
        </w:rPr>
        <w:t>f</w:t>
      </w:r>
      <w:r w:rsidRPr="00D041E1">
        <w:rPr>
          <w:rFonts w:cs="Tahoma"/>
          <w:lang w:val="en-US"/>
        </w:rPr>
        <w:t xml:space="preserve">igure 1). </w:t>
      </w:r>
      <w:r w:rsidR="00F7764C" w:rsidRPr="00D041E1">
        <w:rPr>
          <w:rFonts w:cs="Tahoma"/>
          <w:lang w:val="en-US"/>
        </w:rPr>
        <w:t>Th</w:t>
      </w:r>
      <w:r w:rsidR="00BE431F" w:rsidRPr="00D041E1">
        <w:rPr>
          <w:rFonts w:cs="Tahoma"/>
          <w:lang w:val="en-US"/>
        </w:rPr>
        <w:t>e</w:t>
      </w:r>
      <w:r w:rsidR="00F7764C" w:rsidRPr="00D041E1">
        <w:rPr>
          <w:rFonts w:cs="Tahoma"/>
          <w:lang w:val="en-US"/>
        </w:rPr>
        <w:t xml:space="preserve"> plaque serves as a</w:t>
      </w:r>
      <w:r w:rsidRPr="00D041E1">
        <w:rPr>
          <w:rFonts w:cs="Tahoma"/>
          <w:lang w:val="en-US"/>
        </w:rPr>
        <w:t xml:space="preserve"> </w:t>
      </w:r>
      <w:r w:rsidR="00F7764C" w:rsidRPr="00D041E1">
        <w:rPr>
          <w:rFonts w:cs="Tahoma"/>
          <w:lang w:val="en-US"/>
        </w:rPr>
        <w:t xml:space="preserve">marker </w:t>
      </w:r>
      <w:r w:rsidRPr="00D041E1">
        <w:rPr>
          <w:rFonts w:cs="Tahoma"/>
          <w:lang w:val="en-US"/>
        </w:rPr>
        <w:t>of economic change in the region</w:t>
      </w:r>
      <w:r w:rsidR="00BE431F" w:rsidRPr="00D041E1">
        <w:rPr>
          <w:rFonts w:cs="Tahoma"/>
          <w:lang w:val="en-US"/>
        </w:rPr>
        <w:t xml:space="preserve"> by chronicling </w:t>
      </w:r>
      <w:r w:rsidRPr="00D041E1">
        <w:rPr>
          <w:rFonts w:cs="Tahoma"/>
          <w:lang w:val="en-US"/>
        </w:rPr>
        <w:t xml:space="preserve">the businesses that </w:t>
      </w:r>
      <w:r w:rsidR="00BE431F" w:rsidRPr="00D041E1">
        <w:rPr>
          <w:rFonts w:cs="Tahoma"/>
          <w:lang w:val="en-US"/>
        </w:rPr>
        <w:t>opened up,</w:t>
      </w:r>
      <w:r w:rsidRPr="00D041E1">
        <w:rPr>
          <w:rFonts w:cs="Tahoma"/>
          <w:lang w:val="en-US"/>
        </w:rPr>
        <w:t xml:space="preserve"> boomed</w:t>
      </w:r>
      <w:r w:rsidR="00BE431F" w:rsidRPr="00D041E1">
        <w:rPr>
          <w:rFonts w:cs="Tahoma"/>
          <w:lang w:val="en-US"/>
        </w:rPr>
        <w:t>,</w:t>
      </w:r>
      <w:r w:rsidRPr="00D041E1">
        <w:rPr>
          <w:rFonts w:cs="Tahoma"/>
          <w:lang w:val="en-US"/>
        </w:rPr>
        <w:t xml:space="preserve"> changed and then</w:t>
      </w:r>
      <w:r w:rsidR="00BE431F" w:rsidRPr="00D041E1">
        <w:rPr>
          <w:rFonts w:cs="Tahoma"/>
          <w:lang w:val="en-US"/>
        </w:rPr>
        <w:t xml:space="preserve"> shut their doors</w:t>
      </w:r>
      <w:r w:rsidRPr="00D041E1">
        <w:rPr>
          <w:rFonts w:cs="Tahoma"/>
          <w:lang w:val="en-US"/>
        </w:rPr>
        <w:t xml:space="preserve">. The last </w:t>
      </w:r>
      <w:r w:rsidR="00F7764C" w:rsidRPr="00D041E1">
        <w:rPr>
          <w:rFonts w:cs="Tahoma"/>
          <w:lang w:val="en-US"/>
        </w:rPr>
        <w:t xml:space="preserve">business </w:t>
      </w:r>
      <w:r w:rsidR="00A25303" w:rsidRPr="00D041E1">
        <w:rPr>
          <w:rFonts w:cs="Tahoma"/>
          <w:lang w:val="en-US"/>
        </w:rPr>
        <w:t xml:space="preserve">had </w:t>
      </w:r>
      <w:r w:rsidR="00F7764C" w:rsidRPr="00D041E1">
        <w:rPr>
          <w:rFonts w:cs="Tahoma"/>
          <w:lang w:val="en-US"/>
        </w:rPr>
        <w:t xml:space="preserve">closed </w:t>
      </w:r>
      <w:r w:rsidRPr="00D041E1">
        <w:rPr>
          <w:rFonts w:cs="Tahoma"/>
          <w:lang w:val="en-US"/>
        </w:rPr>
        <w:t>twenty years ago</w:t>
      </w:r>
      <w:r w:rsidR="00A25303" w:rsidRPr="00D041E1">
        <w:rPr>
          <w:rFonts w:cs="Tahoma"/>
          <w:lang w:val="en-US"/>
        </w:rPr>
        <w:t xml:space="preserve">, suggesting that </w:t>
      </w:r>
      <w:r w:rsidR="00F7764C" w:rsidRPr="00D041E1">
        <w:rPr>
          <w:rFonts w:cs="Tahoma"/>
          <w:lang w:val="en-US"/>
        </w:rPr>
        <w:t xml:space="preserve">Tresco </w:t>
      </w:r>
      <w:r w:rsidR="00924B86" w:rsidRPr="00D041E1">
        <w:rPr>
          <w:rFonts w:cs="Tahoma"/>
          <w:lang w:val="en-US"/>
        </w:rPr>
        <w:t xml:space="preserve">is </w:t>
      </w:r>
      <w:r w:rsidRPr="00D041E1">
        <w:rPr>
          <w:rFonts w:cs="Tahoma"/>
          <w:lang w:val="en-US"/>
        </w:rPr>
        <w:t>a ghost town</w:t>
      </w:r>
      <w:r w:rsidR="00A25303" w:rsidRPr="00D041E1">
        <w:rPr>
          <w:rFonts w:cs="Tahoma"/>
          <w:lang w:val="en-US"/>
        </w:rPr>
        <w:t xml:space="preserve">, at least in an </w:t>
      </w:r>
      <w:r w:rsidR="00924B86" w:rsidRPr="00D041E1">
        <w:rPr>
          <w:rFonts w:cs="Tahoma"/>
          <w:lang w:val="en-US"/>
        </w:rPr>
        <w:t>economic sense,</w:t>
      </w:r>
      <w:r w:rsidRPr="00D041E1">
        <w:rPr>
          <w:rFonts w:cs="Tahoma"/>
          <w:lang w:val="en-US"/>
        </w:rPr>
        <w:t xml:space="preserve"> </w:t>
      </w:r>
      <w:r w:rsidR="000A577D" w:rsidRPr="00D041E1">
        <w:rPr>
          <w:rFonts w:cs="Tahoma"/>
          <w:lang w:val="en-US"/>
        </w:rPr>
        <w:t>so</w:t>
      </w:r>
      <w:r w:rsidRPr="00D041E1">
        <w:rPr>
          <w:rFonts w:cs="Tahoma"/>
          <w:lang w:val="en-US"/>
        </w:rPr>
        <w:t xml:space="preserve"> why did the town still exist</w:t>
      </w:r>
      <w:r w:rsidR="00924B86" w:rsidRPr="00D041E1">
        <w:rPr>
          <w:rFonts w:cs="Tahoma"/>
          <w:lang w:val="en-US"/>
        </w:rPr>
        <w:t>?</w:t>
      </w:r>
      <w:r w:rsidR="000A577D" w:rsidRPr="00D041E1">
        <w:rPr>
          <w:rFonts w:cs="Tahoma"/>
          <w:lang w:val="en-US"/>
        </w:rPr>
        <w:t xml:space="preserve"> </w:t>
      </w:r>
      <w:r w:rsidR="00924B86" w:rsidRPr="00D041E1">
        <w:rPr>
          <w:rFonts w:cs="Tahoma"/>
          <w:lang w:val="en-US"/>
        </w:rPr>
        <w:t>Why</w:t>
      </w:r>
      <w:r w:rsidR="000A577D" w:rsidRPr="00D041E1">
        <w:rPr>
          <w:rFonts w:cs="Tahoma"/>
          <w:lang w:val="en-US"/>
        </w:rPr>
        <w:t xml:space="preserve"> </w:t>
      </w:r>
      <w:r w:rsidRPr="00D041E1">
        <w:rPr>
          <w:rFonts w:cs="Tahoma"/>
          <w:lang w:val="en-US"/>
        </w:rPr>
        <w:t xml:space="preserve">were people still </w:t>
      </w:r>
      <w:r w:rsidR="00924B86" w:rsidRPr="00D041E1">
        <w:rPr>
          <w:rFonts w:cs="Tahoma"/>
          <w:lang w:val="en-US"/>
        </w:rPr>
        <w:t xml:space="preserve">living </w:t>
      </w:r>
      <w:r w:rsidRPr="00D041E1">
        <w:rPr>
          <w:rFonts w:cs="Tahoma"/>
          <w:lang w:val="en-US"/>
        </w:rPr>
        <w:t xml:space="preserve">there? One answer is because it is a community. </w:t>
      </w:r>
      <w:r w:rsidR="00924B86" w:rsidRPr="00D041E1">
        <w:rPr>
          <w:rFonts w:cs="Tahoma"/>
          <w:lang w:val="en-US"/>
        </w:rPr>
        <w:t xml:space="preserve">Nowadays, thanks to cars and a good road network, </w:t>
      </w:r>
      <w:r w:rsidRPr="00D041E1">
        <w:rPr>
          <w:rFonts w:cs="Tahoma"/>
          <w:lang w:val="en-US"/>
        </w:rPr>
        <w:t xml:space="preserve">residents </w:t>
      </w:r>
      <w:r w:rsidR="00A708F3" w:rsidRPr="00D041E1">
        <w:rPr>
          <w:rFonts w:cs="Tahoma"/>
          <w:lang w:val="en-US"/>
        </w:rPr>
        <w:t xml:space="preserve">can </w:t>
      </w:r>
      <w:r w:rsidRPr="00D041E1">
        <w:rPr>
          <w:rFonts w:cs="Tahoma"/>
          <w:lang w:val="en-US"/>
        </w:rPr>
        <w:t xml:space="preserve">work and shop in </w:t>
      </w:r>
      <w:r w:rsidR="00A708F3" w:rsidRPr="00D041E1">
        <w:rPr>
          <w:rFonts w:cs="Tahoma"/>
          <w:lang w:val="en-US"/>
        </w:rPr>
        <w:t xml:space="preserve">nearby </w:t>
      </w:r>
      <w:r w:rsidRPr="00D041E1">
        <w:rPr>
          <w:rFonts w:cs="Tahoma"/>
          <w:lang w:val="en-US"/>
        </w:rPr>
        <w:t xml:space="preserve">Lake Boga or Swan Hill. </w:t>
      </w:r>
      <w:r w:rsidR="00A708F3" w:rsidRPr="00D041E1">
        <w:rPr>
          <w:rFonts w:cs="Tahoma"/>
          <w:lang w:val="en-US"/>
        </w:rPr>
        <w:t>Tresco has evolved into</w:t>
      </w:r>
      <w:r w:rsidRPr="00D041E1">
        <w:rPr>
          <w:rFonts w:cs="Tahoma"/>
          <w:lang w:val="en-US"/>
        </w:rPr>
        <w:t xml:space="preserve"> a viable community </w:t>
      </w:r>
      <w:r w:rsidR="00500C00" w:rsidRPr="00D041E1">
        <w:rPr>
          <w:rFonts w:cs="Tahoma"/>
          <w:lang w:val="en-US"/>
        </w:rPr>
        <w:t xml:space="preserve">that </w:t>
      </w:r>
      <w:r w:rsidR="000A577D" w:rsidRPr="00D041E1">
        <w:rPr>
          <w:rFonts w:cs="Tahoma"/>
          <w:lang w:val="en-US"/>
        </w:rPr>
        <w:t>functions as</w:t>
      </w:r>
      <w:r w:rsidR="00500C00" w:rsidRPr="00D041E1">
        <w:rPr>
          <w:rFonts w:cs="Tahoma"/>
          <w:lang w:val="en-US"/>
        </w:rPr>
        <w:t xml:space="preserve"> an</w:t>
      </w:r>
      <w:r w:rsidRPr="00D041E1">
        <w:rPr>
          <w:rFonts w:cs="Tahoma"/>
          <w:lang w:val="en-US"/>
        </w:rPr>
        <w:t xml:space="preserve"> outer suburb of Swan Hill or Lake Boga</w:t>
      </w:r>
      <w:r w:rsidR="00500C00" w:rsidRPr="00D041E1">
        <w:rPr>
          <w:rFonts w:cs="Tahoma"/>
          <w:lang w:val="en-US"/>
        </w:rPr>
        <w:t>.</w:t>
      </w:r>
    </w:p>
    <w:p w:rsidR="00E31DDA" w:rsidRDefault="00E31DDA" w:rsidP="0000075F">
      <w:pPr>
        <w:spacing w:after="0" w:line="240" w:lineRule="auto"/>
        <w:rPr>
          <w:rFonts w:cs="Tahoma"/>
          <w:i/>
          <w:lang w:val="en-US"/>
        </w:rPr>
        <w:sectPr w:rsidR="00E31DDA" w:rsidSect="00E31DDA">
          <w:type w:val="continuous"/>
          <w:pgSz w:w="11906" w:h="16838"/>
          <w:pgMar w:top="1440" w:right="873" w:bottom="1276" w:left="873" w:header="709" w:footer="0" w:gutter="0"/>
          <w:cols w:num="2" w:space="708"/>
          <w:titlePg/>
          <w:docGrid w:linePitch="360"/>
        </w:sectPr>
      </w:pPr>
    </w:p>
    <w:p w:rsidR="00715399" w:rsidRPr="00D041E1" w:rsidRDefault="00715399" w:rsidP="008C436C">
      <w:pPr>
        <w:spacing w:after="0" w:line="360" w:lineRule="auto"/>
        <w:rPr>
          <w:rStyle w:val="LineNumber"/>
          <w:rFonts w:eastAsia="Times New Roman" w:cs="Tahoma"/>
          <w:i/>
          <w:lang w:eastAsia="en-AU"/>
        </w:rPr>
      </w:pPr>
      <w:r w:rsidRPr="00D041E1">
        <w:rPr>
          <w:rFonts w:cs="Tahoma"/>
          <w:i/>
          <w:lang w:val="en-US"/>
        </w:rPr>
        <w:lastRenderedPageBreak/>
        <w:t>Figure 1: Services in Tresco township 1910 to 2005</w:t>
      </w:r>
    </w:p>
    <w:p w:rsidR="00715399" w:rsidRPr="00D041E1" w:rsidRDefault="00087264" w:rsidP="008D5BCE">
      <w:pPr>
        <w:spacing w:afterLines="50" w:after="120" w:line="240" w:lineRule="auto"/>
        <w:rPr>
          <w:rStyle w:val="LineNumber"/>
          <w:rFonts w:eastAsia="Times New Roman" w:cs="Tahoma"/>
          <w:i/>
          <w:lang w:eastAsia="en-AU"/>
        </w:rPr>
      </w:pPr>
      <w:r>
        <w:pict>
          <v:shape id="_x0000_i1027" type="#_x0000_t75" alt="Tresco" style="width:382.85pt;height:312.9pt;visibility:visible" o:allowoverlap="f">
            <v:imagedata r:id="rId19" o:title="Tresco" croptop="2650f" cropbottom="2737f"/>
          </v:shape>
        </w:pict>
      </w:r>
    </w:p>
    <w:p w:rsidR="00E31DDA" w:rsidRDefault="00715399" w:rsidP="008D5BCE">
      <w:pPr>
        <w:spacing w:afterLines="50" w:after="120" w:line="240" w:lineRule="auto"/>
        <w:rPr>
          <w:rFonts w:cs="Tahoma"/>
          <w:i/>
          <w:lang w:val="en-US"/>
        </w:rPr>
        <w:sectPr w:rsidR="00E31DDA" w:rsidSect="00E31DDA">
          <w:type w:val="continuous"/>
          <w:pgSz w:w="11906" w:h="16838"/>
          <w:pgMar w:top="1440" w:right="873" w:bottom="1276" w:left="873" w:header="709" w:footer="0" w:gutter="0"/>
          <w:cols w:space="708"/>
          <w:titlePg/>
          <w:docGrid w:linePitch="360"/>
        </w:sectPr>
      </w:pPr>
      <w:r w:rsidRPr="00D041E1">
        <w:rPr>
          <w:rStyle w:val="LineNumber"/>
          <w:rFonts w:eastAsia="Times New Roman" w:cs="Tahoma"/>
          <w:i/>
          <w:lang w:eastAsia="en-AU"/>
        </w:rPr>
        <w:t xml:space="preserve">Source: </w:t>
      </w:r>
      <w:r w:rsidRPr="00D041E1">
        <w:rPr>
          <w:rFonts w:cs="Tahoma"/>
          <w:i/>
          <w:lang w:val="en-US"/>
        </w:rPr>
        <w:t>Historical marker, Tresco 2009</w:t>
      </w:r>
    </w:p>
    <w:p w:rsidR="00970714" w:rsidRDefault="00970714" w:rsidP="00CF6C92">
      <w:pPr>
        <w:spacing w:afterLines="50" w:after="120" w:line="240" w:lineRule="auto"/>
        <w:rPr>
          <w:rStyle w:val="LineNumber"/>
          <w:rFonts w:eastAsia="Times New Roman" w:cs="Tahoma"/>
          <w:b/>
          <w:color w:val="228591"/>
          <w:sz w:val="28"/>
          <w:lang w:eastAsia="en-AU"/>
        </w:rPr>
      </w:pPr>
    </w:p>
    <w:p w:rsidR="00236410" w:rsidRPr="00E31DDA" w:rsidRDefault="00236410" w:rsidP="00CF6C92">
      <w:pPr>
        <w:spacing w:afterLines="50" w:after="120" w:line="240" w:lineRule="auto"/>
        <w:rPr>
          <w:rStyle w:val="LineNumber"/>
          <w:rFonts w:cs="Tahoma"/>
          <w:color w:val="228591"/>
          <w:sz w:val="28"/>
          <w:lang w:val="en-US"/>
        </w:rPr>
      </w:pPr>
      <w:r w:rsidRPr="00E31DDA">
        <w:rPr>
          <w:rStyle w:val="LineNumber"/>
          <w:rFonts w:eastAsia="Times New Roman" w:cs="Tahoma"/>
          <w:b/>
          <w:color w:val="228591"/>
          <w:sz w:val="28"/>
          <w:lang w:eastAsia="en-AU"/>
        </w:rPr>
        <w:t>Natimuk</w:t>
      </w:r>
      <w:r w:rsidR="00394C38" w:rsidRPr="00E31DDA">
        <w:rPr>
          <w:rStyle w:val="LineNumber"/>
          <w:rFonts w:eastAsia="Times New Roman" w:cs="Tahoma"/>
          <w:b/>
          <w:color w:val="228591"/>
          <w:sz w:val="28"/>
          <w:lang w:eastAsia="en-AU"/>
        </w:rPr>
        <w:t>:</w:t>
      </w:r>
      <w:r w:rsidRPr="00E31DDA">
        <w:rPr>
          <w:rStyle w:val="LineNumber"/>
          <w:rFonts w:eastAsia="Times New Roman" w:cs="Tahoma"/>
          <w:b/>
          <w:color w:val="228591"/>
          <w:sz w:val="28"/>
          <w:lang w:eastAsia="en-AU"/>
        </w:rPr>
        <w:t xml:space="preserve"> a hot spot for rock climbers </w:t>
      </w:r>
    </w:p>
    <w:p w:rsidR="00236410" w:rsidRPr="00D041E1" w:rsidRDefault="00005870" w:rsidP="00CF6C92">
      <w:pPr>
        <w:spacing w:afterLines="50" w:after="120" w:line="240" w:lineRule="auto"/>
        <w:rPr>
          <w:rFonts w:cs="Tahoma"/>
          <w:lang w:val="en-US"/>
        </w:rPr>
      </w:pPr>
      <w:r w:rsidRPr="00D041E1">
        <w:rPr>
          <w:rFonts w:cs="Tahoma"/>
          <w:lang w:val="en-US"/>
        </w:rPr>
        <w:t>Natimuk is located 22 kilometres west of Horsham</w:t>
      </w:r>
      <w:r w:rsidR="00236410" w:rsidRPr="00D041E1">
        <w:rPr>
          <w:rFonts w:cs="Tahoma"/>
          <w:lang w:val="en-US"/>
        </w:rPr>
        <w:t xml:space="preserve"> and at </w:t>
      </w:r>
      <w:r w:rsidRPr="00D041E1">
        <w:rPr>
          <w:rFonts w:cs="Tahoma"/>
          <w:lang w:val="en-US"/>
        </w:rPr>
        <w:t xml:space="preserve">the time of the 2011 census the town’s population was recorded as 392. </w:t>
      </w:r>
    </w:p>
    <w:p w:rsidR="00CF6C92" w:rsidRPr="005F6DF3" w:rsidRDefault="00CF6C92" w:rsidP="00E31DDA">
      <w:pPr>
        <w:spacing w:afterLines="113" w:after="271" w:line="240" w:lineRule="atLeast"/>
        <w:rPr>
          <w:rFonts w:cs="Tahoma"/>
          <w:sz w:val="18"/>
        </w:rPr>
      </w:pPr>
      <w:r w:rsidRPr="005F6DF3">
        <w:rPr>
          <w:rFonts w:cs="Tahoma"/>
          <w:sz w:val="18"/>
        </w:rPr>
        <w:t>View from Mt Arapiles (photo: Jeremy Reynolds 2011)</w:t>
      </w:r>
    </w:p>
    <w:p w:rsidR="00970714" w:rsidRDefault="00970714" w:rsidP="00E31DDA">
      <w:pPr>
        <w:spacing w:afterLines="113" w:after="271" w:line="240" w:lineRule="atLeast"/>
        <w:rPr>
          <w:rFonts w:cs="Tahoma"/>
          <w:lang w:val="en-US"/>
        </w:rPr>
      </w:pPr>
    </w:p>
    <w:p w:rsidR="00970714" w:rsidRDefault="00970714" w:rsidP="00E31DDA">
      <w:pPr>
        <w:spacing w:afterLines="113" w:after="271" w:line="240" w:lineRule="atLeast"/>
        <w:rPr>
          <w:rFonts w:cs="Tahoma"/>
          <w:lang w:val="en-US"/>
        </w:rPr>
      </w:pPr>
    </w:p>
    <w:p w:rsidR="00970714" w:rsidRDefault="00970714" w:rsidP="00E31DDA">
      <w:pPr>
        <w:spacing w:afterLines="113" w:after="271" w:line="240" w:lineRule="atLeast"/>
        <w:rPr>
          <w:rFonts w:cs="Tahoma"/>
          <w:lang w:val="en-US"/>
        </w:rPr>
      </w:pPr>
    </w:p>
    <w:p w:rsidR="00236410" w:rsidRPr="00D041E1" w:rsidRDefault="00005870" w:rsidP="00E31DDA">
      <w:pPr>
        <w:spacing w:afterLines="113" w:after="271" w:line="240" w:lineRule="atLeast"/>
        <w:rPr>
          <w:rFonts w:cs="Tahoma"/>
          <w:lang w:val="en-US"/>
        </w:rPr>
      </w:pPr>
      <w:r w:rsidRPr="00D041E1">
        <w:rPr>
          <w:rFonts w:cs="Tahoma"/>
          <w:lang w:val="en-US"/>
        </w:rPr>
        <w:t>The main street of the town has many historic buildings</w:t>
      </w:r>
      <w:r w:rsidR="00236410" w:rsidRPr="00D041E1">
        <w:rPr>
          <w:rFonts w:cs="Tahoma"/>
          <w:lang w:val="en-US"/>
        </w:rPr>
        <w:t xml:space="preserve"> which form part of a local heritage walk</w:t>
      </w:r>
      <w:r w:rsidRPr="00D041E1">
        <w:rPr>
          <w:rFonts w:cs="Tahoma"/>
          <w:lang w:val="en-US"/>
        </w:rPr>
        <w:t xml:space="preserve">. </w:t>
      </w:r>
      <w:r w:rsidR="00236410" w:rsidRPr="00D041E1">
        <w:rPr>
          <w:rFonts w:cs="Tahoma"/>
          <w:lang w:val="en-US"/>
        </w:rPr>
        <w:t xml:space="preserve">Plaques on these buildings provide descriptions </w:t>
      </w:r>
      <w:r w:rsidRPr="00D041E1">
        <w:rPr>
          <w:rFonts w:cs="Tahoma"/>
          <w:lang w:val="en-US"/>
        </w:rPr>
        <w:t>of the banks, businesses and other services</w:t>
      </w:r>
      <w:r w:rsidR="002F2AB6" w:rsidRPr="00D041E1">
        <w:rPr>
          <w:rFonts w:cs="Tahoma"/>
          <w:lang w:val="en-US"/>
        </w:rPr>
        <w:t>,</w:t>
      </w:r>
      <w:r w:rsidRPr="00D041E1">
        <w:rPr>
          <w:rFonts w:cs="Tahoma"/>
          <w:lang w:val="en-US"/>
        </w:rPr>
        <w:t xml:space="preserve"> </w:t>
      </w:r>
      <w:r w:rsidR="00236410" w:rsidRPr="00D041E1">
        <w:rPr>
          <w:rFonts w:cs="Tahoma"/>
          <w:lang w:val="en-US"/>
        </w:rPr>
        <w:t xml:space="preserve">painting </w:t>
      </w:r>
      <w:r w:rsidRPr="00D041E1">
        <w:rPr>
          <w:rFonts w:cs="Tahoma"/>
          <w:lang w:val="en-US"/>
        </w:rPr>
        <w:t>a vivid picture of life in the town’s commercial heyday</w:t>
      </w:r>
      <w:r w:rsidR="00A25303" w:rsidRPr="00D041E1">
        <w:rPr>
          <w:rFonts w:cs="Tahoma"/>
          <w:lang w:val="en-US"/>
        </w:rPr>
        <w:t xml:space="preserve"> </w:t>
      </w:r>
      <w:r w:rsidR="00970714">
        <w:rPr>
          <w:noProof/>
        </w:rPr>
        <w:pict>
          <v:shape id="_x0000_s1170" type="#_x0000_t75" style="position:absolute;margin-left:.55pt;margin-top:-160.9pt;width:194.9pt;height:146.4pt;z-index:251680256;mso-wrap-distance-right:25.5pt;mso-position-horizontal-relative:char;mso-position-vertical-relative:line">
            <v:imagedata r:id="rId20" o:title=""/>
            <w10:wrap type="square"/>
          </v:shape>
        </w:pict>
      </w:r>
      <w:r w:rsidR="00A25303" w:rsidRPr="00D041E1">
        <w:rPr>
          <w:rFonts w:cs="Tahoma"/>
          <w:lang w:val="en-US"/>
        </w:rPr>
        <w:t>in the early 20</w:t>
      </w:r>
      <w:r w:rsidR="00A25303" w:rsidRPr="00D041E1">
        <w:rPr>
          <w:rFonts w:cs="Tahoma"/>
          <w:vertAlign w:val="superscript"/>
          <w:lang w:val="en-US"/>
        </w:rPr>
        <w:t>th</w:t>
      </w:r>
      <w:r w:rsidR="00A25303" w:rsidRPr="00D041E1">
        <w:rPr>
          <w:rFonts w:cs="Tahoma"/>
          <w:lang w:val="en-US"/>
        </w:rPr>
        <w:t xml:space="preserve"> Century</w:t>
      </w:r>
      <w:r w:rsidRPr="00D041E1">
        <w:rPr>
          <w:rFonts w:cs="Tahoma"/>
          <w:lang w:val="en-US"/>
        </w:rPr>
        <w:t xml:space="preserve">. </w:t>
      </w:r>
    </w:p>
    <w:p w:rsidR="00E461CF" w:rsidRPr="00D041E1" w:rsidRDefault="000865F8" w:rsidP="00E31DDA">
      <w:pPr>
        <w:spacing w:afterLines="113" w:after="271" w:line="240" w:lineRule="atLeast"/>
        <w:rPr>
          <w:rFonts w:cs="Tahoma"/>
          <w:lang w:val="en-US"/>
        </w:rPr>
      </w:pPr>
      <w:r w:rsidRPr="00D041E1">
        <w:rPr>
          <w:rFonts w:cs="Tahoma"/>
          <w:lang w:val="en-US"/>
        </w:rPr>
        <w:t>The</w:t>
      </w:r>
      <w:r w:rsidR="00005870" w:rsidRPr="00D041E1">
        <w:rPr>
          <w:rFonts w:cs="Tahoma"/>
          <w:lang w:val="en-US"/>
        </w:rPr>
        <w:t xml:space="preserve"> </w:t>
      </w:r>
      <w:r w:rsidRPr="00D041E1">
        <w:rPr>
          <w:rFonts w:cs="Tahoma"/>
          <w:lang w:val="en-US"/>
        </w:rPr>
        <w:t xml:space="preserve">main </w:t>
      </w:r>
      <w:r w:rsidR="00005870" w:rsidRPr="00D041E1">
        <w:rPr>
          <w:rFonts w:cs="Tahoma"/>
          <w:lang w:val="en-US"/>
        </w:rPr>
        <w:t xml:space="preserve">street </w:t>
      </w:r>
      <w:r w:rsidRPr="00D041E1">
        <w:rPr>
          <w:rFonts w:cs="Tahoma"/>
          <w:lang w:val="en-US"/>
        </w:rPr>
        <w:t xml:space="preserve">can be almost deserted </w:t>
      </w:r>
      <w:r w:rsidR="00005870" w:rsidRPr="00D041E1">
        <w:rPr>
          <w:rFonts w:cs="Tahoma"/>
          <w:lang w:val="en-US"/>
        </w:rPr>
        <w:t xml:space="preserve">mid-week, </w:t>
      </w:r>
      <w:r w:rsidR="00E461CF" w:rsidRPr="00D041E1">
        <w:rPr>
          <w:rFonts w:cs="Tahoma"/>
          <w:lang w:val="en-US"/>
        </w:rPr>
        <w:t xml:space="preserve">but </w:t>
      </w:r>
      <w:r w:rsidRPr="00D041E1">
        <w:rPr>
          <w:rFonts w:cs="Tahoma"/>
          <w:lang w:val="en-US"/>
        </w:rPr>
        <w:t>the weekends bring tourist traffic</w:t>
      </w:r>
      <w:r w:rsidR="00FA1D31" w:rsidRPr="00D041E1">
        <w:rPr>
          <w:rFonts w:cs="Tahoma"/>
          <w:lang w:val="en-US"/>
        </w:rPr>
        <w:t xml:space="preserve">, </w:t>
      </w:r>
      <w:r w:rsidRPr="00D041E1">
        <w:rPr>
          <w:rFonts w:cs="Tahoma"/>
          <w:lang w:val="en-US"/>
        </w:rPr>
        <w:t>particularly</w:t>
      </w:r>
      <w:r w:rsidR="00E461CF" w:rsidRPr="00D041E1">
        <w:rPr>
          <w:rFonts w:cs="Tahoma"/>
          <w:lang w:val="en-US"/>
        </w:rPr>
        <w:t xml:space="preserve"> rock climber</w:t>
      </w:r>
      <w:r w:rsidR="00FA1D31" w:rsidRPr="00D041E1">
        <w:rPr>
          <w:rFonts w:cs="Tahoma"/>
          <w:lang w:val="en-US"/>
        </w:rPr>
        <w:t xml:space="preserve">s on their way to </w:t>
      </w:r>
      <w:r w:rsidR="00E461CF" w:rsidRPr="00D041E1">
        <w:rPr>
          <w:rFonts w:cs="Tahoma"/>
          <w:lang w:val="en-US"/>
        </w:rPr>
        <w:t>Mount Arapiles</w:t>
      </w:r>
      <w:r w:rsidR="00FA1D31" w:rsidRPr="00D041E1">
        <w:rPr>
          <w:rFonts w:cs="Tahoma"/>
          <w:lang w:val="en-US"/>
        </w:rPr>
        <w:t>, a world renowned rock-climbing destination which is only 10 minutes drive from the town.</w:t>
      </w:r>
    </w:p>
    <w:p w:rsidR="00715399" w:rsidRDefault="00FF0631" w:rsidP="008D5BCE">
      <w:pPr>
        <w:spacing w:after="0" w:line="240" w:lineRule="auto"/>
        <w:rPr>
          <w:rFonts w:cs="Tahoma"/>
          <w:lang w:val="en-US"/>
        </w:rPr>
      </w:pPr>
      <w:r w:rsidRPr="00D041E1">
        <w:rPr>
          <w:rFonts w:cs="Tahoma"/>
          <w:lang w:val="en-US"/>
        </w:rPr>
        <w:t>There is a stylish café located on one corner, another business selling rock climbing equipment, and a small but thriving arts community.</w:t>
      </w:r>
      <w:r w:rsidR="00455165" w:rsidRPr="00D041E1">
        <w:rPr>
          <w:rFonts w:cs="Tahoma"/>
          <w:lang w:val="en-US"/>
        </w:rPr>
        <w:t xml:space="preserve"> </w:t>
      </w:r>
      <w:r w:rsidR="00970714">
        <w:rPr>
          <w:rFonts w:cs="Tahoma"/>
          <w:lang w:val="en-US"/>
        </w:rPr>
        <w:t>M</w:t>
      </w:r>
      <w:r w:rsidR="00030131" w:rsidRPr="00D041E1">
        <w:rPr>
          <w:rFonts w:cs="Tahoma"/>
          <w:lang w:val="en-US"/>
        </w:rPr>
        <w:t xml:space="preserve">ost of the former businesses in the main street </w:t>
      </w:r>
      <w:r w:rsidR="00E461CF" w:rsidRPr="00D041E1">
        <w:rPr>
          <w:rFonts w:cs="Tahoma"/>
          <w:lang w:val="en-US"/>
        </w:rPr>
        <w:t xml:space="preserve">are signposted </w:t>
      </w:r>
      <w:r w:rsidR="00954E85" w:rsidRPr="00D041E1">
        <w:rPr>
          <w:rFonts w:cs="Tahoma"/>
          <w:lang w:val="en-US"/>
        </w:rPr>
        <w:t>‘</w:t>
      </w:r>
      <w:r w:rsidR="00030131" w:rsidRPr="00D041E1">
        <w:rPr>
          <w:rFonts w:cs="Tahoma"/>
          <w:lang w:val="en-US"/>
        </w:rPr>
        <w:t>private residence</w:t>
      </w:r>
      <w:r w:rsidR="00954E85" w:rsidRPr="00D041E1">
        <w:rPr>
          <w:rFonts w:cs="Tahoma"/>
          <w:lang w:val="en-US"/>
        </w:rPr>
        <w:t>’</w:t>
      </w:r>
      <w:r w:rsidR="00030131" w:rsidRPr="00D041E1">
        <w:rPr>
          <w:rFonts w:cs="Tahoma"/>
          <w:lang w:val="en-US"/>
        </w:rPr>
        <w:t>, signifying to visitors that, while the buildings are historic, they are no</w:t>
      </w:r>
      <w:r w:rsidR="00970714">
        <w:rPr>
          <w:rFonts w:cs="Tahoma"/>
          <w:lang w:val="en-US"/>
        </w:rPr>
        <w:t>w</w:t>
      </w:r>
      <w:r w:rsidR="00030131" w:rsidRPr="00D041E1">
        <w:rPr>
          <w:rFonts w:cs="Tahoma"/>
          <w:lang w:val="en-US"/>
        </w:rPr>
        <w:t xml:space="preserve"> people’s homes.</w:t>
      </w:r>
    </w:p>
    <w:p w:rsidR="00952C25" w:rsidRDefault="00952C25" w:rsidP="008D5BCE">
      <w:pPr>
        <w:spacing w:after="0" w:line="240" w:lineRule="auto"/>
        <w:rPr>
          <w:rFonts w:cs="Tahoma"/>
          <w:lang w:val="en-US"/>
        </w:rPr>
      </w:pPr>
    </w:p>
    <w:p w:rsidR="00952C25" w:rsidRDefault="00952C25" w:rsidP="008D5BCE">
      <w:pPr>
        <w:spacing w:after="0" w:line="240" w:lineRule="auto"/>
        <w:rPr>
          <w:rFonts w:cs="Tahoma"/>
          <w:lang w:val="en-US"/>
        </w:rPr>
      </w:pPr>
    </w:p>
    <w:p w:rsidR="00952C25" w:rsidRDefault="00952C25" w:rsidP="008D5BCE">
      <w:pPr>
        <w:spacing w:after="0" w:line="240" w:lineRule="auto"/>
        <w:rPr>
          <w:rFonts w:cs="Tahoma"/>
          <w:sz w:val="20"/>
        </w:rPr>
      </w:pPr>
    </w:p>
    <w:p w:rsidR="0000075F" w:rsidRDefault="0000075F" w:rsidP="00E31DDA">
      <w:pPr>
        <w:spacing w:afterLines="113" w:after="271" w:line="240" w:lineRule="atLeast"/>
        <w:rPr>
          <w:rFonts w:cs="Tahoma"/>
          <w:sz w:val="20"/>
        </w:rPr>
        <w:sectPr w:rsidR="0000075F" w:rsidSect="00E31DDA">
          <w:type w:val="continuous"/>
          <w:pgSz w:w="11906" w:h="16838"/>
          <w:pgMar w:top="1440" w:right="873" w:bottom="1276" w:left="873" w:header="709" w:footer="0" w:gutter="0"/>
          <w:cols w:num="2" w:space="708"/>
          <w:titlePg/>
          <w:docGrid w:linePitch="360"/>
        </w:sectPr>
      </w:pPr>
    </w:p>
    <w:p w:rsidR="0000075F" w:rsidRPr="0000075F" w:rsidRDefault="003D18FE" w:rsidP="00E31DDA">
      <w:pPr>
        <w:spacing w:afterLines="113" w:after="271" w:line="240" w:lineRule="atLeast"/>
        <w:rPr>
          <w:rFonts w:cs="Tahoma"/>
          <w:bCs/>
          <w:color w:val="228591"/>
          <w:sz w:val="40"/>
        </w:rPr>
        <w:sectPr w:rsidR="0000075F" w:rsidRPr="0000075F" w:rsidSect="0000075F">
          <w:type w:val="continuous"/>
          <w:pgSz w:w="11906" w:h="16838"/>
          <w:pgMar w:top="1440" w:right="873" w:bottom="1276" w:left="873" w:header="709" w:footer="0" w:gutter="0"/>
          <w:cols w:space="708"/>
          <w:titlePg/>
          <w:docGrid w:linePitch="360"/>
        </w:sectPr>
      </w:pPr>
      <w:r>
        <w:rPr>
          <w:rFonts w:cs="Tahoma"/>
          <w:bCs/>
          <w:color w:val="228591"/>
          <w:sz w:val="40"/>
        </w:rPr>
        <w:lastRenderedPageBreak/>
        <w:br w:type="page"/>
      </w:r>
      <w:r w:rsidR="00A25303" w:rsidRPr="0000075F">
        <w:rPr>
          <w:rFonts w:cs="Tahoma"/>
          <w:bCs/>
          <w:color w:val="228591"/>
          <w:sz w:val="40"/>
        </w:rPr>
        <w:lastRenderedPageBreak/>
        <w:t>Conference review: Australian Population Association</w:t>
      </w:r>
    </w:p>
    <w:p w:rsidR="00A25303" w:rsidRPr="00D041E1" w:rsidRDefault="00A25303" w:rsidP="00197D46">
      <w:pPr>
        <w:spacing w:afterLines="110" w:after="264" w:line="220" w:lineRule="atLeast"/>
        <w:rPr>
          <w:rFonts w:cs="Tahoma"/>
        </w:rPr>
      </w:pPr>
      <w:r w:rsidRPr="00D041E1">
        <w:rPr>
          <w:rFonts w:cs="Tahoma"/>
        </w:rPr>
        <w:lastRenderedPageBreak/>
        <w:t xml:space="preserve">The Australian Population Association Conference, </w:t>
      </w:r>
      <w:r w:rsidRPr="00D041E1">
        <w:rPr>
          <w:rFonts w:cs="Tahoma"/>
          <w:b/>
        </w:rPr>
        <w:t>Australia’s population in a global world</w:t>
      </w:r>
      <w:r w:rsidRPr="00D041E1">
        <w:rPr>
          <w:rFonts w:cs="Tahoma"/>
        </w:rPr>
        <w:t>, was held in Hobart in December 2014. The conference provides an opportunity to exchange ideas and reinforce ties between those</w:t>
      </w:r>
      <w:r w:rsidR="005F6DF3">
        <w:rPr>
          <w:rFonts w:cs="Tahoma"/>
        </w:rPr>
        <w:t xml:space="preserve"> </w:t>
      </w:r>
      <w:r w:rsidRPr="00D041E1">
        <w:rPr>
          <w:rFonts w:cs="Tahoma"/>
        </w:rPr>
        <w:t>who are interested in population and demographic issues. Australian and international contributors covered topics of direct relevance for forecasters and policy makers.</w:t>
      </w:r>
    </w:p>
    <w:p w:rsidR="00A25303" w:rsidRPr="00D041E1" w:rsidRDefault="00A25303" w:rsidP="00197D46">
      <w:pPr>
        <w:spacing w:afterLines="110" w:after="264" w:line="220" w:lineRule="atLeast"/>
        <w:rPr>
          <w:rFonts w:cs="Tahoma"/>
        </w:rPr>
      </w:pPr>
      <w:r w:rsidRPr="00D041E1">
        <w:rPr>
          <w:rFonts w:cs="Tahoma"/>
        </w:rPr>
        <w:t xml:space="preserve">In her address on </w:t>
      </w:r>
      <w:r w:rsidRPr="00D041E1">
        <w:rPr>
          <w:rFonts w:cs="Tahoma"/>
          <w:b/>
          <w:i/>
        </w:rPr>
        <w:t>ageing, an international perspective</w:t>
      </w:r>
      <w:r w:rsidRPr="00D041E1">
        <w:rPr>
          <w:rFonts w:cs="Tahoma"/>
          <w:i/>
        </w:rPr>
        <w:t xml:space="preserve">, </w:t>
      </w:r>
      <w:r w:rsidRPr="00D041E1">
        <w:rPr>
          <w:rFonts w:cs="Tahoma"/>
        </w:rPr>
        <w:t xml:space="preserve">Professor Sarah Harper, from the University of Oxford, highlighted that around two thirds of the world has fertility rates below replacement level. Increased longevity and ageing are more important factors for population growth than births. In Europe, the number of young adults ready to enter the labour market is already below the number of older people ready to leave it. This is expected in North America by 2030, and in Latin America and Asia by 2040. By 2050, 10% of the developed world will be aged over 80. People of labour force age will have to support an increased proportion of retirees. The changes in life expectancy raise scientific, ethical </w:t>
      </w:r>
      <w:r w:rsidR="005F6DF3">
        <w:rPr>
          <w:rFonts w:cs="Tahoma"/>
        </w:rPr>
        <w:t xml:space="preserve">and </w:t>
      </w:r>
      <w:r w:rsidRPr="00D041E1">
        <w:rPr>
          <w:rFonts w:cs="Tahoma"/>
        </w:rPr>
        <w:t>economic</w:t>
      </w:r>
      <w:r w:rsidR="005F6DF3" w:rsidRPr="005F6DF3">
        <w:rPr>
          <w:rFonts w:cs="Tahoma"/>
        </w:rPr>
        <w:t xml:space="preserve"> </w:t>
      </w:r>
      <w:r w:rsidR="005F6DF3" w:rsidRPr="00D041E1">
        <w:rPr>
          <w:rFonts w:cs="Tahoma"/>
        </w:rPr>
        <w:t>questions</w:t>
      </w:r>
      <w:r w:rsidRPr="00D041E1">
        <w:rPr>
          <w:rFonts w:cs="Tahoma"/>
        </w:rPr>
        <w:t xml:space="preserve">: Is longer life equivalent to healthy life? What is the cost of longer life? Will it be reserved for a happy few? </w:t>
      </w:r>
    </w:p>
    <w:p w:rsidR="00A25303" w:rsidRDefault="00A25303" w:rsidP="00197D46">
      <w:pPr>
        <w:spacing w:afterLines="110" w:after="264" w:line="220" w:lineRule="atLeast"/>
        <w:rPr>
          <w:rFonts w:cs="Tahoma"/>
        </w:rPr>
      </w:pPr>
      <w:r w:rsidRPr="00D041E1">
        <w:rPr>
          <w:rFonts w:cs="Tahoma"/>
        </w:rPr>
        <w:t xml:space="preserve">Professor Martin Bell, from the University of Queensland, delivered the W.D.Borrie Lecture on the theme of </w:t>
      </w:r>
      <w:r w:rsidRPr="00D041E1">
        <w:rPr>
          <w:rFonts w:cs="Tahoma"/>
          <w:b/>
        </w:rPr>
        <w:t>time and space in demography</w:t>
      </w:r>
      <w:r w:rsidRPr="00D041E1">
        <w:rPr>
          <w:rFonts w:cs="Tahoma"/>
        </w:rPr>
        <w:t>, arguing that “methods and models are needed that link individuals with aggregate analyses, bridge geographic scales</w:t>
      </w:r>
      <w:r w:rsidR="005F6DF3">
        <w:rPr>
          <w:rFonts w:cs="Tahoma"/>
        </w:rPr>
        <w:t>,</w:t>
      </w:r>
      <w:r w:rsidRPr="00D041E1">
        <w:rPr>
          <w:rFonts w:cs="Tahoma"/>
        </w:rPr>
        <w:t xml:space="preserve"> and couple space and time”.</w:t>
      </w:r>
    </w:p>
    <w:p w:rsidR="00A25303" w:rsidRPr="00D041E1" w:rsidRDefault="00A25303" w:rsidP="00197D46">
      <w:pPr>
        <w:spacing w:afterLines="110" w:after="264" w:line="220" w:lineRule="atLeast"/>
        <w:rPr>
          <w:rFonts w:cs="Tahoma"/>
        </w:rPr>
      </w:pPr>
      <w:r w:rsidRPr="00D041E1">
        <w:rPr>
          <w:rFonts w:cs="Tahoma"/>
        </w:rPr>
        <w:t xml:space="preserve">Bjorn Jarvis, from the Australian Bureau of Statistics (ABS), highlighted a modernisation project within the ABS to develop </w:t>
      </w:r>
      <w:r w:rsidRPr="00D041E1">
        <w:rPr>
          <w:rFonts w:cs="Tahoma"/>
          <w:b/>
        </w:rPr>
        <w:t xml:space="preserve">statistical solutions </w:t>
      </w:r>
      <w:r w:rsidRPr="00D041E1">
        <w:rPr>
          <w:rFonts w:cs="Tahoma"/>
        </w:rPr>
        <w:t>to meet key statistical requirements of users. The reform of survey data into a single, integrated, continuous and modular survey (the ‘Australian Population Survey’) and more generalised approaches to link multiple data sources are among mooted future changes.</w:t>
      </w:r>
    </w:p>
    <w:p w:rsidR="00A25303" w:rsidRPr="00D041E1" w:rsidRDefault="00A25303" w:rsidP="00197D46">
      <w:pPr>
        <w:spacing w:afterLines="110" w:after="264" w:line="220" w:lineRule="atLeast"/>
        <w:rPr>
          <w:rFonts w:cs="Tahoma"/>
        </w:rPr>
      </w:pPr>
      <w:r w:rsidRPr="00D041E1">
        <w:rPr>
          <w:rFonts w:cs="Tahoma"/>
        </w:rPr>
        <w:t xml:space="preserve">A recurrent theme of the conference was the self-reinforcing spiral of </w:t>
      </w:r>
      <w:r w:rsidRPr="00D041E1">
        <w:rPr>
          <w:rFonts w:cs="Tahoma"/>
          <w:b/>
        </w:rPr>
        <w:t>sub-national depopulation</w:t>
      </w:r>
      <w:r w:rsidRPr="00D041E1">
        <w:rPr>
          <w:rFonts w:cs="Tahoma"/>
        </w:rPr>
        <w:t xml:space="preserve">. A growing population may hide the signs of forthcoming population decline. If the growth is mostly concentrated in the older age groups, and </w:t>
      </w:r>
      <w:r w:rsidRPr="00D041E1">
        <w:rPr>
          <w:rFonts w:cs="Tahoma"/>
        </w:rPr>
        <w:lastRenderedPageBreak/>
        <w:t>there is out-migration of young adults, population decrease is likely to eventuate sooner rather than later, with few avenues for turning the trend around. Several presenters addressed this situation, as it is unfolding already in several regions of Tasmania and New Zealand. Professor Natalie Jackson, from the University of Waikato, has put together a set of early warning indicators of this advanced structural ageing</w:t>
      </w:r>
      <w:r w:rsidRPr="00D041E1">
        <w:rPr>
          <w:rFonts w:cs="Tahoma"/>
          <w:vertAlign w:val="superscript"/>
        </w:rPr>
        <w:t>1</w:t>
      </w:r>
      <w:r w:rsidRPr="00D041E1">
        <w:rPr>
          <w:rFonts w:cs="Tahoma"/>
        </w:rPr>
        <w:t>.</w:t>
      </w:r>
    </w:p>
    <w:p w:rsidR="00A25303" w:rsidRPr="00D041E1" w:rsidRDefault="00A25303" w:rsidP="00197D46">
      <w:pPr>
        <w:spacing w:afterLines="110" w:after="264" w:line="220" w:lineRule="atLeast"/>
        <w:ind w:right="-188"/>
        <w:rPr>
          <w:rFonts w:cs="Tahoma"/>
        </w:rPr>
      </w:pPr>
      <w:r w:rsidRPr="00D041E1">
        <w:rPr>
          <w:rFonts w:cs="Tahoma"/>
        </w:rPr>
        <w:t>Several sessions were dedicated to the analysis of migration (overseas and regional). Overseas migration has increased and its composition has changed. Interstate/regional migration has been declining recently. In the last intercensal period, the migration effectiveness index, which measure</w:t>
      </w:r>
      <w:r w:rsidR="005F6DF3">
        <w:rPr>
          <w:rFonts w:cs="Tahoma"/>
        </w:rPr>
        <w:t>s</w:t>
      </w:r>
      <w:r w:rsidRPr="00D041E1">
        <w:rPr>
          <w:rFonts w:cs="Tahoma"/>
        </w:rPr>
        <w:t xml:space="preserve"> the re-distribution effect of migration, has declined. The average age of movers has declined overall. Patterns of sea-change and tree-change are no longer as important. </w:t>
      </w:r>
    </w:p>
    <w:p w:rsidR="00A25303" w:rsidRPr="00D041E1" w:rsidRDefault="00A25303" w:rsidP="005F6DF3">
      <w:pPr>
        <w:spacing w:after="120" w:line="240" w:lineRule="auto"/>
        <w:rPr>
          <w:rFonts w:cs="Tahoma"/>
        </w:rPr>
      </w:pPr>
      <w:r w:rsidRPr="00D041E1">
        <w:rPr>
          <w:rFonts w:cs="Tahoma"/>
        </w:rPr>
        <w:t>A wide range of other issues were raised including:</w:t>
      </w:r>
    </w:p>
    <w:p w:rsidR="00A25303" w:rsidRPr="00D041E1" w:rsidRDefault="00A25303" w:rsidP="00197D46">
      <w:pPr>
        <w:pStyle w:val="ListParagraph"/>
        <w:numPr>
          <w:ilvl w:val="0"/>
          <w:numId w:val="24"/>
        </w:numPr>
        <w:spacing w:after="120" w:line="240" w:lineRule="auto"/>
        <w:ind w:left="357" w:hanging="357"/>
        <w:rPr>
          <w:rFonts w:cs="Tahoma"/>
        </w:rPr>
      </w:pPr>
      <w:r w:rsidRPr="00D041E1">
        <w:rPr>
          <w:rFonts w:cs="Tahoma"/>
        </w:rPr>
        <w:t xml:space="preserve">ageing population in </w:t>
      </w:r>
      <w:r w:rsidR="005F6DF3">
        <w:rPr>
          <w:rFonts w:cs="Tahoma"/>
        </w:rPr>
        <w:t>‘</w:t>
      </w:r>
      <w:r w:rsidRPr="00D041E1">
        <w:rPr>
          <w:rFonts w:cs="Tahoma"/>
        </w:rPr>
        <w:t>at risk</w:t>
      </w:r>
      <w:r w:rsidR="005F6DF3">
        <w:rPr>
          <w:rFonts w:cs="Tahoma"/>
        </w:rPr>
        <w:t>’</w:t>
      </w:r>
      <w:r w:rsidRPr="00D041E1">
        <w:rPr>
          <w:rFonts w:cs="Tahoma"/>
        </w:rPr>
        <w:t xml:space="preserve"> location</w:t>
      </w:r>
      <w:r w:rsidR="005F6DF3">
        <w:rPr>
          <w:rFonts w:cs="Tahoma"/>
        </w:rPr>
        <w:t>s</w:t>
      </w:r>
      <w:r w:rsidRPr="00D041E1">
        <w:rPr>
          <w:rFonts w:cs="Tahoma"/>
        </w:rPr>
        <w:t xml:space="preserve"> and how to evacuate in case of emergency;</w:t>
      </w:r>
    </w:p>
    <w:p w:rsidR="00A25303" w:rsidRPr="00D041E1" w:rsidRDefault="00A25303" w:rsidP="00197D46">
      <w:pPr>
        <w:pStyle w:val="ListParagraph"/>
        <w:numPr>
          <w:ilvl w:val="0"/>
          <w:numId w:val="24"/>
        </w:numPr>
        <w:spacing w:after="120" w:line="240" w:lineRule="auto"/>
        <w:ind w:left="357" w:hanging="357"/>
        <w:rPr>
          <w:rFonts w:cs="Tahoma"/>
        </w:rPr>
      </w:pPr>
      <w:r w:rsidRPr="00D041E1">
        <w:rPr>
          <w:rFonts w:cs="Tahoma"/>
        </w:rPr>
        <w:t xml:space="preserve">how to predict </w:t>
      </w:r>
      <w:r w:rsidR="005F6DF3">
        <w:rPr>
          <w:rFonts w:cs="Tahoma"/>
        </w:rPr>
        <w:t xml:space="preserve">future </w:t>
      </w:r>
      <w:r w:rsidRPr="00D041E1">
        <w:rPr>
          <w:rFonts w:cs="Tahoma"/>
        </w:rPr>
        <w:t>number</w:t>
      </w:r>
      <w:r w:rsidR="005F6DF3">
        <w:rPr>
          <w:rFonts w:cs="Tahoma"/>
        </w:rPr>
        <w:t>s</w:t>
      </w:r>
      <w:r w:rsidRPr="00D041E1">
        <w:rPr>
          <w:rFonts w:cs="Tahoma"/>
        </w:rPr>
        <w:t xml:space="preserve"> of centenarians;</w:t>
      </w:r>
    </w:p>
    <w:p w:rsidR="00A25303" w:rsidRPr="00D041E1" w:rsidRDefault="00A25303" w:rsidP="00197D46">
      <w:pPr>
        <w:pStyle w:val="ListParagraph"/>
        <w:numPr>
          <w:ilvl w:val="0"/>
          <w:numId w:val="24"/>
        </w:numPr>
        <w:spacing w:after="120" w:line="240" w:lineRule="auto"/>
        <w:ind w:left="357" w:hanging="357"/>
        <w:rPr>
          <w:rFonts w:cs="Tahoma"/>
        </w:rPr>
      </w:pPr>
      <w:r w:rsidRPr="00D041E1">
        <w:rPr>
          <w:rFonts w:cs="Tahoma"/>
        </w:rPr>
        <w:t>the use of demographic numbers for democracy and finance (e.</w:t>
      </w:r>
      <w:r w:rsidR="005F6DF3">
        <w:rPr>
          <w:rFonts w:cs="Tahoma"/>
        </w:rPr>
        <w:t>g.</w:t>
      </w:r>
      <w:r w:rsidRPr="00D041E1">
        <w:rPr>
          <w:rFonts w:cs="Tahoma"/>
        </w:rPr>
        <w:t xml:space="preserve"> electoral boundaries and GST </w:t>
      </w:r>
      <w:r w:rsidR="005F6DF3">
        <w:rPr>
          <w:rFonts w:cs="Tahoma"/>
        </w:rPr>
        <w:t>distribution</w:t>
      </w:r>
      <w:r w:rsidRPr="00D041E1">
        <w:rPr>
          <w:rFonts w:cs="Tahoma"/>
        </w:rPr>
        <w:t xml:space="preserve">); </w:t>
      </w:r>
    </w:p>
    <w:p w:rsidR="00A25303" w:rsidRPr="00D041E1" w:rsidRDefault="00A25303" w:rsidP="00197D46">
      <w:pPr>
        <w:pStyle w:val="ListParagraph"/>
        <w:numPr>
          <w:ilvl w:val="0"/>
          <w:numId w:val="24"/>
        </w:numPr>
        <w:spacing w:after="120" w:line="240" w:lineRule="auto"/>
        <w:ind w:left="357" w:hanging="357"/>
        <w:rPr>
          <w:rFonts w:cs="Tahoma"/>
        </w:rPr>
      </w:pPr>
      <w:r w:rsidRPr="00D041E1">
        <w:rPr>
          <w:rFonts w:cs="Tahoma"/>
        </w:rPr>
        <w:t>possible causes of the increase in household size apparent in the 2011 Census;</w:t>
      </w:r>
    </w:p>
    <w:p w:rsidR="004E73A5" w:rsidRDefault="00A25303" w:rsidP="00197D46">
      <w:pPr>
        <w:pStyle w:val="ListParagraph"/>
        <w:numPr>
          <w:ilvl w:val="0"/>
          <w:numId w:val="24"/>
        </w:numPr>
        <w:spacing w:after="120" w:line="240" w:lineRule="auto"/>
        <w:ind w:left="357" w:hanging="357"/>
        <w:rPr>
          <w:rFonts w:cs="Tahoma"/>
        </w:rPr>
      </w:pPr>
      <w:r w:rsidRPr="0000075F">
        <w:rPr>
          <w:rFonts w:cs="Tahoma"/>
        </w:rPr>
        <w:t xml:space="preserve">long term labour force dynamics in Australia and how the globalisation of job markets , robotisation and computerisation may reduce the need for workers and their economic value. </w:t>
      </w:r>
    </w:p>
    <w:p w:rsidR="00197D46" w:rsidRDefault="00197D46" w:rsidP="00197D46">
      <w:pPr>
        <w:pStyle w:val="ListParagraph"/>
        <w:spacing w:after="120" w:line="240" w:lineRule="auto"/>
        <w:ind w:left="357"/>
        <w:rPr>
          <w:rFonts w:cs="Tahoma"/>
        </w:rPr>
      </w:pPr>
    </w:p>
    <w:p w:rsidR="004E73A5" w:rsidRDefault="00A25303" w:rsidP="00197D46">
      <w:pPr>
        <w:pStyle w:val="ListParagraph"/>
        <w:spacing w:after="120" w:line="240" w:lineRule="auto"/>
        <w:ind w:left="0"/>
        <w:contextualSpacing w:val="0"/>
        <w:rPr>
          <w:rFonts w:cs="Tahoma"/>
        </w:rPr>
      </w:pPr>
      <w:r w:rsidRPr="004E73A5">
        <w:rPr>
          <w:rFonts w:cs="Tahoma"/>
        </w:rPr>
        <w:t>Several presentations dealt with demographic projections methods and validation of results. Victorian State Government projections (</w:t>
      </w:r>
      <w:r w:rsidRPr="004E73A5">
        <w:rPr>
          <w:rFonts w:cs="Tahoma"/>
          <w:b/>
        </w:rPr>
        <w:t>Victoria in Future</w:t>
      </w:r>
      <w:r w:rsidRPr="004E73A5">
        <w:rPr>
          <w:rFonts w:cs="Tahoma"/>
          <w:vertAlign w:val="superscript"/>
        </w:rPr>
        <w:t>2</w:t>
      </w:r>
      <w:r w:rsidRPr="004E73A5">
        <w:rPr>
          <w:rFonts w:cs="Tahoma"/>
        </w:rPr>
        <w:t>) were found to perform well and our methods deemed sound.</w:t>
      </w:r>
    </w:p>
    <w:p w:rsidR="00A25303" w:rsidRPr="00197D46" w:rsidRDefault="0074796E" w:rsidP="004E73A5">
      <w:pPr>
        <w:pStyle w:val="ListParagraph"/>
        <w:spacing w:afterLines="50" w:after="120" w:line="240" w:lineRule="auto"/>
        <w:ind w:left="0"/>
        <w:rPr>
          <w:rFonts w:cs="Tahoma"/>
          <w:sz w:val="18"/>
        </w:rPr>
      </w:pPr>
      <w:bookmarkStart w:id="0" w:name="_GoBack"/>
      <w:bookmarkEnd w:id="0"/>
      <w:r>
        <w:rPr>
          <w:rFonts w:cs="Tahoma"/>
          <w:sz w:val="18"/>
        </w:rPr>
        <w:br/>
      </w:r>
      <w:r w:rsidR="00A25303" w:rsidRPr="00197D46">
        <w:rPr>
          <w:rFonts w:cs="Tahoma"/>
          <w:sz w:val="18"/>
        </w:rPr>
        <w:t>NOTES:</w:t>
      </w:r>
    </w:p>
    <w:p w:rsidR="00A25303" w:rsidRPr="00197D46" w:rsidRDefault="00A25303" w:rsidP="0074796E">
      <w:pPr>
        <w:spacing w:afterLines="50" w:after="120" w:line="240" w:lineRule="auto"/>
        <w:ind w:left="426" w:hanging="425"/>
        <w:rPr>
          <w:rFonts w:cs="Tahoma"/>
          <w:i/>
          <w:sz w:val="18"/>
        </w:rPr>
      </w:pPr>
      <w:r w:rsidRPr="00197D46">
        <w:rPr>
          <w:rFonts w:cs="Tahoma"/>
          <w:sz w:val="18"/>
        </w:rPr>
        <w:t>1.</w:t>
      </w:r>
      <w:r w:rsidRPr="00197D46">
        <w:rPr>
          <w:rFonts w:cs="Tahoma"/>
          <w:sz w:val="18"/>
        </w:rPr>
        <w:tab/>
        <w:t xml:space="preserve">For details, see her article: Jackson, N. 2014, ‘Subnational depopulation in search of a theory adding New Zealand and a diagnostic framework to the international evidence base’, </w:t>
      </w:r>
      <w:r w:rsidRPr="00197D46">
        <w:rPr>
          <w:rFonts w:cs="Tahoma"/>
          <w:i/>
          <w:sz w:val="18"/>
        </w:rPr>
        <w:t>New Zealand Population Review</w:t>
      </w:r>
      <w:r w:rsidRPr="00197D46">
        <w:rPr>
          <w:rFonts w:cs="Tahoma"/>
          <w:sz w:val="18"/>
        </w:rPr>
        <w:t xml:space="preserve"> 40.</w:t>
      </w:r>
    </w:p>
    <w:p w:rsidR="00A25303" w:rsidRPr="00D041E1" w:rsidRDefault="00A25303" w:rsidP="0074796E">
      <w:pPr>
        <w:spacing w:afterLines="50" w:after="120" w:line="240" w:lineRule="auto"/>
        <w:ind w:left="426" w:hanging="425"/>
        <w:rPr>
          <w:rFonts w:cs="Tahoma"/>
        </w:rPr>
      </w:pPr>
      <w:r w:rsidRPr="00197D46">
        <w:rPr>
          <w:rFonts w:cs="Tahoma"/>
          <w:sz w:val="18"/>
        </w:rPr>
        <w:t>2.</w:t>
      </w:r>
      <w:r w:rsidRPr="00197D46">
        <w:rPr>
          <w:rFonts w:cs="Tahoma"/>
          <w:sz w:val="18"/>
        </w:rPr>
        <w:tab/>
        <w:t xml:space="preserve">see: </w:t>
      </w:r>
      <w:hyperlink r:id="rId21" w:history="1">
        <w:r w:rsidRPr="00197D46">
          <w:rPr>
            <w:rStyle w:val="Hyperlink"/>
            <w:rFonts w:cs="Tahoma"/>
            <w:sz w:val="18"/>
          </w:rPr>
          <w:t>www.dtpli.vic.gov.au/data-and-research/population/census-2011/victoria-in-future-2014</w:t>
        </w:r>
      </w:hyperlink>
    </w:p>
    <w:sectPr w:rsidR="00A25303" w:rsidRPr="00D041E1" w:rsidSect="0000075F">
      <w:footerReference w:type="default" r:id="rId22"/>
      <w:type w:val="continuous"/>
      <w:pgSz w:w="11906" w:h="16838"/>
      <w:pgMar w:top="1440" w:right="873" w:bottom="1276" w:left="873" w:header="709"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8F" w:rsidRDefault="00BE5A8F" w:rsidP="00091CA7">
      <w:pPr>
        <w:spacing w:after="0" w:line="240" w:lineRule="auto"/>
      </w:pPr>
      <w:r>
        <w:separator/>
      </w:r>
    </w:p>
  </w:endnote>
  <w:endnote w:type="continuationSeparator" w:id="0">
    <w:p w:rsidR="00BE5A8F" w:rsidRDefault="00BE5A8F" w:rsidP="0009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F" w:rsidRPr="0072604A" w:rsidRDefault="0074796E" w:rsidP="00952C25">
    <w:pPr>
      <w:spacing w:after="0" w:line="240" w:lineRule="auto"/>
      <w:rPr>
        <w:rFonts w:cs="Calibri"/>
        <w:color w:val="636466"/>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1511" type="#_x0000_t75" alt="(DELWP) Insignia PMS541 Right Aligned" style="position:absolute;margin-left:380.1pt;margin-top:-15.85pt;width:134.4pt;height:30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DELWP) Insignia PMS541 Right Aligned"/>
        </v:shape>
      </w:pict>
    </w:r>
    <w:r w:rsidR="0000075F" w:rsidRPr="0072604A">
      <w:rPr>
        <w:rFonts w:cs="Calibri"/>
        <w:color w:val="636466"/>
        <w:sz w:val="26"/>
      </w:rPr>
      <w:t>www.delwp.vic.gov.au</w:t>
    </w:r>
  </w:p>
  <w:p w:rsidR="00BE5A8F" w:rsidRPr="00497A9E" w:rsidRDefault="00BE5A8F" w:rsidP="00952C25">
    <w:pPr>
      <w:pStyle w:val="Footer"/>
      <w:jc w:val="center"/>
      <w:rPr>
        <w:rFonts w:ascii="Tahoma" w:hAnsi="Tahoma" w:cs="Tahoma"/>
        <w:sz w:val="20"/>
      </w:rPr>
    </w:pPr>
    <w:r w:rsidRPr="00497A9E">
      <w:rPr>
        <w:rFonts w:ascii="Tahoma" w:hAnsi="Tahoma" w:cs="Tahoma"/>
        <w:sz w:val="20"/>
      </w:rPr>
      <w:fldChar w:fldCharType="begin"/>
    </w:r>
    <w:r w:rsidRPr="00497A9E">
      <w:rPr>
        <w:rFonts w:ascii="Tahoma" w:hAnsi="Tahoma" w:cs="Tahoma"/>
        <w:sz w:val="20"/>
      </w:rPr>
      <w:instrText xml:space="preserve"> PAGE   \* MERGEFORMAT </w:instrText>
    </w:r>
    <w:r w:rsidRPr="00497A9E">
      <w:rPr>
        <w:rFonts w:ascii="Tahoma" w:hAnsi="Tahoma" w:cs="Tahoma"/>
        <w:sz w:val="20"/>
      </w:rPr>
      <w:fldChar w:fldCharType="separate"/>
    </w:r>
    <w:r w:rsidR="0074796E">
      <w:rPr>
        <w:rFonts w:ascii="Tahoma" w:hAnsi="Tahoma" w:cs="Tahoma"/>
        <w:noProof/>
        <w:sz w:val="20"/>
      </w:rPr>
      <w:t>5</w:t>
    </w:r>
    <w:r w:rsidRPr="00497A9E">
      <w:rPr>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FE" w:rsidRPr="005F6DF3" w:rsidRDefault="003D18FE" w:rsidP="003D18FE">
    <w:pPr>
      <w:pBdr>
        <w:top w:val="dotted" w:sz="12" w:space="1" w:color="3BBEB4"/>
      </w:pBdr>
      <w:rPr>
        <w:rFonts w:ascii="Arial" w:hAnsi="Arial" w:cs="Arial"/>
        <w:sz w:val="6"/>
        <w:szCs w:val="8"/>
      </w:rPr>
    </w:pPr>
  </w:p>
  <w:tbl>
    <w:tblPr>
      <w:tblW w:w="10456" w:type="dxa"/>
      <w:tblLook w:val="01E0" w:firstRow="1" w:lastRow="1" w:firstColumn="1" w:lastColumn="1" w:noHBand="0" w:noVBand="0"/>
    </w:tblPr>
    <w:tblGrid>
      <w:gridCol w:w="5228"/>
      <w:gridCol w:w="5228"/>
    </w:tblGrid>
    <w:tr w:rsidR="003D18FE" w:rsidRPr="005F6DF3" w:rsidTr="0010318E">
      <w:trPr>
        <w:trHeight w:val="2241"/>
      </w:trPr>
      <w:tc>
        <w:tcPr>
          <w:tcW w:w="5228" w:type="dxa"/>
          <w:shd w:val="clear" w:color="auto" w:fill="auto"/>
        </w:tcPr>
        <w:p w:rsidR="003D18FE" w:rsidRPr="005F6DF3" w:rsidRDefault="003D18FE" w:rsidP="0010318E">
          <w:pPr>
            <w:pStyle w:val="ImprintText"/>
            <w:rPr>
              <w:sz w:val="14"/>
            </w:rPr>
          </w:pPr>
          <w:r w:rsidRPr="005F6DF3">
            <w:rPr>
              <w:sz w:val="14"/>
            </w:rPr>
            <w:t xml:space="preserve">© The State of Victoria Department of Environment, Land, Water and </w:t>
          </w:r>
          <w:r w:rsidRPr="005F6DF3">
            <w:rPr>
              <w:sz w:val="14"/>
            </w:rPr>
            <w:br/>
            <w:t>Planning 2015</w:t>
          </w:r>
        </w:p>
        <w:p w:rsidR="003D18FE" w:rsidRPr="005F6DF3" w:rsidRDefault="00087264" w:rsidP="005F6DF3">
          <w:pPr>
            <w:pStyle w:val="ImprintText"/>
            <w:tabs>
              <w:tab w:val="left" w:pos="3143"/>
            </w:tabs>
            <w:rPr>
              <w:sz w:val="14"/>
            </w:rPr>
          </w:pPr>
          <w:r>
            <w:rPr>
              <w:noProof/>
              <w:sz w:val="1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y" style="width:60.25pt;height:20.75pt;visibility:visible;mso-wrap-style:square">
                <v:imagedata r:id="rId1" o:title="by"/>
              </v:shape>
            </w:pict>
          </w:r>
          <w:r w:rsidR="005F6DF3" w:rsidRPr="005F6DF3">
            <w:rPr>
              <w:noProof/>
              <w:sz w:val="14"/>
              <w:lang w:eastAsia="en-AU"/>
            </w:rPr>
            <w:tab/>
          </w:r>
        </w:p>
        <w:p w:rsidR="003D18FE" w:rsidRPr="005F6DF3" w:rsidRDefault="003D18FE" w:rsidP="0010318E">
          <w:pPr>
            <w:pStyle w:val="ImprintText"/>
            <w:rPr>
              <w:sz w:val="14"/>
            </w:rPr>
          </w:pPr>
          <w:r w:rsidRPr="005F6DF3">
            <w:rPr>
              <w:sz w:val="14"/>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5F6DF3">
              <w:rPr>
                <w:color w:val="0000FF"/>
                <w:sz w:val="14"/>
                <w:u w:val="single"/>
              </w:rPr>
              <w:t>http://creativecommons.org/licenses/by/3.0/au/deed.en</w:t>
            </w:r>
          </w:hyperlink>
        </w:p>
        <w:p w:rsidR="003D18FE" w:rsidRPr="005F6DF3" w:rsidRDefault="003D18FE" w:rsidP="0010318E">
          <w:pPr>
            <w:pStyle w:val="ImprintText"/>
            <w:rPr>
              <w:b/>
              <w:bCs/>
              <w:sz w:val="14"/>
            </w:rPr>
          </w:pPr>
          <w:r w:rsidRPr="005F6DF3">
            <w:rPr>
              <w:sz w:val="14"/>
            </w:rPr>
            <w:t>ISSN 1448-6881</w:t>
          </w:r>
        </w:p>
      </w:tc>
      <w:tc>
        <w:tcPr>
          <w:tcW w:w="5228" w:type="dxa"/>
          <w:shd w:val="clear" w:color="auto" w:fill="auto"/>
        </w:tcPr>
        <w:p w:rsidR="003D18FE" w:rsidRPr="005F6DF3" w:rsidRDefault="003D18FE" w:rsidP="0010318E">
          <w:pPr>
            <w:pStyle w:val="ImprintText"/>
            <w:rPr>
              <w:sz w:val="14"/>
            </w:rPr>
          </w:pPr>
          <w:r w:rsidRPr="005F6DF3">
            <w:rPr>
              <w:b/>
              <w:bCs/>
              <w:sz w:val="14"/>
            </w:rPr>
            <w:t>Accessibility</w:t>
          </w:r>
          <w:r w:rsidRPr="005F6DF3">
            <w:rPr>
              <w:sz w:val="14"/>
            </w:rPr>
            <w:br/>
            <w:t xml:space="preserve">If you would like to receive this publication in an alternative format, please telephone DELWP Customer Service Centre 136 186, email </w:t>
          </w:r>
          <w:hyperlink r:id="rId3" w:history="1">
            <w:r w:rsidRPr="005F6DF3">
              <w:rPr>
                <w:color w:val="0000FF"/>
                <w:sz w:val="14"/>
                <w:u w:val="single"/>
              </w:rPr>
              <w:t>customer.service@delwp.vic.gov.au</w:t>
            </w:r>
          </w:hyperlink>
          <w:r w:rsidRPr="005F6DF3">
            <w:rPr>
              <w:sz w:val="14"/>
            </w:rPr>
            <w:t xml:space="preserve">, via the National Relay Service on 133 677 </w:t>
          </w:r>
          <w:hyperlink r:id="rId4" w:history="1">
            <w:r w:rsidRPr="005F6DF3">
              <w:rPr>
                <w:color w:val="0000FF"/>
                <w:sz w:val="14"/>
                <w:u w:val="single"/>
              </w:rPr>
              <w:t>www.relayservice.com.au</w:t>
            </w:r>
          </w:hyperlink>
          <w:r w:rsidRPr="005F6DF3">
            <w:rPr>
              <w:sz w:val="14"/>
            </w:rPr>
            <w:t xml:space="preserve">. This document is also available on the internet at </w:t>
          </w:r>
          <w:hyperlink r:id="rId5" w:history="1">
            <w:r w:rsidRPr="005F6DF3">
              <w:rPr>
                <w:color w:val="0000FF"/>
                <w:sz w:val="14"/>
                <w:u w:val="single"/>
              </w:rPr>
              <w:t>www.delwp.vic.gov.au</w:t>
            </w:r>
          </w:hyperlink>
          <w:r w:rsidRPr="005F6DF3">
            <w:rPr>
              <w:sz w:val="14"/>
            </w:rPr>
            <w:br/>
          </w:r>
          <w:r w:rsidRPr="005F6DF3">
            <w:rPr>
              <w:b/>
              <w:bCs/>
              <w:sz w:val="14"/>
            </w:rPr>
            <w:br/>
            <w:t>Disclaimer</w:t>
          </w:r>
          <w:r w:rsidRPr="005F6DF3">
            <w:rPr>
              <w:sz w:val="14"/>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3D18FE" w:rsidRDefault="003D18FE" w:rsidP="00952C25">
    <w:pPr>
      <w:spacing w:after="0" w:line="240" w:lineRule="auto"/>
      <w:rPr>
        <w:rFonts w:cs="Calibri"/>
        <w:color w:val="636466"/>
        <w:sz w:val="26"/>
      </w:rPr>
    </w:pPr>
  </w:p>
  <w:p w:rsidR="00952C25" w:rsidRPr="0072604A" w:rsidRDefault="0074796E" w:rsidP="00952C25">
    <w:pPr>
      <w:spacing w:after="0" w:line="240" w:lineRule="auto"/>
      <w:rPr>
        <w:rFonts w:cs="Calibri"/>
        <w:color w:val="636466"/>
        <w:sz w:val="26"/>
      </w:rPr>
    </w:pPr>
    <w:r>
      <w:rPr>
        <w:noProof/>
      </w:rPr>
      <w:pict>
        <v:shape id="_x0000_s21515" type="#_x0000_t75" alt="(DELWP) Insignia PMS541 Right Aligned" style="position:absolute;margin-left:380.1pt;margin-top:-15.85pt;width:134.4pt;height:30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DELWP) Insignia PMS541 Right Aligned"/>
        </v:shape>
      </w:pict>
    </w:r>
    <w:r w:rsidR="00952C25" w:rsidRPr="0072604A">
      <w:rPr>
        <w:rFonts w:cs="Calibri"/>
        <w:color w:val="636466"/>
        <w:sz w:val="26"/>
      </w:rPr>
      <w:t>www.delwp.vic.gov.au</w:t>
    </w:r>
  </w:p>
  <w:p w:rsidR="00952C25" w:rsidRDefault="00952C25">
    <w:pPr>
      <w:pStyle w:val="Footer"/>
      <w:jc w:val="center"/>
    </w:pPr>
    <w:r>
      <w:fldChar w:fldCharType="begin"/>
    </w:r>
    <w:r>
      <w:instrText xml:space="preserve"> PAGE   \* MERGEFORMAT </w:instrText>
    </w:r>
    <w:r>
      <w:fldChar w:fldCharType="separate"/>
    </w:r>
    <w:r w:rsidR="0074796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25" w:rsidRPr="0072604A" w:rsidRDefault="0074796E" w:rsidP="00952C25">
    <w:pPr>
      <w:spacing w:after="0" w:line="240" w:lineRule="auto"/>
      <w:rPr>
        <w:rFonts w:cs="Calibri"/>
        <w:color w:val="636466"/>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16" type="#_x0000_t75" alt="(DELWP) Insignia PMS541 Right Aligned" style="position:absolute;margin-left:380.1pt;margin-top:-15.85pt;width:134.4pt;height:30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DELWP) Insignia PMS541 Right Aligned"/>
        </v:shape>
      </w:pict>
    </w:r>
    <w:r w:rsidR="00952C25" w:rsidRPr="0072604A">
      <w:rPr>
        <w:rFonts w:cs="Calibri"/>
        <w:color w:val="636466"/>
        <w:sz w:val="26"/>
      </w:rPr>
      <w:t>www.delwp.vic.gov.au</w:t>
    </w:r>
  </w:p>
  <w:p w:rsidR="00952C25" w:rsidRDefault="00952C25">
    <w:pPr>
      <w:pStyle w:val="Footer"/>
      <w:jc w:val="center"/>
    </w:pPr>
    <w:r>
      <w:fldChar w:fldCharType="begin"/>
    </w:r>
    <w:r>
      <w:instrText xml:space="preserve"> PAGE   \* MERGEFORMAT </w:instrText>
    </w:r>
    <w:r>
      <w:fldChar w:fldCharType="separate"/>
    </w:r>
    <w:r w:rsidR="0074796E">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F" w:rsidRPr="00644C88" w:rsidRDefault="0000075F" w:rsidP="0000075F">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00075F" w:rsidRPr="0072604A" w:rsidTr="0060126B">
      <w:trPr>
        <w:trHeight w:val="2241"/>
      </w:trPr>
      <w:tc>
        <w:tcPr>
          <w:tcW w:w="5228" w:type="dxa"/>
          <w:shd w:val="clear" w:color="auto" w:fill="auto"/>
        </w:tcPr>
        <w:p w:rsidR="0000075F" w:rsidRPr="0072604A" w:rsidRDefault="0000075F" w:rsidP="0060126B">
          <w:pPr>
            <w:pStyle w:val="ImprintText"/>
          </w:pPr>
          <w:r w:rsidRPr="0072604A">
            <w:t xml:space="preserve">© The State of Victoria Department of Environment, Land, Water and </w:t>
          </w:r>
          <w:r w:rsidRPr="0072604A">
            <w:br/>
            <w:t>Planning 2015</w:t>
          </w:r>
        </w:p>
        <w:p w:rsidR="0000075F" w:rsidRPr="0072604A" w:rsidRDefault="00087264" w:rsidP="0060126B">
          <w:pPr>
            <w:pStyle w:val="ImprintText"/>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y" style="width:60.25pt;height:20.75pt;visibility:visible;mso-wrap-style:square">
                <v:imagedata r:id="rId1" o:title="by"/>
              </v:shape>
            </w:pict>
          </w:r>
        </w:p>
        <w:p w:rsidR="0000075F" w:rsidRPr="0072604A" w:rsidRDefault="0000075F" w:rsidP="0060126B">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72604A">
              <w:rPr>
                <w:color w:val="0000FF"/>
                <w:u w:val="single"/>
              </w:rPr>
              <w:t>http://creativecommons.org/licenses/by/3.0/au/deed.en</w:t>
            </w:r>
          </w:hyperlink>
        </w:p>
        <w:p w:rsidR="0000075F" w:rsidRPr="004E73A5" w:rsidRDefault="004E73A5" w:rsidP="004E73A5">
          <w:pPr>
            <w:pStyle w:val="ImprintText"/>
            <w:rPr>
              <w:b/>
              <w:bCs/>
            </w:rPr>
          </w:pPr>
          <w:r w:rsidRPr="004E73A5">
            <w:t>ISSN 1448-6881</w:t>
          </w:r>
        </w:p>
      </w:tc>
      <w:tc>
        <w:tcPr>
          <w:tcW w:w="5228" w:type="dxa"/>
          <w:shd w:val="clear" w:color="auto" w:fill="auto"/>
        </w:tcPr>
        <w:p w:rsidR="0000075F" w:rsidRPr="0072604A" w:rsidRDefault="0000075F" w:rsidP="004E73A5">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3" w:history="1">
            <w:r w:rsidRPr="0072604A">
              <w:rPr>
                <w:color w:val="0000FF"/>
                <w:u w:val="single"/>
              </w:rPr>
              <w:t>customer.service@delwp.vic.gov.au</w:t>
            </w:r>
          </w:hyperlink>
          <w:r w:rsidRPr="0072604A">
            <w:t xml:space="preserve">, via the National Relay Service on 133 677 </w:t>
          </w:r>
          <w:hyperlink r:id="rId4" w:history="1">
            <w:r w:rsidRPr="0072604A">
              <w:rPr>
                <w:color w:val="0000FF"/>
                <w:u w:val="single"/>
              </w:rPr>
              <w:t>www.relayservice.com.au</w:t>
            </w:r>
          </w:hyperlink>
          <w:r w:rsidRPr="0072604A">
            <w:t xml:space="preserve">. This document is also available on the internet at </w:t>
          </w:r>
          <w:hyperlink r:id="rId5" w:history="1">
            <w:r w:rsidRPr="0072604A">
              <w:rPr>
                <w:color w:val="0000FF"/>
                <w:u w:val="single"/>
              </w:rPr>
              <w:t>www.delwp.vic.gov.au</w:t>
            </w:r>
          </w:hyperlink>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00075F" w:rsidRPr="0072604A" w:rsidRDefault="0000075F" w:rsidP="0000075F">
    <w:pPr>
      <w:spacing w:before="480"/>
      <w:rPr>
        <w:rFonts w:cs="Calibri"/>
        <w:color w:val="636466"/>
        <w:sz w:val="26"/>
      </w:rPr>
    </w:pPr>
    <w:r w:rsidRPr="0072604A">
      <w:rPr>
        <w:rFonts w:cs="Calibri"/>
        <w:color w:val="636466"/>
        <w:sz w:val="26"/>
      </w:rPr>
      <w:t>www.delwp.vic.gov.au</w:t>
    </w:r>
    <w:r w:rsidR="0074796E">
      <w:rPr>
        <w:noProof/>
      </w:rPr>
      <w:pict>
        <v:shape id="Picture 7" o:spid="_x0000_s21510" type="#_x0000_t75" alt="(DELWP) Insignia PMS541 Right Aligned" style="position:absolute;margin-left:380.1pt;margin-top:8.45pt;width:134.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DELWP) Insignia PMS541 Right Aligned"/>
        </v:shape>
      </w:pict>
    </w:r>
  </w:p>
  <w:p w:rsidR="0000075F" w:rsidRPr="00497A9E" w:rsidRDefault="0000075F" w:rsidP="00952C25">
    <w:pPr>
      <w:pStyle w:val="Footer"/>
      <w:jc w:val="center"/>
      <w:rPr>
        <w:rFonts w:ascii="Tahoma" w:hAnsi="Tahoma" w:cs="Tahoma"/>
        <w:sz w:val="20"/>
      </w:rPr>
    </w:pPr>
    <w:r w:rsidRPr="00497A9E">
      <w:rPr>
        <w:rFonts w:ascii="Tahoma" w:hAnsi="Tahoma" w:cs="Tahoma"/>
        <w:sz w:val="20"/>
      </w:rPr>
      <w:fldChar w:fldCharType="begin"/>
    </w:r>
    <w:r w:rsidRPr="00497A9E">
      <w:rPr>
        <w:rFonts w:ascii="Tahoma" w:hAnsi="Tahoma" w:cs="Tahoma"/>
        <w:sz w:val="20"/>
      </w:rPr>
      <w:instrText xml:space="preserve"> PAGE   \* MERGEFORMAT </w:instrText>
    </w:r>
    <w:r w:rsidRPr="00497A9E">
      <w:rPr>
        <w:rFonts w:ascii="Tahoma" w:hAnsi="Tahoma" w:cs="Tahoma"/>
        <w:sz w:val="20"/>
      </w:rPr>
      <w:fldChar w:fldCharType="separate"/>
    </w:r>
    <w:r w:rsidR="00197D46">
      <w:rPr>
        <w:rFonts w:ascii="Tahoma" w:hAnsi="Tahoma" w:cs="Tahoma"/>
        <w:noProof/>
        <w:sz w:val="20"/>
      </w:rPr>
      <w:t>6</w:t>
    </w:r>
    <w:r w:rsidRPr="00497A9E">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8F" w:rsidRDefault="00BE5A8F" w:rsidP="00091CA7">
      <w:pPr>
        <w:spacing w:after="0" w:line="240" w:lineRule="auto"/>
      </w:pPr>
      <w:r>
        <w:separator/>
      </w:r>
    </w:p>
  </w:footnote>
  <w:footnote w:type="continuationSeparator" w:id="0">
    <w:p w:rsidR="00BE5A8F" w:rsidRDefault="00BE5A8F" w:rsidP="0009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9747"/>
    </w:tblGrid>
    <w:tr w:rsidR="002F28B4" w:rsidRPr="00F83A6F" w:rsidTr="0060126B">
      <w:trPr>
        <w:trHeight w:val="1289"/>
      </w:trPr>
      <w:tc>
        <w:tcPr>
          <w:tcW w:w="9747" w:type="dxa"/>
          <w:shd w:val="clear" w:color="auto" w:fill="auto"/>
          <w:vAlign w:val="center"/>
        </w:tcPr>
        <w:p w:rsidR="002F28B4" w:rsidRDefault="0074796E" w:rsidP="0060126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1506" type="#_x0000_t75" alt="Untitled-2" style="position:absolute;margin-left:-32.1pt;margin-top:.45pt;width:540.7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Untitled-2"/>
              </v:shape>
            </w:pict>
          </w:r>
        </w:p>
        <w:p w:rsidR="002F28B4" w:rsidRPr="00F83A6F" w:rsidRDefault="002F28B4" w:rsidP="0060126B">
          <w:pPr>
            <w:pStyle w:val="CertHDWhite"/>
            <w:tabs>
              <w:tab w:val="left" w:pos="7513"/>
            </w:tabs>
          </w:pPr>
          <w:r>
            <w:t>Title</w:t>
          </w:r>
        </w:p>
      </w:tc>
    </w:tr>
  </w:tbl>
  <w:p w:rsidR="002F28B4" w:rsidRDefault="002F28B4" w:rsidP="002F28B4">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73" w:rsidRPr="00653A73" w:rsidRDefault="0074796E" w:rsidP="00653A73">
    <w:pPr>
      <w:pStyle w:val="Header"/>
      <w:spacing w:line="240" w:lineRule="auto"/>
      <w:rPr>
        <w:color w:val="FFFFFF"/>
        <w:sz w:val="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1505" type="#_x0000_t75" alt="Untitled-1" style="position:absolute;margin-left:-3pt;margin-top:2.05pt;width:537.9pt;height:142.4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0 0 -30 21486 21600 21486 21600 0 -30 0">
          <v:imagedata r:id="rId1" o:title="Untitled-1"/>
          <w10:wrap type="through"/>
        </v:shape>
      </w:pict>
    </w:r>
  </w:p>
  <w:p w:rsidR="00BE5A8F" w:rsidRPr="00653A73" w:rsidRDefault="00653A73" w:rsidP="00BE5A8F">
    <w:pPr>
      <w:pStyle w:val="Header"/>
      <w:rPr>
        <w:color w:val="FFFFFF"/>
        <w:sz w:val="56"/>
      </w:rPr>
    </w:pPr>
    <w:r w:rsidRPr="00653A73">
      <w:rPr>
        <w:color w:val="FFFFFF"/>
        <w:sz w:val="56"/>
      </w:rPr>
      <w:t xml:space="preserve">  Research Matters</w:t>
    </w:r>
  </w:p>
  <w:p w:rsidR="00653A73" w:rsidRPr="00653A73" w:rsidRDefault="00653A73" w:rsidP="00BE5A8F">
    <w:pPr>
      <w:pStyle w:val="Header"/>
      <w:rPr>
        <w:color w:val="FFFFFF"/>
        <w:sz w:val="32"/>
      </w:rPr>
    </w:pPr>
  </w:p>
  <w:p w:rsidR="00653A73" w:rsidRPr="00653A73" w:rsidRDefault="00653A73" w:rsidP="00653A73">
    <w:pPr>
      <w:pStyle w:val="Header"/>
      <w:tabs>
        <w:tab w:val="clear" w:pos="9026"/>
        <w:tab w:val="right" w:pos="8505"/>
      </w:tabs>
      <w:rPr>
        <w:color w:val="FFFFFF"/>
      </w:rPr>
    </w:pPr>
    <w:r w:rsidRPr="00653A73">
      <w:rPr>
        <w:color w:val="FFFFFF"/>
      </w:rPr>
      <w:t xml:space="preserve">      ISSUE </w:t>
    </w:r>
    <w:r w:rsidR="00044358">
      <w:rPr>
        <w:color w:val="FFFFFF"/>
      </w:rPr>
      <w:t>69</w:t>
    </w:r>
    <w:r w:rsidRPr="00653A73">
      <w:rPr>
        <w:color w:val="FFFFFF"/>
      </w:rPr>
      <w:t xml:space="preserve"> </w:t>
    </w:r>
    <w:r w:rsidR="00044358">
      <w:rPr>
        <w:color w:val="FFFFFF"/>
      </w:rPr>
      <w:t>MARCH</w:t>
    </w:r>
    <w:r w:rsidR="00F2490D">
      <w:rPr>
        <w:color w:val="FFFFFF"/>
      </w:rPr>
      <w:t xml:space="preserve"> </w:t>
    </w:r>
    <w:r w:rsidRPr="00653A73">
      <w:rPr>
        <w:color w:val="FFFFFF"/>
      </w:rPr>
      <w:t>2015</w:t>
    </w:r>
    <w:r w:rsidRPr="00653A73">
      <w:rPr>
        <w:color w:val="FFFFFF"/>
      </w:rPr>
      <w:tab/>
    </w:r>
    <w:r w:rsidRPr="00653A73">
      <w:rPr>
        <w:color w:val="FFFFFF"/>
      </w:rPr>
      <w:tab/>
    </w:r>
    <w:r w:rsidRPr="00653A73">
      <w:rPr>
        <w:color w:val="FFFFFF"/>
      </w:rPr>
      <w:tab/>
      <w:t>ISSN 1448-6881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58" w:rsidRPr="00653A73" w:rsidRDefault="00044358" w:rsidP="00952C25">
    <w:pPr>
      <w:pStyle w:val="Header"/>
      <w:tabs>
        <w:tab w:val="clear" w:pos="9026"/>
        <w:tab w:val="left" w:pos="5529"/>
        <w:tab w:val="right" w:pos="7797"/>
      </w:tabs>
      <w:rPr>
        <w:color w:val="228591"/>
      </w:rPr>
    </w:pPr>
    <w:r>
      <w:rPr>
        <w:color w:val="228591"/>
      </w:rPr>
      <w:t>RESEARCH MATTERS</w:t>
    </w:r>
    <w:r>
      <w:rPr>
        <w:color w:val="228591"/>
      </w:rPr>
      <w:tab/>
    </w:r>
    <w:r>
      <w:rPr>
        <w:color w:val="228591"/>
      </w:rPr>
      <w:tab/>
    </w:r>
    <w:r>
      <w:rPr>
        <w:color w:val="228591"/>
      </w:rPr>
      <w:tab/>
    </w:r>
    <w:r>
      <w:rPr>
        <w:color w:val="228591"/>
      </w:rPr>
      <w:tab/>
    </w:r>
    <w:r w:rsidRPr="00653A73">
      <w:rPr>
        <w:color w:val="228591"/>
      </w:rPr>
      <w:t>ISSUE</w:t>
    </w:r>
    <w:r>
      <w:rPr>
        <w:color w:val="228591"/>
      </w:rPr>
      <w:t xml:space="preserve"> </w:t>
    </w:r>
    <w:r w:rsidR="005F6DF3">
      <w:rPr>
        <w:color w:val="228591"/>
      </w:rPr>
      <w:t>69</w:t>
    </w:r>
    <w:r w:rsidRPr="00653A73">
      <w:rPr>
        <w:color w:val="228591"/>
      </w:rPr>
      <w:t xml:space="preserve"> </w:t>
    </w:r>
    <w:r>
      <w:rPr>
        <w:color w:val="228591"/>
      </w:rPr>
      <w:t xml:space="preserve">JUNE </w:t>
    </w:r>
    <w:r w:rsidRPr="00653A73">
      <w:rPr>
        <w:color w:val="228591"/>
      </w:rPr>
      <w:t>2015</w:t>
    </w:r>
  </w:p>
  <w:p w:rsidR="00044358" w:rsidRDefault="00044358" w:rsidP="002F28B4">
    <w:pPr>
      <w:pStyle w:val="ImprintBreak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58" w:rsidRPr="00653A73" w:rsidRDefault="00044358" w:rsidP="00952C25">
    <w:pPr>
      <w:pStyle w:val="Header"/>
      <w:tabs>
        <w:tab w:val="clear" w:pos="9026"/>
        <w:tab w:val="left" w:pos="5529"/>
        <w:tab w:val="right" w:pos="7797"/>
      </w:tabs>
      <w:rPr>
        <w:color w:val="228591"/>
      </w:rPr>
    </w:pPr>
    <w:r>
      <w:rPr>
        <w:color w:val="228591"/>
      </w:rPr>
      <w:t>RESEARCH MATTERS</w:t>
    </w:r>
    <w:r>
      <w:rPr>
        <w:color w:val="228591"/>
      </w:rPr>
      <w:tab/>
    </w:r>
    <w:r>
      <w:rPr>
        <w:color w:val="228591"/>
      </w:rPr>
      <w:tab/>
    </w:r>
    <w:r>
      <w:rPr>
        <w:color w:val="228591"/>
      </w:rPr>
      <w:tab/>
    </w:r>
    <w:r>
      <w:rPr>
        <w:color w:val="228591"/>
      </w:rPr>
      <w:tab/>
    </w:r>
    <w:r w:rsidRPr="00653A73">
      <w:rPr>
        <w:color w:val="228591"/>
      </w:rPr>
      <w:t>ISSUE 69 MARCH 2015</w:t>
    </w:r>
  </w:p>
  <w:p w:rsidR="00044358" w:rsidRDefault="00044358" w:rsidP="00952C25">
    <w:pPr>
      <w:pStyle w:val="ImprintBreak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0D" w:rsidRDefault="00F2490D" w:rsidP="00044358">
    <w:pPr>
      <w:pStyle w:val="Header"/>
      <w:tabs>
        <w:tab w:val="clear" w:pos="9026"/>
        <w:tab w:val="left" w:pos="2534"/>
        <w:tab w:val="right" w:pos="7797"/>
      </w:tabs>
    </w:pPr>
    <w:r>
      <w:rPr>
        <w:color w:val="228591"/>
      </w:rPr>
      <w:t>RESEARCH MATTERS</w:t>
    </w:r>
    <w:r>
      <w:rPr>
        <w:color w:val="228591"/>
      </w:rPr>
      <w:tab/>
    </w:r>
    <w:r w:rsidR="00044358">
      <w:rPr>
        <w:color w:val="228591"/>
      </w:rPr>
      <w:tab/>
    </w:r>
    <w:r>
      <w:rPr>
        <w:color w:val="228591"/>
      </w:rPr>
      <w:tab/>
    </w:r>
    <w:r>
      <w:rPr>
        <w:color w:val="228591"/>
      </w:rPr>
      <w:tab/>
    </w:r>
    <w:r w:rsidRPr="00653A73">
      <w:rPr>
        <w:color w:val="228591"/>
      </w:rPr>
      <w:t xml:space="preserve">ISSUE </w:t>
    </w:r>
    <w:r w:rsidR="00044358">
      <w:rPr>
        <w:color w:val="228591"/>
      </w:rPr>
      <w:t>69</w:t>
    </w:r>
    <w:r w:rsidRPr="00653A73">
      <w:rPr>
        <w:color w:val="228591"/>
      </w:rPr>
      <w:t xml:space="preserve"> </w:t>
    </w:r>
    <w:r w:rsidR="00044358">
      <w:rPr>
        <w:color w:val="228591"/>
      </w:rPr>
      <w:t xml:space="preserve">MARCH </w:t>
    </w:r>
    <w:r w:rsidRPr="00653A73">
      <w:rPr>
        <w:color w:val="228591"/>
      </w:rPr>
      <w:t>2015</w:t>
    </w:r>
  </w:p>
  <w:p w:rsidR="00F2490D" w:rsidRDefault="00F2490D" w:rsidP="00F2490D">
    <w:pPr>
      <w:pStyle w:val="ImprintBreak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B4" w:rsidRDefault="00653A73" w:rsidP="00653A73">
    <w:pPr>
      <w:pStyle w:val="Header"/>
      <w:tabs>
        <w:tab w:val="clear" w:pos="9026"/>
        <w:tab w:val="right" w:pos="7797"/>
      </w:tabs>
    </w:pPr>
    <w:r>
      <w:rPr>
        <w:color w:val="228591"/>
      </w:rPr>
      <w:t>RESEARCH MATTERS</w:t>
    </w:r>
    <w:r>
      <w:rPr>
        <w:color w:val="228591"/>
      </w:rPr>
      <w:tab/>
    </w:r>
    <w:r>
      <w:rPr>
        <w:color w:val="228591"/>
      </w:rPr>
      <w:tab/>
    </w:r>
    <w:r>
      <w:rPr>
        <w:color w:val="228591"/>
      </w:rPr>
      <w:tab/>
    </w:r>
    <w:r w:rsidRPr="00653A73">
      <w:rPr>
        <w:color w:val="228591"/>
      </w:rPr>
      <w:t xml:space="preserve">ISSUE </w:t>
    </w:r>
    <w:r w:rsidR="00044358">
      <w:rPr>
        <w:color w:val="228591"/>
      </w:rPr>
      <w:t>69</w:t>
    </w:r>
    <w:r w:rsidRPr="00653A73">
      <w:rPr>
        <w:color w:val="228591"/>
      </w:rPr>
      <w:t xml:space="preserve"> </w:t>
    </w:r>
    <w:r w:rsidR="00044358">
      <w:rPr>
        <w:color w:val="228591"/>
      </w:rPr>
      <w:t xml:space="preserve">MARCH </w:t>
    </w:r>
    <w:r w:rsidRPr="00653A73">
      <w:rPr>
        <w:color w:val="228591"/>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2F08"/>
    <w:multiLevelType w:val="hybridMultilevel"/>
    <w:tmpl w:val="4B170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E73DBE"/>
    <w:multiLevelType w:val="hybridMultilevel"/>
    <w:tmpl w:val="BAEF96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92AA1"/>
    <w:multiLevelType w:val="hybridMultilevel"/>
    <w:tmpl w:val="942825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E0C17C8"/>
    <w:multiLevelType w:val="hybridMultilevel"/>
    <w:tmpl w:val="7CFE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A60C82"/>
    <w:multiLevelType w:val="hybridMultilevel"/>
    <w:tmpl w:val="1C1822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EA72DCD"/>
    <w:multiLevelType w:val="hybridMultilevel"/>
    <w:tmpl w:val="80B2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D70244"/>
    <w:multiLevelType w:val="hybridMultilevel"/>
    <w:tmpl w:val="129C5E64"/>
    <w:lvl w:ilvl="0" w:tplc="78CCC3E4">
      <w:start w:val="1"/>
      <w:numFmt w:val="bullet"/>
      <w:lvlText w:val="•"/>
      <w:lvlJc w:val="left"/>
      <w:pPr>
        <w:tabs>
          <w:tab w:val="num" w:pos="720"/>
        </w:tabs>
        <w:ind w:left="720" w:hanging="360"/>
      </w:pPr>
      <w:rPr>
        <w:rFonts w:ascii="Arial" w:hAnsi="Arial" w:cs="Times New Roman" w:hint="default"/>
      </w:rPr>
    </w:lvl>
    <w:lvl w:ilvl="1" w:tplc="BB4E0EA8">
      <w:start w:val="1"/>
      <w:numFmt w:val="bullet"/>
      <w:lvlText w:val="•"/>
      <w:lvlJc w:val="left"/>
      <w:pPr>
        <w:tabs>
          <w:tab w:val="num" w:pos="1440"/>
        </w:tabs>
        <w:ind w:left="1440" w:hanging="360"/>
      </w:pPr>
      <w:rPr>
        <w:rFonts w:ascii="Arial" w:hAnsi="Arial" w:cs="Times New Roman" w:hint="default"/>
      </w:rPr>
    </w:lvl>
    <w:lvl w:ilvl="2" w:tplc="BB5E82D6">
      <w:start w:val="1"/>
      <w:numFmt w:val="bullet"/>
      <w:lvlText w:val="•"/>
      <w:lvlJc w:val="left"/>
      <w:pPr>
        <w:tabs>
          <w:tab w:val="num" w:pos="2160"/>
        </w:tabs>
        <w:ind w:left="2160" w:hanging="360"/>
      </w:pPr>
      <w:rPr>
        <w:rFonts w:ascii="Arial" w:hAnsi="Arial" w:cs="Times New Roman" w:hint="default"/>
      </w:rPr>
    </w:lvl>
    <w:lvl w:ilvl="3" w:tplc="B2E0BB7C">
      <w:start w:val="1"/>
      <w:numFmt w:val="bullet"/>
      <w:lvlText w:val="•"/>
      <w:lvlJc w:val="left"/>
      <w:pPr>
        <w:tabs>
          <w:tab w:val="num" w:pos="2880"/>
        </w:tabs>
        <w:ind w:left="2880" w:hanging="360"/>
      </w:pPr>
      <w:rPr>
        <w:rFonts w:ascii="Arial" w:hAnsi="Arial" w:cs="Times New Roman" w:hint="default"/>
      </w:rPr>
    </w:lvl>
    <w:lvl w:ilvl="4" w:tplc="050E25E0">
      <w:start w:val="1"/>
      <w:numFmt w:val="bullet"/>
      <w:lvlText w:val="•"/>
      <w:lvlJc w:val="left"/>
      <w:pPr>
        <w:tabs>
          <w:tab w:val="num" w:pos="3600"/>
        </w:tabs>
        <w:ind w:left="3600" w:hanging="360"/>
      </w:pPr>
      <w:rPr>
        <w:rFonts w:ascii="Arial" w:hAnsi="Arial" w:cs="Times New Roman" w:hint="default"/>
      </w:rPr>
    </w:lvl>
    <w:lvl w:ilvl="5" w:tplc="734CAE94">
      <w:start w:val="1"/>
      <w:numFmt w:val="bullet"/>
      <w:lvlText w:val="•"/>
      <w:lvlJc w:val="left"/>
      <w:pPr>
        <w:tabs>
          <w:tab w:val="num" w:pos="4320"/>
        </w:tabs>
        <w:ind w:left="4320" w:hanging="360"/>
      </w:pPr>
      <w:rPr>
        <w:rFonts w:ascii="Arial" w:hAnsi="Arial" w:cs="Times New Roman" w:hint="default"/>
      </w:rPr>
    </w:lvl>
    <w:lvl w:ilvl="6" w:tplc="D7CC245E">
      <w:start w:val="1"/>
      <w:numFmt w:val="bullet"/>
      <w:lvlText w:val="•"/>
      <w:lvlJc w:val="left"/>
      <w:pPr>
        <w:tabs>
          <w:tab w:val="num" w:pos="5040"/>
        </w:tabs>
        <w:ind w:left="5040" w:hanging="360"/>
      </w:pPr>
      <w:rPr>
        <w:rFonts w:ascii="Arial" w:hAnsi="Arial" w:cs="Times New Roman" w:hint="default"/>
      </w:rPr>
    </w:lvl>
    <w:lvl w:ilvl="7" w:tplc="A7C26CA6">
      <w:start w:val="1"/>
      <w:numFmt w:val="bullet"/>
      <w:lvlText w:val="•"/>
      <w:lvlJc w:val="left"/>
      <w:pPr>
        <w:tabs>
          <w:tab w:val="num" w:pos="5760"/>
        </w:tabs>
        <w:ind w:left="5760" w:hanging="360"/>
      </w:pPr>
      <w:rPr>
        <w:rFonts w:ascii="Arial" w:hAnsi="Arial" w:cs="Times New Roman" w:hint="default"/>
      </w:rPr>
    </w:lvl>
    <w:lvl w:ilvl="8" w:tplc="BA4810F8">
      <w:start w:val="1"/>
      <w:numFmt w:val="bullet"/>
      <w:lvlText w:val="•"/>
      <w:lvlJc w:val="left"/>
      <w:pPr>
        <w:tabs>
          <w:tab w:val="num" w:pos="6480"/>
        </w:tabs>
        <w:ind w:left="6480" w:hanging="360"/>
      </w:pPr>
      <w:rPr>
        <w:rFonts w:ascii="Arial" w:hAnsi="Arial" w:cs="Times New Roman" w:hint="default"/>
      </w:rPr>
    </w:lvl>
  </w:abstractNum>
  <w:abstractNum w:abstractNumId="7">
    <w:nsid w:val="2190EF03"/>
    <w:multiLevelType w:val="hybridMultilevel"/>
    <w:tmpl w:val="D7B17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3A238DE"/>
    <w:multiLevelType w:val="hybridMultilevel"/>
    <w:tmpl w:val="F6CA6350"/>
    <w:lvl w:ilvl="0" w:tplc="6B88DBA6">
      <w:start w:val="9"/>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9">
    <w:nsid w:val="2D9E2F41"/>
    <w:multiLevelType w:val="hybridMultilevel"/>
    <w:tmpl w:val="2B1668E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0">
    <w:nsid w:val="2F5A4B6F"/>
    <w:multiLevelType w:val="hybridMultilevel"/>
    <w:tmpl w:val="3D764C5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4AD7CEB"/>
    <w:multiLevelType w:val="hybridMultilevel"/>
    <w:tmpl w:val="0B2018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363A7B84"/>
    <w:multiLevelType w:val="hybridMultilevel"/>
    <w:tmpl w:val="DAF2F8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44B30A4"/>
    <w:multiLevelType w:val="hybridMultilevel"/>
    <w:tmpl w:val="90020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88737B"/>
    <w:multiLevelType w:val="hybridMultilevel"/>
    <w:tmpl w:val="7649F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C534815"/>
    <w:multiLevelType w:val="hybridMultilevel"/>
    <w:tmpl w:val="1BF85DC0"/>
    <w:lvl w:ilvl="0" w:tplc="3FCA77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4F6A55DC"/>
    <w:multiLevelType w:val="hybridMultilevel"/>
    <w:tmpl w:val="2298A5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4FA402C9"/>
    <w:multiLevelType w:val="hybridMultilevel"/>
    <w:tmpl w:val="F1783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0F74D5E"/>
    <w:multiLevelType w:val="hybridMultilevel"/>
    <w:tmpl w:val="B91CE488"/>
    <w:lvl w:ilvl="0" w:tplc="DB10850E">
      <w:start w:val="1"/>
      <w:numFmt w:val="bullet"/>
      <w:lvlText w:val="•"/>
      <w:lvlJc w:val="left"/>
      <w:pPr>
        <w:tabs>
          <w:tab w:val="num" w:pos="720"/>
        </w:tabs>
        <w:ind w:left="720" w:hanging="360"/>
      </w:pPr>
      <w:rPr>
        <w:rFonts w:ascii="Arial" w:hAnsi="Arial" w:cs="Times New Roman" w:hint="default"/>
      </w:rPr>
    </w:lvl>
    <w:lvl w:ilvl="1" w:tplc="F46ED740">
      <w:start w:val="1"/>
      <w:numFmt w:val="bullet"/>
      <w:lvlText w:val="•"/>
      <w:lvlJc w:val="left"/>
      <w:pPr>
        <w:tabs>
          <w:tab w:val="num" w:pos="1440"/>
        </w:tabs>
        <w:ind w:left="1440" w:hanging="360"/>
      </w:pPr>
      <w:rPr>
        <w:rFonts w:ascii="Arial" w:hAnsi="Arial" w:cs="Times New Roman" w:hint="default"/>
      </w:rPr>
    </w:lvl>
    <w:lvl w:ilvl="2" w:tplc="4C04B374">
      <w:start w:val="1"/>
      <w:numFmt w:val="bullet"/>
      <w:lvlText w:val="•"/>
      <w:lvlJc w:val="left"/>
      <w:pPr>
        <w:tabs>
          <w:tab w:val="num" w:pos="2160"/>
        </w:tabs>
        <w:ind w:left="2160" w:hanging="360"/>
      </w:pPr>
      <w:rPr>
        <w:rFonts w:ascii="Arial" w:hAnsi="Arial" w:cs="Times New Roman" w:hint="default"/>
      </w:rPr>
    </w:lvl>
    <w:lvl w:ilvl="3" w:tplc="FD182480">
      <w:start w:val="1"/>
      <w:numFmt w:val="bullet"/>
      <w:lvlText w:val="•"/>
      <w:lvlJc w:val="left"/>
      <w:pPr>
        <w:tabs>
          <w:tab w:val="num" w:pos="2880"/>
        </w:tabs>
        <w:ind w:left="2880" w:hanging="360"/>
      </w:pPr>
      <w:rPr>
        <w:rFonts w:ascii="Arial" w:hAnsi="Arial" w:cs="Times New Roman" w:hint="default"/>
      </w:rPr>
    </w:lvl>
    <w:lvl w:ilvl="4" w:tplc="AB5443EC">
      <w:start w:val="1"/>
      <w:numFmt w:val="bullet"/>
      <w:lvlText w:val="•"/>
      <w:lvlJc w:val="left"/>
      <w:pPr>
        <w:tabs>
          <w:tab w:val="num" w:pos="3600"/>
        </w:tabs>
        <w:ind w:left="3600" w:hanging="360"/>
      </w:pPr>
      <w:rPr>
        <w:rFonts w:ascii="Arial" w:hAnsi="Arial" w:cs="Times New Roman" w:hint="default"/>
      </w:rPr>
    </w:lvl>
    <w:lvl w:ilvl="5" w:tplc="49DE3388">
      <w:start w:val="1"/>
      <w:numFmt w:val="bullet"/>
      <w:lvlText w:val="•"/>
      <w:lvlJc w:val="left"/>
      <w:pPr>
        <w:tabs>
          <w:tab w:val="num" w:pos="4320"/>
        </w:tabs>
        <w:ind w:left="4320" w:hanging="360"/>
      </w:pPr>
      <w:rPr>
        <w:rFonts w:ascii="Arial" w:hAnsi="Arial" w:cs="Times New Roman" w:hint="default"/>
      </w:rPr>
    </w:lvl>
    <w:lvl w:ilvl="6" w:tplc="5384439E">
      <w:start w:val="1"/>
      <w:numFmt w:val="bullet"/>
      <w:lvlText w:val="•"/>
      <w:lvlJc w:val="left"/>
      <w:pPr>
        <w:tabs>
          <w:tab w:val="num" w:pos="5040"/>
        </w:tabs>
        <w:ind w:left="5040" w:hanging="360"/>
      </w:pPr>
      <w:rPr>
        <w:rFonts w:ascii="Arial" w:hAnsi="Arial" w:cs="Times New Roman" w:hint="default"/>
      </w:rPr>
    </w:lvl>
    <w:lvl w:ilvl="7" w:tplc="8AD236FA">
      <w:start w:val="1"/>
      <w:numFmt w:val="bullet"/>
      <w:lvlText w:val="•"/>
      <w:lvlJc w:val="left"/>
      <w:pPr>
        <w:tabs>
          <w:tab w:val="num" w:pos="5760"/>
        </w:tabs>
        <w:ind w:left="5760" w:hanging="360"/>
      </w:pPr>
      <w:rPr>
        <w:rFonts w:ascii="Arial" w:hAnsi="Arial" w:cs="Times New Roman" w:hint="default"/>
      </w:rPr>
    </w:lvl>
    <w:lvl w:ilvl="8" w:tplc="9F18E25A">
      <w:start w:val="1"/>
      <w:numFmt w:val="bullet"/>
      <w:lvlText w:val="•"/>
      <w:lvlJc w:val="left"/>
      <w:pPr>
        <w:tabs>
          <w:tab w:val="num" w:pos="6480"/>
        </w:tabs>
        <w:ind w:left="6480" w:hanging="360"/>
      </w:pPr>
      <w:rPr>
        <w:rFonts w:ascii="Arial" w:hAnsi="Arial" w:cs="Times New Roman" w:hint="default"/>
      </w:rPr>
    </w:lvl>
  </w:abstractNum>
  <w:abstractNum w:abstractNumId="19">
    <w:nsid w:val="5D543C01"/>
    <w:multiLevelType w:val="hybridMultilevel"/>
    <w:tmpl w:val="8966B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7BE2698"/>
    <w:multiLevelType w:val="hybridMultilevel"/>
    <w:tmpl w:val="FB580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650512"/>
    <w:multiLevelType w:val="hybridMultilevel"/>
    <w:tmpl w:val="4C4438D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345D57"/>
    <w:multiLevelType w:val="hybridMultilevel"/>
    <w:tmpl w:val="53125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361FD0"/>
    <w:multiLevelType w:val="hybridMultilevel"/>
    <w:tmpl w:val="49327540"/>
    <w:lvl w:ilvl="0" w:tplc="A1CC9EDC">
      <w:start w:val="1"/>
      <w:numFmt w:val="bullet"/>
      <w:lvlText w:val="•"/>
      <w:lvlJc w:val="left"/>
      <w:pPr>
        <w:tabs>
          <w:tab w:val="num" w:pos="720"/>
        </w:tabs>
        <w:ind w:left="720" w:hanging="360"/>
      </w:pPr>
      <w:rPr>
        <w:rFonts w:ascii="Arial" w:hAnsi="Arial" w:cs="Times New Roman" w:hint="default"/>
      </w:rPr>
    </w:lvl>
    <w:lvl w:ilvl="1" w:tplc="DFFA21B0">
      <w:start w:val="1"/>
      <w:numFmt w:val="bullet"/>
      <w:lvlText w:val="•"/>
      <w:lvlJc w:val="left"/>
      <w:pPr>
        <w:tabs>
          <w:tab w:val="num" w:pos="1440"/>
        </w:tabs>
        <w:ind w:left="1440" w:hanging="360"/>
      </w:pPr>
      <w:rPr>
        <w:rFonts w:ascii="Arial" w:hAnsi="Arial" w:cs="Times New Roman" w:hint="default"/>
      </w:rPr>
    </w:lvl>
    <w:lvl w:ilvl="2" w:tplc="B3CE6D04">
      <w:start w:val="1"/>
      <w:numFmt w:val="bullet"/>
      <w:lvlText w:val="•"/>
      <w:lvlJc w:val="left"/>
      <w:pPr>
        <w:tabs>
          <w:tab w:val="num" w:pos="2160"/>
        </w:tabs>
        <w:ind w:left="2160" w:hanging="360"/>
      </w:pPr>
      <w:rPr>
        <w:rFonts w:ascii="Arial" w:hAnsi="Arial" w:cs="Times New Roman" w:hint="default"/>
      </w:rPr>
    </w:lvl>
    <w:lvl w:ilvl="3" w:tplc="C5BAF456">
      <w:start w:val="1"/>
      <w:numFmt w:val="bullet"/>
      <w:lvlText w:val="•"/>
      <w:lvlJc w:val="left"/>
      <w:pPr>
        <w:tabs>
          <w:tab w:val="num" w:pos="2880"/>
        </w:tabs>
        <w:ind w:left="2880" w:hanging="360"/>
      </w:pPr>
      <w:rPr>
        <w:rFonts w:ascii="Arial" w:hAnsi="Arial" w:cs="Times New Roman" w:hint="default"/>
      </w:rPr>
    </w:lvl>
    <w:lvl w:ilvl="4" w:tplc="3B9634F6">
      <w:start w:val="1"/>
      <w:numFmt w:val="bullet"/>
      <w:lvlText w:val="•"/>
      <w:lvlJc w:val="left"/>
      <w:pPr>
        <w:tabs>
          <w:tab w:val="num" w:pos="3600"/>
        </w:tabs>
        <w:ind w:left="3600" w:hanging="360"/>
      </w:pPr>
      <w:rPr>
        <w:rFonts w:ascii="Arial" w:hAnsi="Arial" w:cs="Times New Roman" w:hint="default"/>
      </w:rPr>
    </w:lvl>
    <w:lvl w:ilvl="5" w:tplc="1FAEA802">
      <w:start w:val="1"/>
      <w:numFmt w:val="bullet"/>
      <w:lvlText w:val="•"/>
      <w:lvlJc w:val="left"/>
      <w:pPr>
        <w:tabs>
          <w:tab w:val="num" w:pos="4320"/>
        </w:tabs>
        <w:ind w:left="4320" w:hanging="360"/>
      </w:pPr>
      <w:rPr>
        <w:rFonts w:ascii="Arial" w:hAnsi="Arial" w:cs="Times New Roman" w:hint="default"/>
      </w:rPr>
    </w:lvl>
    <w:lvl w:ilvl="6" w:tplc="E458829E">
      <w:start w:val="1"/>
      <w:numFmt w:val="bullet"/>
      <w:lvlText w:val="•"/>
      <w:lvlJc w:val="left"/>
      <w:pPr>
        <w:tabs>
          <w:tab w:val="num" w:pos="5040"/>
        </w:tabs>
        <w:ind w:left="5040" w:hanging="360"/>
      </w:pPr>
      <w:rPr>
        <w:rFonts w:ascii="Arial" w:hAnsi="Arial" w:cs="Times New Roman" w:hint="default"/>
      </w:rPr>
    </w:lvl>
    <w:lvl w:ilvl="7" w:tplc="75D604F2">
      <w:start w:val="1"/>
      <w:numFmt w:val="bullet"/>
      <w:lvlText w:val="•"/>
      <w:lvlJc w:val="left"/>
      <w:pPr>
        <w:tabs>
          <w:tab w:val="num" w:pos="5760"/>
        </w:tabs>
        <w:ind w:left="5760" w:hanging="360"/>
      </w:pPr>
      <w:rPr>
        <w:rFonts w:ascii="Arial" w:hAnsi="Arial" w:cs="Times New Roman" w:hint="default"/>
      </w:rPr>
    </w:lvl>
    <w:lvl w:ilvl="8" w:tplc="2252EB78">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1"/>
  </w:num>
  <w:num w:numId="3">
    <w:abstractNumId w:val="1"/>
  </w:num>
  <w:num w:numId="4">
    <w:abstractNumId w:val="14"/>
  </w:num>
  <w:num w:numId="5">
    <w:abstractNumId w:val="10"/>
  </w:num>
  <w:num w:numId="6">
    <w:abstractNumId w:val="22"/>
  </w:num>
  <w:num w:numId="7">
    <w:abstractNumId w:val="7"/>
  </w:num>
  <w:num w:numId="8">
    <w:abstractNumId w:val="5"/>
  </w:num>
  <w:num w:numId="9">
    <w:abstractNumId w:val="12"/>
  </w:num>
  <w:num w:numId="10">
    <w:abstractNumId w:val="2"/>
  </w:num>
  <w:num w:numId="11">
    <w:abstractNumId w:val="8"/>
  </w:num>
  <w:num w:numId="12">
    <w:abstractNumId w:val="20"/>
  </w:num>
  <w:num w:numId="13">
    <w:abstractNumId w:val="9"/>
  </w:num>
  <w:num w:numId="14">
    <w:abstractNumId w:val="19"/>
  </w:num>
  <w:num w:numId="15">
    <w:abstractNumId w:val="13"/>
  </w:num>
  <w:num w:numId="16">
    <w:abstractNumId w:val="16"/>
  </w:num>
  <w:num w:numId="17">
    <w:abstractNumId w:val="18"/>
  </w:num>
  <w:num w:numId="18">
    <w:abstractNumId w:val="23"/>
  </w:num>
  <w:num w:numId="19">
    <w:abstractNumId w:val="6"/>
  </w:num>
  <w:num w:numId="20">
    <w:abstractNumId w:val="3"/>
  </w:num>
  <w:num w:numId="21">
    <w:abstractNumId w:val="4"/>
  </w:num>
  <w:num w:numId="22">
    <w:abstractNumId w:val="17"/>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oNotTrackMoves/>
  <w:defaultTabStop w:val="720"/>
  <w:drawingGridHorizontalSpacing w:val="110"/>
  <w:displayHorizontalDrawingGridEvery w:val="2"/>
  <w:characterSpacingControl w:val="doNotCompress"/>
  <w:hdrShapeDefaults>
    <o:shapedefaults v:ext="edit" spidmax="21519" style="mso-position-horizontal-relative:margin" fill="f" fillcolor="white" stroke="f">
      <v:fill color="white" on="f"/>
      <v:stroke on="f"/>
    </o:shapedefaults>
    <o:shapelayout v:ext="edit">
      <o:idmap v:ext="edit" data="2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422C67"/>
    <w:rsid w:val="0000075F"/>
    <w:rsid w:val="000009B8"/>
    <w:rsid w:val="00002A0D"/>
    <w:rsid w:val="00005870"/>
    <w:rsid w:val="00010174"/>
    <w:rsid w:val="0001078A"/>
    <w:rsid w:val="0002103C"/>
    <w:rsid w:val="000273ED"/>
    <w:rsid w:val="00030131"/>
    <w:rsid w:val="00030FE9"/>
    <w:rsid w:val="00041009"/>
    <w:rsid w:val="00044358"/>
    <w:rsid w:val="00046963"/>
    <w:rsid w:val="00054933"/>
    <w:rsid w:val="00054FA4"/>
    <w:rsid w:val="000618ED"/>
    <w:rsid w:val="00063467"/>
    <w:rsid w:val="0006585F"/>
    <w:rsid w:val="00070763"/>
    <w:rsid w:val="0008087F"/>
    <w:rsid w:val="00083C14"/>
    <w:rsid w:val="00085356"/>
    <w:rsid w:val="000865F8"/>
    <w:rsid w:val="00087264"/>
    <w:rsid w:val="00087E55"/>
    <w:rsid w:val="00091CA7"/>
    <w:rsid w:val="000969E4"/>
    <w:rsid w:val="000A0522"/>
    <w:rsid w:val="000A1E93"/>
    <w:rsid w:val="000A577D"/>
    <w:rsid w:val="000B6B48"/>
    <w:rsid w:val="000C1AF4"/>
    <w:rsid w:val="000C558C"/>
    <w:rsid w:val="000C6A04"/>
    <w:rsid w:val="000D493F"/>
    <w:rsid w:val="000D60F2"/>
    <w:rsid w:val="000D680B"/>
    <w:rsid w:val="000D74CB"/>
    <w:rsid w:val="000E098F"/>
    <w:rsid w:val="000F228D"/>
    <w:rsid w:val="000F23CA"/>
    <w:rsid w:val="000F27C7"/>
    <w:rsid w:val="000F37D5"/>
    <w:rsid w:val="000F3C01"/>
    <w:rsid w:val="000F41CF"/>
    <w:rsid w:val="000F64DD"/>
    <w:rsid w:val="000F76FA"/>
    <w:rsid w:val="001052D0"/>
    <w:rsid w:val="00112C27"/>
    <w:rsid w:val="00117188"/>
    <w:rsid w:val="00131A56"/>
    <w:rsid w:val="00133868"/>
    <w:rsid w:val="001413F7"/>
    <w:rsid w:val="001477C6"/>
    <w:rsid w:val="0016153B"/>
    <w:rsid w:val="00175FE2"/>
    <w:rsid w:val="001829A5"/>
    <w:rsid w:val="001847B1"/>
    <w:rsid w:val="00184971"/>
    <w:rsid w:val="001873E7"/>
    <w:rsid w:val="00197D46"/>
    <w:rsid w:val="001A0192"/>
    <w:rsid w:val="001A059F"/>
    <w:rsid w:val="001A56FD"/>
    <w:rsid w:val="001A795A"/>
    <w:rsid w:val="001B20D8"/>
    <w:rsid w:val="001B5708"/>
    <w:rsid w:val="001C3848"/>
    <w:rsid w:val="001C439F"/>
    <w:rsid w:val="001C7356"/>
    <w:rsid w:val="001D51FC"/>
    <w:rsid w:val="001D58AF"/>
    <w:rsid w:val="001E2C1A"/>
    <w:rsid w:val="001E4B51"/>
    <w:rsid w:val="001E5267"/>
    <w:rsid w:val="001F36A7"/>
    <w:rsid w:val="001F592C"/>
    <w:rsid w:val="001F6EEF"/>
    <w:rsid w:val="001F75BC"/>
    <w:rsid w:val="001F7C16"/>
    <w:rsid w:val="00204C12"/>
    <w:rsid w:val="002140F3"/>
    <w:rsid w:val="00216328"/>
    <w:rsid w:val="002238D8"/>
    <w:rsid w:val="002244BE"/>
    <w:rsid w:val="00224B42"/>
    <w:rsid w:val="002307A5"/>
    <w:rsid w:val="002363D0"/>
    <w:rsid w:val="00236410"/>
    <w:rsid w:val="0023663A"/>
    <w:rsid w:val="00237775"/>
    <w:rsid w:val="00241928"/>
    <w:rsid w:val="00250CE5"/>
    <w:rsid w:val="00252F41"/>
    <w:rsid w:val="00253824"/>
    <w:rsid w:val="002544C7"/>
    <w:rsid w:val="00256C12"/>
    <w:rsid w:val="00256EE9"/>
    <w:rsid w:val="00261817"/>
    <w:rsid w:val="002638FC"/>
    <w:rsid w:val="00270934"/>
    <w:rsid w:val="00281B57"/>
    <w:rsid w:val="002831A6"/>
    <w:rsid w:val="00283B02"/>
    <w:rsid w:val="002A3F24"/>
    <w:rsid w:val="002A66FC"/>
    <w:rsid w:val="002A6CBB"/>
    <w:rsid w:val="002A762E"/>
    <w:rsid w:val="002B0595"/>
    <w:rsid w:val="002B35BF"/>
    <w:rsid w:val="002B4BFD"/>
    <w:rsid w:val="002C1A66"/>
    <w:rsid w:val="002C71E7"/>
    <w:rsid w:val="002D3C03"/>
    <w:rsid w:val="002D4308"/>
    <w:rsid w:val="002D4EAE"/>
    <w:rsid w:val="002D5D93"/>
    <w:rsid w:val="002D6858"/>
    <w:rsid w:val="002D7569"/>
    <w:rsid w:val="002D779B"/>
    <w:rsid w:val="002E526D"/>
    <w:rsid w:val="002E6568"/>
    <w:rsid w:val="002E6950"/>
    <w:rsid w:val="002E745F"/>
    <w:rsid w:val="002E7789"/>
    <w:rsid w:val="002E7C29"/>
    <w:rsid w:val="002F28B4"/>
    <w:rsid w:val="002F2AB6"/>
    <w:rsid w:val="002F2BED"/>
    <w:rsid w:val="002F7A8F"/>
    <w:rsid w:val="002F7AF9"/>
    <w:rsid w:val="00303FFE"/>
    <w:rsid w:val="003208F3"/>
    <w:rsid w:val="00323C23"/>
    <w:rsid w:val="003246F0"/>
    <w:rsid w:val="00330691"/>
    <w:rsid w:val="00332747"/>
    <w:rsid w:val="00336C39"/>
    <w:rsid w:val="00336F4D"/>
    <w:rsid w:val="003463AC"/>
    <w:rsid w:val="00347D8F"/>
    <w:rsid w:val="00352D49"/>
    <w:rsid w:val="003608E3"/>
    <w:rsid w:val="00361B35"/>
    <w:rsid w:val="00372C3E"/>
    <w:rsid w:val="00375CC5"/>
    <w:rsid w:val="00376164"/>
    <w:rsid w:val="00376367"/>
    <w:rsid w:val="003864AC"/>
    <w:rsid w:val="00394C38"/>
    <w:rsid w:val="003A24F6"/>
    <w:rsid w:val="003A38F8"/>
    <w:rsid w:val="003A5DD4"/>
    <w:rsid w:val="003A74DE"/>
    <w:rsid w:val="003B1C60"/>
    <w:rsid w:val="003B5702"/>
    <w:rsid w:val="003C04C3"/>
    <w:rsid w:val="003C2BFB"/>
    <w:rsid w:val="003D11D5"/>
    <w:rsid w:val="003D18FE"/>
    <w:rsid w:val="003D45A4"/>
    <w:rsid w:val="003E61E6"/>
    <w:rsid w:val="003F0528"/>
    <w:rsid w:val="003F766E"/>
    <w:rsid w:val="0041470B"/>
    <w:rsid w:val="00416C13"/>
    <w:rsid w:val="00422C67"/>
    <w:rsid w:val="0043447B"/>
    <w:rsid w:val="00440A12"/>
    <w:rsid w:val="004429E5"/>
    <w:rsid w:val="00451092"/>
    <w:rsid w:val="00455165"/>
    <w:rsid w:val="00457553"/>
    <w:rsid w:val="0046011F"/>
    <w:rsid w:val="00463446"/>
    <w:rsid w:val="00466D78"/>
    <w:rsid w:val="00471427"/>
    <w:rsid w:val="004729A7"/>
    <w:rsid w:val="00475634"/>
    <w:rsid w:val="0047638D"/>
    <w:rsid w:val="004859DA"/>
    <w:rsid w:val="00486145"/>
    <w:rsid w:val="00486A9A"/>
    <w:rsid w:val="00486C02"/>
    <w:rsid w:val="00487BCA"/>
    <w:rsid w:val="004934C3"/>
    <w:rsid w:val="00493E4B"/>
    <w:rsid w:val="00495448"/>
    <w:rsid w:val="0049553B"/>
    <w:rsid w:val="00497A9E"/>
    <w:rsid w:val="004A03D3"/>
    <w:rsid w:val="004A1B4F"/>
    <w:rsid w:val="004A3A07"/>
    <w:rsid w:val="004A3ADD"/>
    <w:rsid w:val="004A7EBA"/>
    <w:rsid w:val="004C069A"/>
    <w:rsid w:val="004C1AFD"/>
    <w:rsid w:val="004C70F2"/>
    <w:rsid w:val="004D17B2"/>
    <w:rsid w:val="004D2235"/>
    <w:rsid w:val="004D5369"/>
    <w:rsid w:val="004D57F9"/>
    <w:rsid w:val="004E2883"/>
    <w:rsid w:val="004E3666"/>
    <w:rsid w:val="004E37B6"/>
    <w:rsid w:val="004E73A5"/>
    <w:rsid w:val="004F1D3F"/>
    <w:rsid w:val="004F6053"/>
    <w:rsid w:val="00500C00"/>
    <w:rsid w:val="0050164C"/>
    <w:rsid w:val="0050626D"/>
    <w:rsid w:val="00506AE2"/>
    <w:rsid w:val="00506C8D"/>
    <w:rsid w:val="005112C2"/>
    <w:rsid w:val="005210F6"/>
    <w:rsid w:val="00523F1D"/>
    <w:rsid w:val="00535715"/>
    <w:rsid w:val="00536C92"/>
    <w:rsid w:val="00540B4E"/>
    <w:rsid w:val="00541571"/>
    <w:rsid w:val="00547C74"/>
    <w:rsid w:val="00551308"/>
    <w:rsid w:val="005525BC"/>
    <w:rsid w:val="00561B71"/>
    <w:rsid w:val="0056491D"/>
    <w:rsid w:val="00566A7C"/>
    <w:rsid w:val="0057678B"/>
    <w:rsid w:val="00576F49"/>
    <w:rsid w:val="005915DB"/>
    <w:rsid w:val="00592856"/>
    <w:rsid w:val="005938D4"/>
    <w:rsid w:val="00597F83"/>
    <w:rsid w:val="005A163B"/>
    <w:rsid w:val="005A376B"/>
    <w:rsid w:val="005A4169"/>
    <w:rsid w:val="005A6758"/>
    <w:rsid w:val="005B1E32"/>
    <w:rsid w:val="005B3B94"/>
    <w:rsid w:val="005B494B"/>
    <w:rsid w:val="005C3102"/>
    <w:rsid w:val="005C31D9"/>
    <w:rsid w:val="005D4204"/>
    <w:rsid w:val="005D5A8D"/>
    <w:rsid w:val="005E4A47"/>
    <w:rsid w:val="005E4D6C"/>
    <w:rsid w:val="005F6DF3"/>
    <w:rsid w:val="005F765C"/>
    <w:rsid w:val="005F777B"/>
    <w:rsid w:val="00614972"/>
    <w:rsid w:val="00621E26"/>
    <w:rsid w:val="00622ADA"/>
    <w:rsid w:val="00630661"/>
    <w:rsid w:val="006363E6"/>
    <w:rsid w:val="0063649B"/>
    <w:rsid w:val="006413E7"/>
    <w:rsid w:val="006479BF"/>
    <w:rsid w:val="00652810"/>
    <w:rsid w:val="00653A73"/>
    <w:rsid w:val="00653F9D"/>
    <w:rsid w:val="00655A16"/>
    <w:rsid w:val="00657ABC"/>
    <w:rsid w:val="00660679"/>
    <w:rsid w:val="00664E33"/>
    <w:rsid w:val="00670347"/>
    <w:rsid w:val="00674628"/>
    <w:rsid w:val="00676C3E"/>
    <w:rsid w:val="00677321"/>
    <w:rsid w:val="00680227"/>
    <w:rsid w:val="00683372"/>
    <w:rsid w:val="006905F4"/>
    <w:rsid w:val="00692793"/>
    <w:rsid w:val="006967B6"/>
    <w:rsid w:val="006A02A5"/>
    <w:rsid w:val="006A0BA7"/>
    <w:rsid w:val="006A27F9"/>
    <w:rsid w:val="006B7305"/>
    <w:rsid w:val="006C1531"/>
    <w:rsid w:val="006D1E71"/>
    <w:rsid w:val="006D2009"/>
    <w:rsid w:val="006D2D4D"/>
    <w:rsid w:val="006D6DB3"/>
    <w:rsid w:val="006E4B1F"/>
    <w:rsid w:val="006F1BC5"/>
    <w:rsid w:val="00701858"/>
    <w:rsid w:val="00704118"/>
    <w:rsid w:val="007116E0"/>
    <w:rsid w:val="00711A25"/>
    <w:rsid w:val="00715399"/>
    <w:rsid w:val="007171EE"/>
    <w:rsid w:val="0072340B"/>
    <w:rsid w:val="00723BC1"/>
    <w:rsid w:val="00732D18"/>
    <w:rsid w:val="007341D9"/>
    <w:rsid w:val="00735D88"/>
    <w:rsid w:val="007400CE"/>
    <w:rsid w:val="00746920"/>
    <w:rsid w:val="0074796E"/>
    <w:rsid w:val="00751F9F"/>
    <w:rsid w:val="00755D3E"/>
    <w:rsid w:val="0078267B"/>
    <w:rsid w:val="007913F6"/>
    <w:rsid w:val="007919BB"/>
    <w:rsid w:val="0079268A"/>
    <w:rsid w:val="007A6019"/>
    <w:rsid w:val="007B63AD"/>
    <w:rsid w:val="007B64F3"/>
    <w:rsid w:val="007B6B35"/>
    <w:rsid w:val="007C119C"/>
    <w:rsid w:val="007C2A14"/>
    <w:rsid w:val="007E3313"/>
    <w:rsid w:val="007E3EB9"/>
    <w:rsid w:val="007E5618"/>
    <w:rsid w:val="007F33DA"/>
    <w:rsid w:val="00801829"/>
    <w:rsid w:val="00801919"/>
    <w:rsid w:val="008068C6"/>
    <w:rsid w:val="008127F1"/>
    <w:rsid w:val="008218E1"/>
    <w:rsid w:val="008223E0"/>
    <w:rsid w:val="008350E4"/>
    <w:rsid w:val="00847528"/>
    <w:rsid w:val="00851F12"/>
    <w:rsid w:val="00853AA3"/>
    <w:rsid w:val="0085777A"/>
    <w:rsid w:val="008637A0"/>
    <w:rsid w:val="0086727C"/>
    <w:rsid w:val="0087070B"/>
    <w:rsid w:val="00871627"/>
    <w:rsid w:val="008720AE"/>
    <w:rsid w:val="00872B3D"/>
    <w:rsid w:val="0087681A"/>
    <w:rsid w:val="0088111D"/>
    <w:rsid w:val="0088236A"/>
    <w:rsid w:val="00886ADE"/>
    <w:rsid w:val="00886BE1"/>
    <w:rsid w:val="00887EF5"/>
    <w:rsid w:val="00890FDB"/>
    <w:rsid w:val="00897335"/>
    <w:rsid w:val="008A0A09"/>
    <w:rsid w:val="008A5420"/>
    <w:rsid w:val="008B7648"/>
    <w:rsid w:val="008C11C9"/>
    <w:rsid w:val="008C436C"/>
    <w:rsid w:val="008D35A2"/>
    <w:rsid w:val="008D5BCE"/>
    <w:rsid w:val="008D5FAA"/>
    <w:rsid w:val="008E2A6D"/>
    <w:rsid w:val="008E528E"/>
    <w:rsid w:val="00905ED5"/>
    <w:rsid w:val="00907159"/>
    <w:rsid w:val="00907764"/>
    <w:rsid w:val="00911CDE"/>
    <w:rsid w:val="009219B7"/>
    <w:rsid w:val="00922D5A"/>
    <w:rsid w:val="00924A1A"/>
    <w:rsid w:val="00924B86"/>
    <w:rsid w:val="009313D5"/>
    <w:rsid w:val="00934A84"/>
    <w:rsid w:val="009418C4"/>
    <w:rsid w:val="00943EAD"/>
    <w:rsid w:val="009455A8"/>
    <w:rsid w:val="00951B93"/>
    <w:rsid w:val="00952C25"/>
    <w:rsid w:val="00954E85"/>
    <w:rsid w:val="0095697D"/>
    <w:rsid w:val="009645E3"/>
    <w:rsid w:val="009701D6"/>
    <w:rsid w:val="00970714"/>
    <w:rsid w:val="00970FB6"/>
    <w:rsid w:val="009735DC"/>
    <w:rsid w:val="009776A4"/>
    <w:rsid w:val="00980722"/>
    <w:rsid w:val="00980725"/>
    <w:rsid w:val="00986B44"/>
    <w:rsid w:val="009929A1"/>
    <w:rsid w:val="00992E9B"/>
    <w:rsid w:val="00993BCE"/>
    <w:rsid w:val="00996DD6"/>
    <w:rsid w:val="009B5EEE"/>
    <w:rsid w:val="009F21B9"/>
    <w:rsid w:val="009F3459"/>
    <w:rsid w:val="009F6BEE"/>
    <w:rsid w:val="00A049B2"/>
    <w:rsid w:val="00A075F0"/>
    <w:rsid w:val="00A1129D"/>
    <w:rsid w:val="00A155E4"/>
    <w:rsid w:val="00A17A82"/>
    <w:rsid w:val="00A24FD6"/>
    <w:rsid w:val="00A25303"/>
    <w:rsid w:val="00A304E9"/>
    <w:rsid w:val="00A457BA"/>
    <w:rsid w:val="00A474F7"/>
    <w:rsid w:val="00A50D49"/>
    <w:rsid w:val="00A54226"/>
    <w:rsid w:val="00A61CEE"/>
    <w:rsid w:val="00A62E54"/>
    <w:rsid w:val="00A66C27"/>
    <w:rsid w:val="00A708F3"/>
    <w:rsid w:val="00A712F3"/>
    <w:rsid w:val="00A72586"/>
    <w:rsid w:val="00A72973"/>
    <w:rsid w:val="00A7552E"/>
    <w:rsid w:val="00A96D71"/>
    <w:rsid w:val="00AA1BD3"/>
    <w:rsid w:val="00AA32C0"/>
    <w:rsid w:val="00AB355D"/>
    <w:rsid w:val="00AB36F0"/>
    <w:rsid w:val="00AB51D9"/>
    <w:rsid w:val="00AD050C"/>
    <w:rsid w:val="00AD3AFB"/>
    <w:rsid w:val="00AD557F"/>
    <w:rsid w:val="00B004EE"/>
    <w:rsid w:val="00B01661"/>
    <w:rsid w:val="00B022A0"/>
    <w:rsid w:val="00B04178"/>
    <w:rsid w:val="00B04D37"/>
    <w:rsid w:val="00B103F4"/>
    <w:rsid w:val="00B11E0F"/>
    <w:rsid w:val="00B17018"/>
    <w:rsid w:val="00B17BEF"/>
    <w:rsid w:val="00B236EB"/>
    <w:rsid w:val="00B31AB8"/>
    <w:rsid w:val="00B32E40"/>
    <w:rsid w:val="00B45F84"/>
    <w:rsid w:val="00B51B7A"/>
    <w:rsid w:val="00B51BC3"/>
    <w:rsid w:val="00B51F89"/>
    <w:rsid w:val="00B52ACA"/>
    <w:rsid w:val="00B535C3"/>
    <w:rsid w:val="00B60E4E"/>
    <w:rsid w:val="00B622E8"/>
    <w:rsid w:val="00B62B10"/>
    <w:rsid w:val="00B70FA6"/>
    <w:rsid w:val="00B71AFE"/>
    <w:rsid w:val="00B75B71"/>
    <w:rsid w:val="00B7692F"/>
    <w:rsid w:val="00B93EA9"/>
    <w:rsid w:val="00BA0A03"/>
    <w:rsid w:val="00BB6424"/>
    <w:rsid w:val="00BC34DB"/>
    <w:rsid w:val="00BC46D3"/>
    <w:rsid w:val="00BC478B"/>
    <w:rsid w:val="00BC497F"/>
    <w:rsid w:val="00BD296E"/>
    <w:rsid w:val="00BD5228"/>
    <w:rsid w:val="00BD6503"/>
    <w:rsid w:val="00BD7CBA"/>
    <w:rsid w:val="00BE431F"/>
    <w:rsid w:val="00BE5A8F"/>
    <w:rsid w:val="00BF1253"/>
    <w:rsid w:val="00BF4698"/>
    <w:rsid w:val="00C01C6F"/>
    <w:rsid w:val="00C06AD9"/>
    <w:rsid w:val="00C15F99"/>
    <w:rsid w:val="00C16474"/>
    <w:rsid w:val="00C23C68"/>
    <w:rsid w:val="00C27BC1"/>
    <w:rsid w:val="00C31A54"/>
    <w:rsid w:val="00C37541"/>
    <w:rsid w:val="00C379BD"/>
    <w:rsid w:val="00C37A29"/>
    <w:rsid w:val="00C42A5B"/>
    <w:rsid w:val="00C43F3F"/>
    <w:rsid w:val="00C44B40"/>
    <w:rsid w:val="00C45255"/>
    <w:rsid w:val="00C45384"/>
    <w:rsid w:val="00C61BD4"/>
    <w:rsid w:val="00C6326B"/>
    <w:rsid w:val="00C67BC3"/>
    <w:rsid w:val="00C76A37"/>
    <w:rsid w:val="00C83E88"/>
    <w:rsid w:val="00C90BE5"/>
    <w:rsid w:val="00C90C15"/>
    <w:rsid w:val="00C91032"/>
    <w:rsid w:val="00C91559"/>
    <w:rsid w:val="00CA6CE3"/>
    <w:rsid w:val="00CB4007"/>
    <w:rsid w:val="00CB45F5"/>
    <w:rsid w:val="00CB69AE"/>
    <w:rsid w:val="00CB7789"/>
    <w:rsid w:val="00CC0704"/>
    <w:rsid w:val="00CC58A4"/>
    <w:rsid w:val="00CC67FE"/>
    <w:rsid w:val="00CE0B0D"/>
    <w:rsid w:val="00CE113C"/>
    <w:rsid w:val="00CE6F33"/>
    <w:rsid w:val="00CF2598"/>
    <w:rsid w:val="00CF6C92"/>
    <w:rsid w:val="00D041E1"/>
    <w:rsid w:val="00D049DF"/>
    <w:rsid w:val="00D06576"/>
    <w:rsid w:val="00D16C07"/>
    <w:rsid w:val="00D22BDD"/>
    <w:rsid w:val="00D36124"/>
    <w:rsid w:val="00D40C0D"/>
    <w:rsid w:val="00D44935"/>
    <w:rsid w:val="00D65BDE"/>
    <w:rsid w:val="00D66A28"/>
    <w:rsid w:val="00D7238A"/>
    <w:rsid w:val="00D73B86"/>
    <w:rsid w:val="00D80282"/>
    <w:rsid w:val="00D80A7D"/>
    <w:rsid w:val="00D8671B"/>
    <w:rsid w:val="00D937CF"/>
    <w:rsid w:val="00DA128D"/>
    <w:rsid w:val="00DA7B03"/>
    <w:rsid w:val="00DB2634"/>
    <w:rsid w:val="00DB33EF"/>
    <w:rsid w:val="00DB4AFF"/>
    <w:rsid w:val="00DB6D4F"/>
    <w:rsid w:val="00DC2DA5"/>
    <w:rsid w:val="00DD48FE"/>
    <w:rsid w:val="00DE56DA"/>
    <w:rsid w:val="00DE6F54"/>
    <w:rsid w:val="00DF2815"/>
    <w:rsid w:val="00DF54FA"/>
    <w:rsid w:val="00E01B8F"/>
    <w:rsid w:val="00E035AC"/>
    <w:rsid w:val="00E035E9"/>
    <w:rsid w:val="00E1352C"/>
    <w:rsid w:val="00E15DD7"/>
    <w:rsid w:val="00E25299"/>
    <w:rsid w:val="00E2772C"/>
    <w:rsid w:val="00E27C07"/>
    <w:rsid w:val="00E3091B"/>
    <w:rsid w:val="00E31C46"/>
    <w:rsid w:val="00E31DDA"/>
    <w:rsid w:val="00E31FE6"/>
    <w:rsid w:val="00E333B7"/>
    <w:rsid w:val="00E4040C"/>
    <w:rsid w:val="00E418BB"/>
    <w:rsid w:val="00E461CF"/>
    <w:rsid w:val="00E50CCE"/>
    <w:rsid w:val="00E77A06"/>
    <w:rsid w:val="00E8165F"/>
    <w:rsid w:val="00E834C2"/>
    <w:rsid w:val="00E853B9"/>
    <w:rsid w:val="00E95EDC"/>
    <w:rsid w:val="00EA076B"/>
    <w:rsid w:val="00EA229F"/>
    <w:rsid w:val="00EC5A89"/>
    <w:rsid w:val="00EC6AC2"/>
    <w:rsid w:val="00ED32EC"/>
    <w:rsid w:val="00ED4C06"/>
    <w:rsid w:val="00ED5808"/>
    <w:rsid w:val="00ED73EC"/>
    <w:rsid w:val="00EE175D"/>
    <w:rsid w:val="00EE332E"/>
    <w:rsid w:val="00EE3579"/>
    <w:rsid w:val="00EE5BDC"/>
    <w:rsid w:val="00EF122A"/>
    <w:rsid w:val="00EF3E5D"/>
    <w:rsid w:val="00EF5201"/>
    <w:rsid w:val="00EF6F7C"/>
    <w:rsid w:val="00F00B90"/>
    <w:rsid w:val="00F03AD6"/>
    <w:rsid w:val="00F06B69"/>
    <w:rsid w:val="00F14590"/>
    <w:rsid w:val="00F14F23"/>
    <w:rsid w:val="00F157DC"/>
    <w:rsid w:val="00F16A4F"/>
    <w:rsid w:val="00F2490D"/>
    <w:rsid w:val="00F362DF"/>
    <w:rsid w:val="00F40B45"/>
    <w:rsid w:val="00F414BE"/>
    <w:rsid w:val="00F41D11"/>
    <w:rsid w:val="00F41D29"/>
    <w:rsid w:val="00F47562"/>
    <w:rsid w:val="00F528BF"/>
    <w:rsid w:val="00F55166"/>
    <w:rsid w:val="00F575CA"/>
    <w:rsid w:val="00F65720"/>
    <w:rsid w:val="00F706D6"/>
    <w:rsid w:val="00F7184C"/>
    <w:rsid w:val="00F753F5"/>
    <w:rsid w:val="00F7764C"/>
    <w:rsid w:val="00FA1D31"/>
    <w:rsid w:val="00FA1DDC"/>
    <w:rsid w:val="00FB2EFC"/>
    <w:rsid w:val="00FC5DC9"/>
    <w:rsid w:val="00FC665E"/>
    <w:rsid w:val="00FE1078"/>
    <w:rsid w:val="00FE3EAD"/>
    <w:rsid w:val="00FF0631"/>
    <w:rsid w:val="00FF7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19" style="mso-position-horizont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15"/>
    <w:pPr>
      <w:spacing w:after="200" w:line="276" w:lineRule="auto"/>
    </w:pPr>
    <w:rPr>
      <w:sz w:val="22"/>
      <w:szCs w:val="22"/>
      <w:lang w:eastAsia="en-US"/>
    </w:rPr>
  </w:style>
  <w:style w:type="paragraph" w:styleId="Heading2">
    <w:name w:val="heading 2"/>
    <w:basedOn w:val="Normal"/>
    <w:next w:val="Normal"/>
    <w:link w:val="Heading2Char"/>
    <w:qFormat/>
    <w:rsid w:val="00B04D37"/>
    <w:pPr>
      <w:keepNext/>
      <w:spacing w:line="240" w:lineRule="auto"/>
      <w:outlineLvl w:val="1"/>
    </w:pPr>
    <w:rPr>
      <w:rFonts w:eastAsia="Times New Roman"/>
      <w:b/>
      <w:color w:val="365F91"/>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422C67"/>
    <w:pPr>
      <w:autoSpaceDE w:val="0"/>
      <w:autoSpaceDN w:val="0"/>
      <w:adjustRightInd w:val="0"/>
      <w:spacing w:after="0" w:line="191" w:lineRule="atLeast"/>
    </w:pPr>
    <w:rPr>
      <w:rFonts w:ascii="Helvetica 45 Light" w:hAnsi="Helvetica 45 Light"/>
      <w:sz w:val="24"/>
      <w:szCs w:val="24"/>
    </w:rPr>
  </w:style>
  <w:style w:type="character" w:customStyle="1" w:styleId="A4">
    <w:name w:val="A4"/>
    <w:uiPriority w:val="99"/>
    <w:rsid w:val="00422C67"/>
    <w:rPr>
      <w:rFonts w:cs="Helvetica 55 Roman"/>
      <w:color w:val="00937E"/>
      <w:sz w:val="52"/>
      <w:szCs w:val="52"/>
    </w:rPr>
  </w:style>
  <w:style w:type="paragraph" w:customStyle="1" w:styleId="Default">
    <w:name w:val="Default"/>
    <w:rsid w:val="00422C67"/>
    <w:pPr>
      <w:autoSpaceDE w:val="0"/>
      <w:autoSpaceDN w:val="0"/>
      <w:adjustRightInd w:val="0"/>
    </w:pPr>
    <w:rPr>
      <w:rFonts w:ascii="Helvetica 55 Roman" w:hAnsi="Helvetica 55 Roman" w:cs="Helvetica 55 Roman"/>
      <w:color w:val="000000"/>
      <w:sz w:val="24"/>
      <w:szCs w:val="24"/>
      <w:lang w:eastAsia="en-US"/>
    </w:rPr>
  </w:style>
  <w:style w:type="character" w:customStyle="1" w:styleId="A1">
    <w:name w:val="A1"/>
    <w:uiPriority w:val="99"/>
    <w:rsid w:val="00422C67"/>
    <w:rPr>
      <w:rFonts w:cs="Helvetica 55 Roman"/>
      <w:b/>
      <w:bCs/>
      <w:color w:val="FFFFFF"/>
      <w:sz w:val="22"/>
      <w:szCs w:val="22"/>
    </w:rPr>
  </w:style>
  <w:style w:type="paragraph" w:customStyle="1" w:styleId="Pa3">
    <w:name w:val="Pa3"/>
    <w:basedOn w:val="Default"/>
    <w:next w:val="Default"/>
    <w:uiPriority w:val="99"/>
    <w:rsid w:val="00422C67"/>
    <w:pPr>
      <w:spacing w:line="191" w:lineRule="atLeast"/>
    </w:pPr>
    <w:rPr>
      <w:rFonts w:cs="Times New Roman"/>
      <w:color w:val="auto"/>
    </w:rPr>
  </w:style>
  <w:style w:type="character" w:customStyle="1" w:styleId="A2">
    <w:name w:val="A2"/>
    <w:uiPriority w:val="99"/>
    <w:rsid w:val="00422C67"/>
    <w:rPr>
      <w:rFonts w:ascii="Helvetica Neue" w:hAnsi="Helvetica Neue" w:cs="Helvetica Neue"/>
      <w:color w:val="FFFFFF"/>
      <w:sz w:val="18"/>
      <w:szCs w:val="18"/>
    </w:rPr>
  </w:style>
  <w:style w:type="paragraph" w:customStyle="1" w:styleId="Pa8">
    <w:name w:val="Pa8"/>
    <w:basedOn w:val="Default"/>
    <w:next w:val="Default"/>
    <w:uiPriority w:val="99"/>
    <w:rsid w:val="00281B57"/>
    <w:pPr>
      <w:spacing w:line="191" w:lineRule="atLeast"/>
    </w:pPr>
    <w:rPr>
      <w:rFonts w:ascii="Helvetica 45 Light" w:hAnsi="Helvetica 45 Light" w:cs="Times New Roman"/>
      <w:color w:val="auto"/>
      <w:lang w:eastAsia="en-AU"/>
    </w:rPr>
  </w:style>
  <w:style w:type="paragraph" w:customStyle="1" w:styleId="Pa9">
    <w:name w:val="Pa9"/>
    <w:basedOn w:val="Default"/>
    <w:next w:val="Default"/>
    <w:uiPriority w:val="99"/>
    <w:rsid w:val="00281B57"/>
    <w:pPr>
      <w:spacing w:line="191" w:lineRule="atLeast"/>
    </w:pPr>
    <w:rPr>
      <w:rFonts w:ascii="Helvetica 45 Light" w:hAnsi="Helvetica 45 Light" w:cs="Times New Roman"/>
      <w:color w:val="auto"/>
      <w:lang w:eastAsia="en-AU"/>
    </w:rPr>
  </w:style>
  <w:style w:type="character" w:customStyle="1" w:styleId="A6">
    <w:name w:val="A6"/>
    <w:uiPriority w:val="99"/>
    <w:rsid w:val="00281B57"/>
    <w:rPr>
      <w:rFonts w:ascii="DIN" w:hAnsi="DIN" w:cs="DIN"/>
      <w:color w:val="00937E"/>
      <w:sz w:val="19"/>
      <w:szCs w:val="19"/>
    </w:rPr>
  </w:style>
  <w:style w:type="paragraph" w:customStyle="1" w:styleId="Pa10">
    <w:name w:val="Pa10"/>
    <w:basedOn w:val="Default"/>
    <w:next w:val="Default"/>
    <w:uiPriority w:val="99"/>
    <w:rsid w:val="00281B57"/>
    <w:pPr>
      <w:spacing w:line="191" w:lineRule="atLeast"/>
    </w:pPr>
    <w:rPr>
      <w:rFonts w:ascii="Helvetica 45 Light" w:hAnsi="Helvetica 45 Light" w:cs="Times New Roman"/>
      <w:color w:val="auto"/>
      <w:lang w:eastAsia="en-AU"/>
    </w:rPr>
  </w:style>
  <w:style w:type="character" w:customStyle="1" w:styleId="A10">
    <w:name w:val="A10"/>
    <w:uiPriority w:val="99"/>
    <w:rsid w:val="00D65BDE"/>
    <w:rPr>
      <w:rFonts w:cs="Helvetica 45 Light"/>
      <w:color w:val="00937E"/>
      <w:sz w:val="60"/>
      <w:szCs w:val="60"/>
    </w:rPr>
  </w:style>
  <w:style w:type="paragraph" w:customStyle="1" w:styleId="Pa19">
    <w:name w:val="Pa19"/>
    <w:basedOn w:val="Default"/>
    <w:next w:val="Default"/>
    <w:uiPriority w:val="99"/>
    <w:rsid w:val="005112C2"/>
    <w:pPr>
      <w:spacing w:line="191" w:lineRule="atLeast"/>
    </w:pPr>
    <w:rPr>
      <w:rFonts w:cs="Times New Roman"/>
      <w:color w:val="auto"/>
      <w:lang w:eastAsia="en-AU"/>
    </w:rPr>
  </w:style>
  <w:style w:type="character" w:customStyle="1" w:styleId="A9">
    <w:name w:val="A9"/>
    <w:uiPriority w:val="99"/>
    <w:rsid w:val="005112C2"/>
    <w:rPr>
      <w:rFonts w:cs="Helvetica 55 Roman"/>
      <w:i/>
      <w:iCs/>
      <w:color w:val="221E1F"/>
    </w:rPr>
  </w:style>
  <w:style w:type="character" w:customStyle="1" w:styleId="A7">
    <w:name w:val="A7"/>
    <w:uiPriority w:val="99"/>
    <w:rsid w:val="00250CE5"/>
    <w:rPr>
      <w:rFonts w:cs="Helvetica 45 Light"/>
      <w:color w:val="00937E"/>
      <w:sz w:val="56"/>
      <w:szCs w:val="56"/>
    </w:rPr>
  </w:style>
  <w:style w:type="paragraph" w:customStyle="1" w:styleId="Pa0">
    <w:name w:val="Pa0"/>
    <w:basedOn w:val="Default"/>
    <w:next w:val="Default"/>
    <w:uiPriority w:val="99"/>
    <w:rsid w:val="00D16C07"/>
    <w:pPr>
      <w:spacing w:line="141" w:lineRule="atLeast"/>
    </w:pPr>
    <w:rPr>
      <w:rFonts w:ascii="Helvetica Neue" w:hAnsi="Helvetica Neue" w:cs="Times New Roman"/>
      <w:color w:val="auto"/>
      <w:lang w:eastAsia="en-AU"/>
    </w:rPr>
  </w:style>
  <w:style w:type="paragraph" w:customStyle="1" w:styleId="Pa1">
    <w:name w:val="Pa1"/>
    <w:basedOn w:val="Default"/>
    <w:next w:val="Default"/>
    <w:uiPriority w:val="99"/>
    <w:rsid w:val="00D16C07"/>
    <w:pPr>
      <w:spacing w:line="141" w:lineRule="atLeast"/>
    </w:pPr>
    <w:rPr>
      <w:rFonts w:ascii="Helvetica Neue" w:hAnsi="Helvetica Neue" w:cs="Times New Roman"/>
      <w:color w:val="auto"/>
      <w:lang w:eastAsia="en-AU"/>
    </w:rPr>
  </w:style>
  <w:style w:type="paragraph" w:customStyle="1" w:styleId="Pa11">
    <w:name w:val="Pa11"/>
    <w:basedOn w:val="Default"/>
    <w:next w:val="Default"/>
    <w:uiPriority w:val="99"/>
    <w:rsid w:val="00D049DF"/>
    <w:pPr>
      <w:spacing w:line="191" w:lineRule="atLeast"/>
    </w:pPr>
    <w:rPr>
      <w:rFonts w:ascii="Museo Sans 300" w:hAnsi="Museo Sans 300" w:cs="Times New Roman"/>
      <w:color w:val="auto"/>
      <w:lang w:eastAsia="en-AU"/>
    </w:rPr>
  </w:style>
  <w:style w:type="character" w:customStyle="1" w:styleId="A8">
    <w:name w:val="A8"/>
    <w:uiPriority w:val="99"/>
    <w:rsid w:val="00D049DF"/>
    <w:rPr>
      <w:rFonts w:cs="Museo Sans 300"/>
      <w:color w:val="808285"/>
      <w:sz w:val="22"/>
      <w:szCs w:val="22"/>
    </w:rPr>
  </w:style>
  <w:style w:type="character" w:customStyle="1" w:styleId="A11">
    <w:name w:val="A11"/>
    <w:uiPriority w:val="99"/>
    <w:rsid w:val="00D049DF"/>
    <w:rPr>
      <w:rFonts w:cs="Museo Sans 300"/>
      <w:color w:val="221E1F"/>
      <w:sz w:val="18"/>
      <w:szCs w:val="18"/>
    </w:rPr>
  </w:style>
  <w:style w:type="paragraph" w:customStyle="1" w:styleId="Pa20">
    <w:name w:val="Pa20"/>
    <w:basedOn w:val="Default"/>
    <w:next w:val="Default"/>
    <w:uiPriority w:val="99"/>
    <w:rsid w:val="00D049DF"/>
    <w:pPr>
      <w:spacing w:line="181" w:lineRule="atLeast"/>
    </w:pPr>
    <w:rPr>
      <w:rFonts w:ascii="Museo Sans 300" w:hAnsi="Museo Sans 300" w:cs="Times New Roman"/>
      <w:color w:val="auto"/>
      <w:lang w:eastAsia="en-AU"/>
    </w:rPr>
  </w:style>
  <w:style w:type="paragraph" w:customStyle="1" w:styleId="Pa22">
    <w:name w:val="Pa22"/>
    <w:basedOn w:val="Default"/>
    <w:next w:val="Default"/>
    <w:uiPriority w:val="99"/>
    <w:rsid w:val="00D049DF"/>
    <w:pPr>
      <w:spacing w:line="181" w:lineRule="atLeast"/>
    </w:pPr>
    <w:rPr>
      <w:rFonts w:ascii="Museo Sans 500" w:hAnsi="Museo Sans 500" w:cs="Times New Roman"/>
      <w:color w:val="auto"/>
      <w:lang w:eastAsia="en-AU"/>
    </w:rPr>
  </w:style>
  <w:style w:type="character" w:styleId="Hyperlink">
    <w:name w:val="Hyperlink"/>
    <w:uiPriority w:val="99"/>
    <w:unhideWhenUsed/>
    <w:rsid w:val="00D049DF"/>
    <w:rPr>
      <w:color w:val="0000FF"/>
      <w:u w:val="single"/>
    </w:rPr>
  </w:style>
  <w:style w:type="paragraph" w:styleId="ListParagraph">
    <w:name w:val="List Paragraph"/>
    <w:basedOn w:val="Normal"/>
    <w:uiPriority w:val="34"/>
    <w:qFormat/>
    <w:rsid w:val="000F228D"/>
    <w:pPr>
      <w:ind w:left="720"/>
      <w:contextualSpacing/>
    </w:pPr>
  </w:style>
  <w:style w:type="paragraph" w:styleId="BalloonText">
    <w:name w:val="Balloon Text"/>
    <w:basedOn w:val="Normal"/>
    <w:link w:val="BalloonTextChar"/>
    <w:uiPriority w:val="99"/>
    <w:semiHidden/>
    <w:unhideWhenUsed/>
    <w:rsid w:val="006967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67B6"/>
    <w:rPr>
      <w:rFonts w:ascii="Tahoma" w:hAnsi="Tahoma" w:cs="Tahoma"/>
      <w:sz w:val="16"/>
      <w:szCs w:val="16"/>
      <w:lang w:eastAsia="en-US"/>
    </w:rPr>
  </w:style>
  <w:style w:type="paragraph" w:styleId="Header">
    <w:name w:val="header"/>
    <w:basedOn w:val="Normal"/>
    <w:link w:val="HeaderChar"/>
    <w:uiPriority w:val="99"/>
    <w:unhideWhenUsed/>
    <w:rsid w:val="00091CA7"/>
    <w:pPr>
      <w:tabs>
        <w:tab w:val="center" w:pos="4513"/>
        <w:tab w:val="right" w:pos="9026"/>
      </w:tabs>
    </w:pPr>
  </w:style>
  <w:style w:type="character" w:customStyle="1" w:styleId="HeaderChar">
    <w:name w:val="Header Char"/>
    <w:link w:val="Header"/>
    <w:uiPriority w:val="99"/>
    <w:rsid w:val="00091CA7"/>
    <w:rPr>
      <w:sz w:val="22"/>
      <w:szCs w:val="22"/>
      <w:lang w:eastAsia="en-US"/>
    </w:rPr>
  </w:style>
  <w:style w:type="paragraph" w:styleId="Footer">
    <w:name w:val="footer"/>
    <w:basedOn w:val="Normal"/>
    <w:link w:val="FooterChar"/>
    <w:uiPriority w:val="99"/>
    <w:unhideWhenUsed/>
    <w:rsid w:val="00091CA7"/>
    <w:pPr>
      <w:tabs>
        <w:tab w:val="center" w:pos="4513"/>
        <w:tab w:val="right" w:pos="9026"/>
      </w:tabs>
    </w:pPr>
  </w:style>
  <w:style w:type="character" w:customStyle="1" w:styleId="FooterChar">
    <w:name w:val="Footer Char"/>
    <w:link w:val="Footer"/>
    <w:uiPriority w:val="99"/>
    <w:rsid w:val="00091CA7"/>
    <w:rPr>
      <w:sz w:val="22"/>
      <w:szCs w:val="22"/>
      <w:lang w:eastAsia="en-US"/>
    </w:rPr>
  </w:style>
  <w:style w:type="paragraph" w:styleId="FootnoteText">
    <w:name w:val="footnote text"/>
    <w:basedOn w:val="Normal"/>
    <w:link w:val="FootnoteTextChar"/>
    <w:uiPriority w:val="99"/>
    <w:semiHidden/>
    <w:unhideWhenUsed/>
    <w:rsid w:val="00FC5DC9"/>
    <w:pPr>
      <w:spacing w:after="0" w:line="240" w:lineRule="auto"/>
    </w:pPr>
    <w:rPr>
      <w:sz w:val="20"/>
      <w:szCs w:val="20"/>
    </w:rPr>
  </w:style>
  <w:style w:type="character" w:customStyle="1" w:styleId="FootnoteTextChar">
    <w:name w:val="Footnote Text Char"/>
    <w:link w:val="FootnoteText"/>
    <w:uiPriority w:val="99"/>
    <w:semiHidden/>
    <w:rsid w:val="00FC5DC9"/>
    <w:rPr>
      <w:rFonts w:ascii="Calibri" w:eastAsia="Calibri" w:hAnsi="Calibri" w:cs="Times New Roman"/>
      <w:lang w:eastAsia="en-US"/>
    </w:rPr>
  </w:style>
  <w:style w:type="character" w:styleId="FootnoteReference">
    <w:name w:val="footnote reference"/>
    <w:uiPriority w:val="99"/>
    <w:semiHidden/>
    <w:unhideWhenUsed/>
    <w:rsid w:val="00FC5DC9"/>
    <w:rPr>
      <w:vertAlign w:val="superscript"/>
    </w:rPr>
  </w:style>
  <w:style w:type="character" w:customStyle="1" w:styleId="Heading2Char">
    <w:name w:val="Heading 2 Char"/>
    <w:link w:val="Heading2"/>
    <w:rsid w:val="00B04D37"/>
    <w:rPr>
      <w:rFonts w:ascii="Calibri" w:eastAsia="Times New Roman" w:hAnsi="Calibri"/>
      <w:b/>
      <w:color w:val="365F91"/>
      <w:sz w:val="24"/>
    </w:rPr>
  </w:style>
  <w:style w:type="character" w:styleId="LineNumber">
    <w:name w:val="line number"/>
    <w:basedOn w:val="DefaultParagraphFont"/>
    <w:rsid w:val="00B04D37"/>
  </w:style>
  <w:style w:type="paragraph" w:styleId="Caption">
    <w:name w:val="caption"/>
    <w:basedOn w:val="Normal"/>
    <w:next w:val="Normal"/>
    <w:uiPriority w:val="35"/>
    <w:unhideWhenUsed/>
    <w:qFormat/>
    <w:rsid w:val="00B04D37"/>
    <w:pPr>
      <w:spacing w:line="240" w:lineRule="auto"/>
    </w:pPr>
    <w:rPr>
      <w:b/>
      <w:bCs/>
      <w:color w:val="365F91"/>
      <w:sz w:val="20"/>
      <w:szCs w:val="18"/>
    </w:rPr>
  </w:style>
  <w:style w:type="table" w:styleId="TableGrid">
    <w:name w:val="Table Grid"/>
    <w:basedOn w:val="TableNormal"/>
    <w:uiPriority w:val="59"/>
    <w:rsid w:val="000D68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859DA"/>
    <w:rPr>
      <w:color w:val="800080"/>
      <w:u w:val="single"/>
    </w:rPr>
  </w:style>
  <w:style w:type="character" w:styleId="CommentReference">
    <w:name w:val="annotation reference"/>
    <w:uiPriority w:val="99"/>
    <w:semiHidden/>
    <w:unhideWhenUsed/>
    <w:rsid w:val="007C119C"/>
    <w:rPr>
      <w:sz w:val="16"/>
      <w:szCs w:val="16"/>
    </w:rPr>
  </w:style>
  <w:style w:type="paragraph" w:styleId="CommentText">
    <w:name w:val="annotation text"/>
    <w:basedOn w:val="Normal"/>
    <w:link w:val="CommentTextChar"/>
    <w:uiPriority w:val="99"/>
    <w:semiHidden/>
    <w:unhideWhenUsed/>
    <w:rsid w:val="007C119C"/>
    <w:rPr>
      <w:sz w:val="20"/>
      <w:szCs w:val="20"/>
    </w:rPr>
  </w:style>
  <w:style w:type="character" w:customStyle="1" w:styleId="CommentTextChar">
    <w:name w:val="Comment Text Char"/>
    <w:link w:val="CommentText"/>
    <w:uiPriority w:val="99"/>
    <w:semiHidden/>
    <w:rsid w:val="007C119C"/>
    <w:rPr>
      <w:lang w:eastAsia="en-US"/>
    </w:rPr>
  </w:style>
  <w:style w:type="paragraph" w:styleId="CommentSubject">
    <w:name w:val="annotation subject"/>
    <w:basedOn w:val="CommentText"/>
    <w:next w:val="CommentText"/>
    <w:link w:val="CommentSubjectChar"/>
    <w:uiPriority w:val="99"/>
    <w:semiHidden/>
    <w:unhideWhenUsed/>
    <w:rsid w:val="007C119C"/>
    <w:rPr>
      <w:b/>
      <w:bCs/>
    </w:rPr>
  </w:style>
  <w:style w:type="character" w:customStyle="1" w:styleId="CommentSubjectChar">
    <w:name w:val="Comment Subject Char"/>
    <w:link w:val="CommentSubject"/>
    <w:uiPriority w:val="99"/>
    <w:semiHidden/>
    <w:rsid w:val="007C119C"/>
    <w:rPr>
      <w:b/>
      <w:bCs/>
      <w:lang w:eastAsia="en-US"/>
    </w:rPr>
  </w:style>
  <w:style w:type="paragraph" w:styleId="NormalWeb">
    <w:name w:val="Normal (Web)"/>
    <w:basedOn w:val="Normal"/>
    <w:uiPriority w:val="99"/>
    <w:semiHidden/>
    <w:unhideWhenUsed/>
    <w:rsid w:val="00B62B10"/>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6413E7"/>
    <w:rPr>
      <w:sz w:val="22"/>
      <w:szCs w:val="22"/>
      <w:lang w:eastAsia="en-US"/>
    </w:rPr>
  </w:style>
  <w:style w:type="paragraph" w:customStyle="1" w:styleId="CertHDWhite">
    <w:name w:val="_CertHDWhite"/>
    <w:uiPriority w:val="3"/>
    <w:rsid w:val="002F28B4"/>
    <w:pPr>
      <w:spacing w:line="440" w:lineRule="atLeast"/>
    </w:pPr>
    <w:rPr>
      <w:rFonts w:eastAsia="Times New Roman" w:cs="Arial"/>
      <w:color w:val="FFFFFF"/>
      <w:sz w:val="40"/>
      <w:szCs w:val="24"/>
      <w:lang w:eastAsia="en-US"/>
    </w:rPr>
  </w:style>
  <w:style w:type="paragraph" w:customStyle="1" w:styleId="ImprintBreak2">
    <w:name w:val="_ImprintBreak2"/>
    <w:uiPriority w:val="9"/>
    <w:rsid w:val="002F28B4"/>
    <w:rPr>
      <w:rFonts w:eastAsia="Times New Roman" w:cs="Arial"/>
      <w:sz w:val="8"/>
      <w:szCs w:val="8"/>
      <w:lang w:eastAsia="en-US"/>
    </w:rPr>
  </w:style>
  <w:style w:type="paragraph" w:customStyle="1" w:styleId="ImprintText">
    <w:name w:val="_ImprintText"/>
    <w:uiPriority w:val="9"/>
    <w:rsid w:val="0000075F"/>
    <w:pPr>
      <w:spacing w:after="85" w:line="170" w:lineRule="atLeast"/>
    </w:pPr>
    <w:rPr>
      <w:rFonts w:eastAsia="Times New Roman" w:cs="Arial"/>
      <w:sz w:val="16"/>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31576">
      <w:bodyDiv w:val="1"/>
      <w:marLeft w:val="0"/>
      <w:marRight w:val="0"/>
      <w:marTop w:val="0"/>
      <w:marBottom w:val="0"/>
      <w:divBdr>
        <w:top w:val="none" w:sz="0" w:space="0" w:color="auto"/>
        <w:left w:val="none" w:sz="0" w:space="0" w:color="auto"/>
        <w:bottom w:val="none" w:sz="0" w:space="0" w:color="auto"/>
        <w:right w:val="none" w:sz="0" w:space="0" w:color="auto"/>
      </w:divBdr>
    </w:div>
    <w:div w:id="1416509163">
      <w:bodyDiv w:val="1"/>
      <w:marLeft w:val="0"/>
      <w:marRight w:val="0"/>
      <w:marTop w:val="0"/>
      <w:marBottom w:val="0"/>
      <w:divBdr>
        <w:top w:val="none" w:sz="0" w:space="0" w:color="auto"/>
        <w:left w:val="none" w:sz="0" w:space="0" w:color="auto"/>
        <w:bottom w:val="none" w:sz="0" w:space="0" w:color="auto"/>
        <w:right w:val="none" w:sz="0" w:space="0" w:color="auto"/>
      </w:divBdr>
    </w:div>
    <w:div w:id="1437477192">
      <w:bodyDiv w:val="1"/>
      <w:marLeft w:val="0"/>
      <w:marRight w:val="0"/>
      <w:marTop w:val="0"/>
      <w:marBottom w:val="0"/>
      <w:divBdr>
        <w:top w:val="none" w:sz="0" w:space="0" w:color="auto"/>
        <w:left w:val="none" w:sz="0" w:space="0" w:color="auto"/>
        <w:bottom w:val="none" w:sz="0" w:space="0" w:color="auto"/>
        <w:right w:val="none" w:sz="0" w:space="0" w:color="auto"/>
      </w:divBdr>
    </w:div>
    <w:div w:id="19401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dtpli.vic.gov.au/data-and-research/population/census-2011/victoria-in-future-201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4.emf"/><Relationship Id="rId6" Type="http://schemas.openxmlformats.org/officeDocument/2006/relationships/image" Target="media/image2.jpe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4.emf"/><Relationship Id="rId6" Type="http://schemas.openxmlformats.org/officeDocument/2006/relationships/image" Target="media/image2.jpe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B15F-E099-40DF-863C-4051947F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12879</CharactersWithSpaces>
  <SharedDoc>false</SharedDoc>
  <HLinks>
    <vt:vector size="18" baseType="variant">
      <vt:variant>
        <vt:i4>7012412</vt:i4>
      </vt:variant>
      <vt:variant>
        <vt:i4>6</vt:i4>
      </vt:variant>
      <vt:variant>
        <vt:i4>0</vt:i4>
      </vt:variant>
      <vt:variant>
        <vt:i4>5</vt:i4>
      </vt:variant>
      <vt:variant>
        <vt:lpwstr>http://www.plosone.org/article/info%3Adoi%2F10.1371%2Fjournal.pone.0108501</vt:lpwstr>
      </vt:variant>
      <vt:variant>
        <vt:lpwstr/>
      </vt:variant>
      <vt:variant>
        <vt:i4>983086</vt:i4>
      </vt:variant>
      <vt:variant>
        <vt:i4>3</vt:i4>
      </vt:variant>
      <vt:variant>
        <vt:i4>0</vt:i4>
      </vt:variant>
      <vt:variant>
        <vt:i4>5</vt:i4>
      </vt:variant>
      <vt:variant>
        <vt:lpwstr>http://abs.gov.au/AUSSTATS/abs@.nsf/Latestproducts/3101.0Main Features1Mar 2014?opendocument&amp;tabname=Summary&amp;prodno=3101.0&amp;issue=Mar%202014&amp;num=&amp;view</vt:lpwstr>
      </vt:variant>
      <vt:variant>
        <vt:lpwstr/>
      </vt:variant>
      <vt:variant>
        <vt:i4>6684725</vt:i4>
      </vt:variant>
      <vt:variant>
        <vt:i4>0</vt:i4>
      </vt:variant>
      <vt:variant>
        <vt:i4>0</vt:i4>
      </vt:variant>
      <vt:variant>
        <vt:i4>5</vt:i4>
      </vt:variant>
      <vt:variant>
        <vt:lpwstr>http://www.data.vic.gov.au/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 Smits</dc:creator>
  <cp:lastModifiedBy>Fiona McKenzie</cp:lastModifiedBy>
  <cp:revision>4</cp:revision>
  <cp:lastPrinted>2015-05-14T07:32:00Z</cp:lastPrinted>
  <dcterms:created xsi:type="dcterms:W3CDTF">2015-05-19T04:29:00Z</dcterms:created>
  <dcterms:modified xsi:type="dcterms:W3CDTF">2015-05-19T04:39:00Z</dcterms:modified>
</cp:coreProperties>
</file>