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2BA8" w14:textId="77777777" w:rsidR="00F25BC8" w:rsidRPr="001E6367" w:rsidRDefault="00F25BC8" w:rsidP="00715522">
      <w:pPr>
        <w:pStyle w:val="Heading2"/>
        <w:spacing w:before="0"/>
      </w:pPr>
      <w:bookmarkStart w:id="0" w:name="_Toc212866445"/>
      <w:bookmarkStart w:id="1" w:name="_Toc213220709"/>
      <w:r w:rsidRPr="001E6367">
        <w:t>Appendix 1: Planning permit requirements for broiler farms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3661"/>
        <w:gridCol w:w="3686"/>
        <w:gridCol w:w="3402"/>
        <w:gridCol w:w="3402"/>
      </w:tblGrid>
      <w:tr w:rsidR="00F25BC8" w:rsidRPr="001F5295" w14:paraId="71CB3A77" w14:textId="77777777" w:rsidTr="00715522">
        <w:trPr>
          <w:cantSplit/>
          <w:trHeight w:val="60"/>
        </w:trPr>
        <w:tc>
          <w:tcPr>
            <w:tcW w:w="2009" w:type="dxa"/>
            <w:vMerge w:val="restart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AEDAE0A" w14:textId="77777777" w:rsidR="00F25BC8" w:rsidRPr="004D2879" w:rsidRDefault="00F25BC8" w:rsidP="007359E7">
            <w:pPr>
              <w:spacing w:before="40" w:after="4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347" w:type="dxa"/>
            <w:gridSpan w:val="2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E3D820C" w14:textId="138ADDA5" w:rsidR="00F25BC8" w:rsidRPr="00FD0BE3" w:rsidRDefault="00F25BC8" w:rsidP="00FD0BE3">
            <w:pPr>
              <w:pStyle w:val="TableHeader"/>
            </w:pPr>
            <w:r w:rsidRPr="004D2879">
              <w:t>APPLICATION FOR A NEW BROILER FARM</w:t>
            </w:r>
          </w:p>
        </w:tc>
        <w:tc>
          <w:tcPr>
            <w:tcW w:w="3402" w:type="dxa"/>
            <w:vMerge w:val="restart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8B2D710" w14:textId="77777777" w:rsidR="00F25BC8" w:rsidRPr="004D2879" w:rsidRDefault="00F25BC8" w:rsidP="00926E7F">
            <w:pPr>
              <w:pStyle w:val="TableHeader"/>
            </w:pPr>
            <w:r w:rsidRPr="004D2879">
              <w:t>APPLICATION TO UPGRADE AN EXISTING BROILER FARM WITH NO INCREASE IN FARM CAPACITY (NUMBER OF CHICKENS)</w:t>
            </w:r>
          </w:p>
          <w:p w14:paraId="4FF125FA" w14:textId="181CE86F" w:rsidR="00F25BC8" w:rsidRPr="007359E7" w:rsidRDefault="00F25BC8" w:rsidP="00926E7F">
            <w:pPr>
              <w:pStyle w:val="TableHeader"/>
              <w:rPr>
                <w:bCs/>
              </w:rPr>
            </w:pPr>
            <w:r w:rsidRPr="007359E7">
              <w:rPr>
                <w:bCs/>
              </w:rPr>
              <w:t>(</w:t>
            </w:r>
            <w:r w:rsidR="007359E7" w:rsidRPr="007359E7">
              <w:rPr>
                <w:bCs/>
              </w:rPr>
              <w:t>Refer to Appendix 2</w:t>
            </w:r>
            <w:r w:rsidRPr="007359E7">
              <w:rPr>
                <w:bCs/>
              </w:rPr>
              <w:t>)</w:t>
            </w:r>
          </w:p>
        </w:tc>
        <w:tc>
          <w:tcPr>
            <w:tcW w:w="3402" w:type="dxa"/>
            <w:vMerge w:val="restart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14AC541" w14:textId="77777777" w:rsidR="00F25BC8" w:rsidRPr="004D2879" w:rsidRDefault="00F25BC8" w:rsidP="00926E7F">
            <w:pPr>
              <w:pStyle w:val="TableHeader"/>
            </w:pPr>
            <w:r w:rsidRPr="004D2879">
              <w:t>ADDING AN OUTDOOR RANGE AREA TO AN EXISTING BROILER FARM</w:t>
            </w:r>
          </w:p>
          <w:p w14:paraId="5C7E3BDB" w14:textId="0BFD0BFE" w:rsidR="00F25BC8" w:rsidRPr="007359E7" w:rsidRDefault="00F25BC8" w:rsidP="00926E7F">
            <w:pPr>
              <w:pStyle w:val="TableHeader"/>
              <w:rPr>
                <w:bCs/>
              </w:rPr>
            </w:pPr>
            <w:r w:rsidRPr="007359E7">
              <w:rPr>
                <w:bCs/>
              </w:rPr>
              <w:t>(</w:t>
            </w:r>
            <w:r w:rsidR="007359E7" w:rsidRPr="007359E7">
              <w:rPr>
                <w:bCs/>
              </w:rPr>
              <w:t xml:space="preserve">Refer to Appendix </w:t>
            </w:r>
            <w:r w:rsidRPr="007359E7">
              <w:rPr>
                <w:bCs/>
              </w:rPr>
              <w:t>3)</w:t>
            </w:r>
          </w:p>
        </w:tc>
      </w:tr>
      <w:tr w:rsidR="00715522" w:rsidRPr="001F5295" w14:paraId="15FC205B" w14:textId="77777777" w:rsidTr="00715522">
        <w:trPr>
          <w:cantSplit/>
          <w:trHeight w:val="290"/>
        </w:trPr>
        <w:tc>
          <w:tcPr>
            <w:tcW w:w="2009" w:type="dxa"/>
            <w:vMerge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C8ED561" w14:textId="77777777" w:rsidR="00F25BC8" w:rsidRPr="004D2879" w:rsidRDefault="00F25BC8" w:rsidP="0048796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3661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972461E" w14:textId="48ED793B" w:rsidR="00F25BC8" w:rsidRPr="00FD0BE3" w:rsidRDefault="00F25BC8" w:rsidP="00FD0BE3">
            <w:pPr>
              <w:pStyle w:val="TableHeader"/>
            </w:pPr>
            <w:r w:rsidRPr="004D2879">
              <w:t>MORE THAN 10,000 CHICKENS</w:t>
            </w:r>
          </w:p>
        </w:tc>
        <w:tc>
          <w:tcPr>
            <w:tcW w:w="3686" w:type="dxa"/>
            <w:shd w:val="clear" w:color="auto" w:fill="FFFFFF"/>
          </w:tcPr>
          <w:p w14:paraId="46AAC9CC" w14:textId="21F968A6" w:rsidR="00F25BC8" w:rsidRPr="00FD0BE3" w:rsidRDefault="00F25BC8" w:rsidP="00FD0BE3">
            <w:pPr>
              <w:pStyle w:val="TableHeader"/>
            </w:pPr>
            <w:r w:rsidRPr="004D2879">
              <w:t>10,000 CHICKENS OR LESS</w:t>
            </w:r>
          </w:p>
        </w:tc>
        <w:tc>
          <w:tcPr>
            <w:tcW w:w="3402" w:type="dxa"/>
            <w:vMerge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10C6D0E" w14:textId="77777777" w:rsidR="00F25BC8" w:rsidRPr="004D2879" w:rsidRDefault="00F25BC8" w:rsidP="0048796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4C072AC" w14:textId="77777777" w:rsidR="00F25BC8" w:rsidRPr="004D2879" w:rsidRDefault="00F25BC8" w:rsidP="0048796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715522" w:rsidRPr="001F5295" w14:paraId="3DEC5429" w14:textId="77777777" w:rsidTr="00715522">
        <w:trPr>
          <w:cantSplit/>
          <w:trHeight w:val="60"/>
        </w:trPr>
        <w:tc>
          <w:tcPr>
            <w:tcW w:w="2009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471FDE2" w14:textId="77777777" w:rsidR="00F25BC8" w:rsidRPr="004D2879" w:rsidRDefault="00F25BC8" w:rsidP="00926E7F">
            <w:pPr>
              <w:pStyle w:val="TableHeader"/>
              <w:jc w:val="left"/>
            </w:pPr>
            <w:r w:rsidRPr="004D2879">
              <w:t>WHAT IS THE NATURE OF THE PROPOSAL?</w:t>
            </w:r>
          </w:p>
        </w:tc>
        <w:tc>
          <w:tcPr>
            <w:tcW w:w="3661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A7DCCBA" w14:textId="521AC688" w:rsidR="00F25BC8" w:rsidRPr="00BA38F2" w:rsidRDefault="00F25BC8" w:rsidP="00C7284B">
            <w:pPr>
              <w:pStyle w:val="TableText"/>
            </w:pPr>
            <w:r w:rsidRPr="00BA38F2">
              <w:t>A new broiler farm with a farm capacity of more than 10,000 chickens.</w:t>
            </w:r>
          </w:p>
        </w:tc>
        <w:tc>
          <w:tcPr>
            <w:tcW w:w="3686" w:type="dxa"/>
            <w:shd w:val="clear" w:color="auto" w:fill="FFFFFF"/>
          </w:tcPr>
          <w:p w14:paraId="5723C825" w14:textId="77777777" w:rsidR="00F25BC8" w:rsidRPr="004D2879" w:rsidRDefault="00F25BC8" w:rsidP="00C7284B">
            <w:pPr>
              <w:pStyle w:val="TableText"/>
              <w:ind w:left="54"/>
            </w:pPr>
            <w:r w:rsidRPr="004D2879">
              <w:t>A new broiler farm with a capacity of 10,000 chickens or less.</w:t>
            </w:r>
          </w:p>
          <w:p w14:paraId="12C225B6" w14:textId="77777777" w:rsidR="00F25BC8" w:rsidRPr="00BA38F2" w:rsidRDefault="00F25BC8" w:rsidP="00C7284B">
            <w:pPr>
              <w:pStyle w:val="TableText"/>
              <w:ind w:left="54"/>
            </w:pP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D2D6AAB" w14:textId="77777777" w:rsidR="00F25BC8" w:rsidRPr="004D2879" w:rsidRDefault="00F25BC8" w:rsidP="00B82543">
            <w:pPr>
              <w:pStyle w:val="TableText"/>
            </w:pPr>
            <w:r w:rsidRPr="004D2879">
              <w:t xml:space="preserve">A typical </w:t>
            </w:r>
            <w:r w:rsidRPr="001F61E7">
              <w:t>farm</w:t>
            </w:r>
            <w:r w:rsidRPr="004D2879">
              <w:t xml:space="preserve"> upgrade includes:</w:t>
            </w:r>
          </w:p>
          <w:p w14:paraId="1261FAC4" w14:textId="77777777" w:rsidR="00F25BC8" w:rsidRPr="004D2879" w:rsidRDefault="00F25BC8" w:rsidP="00BA38F2">
            <w:pPr>
              <w:pStyle w:val="TableBullet"/>
            </w:pPr>
            <w:r w:rsidRPr="004D2879">
              <w:t>An increase in floor area of existing sheds or the replacement of existing sheds, including re-orientation of sheds on site.</w:t>
            </w:r>
          </w:p>
          <w:p w14:paraId="53DDE01B" w14:textId="77777777" w:rsidR="00F25BC8" w:rsidRPr="00BA38F2" w:rsidRDefault="00F25BC8" w:rsidP="00BA38F2">
            <w:pPr>
              <w:pStyle w:val="TableBullet"/>
            </w:pPr>
            <w:r w:rsidRPr="004D2879">
              <w:t>A conversion or upgrade of the existing ventilation system from natural ventilation to a tunnel or fan assisted ventilation system.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1EB60C7" w14:textId="77777777" w:rsidR="00F25BC8" w:rsidRPr="004D2879" w:rsidRDefault="00F25BC8" w:rsidP="00B82543">
            <w:pPr>
              <w:pStyle w:val="TableText"/>
            </w:pPr>
            <w:r w:rsidRPr="004D2879">
              <w:t>An outdoor range area is added to an established broiler farm.</w:t>
            </w:r>
          </w:p>
        </w:tc>
      </w:tr>
      <w:tr w:rsidR="00715522" w:rsidRPr="001F5295" w14:paraId="7FBB031F" w14:textId="77777777" w:rsidTr="00715522">
        <w:trPr>
          <w:cantSplit/>
          <w:trHeight w:val="60"/>
        </w:trPr>
        <w:tc>
          <w:tcPr>
            <w:tcW w:w="2009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E6586A2" w14:textId="77777777" w:rsidR="00F25BC8" w:rsidRPr="004D2879" w:rsidRDefault="00F25BC8" w:rsidP="00926E7F">
            <w:pPr>
              <w:pStyle w:val="TableHeader"/>
              <w:jc w:val="left"/>
            </w:pPr>
            <w:r w:rsidRPr="004D2879">
              <w:t>IS PLANNING APPROVAL REQUIRED?</w:t>
            </w:r>
          </w:p>
        </w:tc>
        <w:tc>
          <w:tcPr>
            <w:tcW w:w="3661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7EAC840" w14:textId="77777777" w:rsidR="00F25BC8" w:rsidRPr="001F61E7" w:rsidRDefault="00F25BC8" w:rsidP="00F31D6D">
            <w:pPr>
              <w:pStyle w:val="TableNote"/>
              <w:ind w:left="0"/>
            </w:pPr>
            <w:r w:rsidRPr="004D2879">
              <w:t xml:space="preserve">Yes </w:t>
            </w:r>
          </w:p>
        </w:tc>
        <w:tc>
          <w:tcPr>
            <w:tcW w:w="3686" w:type="dxa"/>
            <w:shd w:val="clear" w:color="auto" w:fill="FFFFFF"/>
          </w:tcPr>
          <w:p w14:paraId="5510F918" w14:textId="77777777" w:rsidR="00F25BC8" w:rsidRPr="001F61E7" w:rsidRDefault="00F25BC8" w:rsidP="00F31D6D">
            <w:pPr>
              <w:pStyle w:val="TableNote"/>
            </w:pPr>
            <w:r w:rsidRPr="004D2879">
              <w:t xml:space="preserve">No </w:t>
            </w:r>
          </w:p>
          <w:p w14:paraId="0730F041" w14:textId="77777777" w:rsidR="00F25BC8" w:rsidRPr="004D2879" w:rsidRDefault="00F25BC8" w:rsidP="00C7284B">
            <w:pPr>
              <w:pStyle w:val="TableText"/>
              <w:ind w:left="54"/>
            </w:pPr>
            <w:r w:rsidRPr="004D2879">
              <w:t>For farms with 100 chickens or less</w:t>
            </w:r>
          </w:p>
          <w:p w14:paraId="7B7D9B9E" w14:textId="77777777" w:rsidR="00F25BC8" w:rsidRPr="001F61E7" w:rsidRDefault="00F25BC8" w:rsidP="00F31D6D">
            <w:pPr>
              <w:pStyle w:val="TableNote"/>
            </w:pPr>
            <w:r w:rsidRPr="004D2879">
              <w:t xml:space="preserve">Yes </w:t>
            </w:r>
          </w:p>
          <w:p w14:paraId="1CC7EA78" w14:textId="6E96FBE4" w:rsidR="00F25BC8" w:rsidRPr="001F61E7" w:rsidRDefault="00F25BC8" w:rsidP="00C7284B">
            <w:pPr>
              <w:pStyle w:val="TableText"/>
              <w:ind w:left="54"/>
            </w:pPr>
            <w:r w:rsidRPr="004D2879">
              <w:t>For farms with more than 100 chickens</w:t>
            </w:r>
            <w:r w:rsidR="007359E7">
              <w:t>.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C7AD0FD" w14:textId="77777777" w:rsidR="00F25BC8" w:rsidRPr="001F61E7" w:rsidRDefault="00F25BC8" w:rsidP="00520B73">
            <w:pPr>
              <w:pStyle w:val="TableNote"/>
              <w:ind w:left="0"/>
            </w:pPr>
            <w:r w:rsidRPr="00B82543">
              <w:t>No</w:t>
            </w:r>
            <w:r w:rsidRPr="004D2879">
              <w:t xml:space="preserve"> </w:t>
            </w:r>
          </w:p>
          <w:p w14:paraId="4EB05A1E" w14:textId="77777777" w:rsidR="00F25BC8" w:rsidRPr="004D2879" w:rsidRDefault="00F25BC8" w:rsidP="00487967">
            <w:pPr>
              <w:spacing w:after="0" w:line="0" w:lineRule="atLeast"/>
              <w:contextualSpacing/>
              <w:rPr>
                <w:sz w:val="16"/>
                <w:szCs w:val="16"/>
              </w:rPr>
            </w:pPr>
            <w:r w:rsidRPr="004D2879">
              <w:rPr>
                <w:sz w:val="16"/>
                <w:szCs w:val="16"/>
              </w:rPr>
              <w:t>For farms with 100 chickens or less</w:t>
            </w:r>
          </w:p>
          <w:p w14:paraId="5E7E136D" w14:textId="77777777" w:rsidR="00F25BC8" w:rsidRPr="004D2879" w:rsidRDefault="00F25BC8" w:rsidP="00487967">
            <w:pPr>
              <w:spacing w:after="0" w:line="0" w:lineRule="atLeast"/>
              <w:contextualSpacing/>
              <w:rPr>
                <w:b/>
                <w:sz w:val="16"/>
                <w:szCs w:val="16"/>
              </w:rPr>
            </w:pPr>
            <w:r w:rsidRPr="004D2879">
              <w:rPr>
                <w:b/>
                <w:sz w:val="16"/>
                <w:szCs w:val="16"/>
              </w:rPr>
              <w:t>Yes</w:t>
            </w:r>
          </w:p>
          <w:p w14:paraId="25BC3755" w14:textId="77777777" w:rsidR="00F25BC8" w:rsidRPr="004D2879" w:rsidRDefault="00F25BC8" w:rsidP="00487967">
            <w:pPr>
              <w:spacing w:after="0" w:line="0" w:lineRule="atLeast"/>
              <w:contextualSpacing/>
              <w:rPr>
                <w:sz w:val="16"/>
                <w:szCs w:val="16"/>
              </w:rPr>
            </w:pPr>
            <w:r w:rsidRPr="004D2879">
              <w:rPr>
                <w:sz w:val="16"/>
                <w:szCs w:val="16"/>
              </w:rPr>
              <w:t>For farms with more than 100 chickens where existing use rights do not apply.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0A37F96" w14:textId="77777777" w:rsidR="00F25BC8" w:rsidRPr="001F61E7" w:rsidRDefault="00F25BC8" w:rsidP="00520B73">
            <w:pPr>
              <w:pStyle w:val="TableNote"/>
              <w:ind w:left="0"/>
            </w:pPr>
            <w:r w:rsidRPr="001F61E7">
              <w:t>No</w:t>
            </w:r>
          </w:p>
          <w:p w14:paraId="5B6270D0" w14:textId="77777777" w:rsidR="00F25BC8" w:rsidRPr="004D2879" w:rsidRDefault="00F25BC8" w:rsidP="00B82543">
            <w:pPr>
              <w:pStyle w:val="TableText"/>
            </w:pPr>
            <w:r w:rsidRPr="004D2879">
              <w:t xml:space="preserve">When the requirements of Clause 53.09-2 are met. </w:t>
            </w:r>
          </w:p>
          <w:p w14:paraId="6A8EB4CD" w14:textId="77777777" w:rsidR="00F25BC8" w:rsidRPr="004D2879" w:rsidRDefault="00F25BC8" w:rsidP="00B82543">
            <w:pPr>
              <w:pStyle w:val="TableText"/>
            </w:pPr>
            <w:r w:rsidRPr="004D2879">
              <w:t>Refer to Appendix 3.</w:t>
            </w:r>
          </w:p>
        </w:tc>
      </w:tr>
      <w:tr w:rsidR="00715522" w:rsidRPr="001F5295" w14:paraId="7592135D" w14:textId="77777777" w:rsidTr="00715522">
        <w:trPr>
          <w:cantSplit/>
          <w:trHeight w:val="60"/>
        </w:trPr>
        <w:tc>
          <w:tcPr>
            <w:tcW w:w="2009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473B69F" w14:textId="77777777" w:rsidR="00F25BC8" w:rsidRPr="004D2879" w:rsidRDefault="00F25BC8" w:rsidP="00926E7F">
            <w:pPr>
              <w:pStyle w:val="TableHeader"/>
              <w:jc w:val="left"/>
            </w:pPr>
            <w:r w:rsidRPr="004D2879">
              <w:t>DOES THE BROILER CODE 2009 (PLUS 2018 AMENDMENTS) APPLY?</w:t>
            </w:r>
          </w:p>
        </w:tc>
        <w:tc>
          <w:tcPr>
            <w:tcW w:w="3661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631BD11" w14:textId="77777777" w:rsidR="00F25BC8" w:rsidRPr="001F61E7" w:rsidRDefault="00F25BC8" w:rsidP="00F31D6D">
            <w:pPr>
              <w:pStyle w:val="TableNote"/>
              <w:ind w:left="0"/>
            </w:pPr>
            <w:r w:rsidRPr="004D2879">
              <w:t xml:space="preserve">Yes </w:t>
            </w:r>
          </w:p>
          <w:p w14:paraId="5D2EFDB4" w14:textId="77777777" w:rsidR="00F25BC8" w:rsidRPr="001F61E7" w:rsidRDefault="00F25BC8" w:rsidP="00F31D6D">
            <w:pPr>
              <w:pStyle w:val="TableNote"/>
            </w:pPr>
          </w:p>
        </w:tc>
        <w:tc>
          <w:tcPr>
            <w:tcW w:w="3686" w:type="dxa"/>
            <w:shd w:val="clear" w:color="auto" w:fill="FFFFFF"/>
          </w:tcPr>
          <w:p w14:paraId="6EC7DBFF" w14:textId="77777777" w:rsidR="00F25BC8" w:rsidRPr="001F61E7" w:rsidRDefault="00F25BC8" w:rsidP="00F31D6D">
            <w:pPr>
              <w:pStyle w:val="TableNote"/>
            </w:pPr>
            <w:r w:rsidRPr="004D2879">
              <w:t>No</w:t>
            </w:r>
          </w:p>
          <w:p w14:paraId="044FBE46" w14:textId="77777777" w:rsidR="00F25BC8" w:rsidRPr="001F61E7" w:rsidRDefault="00F25BC8" w:rsidP="00F31D6D">
            <w:pPr>
              <w:pStyle w:val="TableNote"/>
            </w:pP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24347FE" w14:textId="77777777" w:rsidR="00F25BC8" w:rsidRPr="001F61E7" w:rsidRDefault="00F25BC8" w:rsidP="00520B73">
            <w:pPr>
              <w:pStyle w:val="TableNote"/>
              <w:ind w:left="0"/>
            </w:pPr>
            <w:r w:rsidRPr="004D2879">
              <w:t>No</w:t>
            </w:r>
          </w:p>
          <w:p w14:paraId="6A2D9677" w14:textId="77777777" w:rsidR="00F25BC8" w:rsidRPr="004D2879" w:rsidRDefault="00F25BC8" w:rsidP="00487967">
            <w:pPr>
              <w:spacing w:after="0" w:line="0" w:lineRule="atLeast"/>
              <w:contextualSpacing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1F2401A" w14:textId="77777777" w:rsidR="00F25BC8" w:rsidRPr="001F61E7" w:rsidRDefault="00F25BC8" w:rsidP="00520B73">
            <w:pPr>
              <w:pStyle w:val="TableNote"/>
              <w:ind w:left="0"/>
            </w:pPr>
            <w:r w:rsidRPr="001F61E7">
              <w:t>No</w:t>
            </w:r>
          </w:p>
        </w:tc>
      </w:tr>
      <w:tr w:rsidR="00715522" w:rsidRPr="001F5295" w14:paraId="16FA4BE8" w14:textId="77777777" w:rsidTr="00715522">
        <w:trPr>
          <w:cantSplit/>
          <w:trHeight w:val="60"/>
        </w:trPr>
        <w:tc>
          <w:tcPr>
            <w:tcW w:w="2009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FFDC29A" w14:textId="77777777" w:rsidR="00F25BC8" w:rsidRPr="004D2879" w:rsidRDefault="00F25BC8" w:rsidP="00926E7F">
            <w:pPr>
              <w:pStyle w:val="TableHeader"/>
              <w:jc w:val="left"/>
            </w:pPr>
            <w:r w:rsidRPr="004D2879">
              <w:t>IS AN ENVIRONMENTAL MANAGEMENT PLAN OR AUDIT REQUIRED?</w:t>
            </w:r>
          </w:p>
        </w:tc>
        <w:tc>
          <w:tcPr>
            <w:tcW w:w="3661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51F9CD5" w14:textId="77777777" w:rsidR="00F25BC8" w:rsidRPr="001F61E7" w:rsidRDefault="00F25BC8" w:rsidP="00F31D6D">
            <w:pPr>
              <w:pStyle w:val="TableNote"/>
              <w:ind w:left="0"/>
            </w:pPr>
            <w:r w:rsidRPr="004D2879">
              <w:t xml:space="preserve">Yes </w:t>
            </w:r>
          </w:p>
          <w:p w14:paraId="68D08034" w14:textId="77777777" w:rsidR="00F25BC8" w:rsidRPr="001F61E7" w:rsidRDefault="00F25BC8" w:rsidP="00F31D6D">
            <w:pPr>
              <w:pStyle w:val="TableNote"/>
            </w:pPr>
          </w:p>
        </w:tc>
        <w:tc>
          <w:tcPr>
            <w:tcW w:w="3686" w:type="dxa"/>
            <w:shd w:val="clear" w:color="auto" w:fill="FFFFFF"/>
          </w:tcPr>
          <w:p w14:paraId="21D32927" w14:textId="77777777" w:rsidR="00F25BC8" w:rsidRPr="001F61E7" w:rsidRDefault="00F25BC8" w:rsidP="00F31D6D">
            <w:pPr>
              <w:pStyle w:val="TableNote"/>
            </w:pPr>
            <w:r w:rsidRPr="004D2879">
              <w:t>No</w:t>
            </w:r>
          </w:p>
          <w:p w14:paraId="3F79DA3F" w14:textId="314A42E1" w:rsidR="00F25BC8" w:rsidRPr="004D2879" w:rsidRDefault="00F25BC8" w:rsidP="00C7284B">
            <w:pPr>
              <w:tabs>
                <w:tab w:val="clear" w:pos="357"/>
              </w:tabs>
              <w:spacing w:after="0" w:line="0" w:lineRule="atLeast"/>
              <w:ind w:left="54"/>
              <w:contextualSpacing/>
              <w:rPr>
                <w:sz w:val="16"/>
                <w:szCs w:val="16"/>
              </w:rPr>
            </w:pPr>
            <w:r w:rsidRPr="004D2879">
              <w:rPr>
                <w:sz w:val="16"/>
                <w:szCs w:val="16"/>
              </w:rPr>
              <w:t>See also the Victorian Low Density Mobile Outdoor Poultry Farm Planning Permit Guidelines</w:t>
            </w:r>
            <w:r w:rsidR="007359E7">
              <w:rPr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E79B59B" w14:textId="13B53FDF" w:rsidR="00F25BC8" w:rsidRPr="004D2879" w:rsidRDefault="00F25BC8" w:rsidP="007359E7">
            <w:pPr>
              <w:spacing w:after="0" w:line="0" w:lineRule="atLeast"/>
              <w:contextualSpacing/>
              <w:rPr>
                <w:sz w:val="16"/>
                <w:szCs w:val="16"/>
              </w:rPr>
            </w:pPr>
            <w:r w:rsidRPr="004D2879">
              <w:rPr>
                <w:sz w:val="16"/>
                <w:szCs w:val="16"/>
              </w:rPr>
              <w:t>Council to decide.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E38D79E" w14:textId="77777777" w:rsidR="00F25BC8" w:rsidRPr="004D2879" w:rsidRDefault="00F25BC8" w:rsidP="00B82543">
            <w:pPr>
              <w:pStyle w:val="TableText"/>
            </w:pPr>
            <w:r w:rsidRPr="004D2879">
              <w:t>Council to decide.</w:t>
            </w:r>
          </w:p>
          <w:p w14:paraId="623E9C2D" w14:textId="097C1E72" w:rsidR="00F25BC8" w:rsidRPr="004D2879" w:rsidRDefault="00F25BC8" w:rsidP="00B82543">
            <w:pPr>
              <w:pStyle w:val="TableText"/>
            </w:pPr>
            <w:r w:rsidRPr="004D2879">
              <w:t>When a planning permit is required.</w:t>
            </w:r>
          </w:p>
        </w:tc>
      </w:tr>
      <w:tr w:rsidR="00715522" w:rsidRPr="001F5295" w14:paraId="5874EBEB" w14:textId="77777777" w:rsidTr="00715522">
        <w:trPr>
          <w:cantSplit/>
          <w:trHeight w:val="60"/>
        </w:trPr>
        <w:tc>
          <w:tcPr>
            <w:tcW w:w="2009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B3EC9CB" w14:textId="77777777" w:rsidR="00F25BC8" w:rsidRPr="004D2879" w:rsidRDefault="00F25BC8" w:rsidP="00926E7F">
            <w:pPr>
              <w:pStyle w:val="TableHeader"/>
              <w:jc w:val="left"/>
            </w:pPr>
            <w:r w:rsidRPr="004D2879">
              <w:t>IS AN ODOUR ENVIRONMENTAL RISK ASSESSMENT REQUIRED?</w:t>
            </w:r>
          </w:p>
        </w:tc>
        <w:tc>
          <w:tcPr>
            <w:tcW w:w="3661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2D0214C" w14:textId="77777777" w:rsidR="00F25BC8" w:rsidRPr="004D2879" w:rsidRDefault="00F25BC8" w:rsidP="00C7284B">
            <w:pPr>
              <w:spacing w:after="0" w:line="0" w:lineRule="atLeast"/>
              <w:contextualSpacing/>
              <w:rPr>
                <w:b/>
                <w:sz w:val="16"/>
                <w:szCs w:val="16"/>
              </w:rPr>
            </w:pPr>
            <w:r w:rsidRPr="004D2879">
              <w:rPr>
                <w:b/>
                <w:sz w:val="16"/>
                <w:szCs w:val="16"/>
              </w:rPr>
              <w:t>No</w:t>
            </w:r>
          </w:p>
          <w:p w14:paraId="159A556D" w14:textId="77777777" w:rsidR="00F25BC8" w:rsidRPr="004D2879" w:rsidRDefault="00F25BC8" w:rsidP="00C7284B">
            <w:pPr>
              <w:pStyle w:val="TableText"/>
            </w:pPr>
            <w:r w:rsidRPr="004D2879">
              <w:t xml:space="preserve">For Class A </w:t>
            </w:r>
            <w:r w:rsidRPr="00B82543">
              <w:t>and</w:t>
            </w:r>
            <w:r w:rsidRPr="004D2879">
              <w:t xml:space="preserve"> B Broiler Farms.</w:t>
            </w:r>
          </w:p>
          <w:p w14:paraId="5CCBF0E4" w14:textId="77777777" w:rsidR="00F25BC8" w:rsidRPr="004D2879" w:rsidRDefault="00F25BC8" w:rsidP="00C7284B">
            <w:pPr>
              <w:spacing w:after="0" w:line="0" w:lineRule="atLeast"/>
              <w:contextualSpacing/>
              <w:rPr>
                <w:b/>
                <w:sz w:val="16"/>
                <w:szCs w:val="16"/>
              </w:rPr>
            </w:pPr>
            <w:r w:rsidRPr="004D2879">
              <w:rPr>
                <w:b/>
                <w:sz w:val="16"/>
                <w:szCs w:val="16"/>
              </w:rPr>
              <w:t>Yes</w:t>
            </w:r>
          </w:p>
          <w:p w14:paraId="16E540CF" w14:textId="77777777" w:rsidR="00F25BC8" w:rsidRPr="004D2879" w:rsidRDefault="00F25BC8" w:rsidP="00C7284B">
            <w:pPr>
              <w:pStyle w:val="TableText"/>
            </w:pPr>
            <w:r w:rsidRPr="004D2879">
              <w:t xml:space="preserve">For Special Class and Farm Cluster Broiler Farms. </w:t>
            </w:r>
          </w:p>
          <w:p w14:paraId="73F400D7" w14:textId="77777777" w:rsidR="00F25BC8" w:rsidRPr="004D2879" w:rsidRDefault="00F25BC8" w:rsidP="00C7284B">
            <w:pPr>
              <w:pStyle w:val="TableText"/>
            </w:pPr>
            <w:r w:rsidRPr="004D2879">
              <w:t xml:space="preserve">Refer </w:t>
            </w:r>
            <w:r w:rsidRPr="00B82543">
              <w:t>to</w:t>
            </w:r>
            <w:r w:rsidRPr="004D2879">
              <w:t xml:space="preserve"> the Broiler Code 2009 (plus 2018 amendments).</w:t>
            </w:r>
          </w:p>
        </w:tc>
        <w:tc>
          <w:tcPr>
            <w:tcW w:w="3686" w:type="dxa"/>
            <w:shd w:val="clear" w:color="auto" w:fill="FFFFFF"/>
          </w:tcPr>
          <w:p w14:paraId="72D1286C" w14:textId="77777777" w:rsidR="00F25BC8" w:rsidRPr="004D2879" w:rsidRDefault="00F25BC8" w:rsidP="00F31D6D">
            <w:pPr>
              <w:pStyle w:val="TableNote"/>
            </w:pPr>
            <w:r w:rsidRPr="004D2879">
              <w:t>No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D089BDD" w14:textId="77777777" w:rsidR="00F25BC8" w:rsidRPr="004D2879" w:rsidRDefault="00F25BC8" w:rsidP="00520B73">
            <w:pPr>
              <w:pStyle w:val="TableNote"/>
              <w:ind w:left="0"/>
            </w:pPr>
            <w:r w:rsidRPr="004D2879">
              <w:t>No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E504507" w14:textId="77777777" w:rsidR="00F25BC8" w:rsidRPr="001F61E7" w:rsidRDefault="00F25BC8" w:rsidP="00520B73">
            <w:pPr>
              <w:pStyle w:val="TableNote"/>
              <w:ind w:left="0"/>
            </w:pPr>
            <w:r w:rsidRPr="001F61E7">
              <w:t>No</w:t>
            </w:r>
          </w:p>
        </w:tc>
      </w:tr>
      <w:tr w:rsidR="00715522" w:rsidRPr="001F5295" w14:paraId="4016C82E" w14:textId="77777777" w:rsidTr="00715522">
        <w:trPr>
          <w:cantSplit/>
          <w:trHeight w:val="60"/>
        </w:trPr>
        <w:tc>
          <w:tcPr>
            <w:tcW w:w="2009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88B7010" w14:textId="77777777" w:rsidR="00F25BC8" w:rsidRPr="004D2879" w:rsidRDefault="00F25BC8" w:rsidP="00926E7F">
            <w:pPr>
              <w:pStyle w:val="TableHeader"/>
              <w:jc w:val="left"/>
            </w:pPr>
            <w:r w:rsidRPr="004D2879">
              <w:t>DOES NOTICE AND REVIEW APPLY?</w:t>
            </w:r>
          </w:p>
        </w:tc>
        <w:tc>
          <w:tcPr>
            <w:tcW w:w="3661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856D98C" w14:textId="77777777" w:rsidR="00F25BC8" w:rsidRPr="001F61E7" w:rsidRDefault="00F25BC8" w:rsidP="00F31D6D">
            <w:pPr>
              <w:pStyle w:val="TableNote"/>
              <w:ind w:left="0"/>
            </w:pPr>
            <w:r w:rsidRPr="004D2879">
              <w:t>No</w:t>
            </w:r>
          </w:p>
          <w:p w14:paraId="76E4B17D" w14:textId="77777777" w:rsidR="00F25BC8" w:rsidRPr="004D2879" w:rsidRDefault="00F25BC8" w:rsidP="00C7284B">
            <w:pPr>
              <w:spacing w:after="0" w:line="0" w:lineRule="atLeast"/>
              <w:contextualSpacing/>
              <w:rPr>
                <w:sz w:val="16"/>
                <w:szCs w:val="16"/>
              </w:rPr>
            </w:pPr>
            <w:r w:rsidRPr="004D2879">
              <w:rPr>
                <w:sz w:val="16"/>
                <w:szCs w:val="16"/>
              </w:rPr>
              <w:t xml:space="preserve">If exemptions apply. </w:t>
            </w:r>
            <w:r w:rsidRPr="004D2879">
              <w:rPr>
                <w:sz w:val="16"/>
                <w:szCs w:val="16"/>
              </w:rPr>
              <w:br/>
              <w:t>Refer to Clause 53.09-4 as exemptions may apply depending on the farm class.</w:t>
            </w:r>
          </w:p>
          <w:p w14:paraId="3E79FC40" w14:textId="77777777" w:rsidR="00F25BC8" w:rsidRPr="001F61E7" w:rsidRDefault="00F25BC8" w:rsidP="00F31D6D">
            <w:pPr>
              <w:pStyle w:val="TableNote"/>
              <w:ind w:left="0"/>
            </w:pPr>
            <w:r w:rsidRPr="004D2879">
              <w:t>Yes</w:t>
            </w:r>
          </w:p>
          <w:p w14:paraId="68CEF632" w14:textId="77777777" w:rsidR="00F25BC8" w:rsidRPr="004D2879" w:rsidRDefault="00F25BC8" w:rsidP="00C7284B">
            <w:pPr>
              <w:pStyle w:val="TableBullet"/>
              <w:ind w:left="0" w:hanging="176"/>
            </w:pPr>
            <w:r w:rsidRPr="004D2879">
              <w:t xml:space="preserve">If no exemptions apply and council decides to give notice in accordance with s52(1) of the </w:t>
            </w:r>
            <w:r w:rsidRPr="004D2879">
              <w:rPr>
                <w:i/>
              </w:rPr>
              <w:t>Planning and Environment Act 1987.</w:t>
            </w:r>
          </w:p>
          <w:p w14:paraId="66C7B8EC" w14:textId="77777777" w:rsidR="00F25BC8" w:rsidRPr="004D2879" w:rsidRDefault="00F25BC8" w:rsidP="00C7284B">
            <w:pPr>
              <w:pStyle w:val="TableBullet"/>
              <w:ind w:left="0" w:hanging="176"/>
              <w:rPr>
                <w:b/>
              </w:rPr>
            </w:pPr>
            <w:r w:rsidRPr="004D2879">
              <w:t xml:space="preserve">If specific notice requirements apply. </w:t>
            </w:r>
            <w:r w:rsidRPr="004D2879">
              <w:br/>
              <w:t>Refer to Clause 53.09-5.</w:t>
            </w:r>
          </w:p>
        </w:tc>
        <w:tc>
          <w:tcPr>
            <w:tcW w:w="3686" w:type="dxa"/>
            <w:shd w:val="clear" w:color="auto" w:fill="FFFFFF"/>
          </w:tcPr>
          <w:p w14:paraId="170E30FF" w14:textId="77777777" w:rsidR="00F25BC8" w:rsidRPr="001F61E7" w:rsidRDefault="00F25BC8" w:rsidP="00F31D6D">
            <w:pPr>
              <w:pStyle w:val="TableNote"/>
            </w:pPr>
            <w:r w:rsidRPr="004D2879">
              <w:t>No</w:t>
            </w:r>
          </w:p>
          <w:p w14:paraId="167A5266" w14:textId="77777777" w:rsidR="00F25BC8" w:rsidRPr="004D2879" w:rsidRDefault="00F25BC8" w:rsidP="00C7284B">
            <w:pPr>
              <w:pStyle w:val="TableText"/>
              <w:ind w:left="54"/>
            </w:pPr>
            <w:r w:rsidRPr="004D2879">
              <w:t xml:space="preserve">If exemptions apply. </w:t>
            </w:r>
            <w:r w:rsidRPr="004D2879">
              <w:br/>
              <w:t>Refer to Clause 53.09-4 as exemptions apply for outdoor farms that meet specified requirements.</w:t>
            </w:r>
          </w:p>
          <w:p w14:paraId="6DB7C986" w14:textId="77777777" w:rsidR="00F25BC8" w:rsidRPr="001F61E7" w:rsidRDefault="00F25BC8" w:rsidP="00F31D6D">
            <w:pPr>
              <w:pStyle w:val="TableNote"/>
            </w:pPr>
            <w:r w:rsidRPr="004D2879">
              <w:t>Yes</w:t>
            </w:r>
          </w:p>
          <w:p w14:paraId="2B2A616F" w14:textId="5264A68E" w:rsidR="00F25BC8" w:rsidRPr="004D2879" w:rsidRDefault="00F25BC8" w:rsidP="00715522">
            <w:pPr>
              <w:pStyle w:val="TableText"/>
              <w:ind w:left="54"/>
            </w:pPr>
            <w:r w:rsidRPr="004D2879">
              <w:t xml:space="preserve">If no exemptions apply and Council decides to give notice in accordance with s.52(1) of the </w:t>
            </w:r>
            <w:r w:rsidRPr="004D2879">
              <w:rPr>
                <w:i/>
              </w:rPr>
              <w:t>Planning and Environment Act</w:t>
            </w:r>
            <w:r w:rsidRPr="004D2879">
              <w:t xml:space="preserve"> </w:t>
            </w:r>
            <w:r w:rsidRPr="004D2879">
              <w:rPr>
                <w:i/>
              </w:rPr>
              <w:t>1987</w:t>
            </w:r>
            <w:r w:rsidRPr="004D2879">
              <w:t>.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3E8A41D" w14:textId="77777777" w:rsidR="00F25BC8" w:rsidRPr="004D2879" w:rsidRDefault="00F25BC8" w:rsidP="00B82543">
            <w:pPr>
              <w:pStyle w:val="TableText"/>
            </w:pPr>
            <w:r w:rsidRPr="004D2879">
              <w:t xml:space="preserve">Council to decide in accordance with s.52(1)(a) of the </w:t>
            </w:r>
            <w:r w:rsidRPr="004D2879">
              <w:rPr>
                <w:i/>
              </w:rPr>
              <w:t>Planning and Environment Act 1987.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EEC9645" w14:textId="77777777" w:rsidR="00F25BC8" w:rsidRPr="001F61E7" w:rsidRDefault="00F25BC8" w:rsidP="00520B73">
            <w:pPr>
              <w:pStyle w:val="TableNote"/>
              <w:ind w:left="0"/>
            </w:pPr>
            <w:r w:rsidRPr="004D2879">
              <w:t>No</w:t>
            </w:r>
          </w:p>
          <w:p w14:paraId="354DB593" w14:textId="77777777" w:rsidR="00F25BC8" w:rsidRPr="004D2879" w:rsidRDefault="00F25BC8" w:rsidP="00B82543">
            <w:pPr>
              <w:pStyle w:val="TableText"/>
            </w:pPr>
            <w:r w:rsidRPr="004D2879">
              <w:t>If the requirements of Clause 53.09-4 are met.</w:t>
            </w:r>
          </w:p>
          <w:p w14:paraId="013BA072" w14:textId="77777777" w:rsidR="00F25BC8" w:rsidRPr="001F61E7" w:rsidRDefault="00F25BC8" w:rsidP="00520B73">
            <w:pPr>
              <w:pStyle w:val="TableNote"/>
              <w:ind w:left="0"/>
            </w:pPr>
            <w:r w:rsidRPr="004D2879">
              <w:t>Yes</w:t>
            </w:r>
          </w:p>
          <w:p w14:paraId="6786F94C" w14:textId="77777777" w:rsidR="00F25BC8" w:rsidRPr="004D2879" w:rsidRDefault="00F25BC8" w:rsidP="00B82543">
            <w:pPr>
              <w:pStyle w:val="TableText"/>
            </w:pPr>
            <w:r w:rsidRPr="004D2879">
              <w:t xml:space="preserve">When a planning permit is required, and council decides to give notice in accordance with s.52(1) of the </w:t>
            </w:r>
            <w:r w:rsidRPr="004D2879">
              <w:rPr>
                <w:i/>
              </w:rPr>
              <w:t>Planning and Environment Act</w:t>
            </w:r>
            <w:r w:rsidRPr="004D2879">
              <w:t xml:space="preserve"> </w:t>
            </w:r>
            <w:r w:rsidRPr="004D2879">
              <w:rPr>
                <w:i/>
              </w:rPr>
              <w:t>1987</w:t>
            </w:r>
            <w:r w:rsidRPr="004D2879">
              <w:t>.</w:t>
            </w:r>
          </w:p>
        </w:tc>
      </w:tr>
      <w:tr w:rsidR="00715522" w:rsidRPr="001F5295" w14:paraId="36AB5944" w14:textId="77777777" w:rsidTr="00715522">
        <w:trPr>
          <w:cantSplit/>
          <w:trHeight w:val="949"/>
        </w:trPr>
        <w:tc>
          <w:tcPr>
            <w:tcW w:w="2009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50A5D69" w14:textId="77777777" w:rsidR="00F25BC8" w:rsidRPr="004D2879" w:rsidRDefault="00F25BC8" w:rsidP="00926E7F">
            <w:pPr>
              <w:pStyle w:val="TableHeader"/>
              <w:jc w:val="left"/>
            </w:pPr>
            <w:r w:rsidRPr="004D2879">
              <w:t>Are there specific matters to consider when preparing an application or making a decision on a proposal?</w:t>
            </w:r>
          </w:p>
        </w:tc>
        <w:tc>
          <w:tcPr>
            <w:tcW w:w="3661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9AE50AC" w14:textId="77777777" w:rsidR="00F25BC8" w:rsidRPr="001F61E7" w:rsidRDefault="00F25BC8" w:rsidP="00F31D6D">
            <w:pPr>
              <w:pStyle w:val="TableNote"/>
              <w:ind w:left="0"/>
            </w:pPr>
            <w:r w:rsidRPr="004D2879">
              <w:t xml:space="preserve">Yes </w:t>
            </w:r>
          </w:p>
          <w:p w14:paraId="6F59B3EB" w14:textId="77777777" w:rsidR="00F25BC8" w:rsidRPr="004D2879" w:rsidRDefault="00F25BC8" w:rsidP="00C7284B">
            <w:pPr>
              <w:pStyle w:val="TableBullet"/>
              <w:ind w:left="0" w:hanging="176"/>
            </w:pPr>
            <w:r w:rsidRPr="004D2879">
              <w:t>An application must comply with the Broiler Code 2009 (plus 2018 amendments).</w:t>
            </w:r>
          </w:p>
          <w:p w14:paraId="5F582B9D" w14:textId="77777777" w:rsidR="00F25BC8" w:rsidRPr="004D2879" w:rsidRDefault="00F25BC8" w:rsidP="00C7284B">
            <w:pPr>
              <w:pStyle w:val="TableBullet"/>
              <w:ind w:left="0" w:hanging="176"/>
              <w:rPr>
                <w:b/>
              </w:rPr>
            </w:pPr>
            <w:r w:rsidRPr="004D2879">
              <w:t>Refer to the Broiler Code to establish the farm classification – different information and assessment requirements apply to each classification.</w:t>
            </w:r>
          </w:p>
        </w:tc>
        <w:tc>
          <w:tcPr>
            <w:tcW w:w="3686" w:type="dxa"/>
            <w:shd w:val="clear" w:color="auto" w:fill="FFFFFF"/>
          </w:tcPr>
          <w:p w14:paraId="548E1FF1" w14:textId="77777777" w:rsidR="00F25BC8" w:rsidRPr="001F61E7" w:rsidRDefault="00F25BC8" w:rsidP="00F31D6D">
            <w:pPr>
              <w:pStyle w:val="TableNote"/>
            </w:pPr>
            <w:r w:rsidRPr="004D2879">
              <w:t>Yes</w:t>
            </w:r>
          </w:p>
          <w:p w14:paraId="6B6C4EB1" w14:textId="77777777" w:rsidR="00F25BC8" w:rsidRPr="004D2879" w:rsidRDefault="00F25BC8" w:rsidP="00C7284B">
            <w:pPr>
              <w:pStyle w:val="TableText"/>
              <w:ind w:left="54"/>
              <w:rPr>
                <w:b/>
              </w:rPr>
            </w:pPr>
            <w:r w:rsidRPr="004D2879">
              <w:t>Farms that are eligible for exemptions from notice and review under Clause 53.09-4 must demonstrate compliance with the specified requirements.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513DCF4" w14:textId="77777777" w:rsidR="00F25BC8" w:rsidRPr="001F61E7" w:rsidRDefault="00F25BC8" w:rsidP="00520B73">
            <w:pPr>
              <w:pStyle w:val="TableNote"/>
              <w:ind w:left="0"/>
            </w:pPr>
            <w:r w:rsidRPr="004D2879">
              <w:t>Yes</w:t>
            </w:r>
          </w:p>
          <w:p w14:paraId="561051D5" w14:textId="77777777" w:rsidR="00F25BC8" w:rsidRPr="004D2879" w:rsidRDefault="00F25BC8" w:rsidP="00BA38F2">
            <w:pPr>
              <w:pStyle w:val="TableBullet"/>
              <w:ind w:left="176" w:hanging="176"/>
            </w:pPr>
            <w:r w:rsidRPr="004D2879">
              <w:t>Establish whether existing use rights apply.</w:t>
            </w:r>
          </w:p>
          <w:p w14:paraId="4B204660" w14:textId="77777777" w:rsidR="00F25BC8" w:rsidRPr="004D2879" w:rsidRDefault="00F25BC8" w:rsidP="00BA38F2">
            <w:pPr>
              <w:pStyle w:val="TableBullet"/>
              <w:ind w:left="176" w:hanging="176"/>
            </w:pPr>
            <w:r w:rsidRPr="004D2879">
              <w:t>Validate broiler farm capacity.</w:t>
            </w:r>
          </w:p>
          <w:p w14:paraId="30389D3A" w14:textId="77777777" w:rsidR="00F25BC8" w:rsidRPr="004D2879" w:rsidRDefault="00F25BC8" w:rsidP="00BA38F2">
            <w:pPr>
              <w:pStyle w:val="TableBullet"/>
              <w:ind w:left="176" w:hanging="176"/>
            </w:pPr>
            <w:r w:rsidRPr="004D2879">
              <w:t>Specific application and assessment information applies.</w:t>
            </w:r>
          </w:p>
        </w:tc>
        <w:tc>
          <w:tcPr>
            <w:tcW w:w="3402" w:type="dxa"/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6F4976F" w14:textId="77777777" w:rsidR="00F25BC8" w:rsidRPr="001F61E7" w:rsidRDefault="00F25BC8" w:rsidP="00520B73">
            <w:pPr>
              <w:pStyle w:val="TableNote"/>
              <w:ind w:left="0"/>
            </w:pPr>
            <w:r w:rsidRPr="004D2879">
              <w:t>Yes</w:t>
            </w:r>
          </w:p>
          <w:p w14:paraId="70623D3C" w14:textId="77777777" w:rsidR="00F25BC8" w:rsidRPr="004D2879" w:rsidRDefault="00F25BC8" w:rsidP="00BA38F2">
            <w:pPr>
              <w:pStyle w:val="TableBullet"/>
              <w:ind w:left="176" w:hanging="176"/>
            </w:pPr>
            <w:r w:rsidRPr="004D2879">
              <w:t>The requirements of Clause 53.09-3 must be met.</w:t>
            </w:r>
          </w:p>
          <w:p w14:paraId="03D424AE" w14:textId="77777777" w:rsidR="00F25BC8" w:rsidRPr="004D2879" w:rsidRDefault="00F25BC8" w:rsidP="00BA38F2">
            <w:pPr>
              <w:pStyle w:val="TableBullet"/>
              <w:ind w:left="176" w:hanging="176"/>
            </w:pPr>
            <w:r w:rsidRPr="004D2879">
              <w:t>General information applies.</w:t>
            </w:r>
          </w:p>
          <w:p w14:paraId="7C8FE0AD" w14:textId="77777777" w:rsidR="00F25BC8" w:rsidRPr="004D2879" w:rsidRDefault="00F25BC8" w:rsidP="00BA38F2">
            <w:pPr>
              <w:pStyle w:val="TableBullet"/>
              <w:ind w:left="176" w:hanging="176"/>
            </w:pPr>
            <w:r w:rsidRPr="004D2879">
              <w:t>Where a permit is required specific assessment information applies.</w:t>
            </w:r>
          </w:p>
        </w:tc>
      </w:tr>
      <w:bookmarkEnd w:id="0"/>
      <w:bookmarkEnd w:id="1"/>
    </w:tbl>
    <w:p w14:paraId="5AA56B7D" w14:textId="3E0CF5C2" w:rsidR="006D6D5A" w:rsidRDefault="006D6D5A" w:rsidP="00715522">
      <w:pPr>
        <w:pStyle w:val="Heading2"/>
      </w:pPr>
    </w:p>
    <w:sectPr w:rsidR="006D6D5A" w:rsidSect="00715522">
      <w:footerReference w:type="even" r:id="rId12"/>
      <w:footerReference w:type="default" r:id="rId13"/>
      <w:pgSz w:w="16838" w:h="11906" w:orient="landscape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D7BF" w14:textId="77777777" w:rsidR="00650712" w:rsidRDefault="00650712">
      <w:pPr>
        <w:spacing w:after="0" w:line="240" w:lineRule="auto"/>
      </w:pPr>
      <w:r>
        <w:separator/>
      </w:r>
    </w:p>
  </w:endnote>
  <w:endnote w:type="continuationSeparator" w:id="0">
    <w:p w14:paraId="72AF6D05" w14:textId="77777777" w:rsidR="00650712" w:rsidRDefault="0065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7118" w14:textId="52B94D71" w:rsidR="00CF1C44" w:rsidRDefault="00393BF2" w:rsidP="00D53C44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6B012B">
      <w:fldChar w:fldCharType="separate"/>
    </w:r>
    <w:r w:rsidR="006B012B">
      <w:rPr>
        <w:noProof/>
      </w:rPr>
      <w:t>1</w:t>
    </w:r>
    <w:r>
      <w:fldChar w:fldCharType="end"/>
    </w:r>
  </w:p>
  <w:p w14:paraId="453660EA" w14:textId="77777777" w:rsidR="00CF1C44" w:rsidRDefault="00000000" w:rsidP="004F22A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19DF" w14:textId="6886D028" w:rsidR="00CF1C44" w:rsidRPr="004F22A8" w:rsidRDefault="006B012B" w:rsidP="00D53C44">
    <w:pPr>
      <w:framePr w:wrap="around" w:vAnchor="text" w:hAnchor="margin" w:xAlign="right" w:y="1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0F8BA1" wp14:editId="3A233D7C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2" name="MSIPCM602d46a18f83062149caacbc" descr="{&quot;HashCode&quot;:-126468026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5E00E2" w14:textId="095B6E82" w:rsidR="006B012B" w:rsidRPr="006B012B" w:rsidRDefault="006B012B" w:rsidP="006B012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sz w:val="24"/>
                            </w:rPr>
                          </w:pPr>
                          <w:r w:rsidRPr="006B012B">
                            <w:rPr>
                              <w:rFonts w:ascii="Calibri" w:hAnsi="Calibri" w:cs="Calibri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F8BA1" id="_x0000_t202" coordsize="21600,21600" o:spt="202" path="m,l,21600r21600,l21600,xe">
              <v:stroke joinstyle="miter"/>
              <v:path gradientshapeok="t" o:connecttype="rect"/>
            </v:shapetype>
            <v:shape id="MSIPCM602d46a18f83062149caacbc" o:spid="_x0000_s1026" type="#_x0000_t202" alt="{&quot;HashCode&quot;:-1264680268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A5E00E2" w14:textId="095B6E82" w:rsidR="006B012B" w:rsidRPr="006B012B" w:rsidRDefault="006B012B" w:rsidP="006B012B">
                    <w:pPr>
                      <w:spacing w:after="0"/>
                      <w:jc w:val="center"/>
                      <w:rPr>
                        <w:rFonts w:ascii="Calibri" w:hAnsi="Calibri" w:cs="Calibri"/>
                        <w:sz w:val="24"/>
                      </w:rPr>
                    </w:pPr>
                    <w:r w:rsidRPr="006B012B">
                      <w:rPr>
                        <w:rFonts w:ascii="Calibri" w:hAnsi="Calibri" w:cs="Calibri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3BF2" w:rsidRPr="004F22A8">
      <w:rPr>
        <w:sz w:val="16"/>
        <w:szCs w:val="16"/>
      </w:rPr>
      <w:fldChar w:fldCharType="begin"/>
    </w:r>
    <w:r w:rsidR="00393BF2" w:rsidRPr="004F22A8">
      <w:rPr>
        <w:sz w:val="16"/>
        <w:szCs w:val="16"/>
      </w:rPr>
      <w:instrText xml:space="preserve">PAGE  </w:instrText>
    </w:r>
    <w:r w:rsidR="00393BF2" w:rsidRPr="004F22A8">
      <w:rPr>
        <w:sz w:val="16"/>
        <w:szCs w:val="16"/>
      </w:rPr>
      <w:fldChar w:fldCharType="separate"/>
    </w:r>
    <w:r w:rsidR="00393BF2">
      <w:rPr>
        <w:noProof/>
        <w:sz w:val="16"/>
        <w:szCs w:val="16"/>
      </w:rPr>
      <w:t>11</w:t>
    </w:r>
    <w:r w:rsidR="00393BF2" w:rsidRPr="004F22A8">
      <w:rPr>
        <w:sz w:val="16"/>
        <w:szCs w:val="16"/>
      </w:rPr>
      <w:fldChar w:fldCharType="end"/>
    </w:r>
  </w:p>
  <w:p w14:paraId="55D64E76" w14:textId="77777777" w:rsidR="00CF1C44" w:rsidRDefault="00000000" w:rsidP="004F22A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CF31" w14:textId="77777777" w:rsidR="00650712" w:rsidRDefault="00650712">
      <w:pPr>
        <w:spacing w:after="0" w:line="240" w:lineRule="auto"/>
      </w:pPr>
      <w:r>
        <w:separator/>
      </w:r>
    </w:p>
  </w:footnote>
  <w:footnote w:type="continuationSeparator" w:id="0">
    <w:p w14:paraId="0FA80D48" w14:textId="77777777" w:rsidR="00650712" w:rsidRDefault="0065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5286"/>
    <w:multiLevelType w:val="hybridMultilevel"/>
    <w:tmpl w:val="2F9A8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76ED5"/>
    <w:multiLevelType w:val="hybridMultilevel"/>
    <w:tmpl w:val="7340CA86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294B6D5D"/>
    <w:multiLevelType w:val="hybridMultilevel"/>
    <w:tmpl w:val="F83A6048"/>
    <w:lvl w:ilvl="0" w:tplc="0B44979A">
      <w:start w:val="1"/>
      <w:numFmt w:val="bullet"/>
      <w:pStyle w:val="Appendixbullet"/>
      <w:lvlText w:val=""/>
      <w:lvlJc w:val="left"/>
      <w:pPr>
        <w:ind w:left="360" w:hanging="360"/>
      </w:pPr>
      <w:rPr>
        <w:rFonts w:ascii="Symbol" w:hAnsi="Symbol" w:hint="default"/>
        <w:color w:val="201547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A2961"/>
    <w:multiLevelType w:val="hybridMultilevel"/>
    <w:tmpl w:val="493AC9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967DA"/>
    <w:multiLevelType w:val="hybridMultilevel"/>
    <w:tmpl w:val="FFDAD9B0"/>
    <w:lvl w:ilvl="0" w:tplc="F78A04C8">
      <w:start w:val="1"/>
      <w:numFmt w:val="bullet"/>
      <w:pStyle w:val="Bullet2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92D1B"/>
    <w:multiLevelType w:val="hybridMultilevel"/>
    <w:tmpl w:val="2D3A77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C95BB7"/>
    <w:multiLevelType w:val="hybridMultilevel"/>
    <w:tmpl w:val="6F46520A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3E824D8F"/>
    <w:multiLevelType w:val="hybridMultilevel"/>
    <w:tmpl w:val="6082DE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6A2467"/>
    <w:multiLevelType w:val="hybridMultilevel"/>
    <w:tmpl w:val="B8F2BCEA"/>
    <w:lvl w:ilvl="0" w:tplc="E28EFA02">
      <w:start w:val="1"/>
      <w:numFmt w:val="bullet"/>
      <w:pStyle w:val="Bold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E04F3"/>
    <w:multiLevelType w:val="hybridMultilevel"/>
    <w:tmpl w:val="0A281610"/>
    <w:lvl w:ilvl="0" w:tplc="060A082C">
      <w:start w:val="1"/>
      <w:numFmt w:val="bullet"/>
      <w:lvlText w:val="-"/>
      <w:lvlJc w:val="left"/>
      <w:pPr>
        <w:ind w:left="1288" w:hanging="360"/>
      </w:pPr>
      <w:rPr>
        <w:rFonts w:ascii="Calibri Light" w:hAnsi="Calibri Light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50C9694C"/>
    <w:multiLevelType w:val="hybridMultilevel"/>
    <w:tmpl w:val="C14E67D4"/>
    <w:lvl w:ilvl="0" w:tplc="A3FC6E8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82AA9"/>
    <w:multiLevelType w:val="hybridMultilevel"/>
    <w:tmpl w:val="8E3C2DB2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56DD2ACC"/>
    <w:multiLevelType w:val="hybridMultilevel"/>
    <w:tmpl w:val="6F4E9406"/>
    <w:lvl w:ilvl="0" w:tplc="4F0CF528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822CBB"/>
    <w:multiLevelType w:val="hybridMultilevel"/>
    <w:tmpl w:val="83888C14"/>
    <w:lvl w:ilvl="0" w:tplc="6310F50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4B57BF"/>
    <w:multiLevelType w:val="hybridMultilevel"/>
    <w:tmpl w:val="0D3283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0A082C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3521A2"/>
    <w:multiLevelType w:val="hybridMultilevel"/>
    <w:tmpl w:val="F42CF9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354B38"/>
    <w:multiLevelType w:val="hybridMultilevel"/>
    <w:tmpl w:val="F462E01E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7FB478BF"/>
    <w:multiLevelType w:val="hybridMultilevel"/>
    <w:tmpl w:val="FEE0659C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2100709266">
    <w:abstractNumId w:val="10"/>
  </w:num>
  <w:num w:numId="2" w16cid:durableId="1746563052">
    <w:abstractNumId w:val="3"/>
  </w:num>
  <w:num w:numId="3" w16cid:durableId="601650492">
    <w:abstractNumId w:val="7"/>
  </w:num>
  <w:num w:numId="4" w16cid:durableId="1495797368">
    <w:abstractNumId w:val="5"/>
  </w:num>
  <w:num w:numId="5" w16cid:durableId="1104038393">
    <w:abstractNumId w:val="0"/>
  </w:num>
  <w:num w:numId="6" w16cid:durableId="478616911">
    <w:abstractNumId w:val="12"/>
  </w:num>
  <w:num w:numId="7" w16cid:durableId="1611931725">
    <w:abstractNumId w:val="13"/>
  </w:num>
  <w:num w:numId="8" w16cid:durableId="1318724220">
    <w:abstractNumId w:val="1"/>
  </w:num>
  <w:num w:numId="9" w16cid:durableId="423841470">
    <w:abstractNumId w:val="17"/>
  </w:num>
  <w:num w:numId="10" w16cid:durableId="1345325608">
    <w:abstractNumId w:val="6"/>
  </w:num>
  <w:num w:numId="11" w16cid:durableId="626932842">
    <w:abstractNumId w:val="16"/>
  </w:num>
  <w:num w:numId="12" w16cid:durableId="876553262">
    <w:abstractNumId w:val="11"/>
  </w:num>
  <w:num w:numId="13" w16cid:durableId="955330793">
    <w:abstractNumId w:val="14"/>
  </w:num>
  <w:num w:numId="14" w16cid:durableId="643504348">
    <w:abstractNumId w:val="4"/>
  </w:num>
  <w:num w:numId="15" w16cid:durableId="1180894288">
    <w:abstractNumId w:val="9"/>
  </w:num>
  <w:num w:numId="16" w16cid:durableId="1821575082">
    <w:abstractNumId w:val="2"/>
  </w:num>
  <w:num w:numId="17" w16cid:durableId="1421681146">
    <w:abstractNumId w:val="2"/>
  </w:num>
  <w:num w:numId="18" w16cid:durableId="1066613647">
    <w:abstractNumId w:val="12"/>
  </w:num>
  <w:num w:numId="19" w16cid:durableId="1182747345">
    <w:abstractNumId w:val="13"/>
  </w:num>
  <w:num w:numId="20" w16cid:durableId="1173299280">
    <w:abstractNumId w:val="13"/>
  </w:num>
  <w:num w:numId="21" w16cid:durableId="121196783">
    <w:abstractNumId w:val="13"/>
  </w:num>
  <w:num w:numId="22" w16cid:durableId="113137254">
    <w:abstractNumId w:val="13"/>
  </w:num>
  <w:num w:numId="23" w16cid:durableId="537858733">
    <w:abstractNumId w:val="13"/>
  </w:num>
  <w:num w:numId="24" w16cid:durableId="848106435">
    <w:abstractNumId w:val="13"/>
  </w:num>
  <w:num w:numId="25" w16cid:durableId="829369086">
    <w:abstractNumId w:val="13"/>
  </w:num>
  <w:num w:numId="26" w16cid:durableId="253365908">
    <w:abstractNumId w:val="13"/>
  </w:num>
  <w:num w:numId="27" w16cid:durableId="345597902">
    <w:abstractNumId w:val="10"/>
  </w:num>
  <w:num w:numId="28" w16cid:durableId="1636452757">
    <w:abstractNumId w:val="10"/>
  </w:num>
  <w:num w:numId="29" w16cid:durableId="1317957112">
    <w:abstractNumId w:val="10"/>
  </w:num>
  <w:num w:numId="30" w16cid:durableId="1540122266">
    <w:abstractNumId w:val="10"/>
  </w:num>
  <w:num w:numId="31" w16cid:durableId="1457603325">
    <w:abstractNumId w:val="10"/>
  </w:num>
  <w:num w:numId="32" w16cid:durableId="498039053">
    <w:abstractNumId w:val="10"/>
  </w:num>
  <w:num w:numId="33" w16cid:durableId="1283880659">
    <w:abstractNumId w:val="15"/>
  </w:num>
  <w:num w:numId="34" w16cid:durableId="2095589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C8"/>
    <w:rsid w:val="0003266E"/>
    <w:rsid w:val="000A5441"/>
    <w:rsid w:val="000B1670"/>
    <w:rsid w:val="000E1C8F"/>
    <w:rsid w:val="00133ADB"/>
    <w:rsid w:val="00167A64"/>
    <w:rsid w:val="00171F67"/>
    <w:rsid w:val="001A11F4"/>
    <w:rsid w:val="001B06C7"/>
    <w:rsid w:val="001E6367"/>
    <w:rsid w:val="001F61E7"/>
    <w:rsid w:val="00213DDC"/>
    <w:rsid w:val="002515CB"/>
    <w:rsid w:val="00263F94"/>
    <w:rsid w:val="00281784"/>
    <w:rsid w:val="00287CF7"/>
    <w:rsid w:val="002A01E8"/>
    <w:rsid w:val="002E3321"/>
    <w:rsid w:val="0033494D"/>
    <w:rsid w:val="00361F56"/>
    <w:rsid w:val="0036277C"/>
    <w:rsid w:val="003677E3"/>
    <w:rsid w:val="00393BF2"/>
    <w:rsid w:val="0039578F"/>
    <w:rsid w:val="003A100E"/>
    <w:rsid w:val="003C0CA7"/>
    <w:rsid w:val="003E7164"/>
    <w:rsid w:val="003F63C4"/>
    <w:rsid w:val="0040176E"/>
    <w:rsid w:val="004556AF"/>
    <w:rsid w:val="00461ED0"/>
    <w:rsid w:val="004D2879"/>
    <w:rsid w:val="00514C60"/>
    <w:rsid w:val="00520B73"/>
    <w:rsid w:val="00522C47"/>
    <w:rsid w:val="00531894"/>
    <w:rsid w:val="005511E7"/>
    <w:rsid w:val="00592CD2"/>
    <w:rsid w:val="005E2A64"/>
    <w:rsid w:val="005F65E3"/>
    <w:rsid w:val="00650712"/>
    <w:rsid w:val="006536D2"/>
    <w:rsid w:val="00656D7A"/>
    <w:rsid w:val="006772EC"/>
    <w:rsid w:val="006B012B"/>
    <w:rsid w:val="006B3429"/>
    <w:rsid w:val="006D6D5A"/>
    <w:rsid w:val="006E4A1B"/>
    <w:rsid w:val="006E67E6"/>
    <w:rsid w:val="00707FEB"/>
    <w:rsid w:val="00715522"/>
    <w:rsid w:val="007359E7"/>
    <w:rsid w:val="0074143D"/>
    <w:rsid w:val="0079245A"/>
    <w:rsid w:val="00844768"/>
    <w:rsid w:val="008763BA"/>
    <w:rsid w:val="009026BC"/>
    <w:rsid w:val="00922194"/>
    <w:rsid w:val="00926E7F"/>
    <w:rsid w:val="009678C8"/>
    <w:rsid w:val="00985312"/>
    <w:rsid w:val="00986933"/>
    <w:rsid w:val="009E5790"/>
    <w:rsid w:val="009E6B8F"/>
    <w:rsid w:val="009F6328"/>
    <w:rsid w:val="00A04DF9"/>
    <w:rsid w:val="00A07764"/>
    <w:rsid w:val="00A15403"/>
    <w:rsid w:val="00A707F7"/>
    <w:rsid w:val="00AA6261"/>
    <w:rsid w:val="00AC42F0"/>
    <w:rsid w:val="00AF6C11"/>
    <w:rsid w:val="00B23A63"/>
    <w:rsid w:val="00B30E42"/>
    <w:rsid w:val="00B31C64"/>
    <w:rsid w:val="00B46F7B"/>
    <w:rsid w:val="00B57CBC"/>
    <w:rsid w:val="00B758B2"/>
    <w:rsid w:val="00B82543"/>
    <w:rsid w:val="00BA16FB"/>
    <w:rsid w:val="00BA38F2"/>
    <w:rsid w:val="00BC133B"/>
    <w:rsid w:val="00BC5120"/>
    <w:rsid w:val="00BE490B"/>
    <w:rsid w:val="00C0373E"/>
    <w:rsid w:val="00C155CD"/>
    <w:rsid w:val="00C27811"/>
    <w:rsid w:val="00C4210F"/>
    <w:rsid w:val="00C7284B"/>
    <w:rsid w:val="00C82C24"/>
    <w:rsid w:val="00CD2188"/>
    <w:rsid w:val="00CE1A67"/>
    <w:rsid w:val="00CF78D2"/>
    <w:rsid w:val="00D22EF4"/>
    <w:rsid w:val="00D3038E"/>
    <w:rsid w:val="00D33DF5"/>
    <w:rsid w:val="00D34657"/>
    <w:rsid w:val="00D3694B"/>
    <w:rsid w:val="00D95108"/>
    <w:rsid w:val="00DD6054"/>
    <w:rsid w:val="00DE4F20"/>
    <w:rsid w:val="00E20B70"/>
    <w:rsid w:val="00E45624"/>
    <w:rsid w:val="00EB1B76"/>
    <w:rsid w:val="00EC1125"/>
    <w:rsid w:val="00EC42BD"/>
    <w:rsid w:val="00F13BB3"/>
    <w:rsid w:val="00F1486D"/>
    <w:rsid w:val="00F25BC8"/>
    <w:rsid w:val="00F31D6D"/>
    <w:rsid w:val="00F46C0B"/>
    <w:rsid w:val="00F63AE6"/>
    <w:rsid w:val="00F82F74"/>
    <w:rsid w:val="00F85FAE"/>
    <w:rsid w:val="00FD0BE3"/>
    <w:rsid w:val="00FD1BF2"/>
    <w:rsid w:val="00FD3497"/>
    <w:rsid w:val="00F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211AF"/>
  <w15:chartTrackingRefBased/>
  <w15:docId w15:val="{94221D1D-D7AF-48E4-AEF6-30A045A6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25BC8"/>
    <w:pPr>
      <w:tabs>
        <w:tab w:val="left" w:pos="357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 Narrow" w:eastAsia="Times New Roman" w:hAnsi="Arial Narrow" w:cs="Arial Narrow"/>
      <w:color w:val="000000"/>
      <w:lang w:eastAsia="en-AU"/>
    </w:rPr>
  </w:style>
  <w:style w:type="paragraph" w:styleId="Heading1">
    <w:name w:val="heading 1"/>
    <w:basedOn w:val="Heading2"/>
    <w:next w:val="Normal"/>
    <w:link w:val="Heading1Char"/>
    <w:qFormat/>
    <w:rsid w:val="00A04DF9"/>
    <w:pPr>
      <w:outlineLvl w:val="0"/>
    </w:pPr>
    <w:rPr>
      <w:color w:val="201547"/>
      <w:sz w:val="32"/>
    </w:rPr>
  </w:style>
  <w:style w:type="paragraph" w:styleId="Heading2">
    <w:name w:val="heading 2"/>
    <w:basedOn w:val="Normal"/>
    <w:next w:val="Normal"/>
    <w:link w:val="Heading2Char"/>
    <w:qFormat/>
    <w:rsid w:val="00A04DF9"/>
    <w:pPr>
      <w:keepNext/>
      <w:spacing w:before="240" w:after="120"/>
      <w:outlineLvl w:val="1"/>
    </w:pPr>
    <w:rPr>
      <w:rFonts w:ascii="Arial" w:hAnsi="Arial" w:cs="Arial"/>
      <w:b/>
      <w:bCs/>
      <w:iCs/>
      <w:color w:val="642667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3677E3"/>
    <w:pPr>
      <w:keepNext/>
      <w:spacing w:before="120" w:after="120" w:line="240" w:lineRule="auto"/>
      <w:outlineLvl w:val="2"/>
    </w:pPr>
    <w:rPr>
      <w:rFonts w:ascii="Arial" w:hAnsi="Arial" w:cs="Arial"/>
      <w:b/>
      <w:bCs/>
      <w:color w:val="00B2A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4DF9"/>
    <w:rPr>
      <w:rFonts w:ascii="Arial" w:eastAsia="Times New Roman" w:hAnsi="Arial" w:cs="Arial"/>
      <w:b/>
      <w:bCs/>
      <w:iCs/>
      <w:color w:val="201547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rsid w:val="00A04DF9"/>
    <w:rPr>
      <w:rFonts w:ascii="Arial" w:eastAsia="Times New Roman" w:hAnsi="Arial" w:cs="Arial"/>
      <w:b/>
      <w:bCs/>
      <w:iCs/>
      <w:color w:val="642667"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677E3"/>
    <w:rPr>
      <w:rFonts w:ascii="Arial" w:eastAsia="Times New Roman" w:hAnsi="Arial" w:cs="Arial"/>
      <w:b/>
      <w:bCs/>
      <w:color w:val="00B2A9"/>
      <w:sz w:val="20"/>
      <w:szCs w:val="20"/>
      <w:lang w:eastAsia="en-AU"/>
    </w:rPr>
  </w:style>
  <w:style w:type="paragraph" w:customStyle="1" w:styleId="Bullets1">
    <w:name w:val="Bullets 1"/>
    <w:basedOn w:val="Normal"/>
    <w:link w:val="Bullets1Char"/>
    <w:autoRedefine/>
    <w:rsid w:val="00B30E42"/>
    <w:pPr>
      <w:numPr>
        <w:numId w:val="6"/>
      </w:numPr>
      <w:tabs>
        <w:tab w:val="clear" w:pos="357"/>
      </w:tabs>
      <w:suppressAutoHyphens w:val="0"/>
      <w:autoSpaceDE/>
      <w:autoSpaceDN/>
      <w:adjustRightInd/>
      <w:spacing w:before="120" w:after="120" w:line="240" w:lineRule="auto"/>
      <w:textAlignment w:val="auto"/>
    </w:pPr>
    <w:rPr>
      <w:rFonts w:ascii="Arial" w:hAnsi="Arial" w:cs="Times New Roman"/>
      <w:b/>
      <w:bCs/>
      <w:color w:val="auto"/>
      <w:sz w:val="20"/>
      <w:szCs w:val="24"/>
    </w:rPr>
  </w:style>
  <w:style w:type="character" w:styleId="Hyperlink">
    <w:name w:val="Hyperlink"/>
    <w:rsid w:val="00F25BC8"/>
    <w:rPr>
      <w:rFonts w:ascii="Arial" w:hAnsi="Arial"/>
      <w:color w:val="0000FF"/>
      <w:sz w:val="20"/>
      <w:u w:val="single"/>
    </w:rPr>
  </w:style>
  <w:style w:type="character" w:customStyle="1" w:styleId="Bodytextitalic">
    <w:name w:val="Body text italic"/>
    <w:uiPriority w:val="99"/>
    <w:rsid w:val="00F25BC8"/>
    <w:rPr>
      <w:rFonts w:ascii="Arial Narrow" w:hAnsi="Arial Narrow" w:cs="Arial Narrow"/>
      <w:i/>
      <w:iCs/>
      <w:sz w:val="22"/>
      <w:szCs w:val="22"/>
    </w:rPr>
  </w:style>
  <w:style w:type="paragraph" w:customStyle="1" w:styleId="Bullets2">
    <w:name w:val="Bullets 2"/>
    <w:basedOn w:val="Bullets1"/>
    <w:link w:val="Bullets2Char"/>
    <w:uiPriority w:val="99"/>
    <w:rsid w:val="00F25BC8"/>
    <w:pPr>
      <w:ind w:left="568"/>
    </w:pPr>
  </w:style>
  <w:style w:type="character" w:customStyle="1" w:styleId="BodyTextChar">
    <w:name w:val="Body Text Char"/>
    <w:aliases w:val="Body text box Char"/>
    <w:link w:val="BodyText"/>
    <w:locked/>
    <w:rsid w:val="00F25BC8"/>
    <w:rPr>
      <w:rFonts w:ascii="Arial" w:hAnsi="Arial" w:cs="Arial"/>
      <w:b/>
      <w:sz w:val="12"/>
    </w:rPr>
  </w:style>
  <w:style w:type="paragraph" w:styleId="BodyText">
    <w:name w:val="Body Text"/>
    <w:aliases w:val="Body text box"/>
    <w:basedOn w:val="Normal"/>
    <w:link w:val="BodyTextChar"/>
    <w:unhideWhenUsed/>
    <w:rsid w:val="00F25BC8"/>
    <w:pPr>
      <w:tabs>
        <w:tab w:val="clear" w:pos="357"/>
      </w:tabs>
      <w:suppressAutoHyphens w:val="0"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b/>
      <w:color w:val="auto"/>
      <w:sz w:val="1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F25BC8"/>
    <w:rPr>
      <w:rFonts w:ascii="Arial Narrow" w:eastAsia="Times New Roman" w:hAnsi="Arial Narrow" w:cs="Arial Narrow"/>
      <w:color w:val="000000"/>
      <w:lang w:eastAsia="en-AU"/>
    </w:rPr>
  </w:style>
  <w:style w:type="character" w:styleId="Emphasis">
    <w:name w:val="Emphasis"/>
    <w:qFormat/>
    <w:rsid w:val="00F25BC8"/>
    <w:rPr>
      <w:i/>
      <w:iCs/>
    </w:rPr>
  </w:style>
  <w:style w:type="paragraph" w:customStyle="1" w:styleId="Bullet2">
    <w:name w:val="Bullet 2"/>
    <w:basedOn w:val="Bullets1"/>
    <w:next w:val="Normal"/>
    <w:link w:val="Bullet2Char"/>
    <w:uiPriority w:val="99"/>
    <w:qFormat/>
    <w:rsid w:val="001E6367"/>
    <w:pPr>
      <w:numPr>
        <w:numId w:val="14"/>
      </w:numPr>
    </w:pPr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B57CBC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CBC"/>
    <w:rPr>
      <w:rFonts w:ascii="Arial Narrow" w:eastAsia="Times New Roman" w:hAnsi="Arial Narrow" w:cs="Arial Narrow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57CBC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CBC"/>
    <w:rPr>
      <w:rFonts w:ascii="Arial Narrow" w:eastAsia="Times New Roman" w:hAnsi="Arial Narrow" w:cs="Arial Narrow"/>
      <w:color w:val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318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5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108"/>
    <w:rPr>
      <w:rFonts w:ascii="Arial Narrow" w:eastAsia="Times New Roman" w:hAnsi="Arial Narrow" w:cs="Arial Narrow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108"/>
    <w:rPr>
      <w:rFonts w:ascii="Arial Narrow" w:eastAsia="Times New Roman" w:hAnsi="Arial Narrow" w:cs="Arial Narrow"/>
      <w:b/>
      <w:bCs/>
      <w:color w:val="000000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65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bullet">
    <w:name w:val="Appendix bullet"/>
    <w:basedOn w:val="Bullets2"/>
    <w:link w:val="AppendixbulletChar"/>
    <w:rsid w:val="00213DDC"/>
    <w:pPr>
      <w:numPr>
        <w:numId w:val="16"/>
      </w:numPr>
    </w:pPr>
    <w:rPr>
      <w:b w:val="0"/>
      <w:bCs w:val="0"/>
    </w:rPr>
  </w:style>
  <w:style w:type="paragraph" w:customStyle="1" w:styleId="Appendixpara">
    <w:name w:val="Appendix para"/>
    <w:basedOn w:val="Bullets1"/>
    <w:link w:val="AppendixparaChar"/>
    <w:rsid w:val="00213DDC"/>
    <w:rPr>
      <w:b w:val="0"/>
      <w:bCs w:val="0"/>
    </w:rPr>
  </w:style>
  <w:style w:type="character" w:customStyle="1" w:styleId="Bullets1Char">
    <w:name w:val="Bullets 1 Char"/>
    <w:basedOn w:val="DefaultParagraphFont"/>
    <w:link w:val="Bullets1"/>
    <w:rsid w:val="00B30E42"/>
    <w:rPr>
      <w:rFonts w:ascii="Arial" w:eastAsia="Times New Roman" w:hAnsi="Arial" w:cs="Times New Roman"/>
      <w:b/>
      <w:bCs/>
      <w:sz w:val="20"/>
      <w:szCs w:val="24"/>
      <w:lang w:eastAsia="en-AU"/>
    </w:rPr>
  </w:style>
  <w:style w:type="character" w:customStyle="1" w:styleId="Bullets2Char">
    <w:name w:val="Bullets 2 Char"/>
    <w:basedOn w:val="Bullets1Char"/>
    <w:link w:val="Bullets2"/>
    <w:uiPriority w:val="99"/>
    <w:rsid w:val="001A11F4"/>
    <w:rPr>
      <w:rFonts w:ascii="Arial" w:eastAsia="Times New Roman" w:hAnsi="Arial" w:cs="Times New Roman"/>
      <w:b/>
      <w:bCs/>
      <w:sz w:val="20"/>
      <w:szCs w:val="24"/>
      <w:lang w:eastAsia="en-AU"/>
    </w:rPr>
  </w:style>
  <w:style w:type="character" w:customStyle="1" w:styleId="AppendixbulletChar">
    <w:name w:val="Appendix bullet Char"/>
    <w:basedOn w:val="Bullets2Char"/>
    <w:link w:val="Appendixbullet"/>
    <w:rsid w:val="00213DDC"/>
    <w:rPr>
      <w:rFonts w:ascii="Arial" w:eastAsia="Times New Roman" w:hAnsi="Arial" w:cs="Times New Roman"/>
      <w:b w:val="0"/>
      <w:bCs w:val="0"/>
      <w:sz w:val="20"/>
      <w:szCs w:val="24"/>
      <w:lang w:eastAsia="en-AU"/>
    </w:rPr>
  </w:style>
  <w:style w:type="paragraph" w:customStyle="1" w:styleId="Bullet1">
    <w:name w:val="Bullet 1"/>
    <w:basedOn w:val="Bullet2"/>
    <w:link w:val="Bullet1Char"/>
    <w:qFormat/>
    <w:rsid w:val="001E6367"/>
    <w:pPr>
      <w:numPr>
        <w:numId w:val="7"/>
      </w:numPr>
    </w:pPr>
  </w:style>
  <w:style w:type="character" w:customStyle="1" w:styleId="AppendixparaChar">
    <w:name w:val="Appendix para Char"/>
    <w:basedOn w:val="Bullets1Char"/>
    <w:link w:val="Appendixpara"/>
    <w:rsid w:val="00213DDC"/>
    <w:rPr>
      <w:rFonts w:ascii="Arial" w:eastAsia="Times New Roman" w:hAnsi="Arial" w:cs="Times New Roman"/>
      <w:b w:val="0"/>
      <w:bCs w:val="0"/>
      <w:sz w:val="20"/>
      <w:szCs w:val="24"/>
      <w:lang w:eastAsia="en-AU"/>
    </w:rPr>
  </w:style>
  <w:style w:type="paragraph" w:customStyle="1" w:styleId="TableText">
    <w:name w:val="Table Text"/>
    <w:basedOn w:val="Normal"/>
    <w:link w:val="TableTextChar"/>
    <w:qFormat/>
    <w:rsid w:val="00B82543"/>
    <w:pPr>
      <w:tabs>
        <w:tab w:val="clear" w:pos="357"/>
      </w:tabs>
      <w:spacing w:before="20" w:after="20" w:line="240" w:lineRule="auto"/>
    </w:pPr>
    <w:rPr>
      <w:rFonts w:eastAsia="Calibri" w:cs="Arial"/>
      <w:iCs/>
      <w:color w:val="auto"/>
      <w:sz w:val="16"/>
      <w:szCs w:val="16"/>
    </w:rPr>
  </w:style>
  <w:style w:type="character" w:customStyle="1" w:styleId="Bullet1Char">
    <w:name w:val="Bullet 1 Char"/>
    <w:basedOn w:val="Bullets1Char"/>
    <w:link w:val="Bullet1"/>
    <w:rsid w:val="001E6367"/>
    <w:rPr>
      <w:rFonts w:ascii="Arial" w:eastAsia="Times New Roman" w:hAnsi="Arial" w:cs="Times New Roman"/>
      <w:b w:val="0"/>
      <w:bCs w:val="0"/>
      <w:sz w:val="20"/>
      <w:szCs w:val="24"/>
      <w:lang w:eastAsia="en-AU"/>
    </w:rPr>
  </w:style>
  <w:style w:type="character" w:customStyle="1" w:styleId="TableTextChar">
    <w:name w:val="Table Text Char"/>
    <w:basedOn w:val="DefaultParagraphFont"/>
    <w:link w:val="TableText"/>
    <w:rsid w:val="00B82543"/>
    <w:rPr>
      <w:rFonts w:ascii="Arial Narrow" w:eastAsia="Calibri" w:hAnsi="Arial Narrow" w:cs="Arial"/>
      <w:iCs/>
      <w:sz w:val="16"/>
      <w:szCs w:val="16"/>
      <w:lang w:eastAsia="en-AU"/>
    </w:rPr>
  </w:style>
  <w:style w:type="paragraph" w:customStyle="1" w:styleId="BoldBullet">
    <w:name w:val="Bold Bullet"/>
    <w:basedOn w:val="Bullet2"/>
    <w:link w:val="BoldBulletChar"/>
    <w:qFormat/>
    <w:rsid w:val="006E67E6"/>
    <w:pPr>
      <w:numPr>
        <w:numId w:val="34"/>
      </w:numPr>
    </w:pPr>
    <w:rPr>
      <w:b/>
      <w:bCs/>
    </w:rPr>
  </w:style>
  <w:style w:type="paragraph" w:customStyle="1" w:styleId="Heading21">
    <w:name w:val="Heading 2.1"/>
    <w:basedOn w:val="Heading3"/>
    <w:link w:val="Heading21Char"/>
    <w:qFormat/>
    <w:rsid w:val="00985312"/>
    <w:rPr>
      <w:color w:val="201547"/>
      <w:sz w:val="22"/>
      <w:szCs w:val="22"/>
    </w:rPr>
  </w:style>
  <w:style w:type="character" w:customStyle="1" w:styleId="Bullet2Char">
    <w:name w:val="Bullet 2 Char"/>
    <w:basedOn w:val="Bullets1Char"/>
    <w:link w:val="Bullet2"/>
    <w:uiPriority w:val="99"/>
    <w:rsid w:val="001E6367"/>
    <w:rPr>
      <w:rFonts w:ascii="Arial" w:eastAsia="Times New Roman" w:hAnsi="Arial" w:cs="Times New Roman"/>
      <w:b w:val="0"/>
      <w:bCs w:val="0"/>
      <w:sz w:val="20"/>
      <w:szCs w:val="24"/>
      <w:lang w:eastAsia="en-AU"/>
    </w:rPr>
  </w:style>
  <w:style w:type="character" w:customStyle="1" w:styleId="BoldBulletChar">
    <w:name w:val="Bold Bullet Char"/>
    <w:basedOn w:val="Bullet2Char"/>
    <w:link w:val="BoldBullet"/>
    <w:rsid w:val="006E67E6"/>
    <w:rPr>
      <w:rFonts w:ascii="Arial" w:eastAsia="Times New Roman" w:hAnsi="Arial" w:cs="Times New Roman"/>
      <w:b/>
      <w:bCs/>
      <w:sz w:val="20"/>
      <w:szCs w:val="24"/>
      <w:lang w:eastAsia="en-AU"/>
    </w:rPr>
  </w:style>
  <w:style w:type="paragraph" w:customStyle="1" w:styleId="TableHeader">
    <w:name w:val="Table Header"/>
    <w:basedOn w:val="Normal"/>
    <w:link w:val="TableHeaderChar"/>
    <w:qFormat/>
    <w:rsid w:val="00FD0BE3"/>
    <w:pPr>
      <w:spacing w:before="40" w:after="40" w:line="240" w:lineRule="auto"/>
      <w:jc w:val="center"/>
    </w:pPr>
    <w:rPr>
      <w:b/>
      <w:sz w:val="16"/>
      <w:szCs w:val="16"/>
    </w:rPr>
  </w:style>
  <w:style w:type="character" w:customStyle="1" w:styleId="Heading21Char">
    <w:name w:val="Heading 2.1 Char"/>
    <w:basedOn w:val="Heading3Char"/>
    <w:link w:val="Heading21"/>
    <w:rsid w:val="00985312"/>
    <w:rPr>
      <w:rFonts w:ascii="Arial" w:eastAsia="Times New Roman" w:hAnsi="Arial" w:cs="Arial"/>
      <w:b/>
      <w:bCs/>
      <w:color w:val="201547"/>
      <w:sz w:val="20"/>
      <w:szCs w:val="20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BA38F2"/>
    <w:pPr>
      <w:numPr>
        <w:numId w:val="1"/>
      </w:numPr>
      <w:tabs>
        <w:tab w:val="clear" w:pos="357"/>
      </w:tabs>
      <w:suppressAutoHyphens w:val="0"/>
      <w:autoSpaceDE/>
      <w:autoSpaceDN/>
      <w:adjustRightInd/>
      <w:spacing w:after="0" w:line="0" w:lineRule="atLeast"/>
      <w:contextualSpacing/>
      <w:textAlignment w:val="auto"/>
    </w:pPr>
    <w:rPr>
      <w:sz w:val="16"/>
      <w:szCs w:val="16"/>
    </w:rPr>
  </w:style>
  <w:style w:type="character" w:customStyle="1" w:styleId="TableHeaderChar">
    <w:name w:val="Table Header Char"/>
    <w:basedOn w:val="DefaultParagraphFont"/>
    <w:link w:val="TableHeader"/>
    <w:rsid w:val="00FD0BE3"/>
    <w:rPr>
      <w:rFonts w:ascii="Arial Narrow" w:eastAsia="Times New Roman" w:hAnsi="Arial Narrow" w:cs="Arial Narrow"/>
      <w:b/>
      <w:color w:val="000000"/>
      <w:sz w:val="16"/>
      <w:szCs w:val="16"/>
      <w:lang w:eastAsia="en-AU"/>
    </w:rPr>
  </w:style>
  <w:style w:type="paragraph" w:customStyle="1" w:styleId="TableNote">
    <w:name w:val="Table Note"/>
    <w:basedOn w:val="TableText"/>
    <w:link w:val="TableNoteChar"/>
    <w:qFormat/>
    <w:rsid w:val="00F31D6D"/>
    <w:pPr>
      <w:spacing w:before="0" w:after="0"/>
      <w:ind w:left="57"/>
    </w:pPr>
    <w:rPr>
      <w:b/>
      <w:bCs/>
    </w:rPr>
  </w:style>
  <w:style w:type="character" w:customStyle="1" w:styleId="TableBulletChar">
    <w:name w:val="Table Bullet Char"/>
    <w:basedOn w:val="DefaultParagraphFont"/>
    <w:link w:val="TableBullet"/>
    <w:rsid w:val="00BA38F2"/>
    <w:rPr>
      <w:rFonts w:ascii="Arial Narrow" w:eastAsia="Times New Roman" w:hAnsi="Arial Narrow" w:cs="Arial Narrow"/>
      <w:color w:val="000000"/>
      <w:sz w:val="16"/>
      <w:szCs w:val="16"/>
      <w:lang w:eastAsia="en-AU"/>
    </w:rPr>
  </w:style>
  <w:style w:type="paragraph" w:customStyle="1" w:styleId="BodyText1">
    <w:name w:val="Body Text1"/>
    <w:basedOn w:val="Normal"/>
    <w:qFormat/>
    <w:rsid w:val="009678C8"/>
    <w:pPr>
      <w:tabs>
        <w:tab w:val="clear" w:pos="357"/>
      </w:tabs>
      <w:suppressAutoHyphens w:val="0"/>
      <w:autoSpaceDE/>
      <w:autoSpaceDN/>
      <w:adjustRightInd/>
      <w:spacing w:before="60" w:after="80" w:line="240" w:lineRule="auto"/>
      <w:ind w:left="1134"/>
      <w:textAlignment w:val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ableNoteChar">
    <w:name w:val="Table Note Char"/>
    <w:basedOn w:val="TableTextChar"/>
    <w:link w:val="TableNote"/>
    <w:rsid w:val="00F31D6D"/>
    <w:rPr>
      <w:rFonts w:ascii="Arial Narrow" w:eastAsia="Calibri" w:hAnsi="Arial Narrow" w:cs="Arial"/>
      <w:b/>
      <w:bCs/>
      <w:iCs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E49B90340AF44A07AA5C348D70C22" ma:contentTypeVersion="20" ma:contentTypeDescription="Create a new document." ma:contentTypeScope="" ma:versionID="10c9ca516e22d1554fddbd557d71587b">
  <xsd:schema xmlns:xsd="http://www.w3.org/2001/XMLSchema" xmlns:xs="http://www.w3.org/2001/XMLSchema" xmlns:p="http://schemas.microsoft.com/office/2006/metadata/properties" xmlns:ns2="a5f32de4-e402-4188-b034-e71ca7d22e54" xmlns:ns3="dcba8cd8-4ab0-4252-839b-82aa47f9fc8a" xmlns:ns4="9fd47c19-1c4a-4d7d-b342-c10cef269344" xmlns:ns5="6fb2e63c-2bd9-440f-a689-992b6b9291d9" targetNamespace="http://schemas.microsoft.com/office/2006/metadata/properties" ma:root="true" ma:fieldsID="106dc99d9e81fb559930f143c8141429" ns2:_="" ns3:_="" ns4:_="" ns5:_="">
    <xsd:import namespace="a5f32de4-e402-4188-b034-e71ca7d22e54"/>
    <xsd:import namespace="dcba8cd8-4ab0-4252-839b-82aa47f9fc8a"/>
    <xsd:import namespace="9fd47c19-1c4a-4d7d-b342-c10cef269344"/>
    <xsd:import namespace="6fb2e63c-2bd9-440f-a689-992b6b9291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ed385936e7646da9ee9cb5c9a681f3c" minOccurs="0"/>
                <xsd:element ref="ns3:m612677ec3164b4f8c858819e2ed5121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5:SharedWithUsers" minOccurs="0"/>
                <xsd:element ref="ns5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8cd8-4ab0-4252-839b-82aa47f9fc8a" elementFormDefault="qualified">
    <xsd:import namespace="http://schemas.microsoft.com/office/2006/documentManagement/types"/>
    <xsd:import namespace="http://schemas.microsoft.com/office/infopath/2007/PartnerControls"/>
    <xsd:element name="ied385936e7646da9ee9cb5c9a681f3c" ma:index="12" nillable="true" ma:taxonomy="true" ma:internalName="ied385936e7646da9ee9cb5c9a681f3c" ma:taxonomyFieldName="Records_x0020_Purpose" ma:displayName="Records Purpose" ma:default="1;#Minor / routine projects|61f94139-eaaa-400f-b6db-76a98071b4b1" ma:fieldId="{2ed38593-6e76-46da-9ee9-cb5c9a681f3c}" ma:sspId="797aeec6-0273-40f2-ab3e-beee73212332" ma:termSetId="bcf5a239-fe11-49e0-8a78-d51fb720f0dd" ma:anchorId="d9c211bb-4a81-4cc6-9764-6af3d4c88160" ma:open="false" ma:isKeyword="false">
      <xsd:complexType>
        <xsd:sequence>
          <xsd:element ref="pc:Terms" minOccurs="0" maxOccurs="1"/>
        </xsd:sequence>
      </xsd:complexType>
    </xsd:element>
    <xsd:element name="m612677ec3164b4f8c858819e2ed5121" ma:index="13" nillable="true" ma:taxonomy="true" ma:internalName="m612677ec3164b4f8c858819e2ed5121" ma:taxonomyFieldName="Records_x0020_Classification" ma:displayName="Records Classification" ma:default="" ma:fieldId="{6612677e-c316-4b4f-8c85-8819e2ed5121}" ma:sspId="797aeec6-0273-40f2-ab3e-beee73212332" ma:termSetId="4258747f-0974-48f0-ac10-46f208a52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bf9ae72-0e53-4fc1-bc15-05fee3a41671}" ma:internalName="TaxCatchAll" ma:showField="CatchAllData" ma:web="6fb2e63c-2bd9-440f-a689-992b6b929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e63c-2bd9-440f-a689-992b6b9291d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d385936e7646da9ee9cb5c9a681f3c xmlns="dcba8cd8-4ab0-4252-839b-82aa47f9f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Minor / routine projects</TermName>
          <TermId xmlns="http://schemas.microsoft.com/office/infopath/2007/PartnerControls">61f94139-eaaa-400f-b6db-76a98071b4b1</TermId>
        </TermInfo>
      </Terms>
    </ied385936e7646da9ee9cb5c9a681f3c>
    <TaxCatchAll xmlns="9fd47c19-1c4a-4d7d-b342-c10cef269344">
      <Value>1</Value>
    </TaxCatchAll>
    <lcf76f155ced4ddcb4097134ff3c332f xmlns="dcba8cd8-4ab0-4252-839b-82aa47f9fc8a">
      <Terms xmlns="http://schemas.microsoft.com/office/infopath/2007/PartnerControls"/>
    </lcf76f155ced4ddcb4097134ff3c332f>
    <m612677ec3164b4f8c858819e2ed5121 xmlns="dcba8cd8-4ab0-4252-839b-82aa47f9fc8a">
      <Terms xmlns="http://schemas.microsoft.com/office/infopath/2007/PartnerControls"/>
    </m612677ec3164b4f8c858819e2ed5121>
  </documentManagement>
</p:properties>
</file>

<file path=customXml/itemProps1.xml><?xml version="1.0" encoding="utf-8"?>
<ds:datastoreItem xmlns:ds="http://schemas.openxmlformats.org/officeDocument/2006/customXml" ds:itemID="{75919FAC-C364-4A84-9668-7D9375A5A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dcba8cd8-4ab0-4252-839b-82aa47f9fc8a"/>
    <ds:schemaRef ds:uri="9fd47c19-1c4a-4d7d-b342-c10cef269344"/>
    <ds:schemaRef ds:uri="6fb2e63c-2bd9-440f-a689-992b6b929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503A3-81A7-4A3F-BEB7-353A28616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F1D1E-AC09-41DC-AD83-3FD7EC3C10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B0C035-D543-4A30-9CFB-4B55CAACE5E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6968358-7A12-48E5-A288-EBE8C2B6962C}">
  <ds:schemaRefs>
    <ds:schemaRef ds:uri="http://schemas.microsoft.com/office/2006/metadata/properties"/>
    <ds:schemaRef ds:uri="http://schemas.microsoft.com/office/infopath/2007/PartnerControls"/>
    <ds:schemaRef ds:uri="dcba8cd8-4ab0-4252-839b-82aa47f9fc8a"/>
    <ds:schemaRef ds:uri="9fd47c19-1c4a-4d7d-b342-c10cef269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Planning Practice Note 63</vt:lpstr>
      <vt:lpstr>Applying for a Planning Permit to Farm Broiler  Chickens</vt:lpstr>
      <vt:lpstr>    Planning for sustainable animal industries</vt:lpstr>
      <vt:lpstr>    When is a planning permit required?</vt:lpstr>
      <vt:lpstr>    How is a broiler farm defined in planning schemes?</vt:lpstr>
      <vt:lpstr>    What are the different types of broiler farms?</vt:lpstr>
      <vt:lpstr>    Making an application</vt:lpstr>
      <vt:lpstr>        Information to be submitted with an application</vt:lpstr>
      <vt:lpstr>        When does the Victorian Code for Broiler Farms 2009 apply?</vt:lpstr>
      <vt:lpstr>        When do the Victorian Low Density Mobile Outdoor Poultry Farm Planning Permit Gu</vt:lpstr>
      <vt:lpstr>        When is an Environmental Management Plan required?</vt:lpstr>
      <vt:lpstr>    Notice and VCAT review</vt:lpstr>
      <vt:lpstr>        Low density mobile outdoor broiler farms</vt:lpstr>
      <vt:lpstr>    Making a decision</vt:lpstr>
      <vt:lpstr>    Issuing a permit</vt:lpstr>
      <vt:lpstr>    Appendix 1: Planning permit requirements for broiler farms</vt:lpstr>
      <vt:lpstr>    </vt:lpstr>
      <vt:lpstr>    Appendix 2: Application to upgrade an existing broiler farm – no increase in far</vt:lpstr>
      <vt:lpstr>        Information for the applicant</vt:lpstr>
      <vt:lpstr>        Information for the council</vt:lpstr>
      <vt:lpstr>    Appendix 3: Add an outdoor range area to an existing broiler farm</vt:lpstr>
      <vt:lpstr>        </vt:lpstr>
      <vt:lpstr>    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Shirani L De Saram (DELWP)</dc:creator>
  <cp:keywords/>
  <dc:description/>
  <cp:lastModifiedBy>Brooke Beddall (DEECA)</cp:lastModifiedBy>
  <cp:revision>3</cp:revision>
  <dcterms:created xsi:type="dcterms:W3CDTF">2023-06-07T23:57:00Z</dcterms:created>
  <dcterms:modified xsi:type="dcterms:W3CDTF">2023-06-08T00:08:00Z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Records Purpose">
    <vt:lpwstr>1;#Minor / routine projects|61f94139-eaaa-400f-b6db-76a98071b4b1</vt:lpwstr>
  </property>
  <property fmtid="{D5CDD505-2E9C-101B-9397-08002B2CF9AE}" pid="4" name="Records_x0020_Classification">
    <vt:lpwstr/>
  </property>
  <property fmtid="{D5CDD505-2E9C-101B-9397-08002B2CF9AE}" pid="5" name="Records Classification">
    <vt:lpwstr/>
  </property>
  <property fmtid="{D5CDD505-2E9C-101B-9397-08002B2CF9AE}" pid="6" name="ContentTypeId">
    <vt:lpwstr>0x01010044AE49B90340AF44A07AA5C348D70C22</vt:lpwstr>
  </property>
  <property fmtid="{D5CDD505-2E9C-101B-9397-08002B2CF9AE}" pid="7" name="MSIP_Label_4257e2ab-f512-40e2-9c9a-c64247360765_Enabled">
    <vt:lpwstr>true</vt:lpwstr>
  </property>
  <property fmtid="{D5CDD505-2E9C-101B-9397-08002B2CF9AE}" pid="8" name="MSIP_Label_4257e2ab-f512-40e2-9c9a-c64247360765_SetDate">
    <vt:lpwstr>2023-06-08T00:08:02Z</vt:lpwstr>
  </property>
  <property fmtid="{D5CDD505-2E9C-101B-9397-08002B2CF9AE}" pid="9" name="MSIP_Label_4257e2ab-f512-40e2-9c9a-c64247360765_Method">
    <vt:lpwstr>Privileged</vt:lpwstr>
  </property>
  <property fmtid="{D5CDD505-2E9C-101B-9397-08002B2CF9AE}" pid="10" name="MSIP_Label_4257e2ab-f512-40e2-9c9a-c64247360765_Name">
    <vt:lpwstr>OFFICIAL</vt:lpwstr>
  </property>
  <property fmtid="{D5CDD505-2E9C-101B-9397-08002B2CF9AE}" pid="11" name="MSIP_Label_4257e2ab-f512-40e2-9c9a-c64247360765_SiteId">
    <vt:lpwstr>e8bdd6f7-fc18-4e48-a554-7f547927223b</vt:lpwstr>
  </property>
  <property fmtid="{D5CDD505-2E9C-101B-9397-08002B2CF9AE}" pid="12" name="MSIP_Label_4257e2ab-f512-40e2-9c9a-c64247360765_ActionId">
    <vt:lpwstr>fe9c3a33-f0e2-43d3-9b99-1680b54ca2ab</vt:lpwstr>
  </property>
  <property fmtid="{D5CDD505-2E9C-101B-9397-08002B2CF9AE}" pid="13" name="MSIP_Label_4257e2ab-f512-40e2-9c9a-c64247360765_ContentBits">
    <vt:lpwstr>2</vt:lpwstr>
  </property>
</Properties>
</file>