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1340" w:rightFromText="5670" w:bottomFromText="284" w:vertAnchor="page" w:horzAnchor="margin" w:tblpXSpec="right" w:tblpY="455"/>
        <w:tblOverlap w:val="never"/>
        <w:tblW w:w="12615" w:type="dxa"/>
        <w:tblLayout w:type="fixed"/>
        <w:tblCellMar>
          <w:left w:w="0" w:type="dxa"/>
          <w:right w:w="0" w:type="dxa"/>
        </w:tblCellMar>
        <w:tblLook w:val="0480" w:firstRow="0" w:lastRow="0" w:firstColumn="1" w:lastColumn="0" w:noHBand="0" w:noVBand="1"/>
      </w:tblPr>
      <w:tblGrid>
        <w:gridCol w:w="12615"/>
      </w:tblGrid>
      <w:tr w:rsidR="00066528" w14:paraId="47C220FF" w14:textId="77777777" w:rsidTr="006C1FC5">
        <w:trPr>
          <w:trHeight w:val="1418"/>
        </w:trPr>
        <w:tc>
          <w:tcPr>
            <w:tcW w:w="12615" w:type="dxa"/>
            <w:vAlign w:val="center"/>
            <w:hideMark/>
          </w:tcPr>
          <w:p w14:paraId="2C54AEC9" w14:textId="1C96463B" w:rsidR="00066528" w:rsidRDefault="006C1FC5" w:rsidP="006C1FC5">
            <w:pPr>
              <w:pStyle w:val="Title"/>
            </w:pPr>
            <w:r>
              <w:t xml:space="preserve">Amendment VC197 – Summary of changes to the Yarra River Planning Controls </w:t>
            </w:r>
          </w:p>
        </w:tc>
      </w:tr>
    </w:tbl>
    <w:p w14:paraId="7EC21062" w14:textId="1553DEC5" w:rsidR="00C46A59" w:rsidRDefault="00C46A59" w:rsidP="00C46A59"/>
    <w:p w14:paraId="4D95F00D" w14:textId="37174CD8" w:rsidR="006C1FC5" w:rsidRDefault="006C1FC5" w:rsidP="00C46A59"/>
    <w:p w14:paraId="13EBCC71" w14:textId="44463992" w:rsidR="006C1FC5" w:rsidRDefault="006C1FC5" w:rsidP="00C46A59"/>
    <w:p w14:paraId="551B799E" w14:textId="3DC7BE25" w:rsidR="006C1FC5" w:rsidRDefault="006C1FC5" w:rsidP="00C46A59"/>
    <w:p w14:paraId="32D6594C" w14:textId="53246537" w:rsidR="006C1FC5" w:rsidRDefault="006C1FC5" w:rsidP="00C46A59"/>
    <w:p w14:paraId="75FB710A" w14:textId="77777777" w:rsidR="00C46A59" w:rsidRDefault="00C46A59" w:rsidP="00C46A59">
      <w:pPr>
        <w:pStyle w:val="BodyText"/>
        <w:sectPr w:rsidR="00C46A59" w:rsidSect="00066528">
          <w:headerReference w:type="even" r:id="rId14"/>
          <w:headerReference w:type="default" r:id="rId15"/>
          <w:footerReference w:type="even" r:id="rId16"/>
          <w:footerReference w:type="default" r:id="rId17"/>
          <w:headerReference w:type="first" r:id="rId18"/>
          <w:footerReference w:type="first" r:id="rId19"/>
          <w:pgSz w:w="16840" w:h="11907" w:orient="landscape" w:code="9"/>
          <w:pgMar w:top="2211" w:right="851" w:bottom="1758" w:left="851" w:header="284" w:footer="284" w:gutter="0"/>
          <w:cols w:space="284"/>
          <w:titlePg/>
          <w:docGrid w:linePitch="360"/>
        </w:sectPr>
      </w:pPr>
    </w:p>
    <w:p w14:paraId="7319FEDA" w14:textId="02CFF139" w:rsidR="004E2C14" w:rsidRPr="0032431A" w:rsidRDefault="004E2C14" w:rsidP="004E2C14">
      <w:pPr>
        <w:pStyle w:val="Heading2"/>
      </w:pPr>
      <w:r>
        <w:t xml:space="preserve">1. </w:t>
      </w:r>
      <w:r w:rsidR="60F6D021">
        <w:t>U</w:t>
      </w:r>
      <w:r>
        <w:t>pdates</w:t>
      </w:r>
      <w:r w:rsidRPr="0032431A">
        <w:t xml:space="preserve"> are policy neutral </w:t>
      </w:r>
    </w:p>
    <w:p w14:paraId="039016DD" w14:textId="6BCED04B" w:rsidR="004E2C14" w:rsidRDefault="004E2C14" w:rsidP="004E2C14">
      <w:r>
        <w:t>Amendment VC197 introduces permanent planning controls along the Yarra River (Birrarung) corridor, replacing the controls introduced on an interim basis from Richmond to Warrandyte in 2017 through Amendment GC48.</w:t>
      </w:r>
      <w:r w:rsidRPr="748B49FF">
        <w:t xml:space="preserve"> The amendment removes expiry dates and updates existing Design and Development Overlay (DDO) and Significant Landscape Overlay (SLO) schedules within the Banyule, Boroondara, Manningham, Nillumbik, Stonnington and Yarra planning schemes.</w:t>
      </w:r>
      <w:r>
        <w:t xml:space="preserve"> The permanent controls </w:t>
      </w:r>
      <w:r w:rsidR="41624ECA">
        <w:t>made</w:t>
      </w:r>
      <w:r>
        <w:t xml:space="preserve"> by Amendment VC197 are policy neutral. While the revised schedules to the SLO and DDO look substantially different, the majority of changes make only minor clarifications and revise the structure and drafting of the schedules to achieve consistency with </w:t>
      </w:r>
      <w:r w:rsidRPr="748B49FF">
        <w:rPr>
          <w:i/>
          <w:iCs/>
        </w:rPr>
        <w:t>Ministerial Direction – The Form and Content of Planning Schemes</w:t>
      </w:r>
      <w:r>
        <w:t xml:space="preserve">. As such, the permanent controls introduced by Amendment VC197 are not anticipated to effect outcomes </w:t>
      </w:r>
      <w:r w:rsidR="00525B46">
        <w:t xml:space="preserve">materially different to those </w:t>
      </w:r>
      <w:r>
        <w:t>achieved by the interim controls.</w:t>
      </w:r>
    </w:p>
    <w:p w14:paraId="4382F3FB" w14:textId="77777777" w:rsidR="00525B46" w:rsidRDefault="00525B46" w:rsidP="004E2C14"/>
    <w:p w14:paraId="54586F21" w14:textId="174B4621" w:rsidR="004E2C14" w:rsidRDefault="004E2C14" w:rsidP="004E2C14">
      <w:r w:rsidRPr="00AD78E4">
        <w:t>Amendment VC197</w:t>
      </w:r>
      <w:r>
        <w:t xml:space="preserve"> also</w:t>
      </w:r>
      <w:r w:rsidRPr="00AD78E4">
        <w:t xml:space="preserve"> includes minor policy neutral updates to other </w:t>
      </w:r>
      <w:r>
        <w:t>sections</w:t>
      </w:r>
      <w:r w:rsidRPr="00AD78E4">
        <w:t xml:space="preserve"> of </w:t>
      </w:r>
      <w:r>
        <w:t xml:space="preserve">the </w:t>
      </w:r>
      <w:r w:rsidRPr="00AD78E4">
        <w:t>planning scheme</w:t>
      </w:r>
      <w:r>
        <w:t xml:space="preserve"> </w:t>
      </w:r>
      <w:r w:rsidRPr="00AD78E4">
        <w:t>through relocation of a number of</w:t>
      </w:r>
      <w:r w:rsidRPr="00CD5258">
        <w:t xml:space="preserve"> provisions </w:t>
      </w:r>
      <w:r>
        <w:t xml:space="preserve">to ensure </w:t>
      </w:r>
      <w:r w:rsidRPr="00CD5258">
        <w:t xml:space="preserve">consistency with the </w:t>
      </w:r>
      <w:r>
        <w:t>m</w:t>
      </w:r>
      <w:r w:rsidRPr="00CD5258">
        <w:t xml:space="preserve">inisterial </w:t>
      </w:r>
      <w:r>
        <w:t>d</w:t>
      </w:r>
      <w:r w:rsidRPr="00CD5258">
        <w:t>irection. This includes</w:t>
      </w:r>
      <w:r w:rsidRPr="00AD78E4">
        <w:t xml:space="preserve"> Clause 12.03-1R and schedules to Clause 66.04 and Clause 72.08. Details of the changes and reasons </w:t>
      </w:r>
      <w:r w:rsidR="154A3220">
        <w:t>for</w:t>
      </w:r>
      <w:r w:rsidRPr="00AD78E4">
        <w:t xml:space="preserve"> change are outlined below. </w:t>
      </w:r>
    </w:p>
    <w:p w14:paraId="30B83A86" w14:textId="77777777" w:rsidR="006C1FC5" w:rsidRPr="00AD78E4" w:rsidRDefault="006C1FC5" w:rsidP="004E2C14"/>
    <w:p w14:paraId="6D70AE2A" w14:textId="50CB017C" w:rsidR="004E2C14" w:rsidRPr="007F60CC" w:rsidRDefault="004E2C14" w:rsidP="004E2C14">
      <w:pPr>
        <w:pStyle w:val="Heading2"/>
      </w:pPr>
      <w:r>
        <w:t xml:space="preserve">2. </w:t>
      </w:r>
      <w:r w:rsidRPr="007F60CC">
        <w:t xml:space="preserve">No updates to planning scheme maps </w:t>
      </w:r>
    </w:p>
    <w:p w14:paraId="2FA425BB" w14:textId="681569C1" w:rsidR="004E2C14" w:rsidRDefault="004E2C14" w:rsidP="006C1FC5">
      <w:r>
        <w:t xml:space="preserve">Amendment VC197 does not vary the extents to which overlays area applied to land. No mapping changes are included in the amendment. </w:t>
      </w:r>
    </w:p>
    <w:p w14:paraId="5C30426C" w14:textId="77777777" w:rsidR="006C1FC5" w:rsidRDefault="006C1FC5" w:rsidP="006C1FC5"/>
    <w:p w14:paraId="451C8B72" w14:textId="55C21CA2" w:rsidR="004E2C14" w:rsidRPr="007F60CC" w:rsidRDefault="004E2C14" w:rsidP="004E2C14">
      <w:pPr>
        <w:pStyle w:val="Heading2"/>
      </w:pPr>
      <w:r>
        <w:t xml:space="preserve">3. </w:t>
      </w:r>
      <w:r w:rsidR="00465657">
        <w:t>U</w:t>
      </w:r>
      <w:r w:rsidRPr="007F60CC">
        <w:t>pdates to schedules to the Significant Landscape Overlay - Yarra (Birrarung) River Protection</w:t>
      </w:r>
    </w:p>
    <w:tbl>
      <w:tblPr>
        <w:tblStyle w:val="TableGrid"/>
        <w:tblW w:w="0" w:type="auto"/>
        <w:tblLook w:val="04A0" w:firstRow="1" w:lastRow="0" w:firstColumn="1" w:lastColumn="0" w:noHBand="0" w:noVBand="1"/>
      </w:tblPr>
      <w:tblGrid>
        <w:gridCol w:w="2263"/>
        <w:gridCol w:w="1843"/>
        <w:gridCol w:w="4910"/>
        <w:gridCol w:w="6010"/>
      </w:tblGrid>
      <w:tr w:rsidR="004E2C14" w14:paraId="1985925E" w14:textId="77777777" w:rsidTr="00CC19AE">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263" w:type="dxa"/>
            <w:vAlign w:val="top"/>
          </w:tcPr>
          <w:p w14:paraId="731E7525" w14:textId="4FFCC418" w:rsidR="004E2C14" w:rsidRPr="006C1FC5" w:rsidRDefault="7530F331" w:rsidP="002966FE">
            <w:pPr>
              <w:rPr>
                <w:b/>
                <w:bCs/>
                <w:color w:val="FFFFFF" w:themeColor="background1"/>
              </w:rPr>
            </w:pPr>
            <w:r w:rsidRPr="2D1D63AF">
              <w:rPr>
                <w:b/>
                <w:bCs/>
                <w:color w:val="FFFFFF" w:themeColor="background1"/>
              </w:rPr>
              <w:t>Sub</w:t>
            </w:r>
            <w:r w:rsidR="004E2C14" w:rsidRPr="006C1FC5">
              <w:rPr>
                <w:b/>
                <w:bCs/>
                <w:color w:val="FFFFFF" w:themeColor="background1"/>
              </w:rPr>
              <w:t xml:space="preserve">-Clause </w:t>
            </w:r>
          </w:p>
        </w:tc>
        <w:tc>
          <w:tcPr>
            <w:tcW w:w="1843" w:type="dxa"/>
          </w:tcPr>
          <w:p w14:paraId="7280F962" w14:textId="77777777" w:rsidR="004E2C14" w:rsidRPr="006C1FC5" w:rsidRDefault="004E2C14" w:rsidP="002966FE">
            <w:pPr>
              <w:cnfStyle w:val="100000000000" w:firstRow="1" w:lastRow="0" w:firstColumn="0" w:lastColumn="0" w:oddVBand="0" w:evenVBand="0" w:oddHBand="0" w:evenHBand="0" w:firstRowFirstColumn="0" w:firstRowLastColumn="0" w:lastRowFirstColumn="0" w:lastRowLastColumn="0"/>
              <w:rPr>
                <w:b/>
                <w:bCs/>
                <w:color w:val="FFFFFF" w:themeColor="background1"/>
              </w:rPr>
            </w:pPr>
            <w:r w:rsidRPr="006C1FC5">
              <w:rPr>
                <w:b/>
                <w:bCs/>
                <w:color w:val="FFFFFF" w:themeColor="background1"/>
              </w:rPr>
              <w:t>SLO action</w:t>
            </w:r>
          </w:p>
        </w:tc>
        <w:tc>
          <w:tcPr>
            <w:tcW w:w="4910" w:type="dxa"/>
          </w:tcPr>
          <w:p w14:paraId="58EC2900" w14:textId="60513DA8" w:rsidR="004E2C14" w:rsidRPr="006C1FC5" w:rsidRDefault="004E2C14" w:rsidP="002966FE">
            <w:pPr>
              <w:cnfStyle w:val="100000000000" w:firstRow="1" w:lastRow="0" w:firstColumn="0" w:lastColumn="0" w:oddVBand="0" w:evenVBand="0" w:oddHBand="0" w:evenHBand="0" w:firstRowFirstColumn="0" w:firstRowLastColumn="0" w:lastRowFirstColumn="0" w:lastRowLastColumn="0"/>
              <w:rPr>
                <w:b/>
                <w:bCs/>
                <w:color w:val="FFFFFF" w:themeColor="background1"/>
              </w:rPr>
            </w:pPr>
            <w:r w:rsidRPr="006C1FC5">
              <w:rPr>
                <w:b/>
                <w:bCs/>
                <w:color w:val="FFFFFF" w:themeColor="background1"/>
              </w:rPr>
              <w:t xml:space="preserve">Details of change  </w:t>
            </w:r>
          </w:p>
        </w:tc>
        <w:tc>
          <w:tcPr>
            <w:tcW w:w="6010" w:type="dxa"/>
          </w:tcPr>
          <w:p w14:paraId="76EDBD56" w14:textId="77777777" w:rsidR="004E2C14" w:rsidRPr="006C1FC5" w:rsidRDefault="004E2C14" w:rsidP="002966FE">
            <w:pPr>
              <w:cnfStyle w:val="100000000000" w:firstRow="1" w:lastRow="0" w:firstColumn="0" w:lastColumn="0" w:oddVBand="0" w:evenVBand="0" w:oddHBand="0" w:evenHBand="0" w:firstRowFirstColumn="0" w:firstRowLastColumn="0" w:lastRowFirstColumn="0" w:lastRowLastColumn="0"/>
              <w:rPr>
                <w:b/>
                <w:bCs/>
                <w:color w:val="FFFFFF" w:themeColor="background1"/>
              </w:rPr>
            </w:pPr>
            <w:r w:rsidRPr="006C1FC5">
              <w:rPr>
                <w:b/>
                <w:bCs/>
                <w:color w:val="FFFFFF" w:themeColor="background1"/>
              </w:rPr>
              <w:t xml:space="preserve">Strategic justification </w:t>
            </w:r>
          </w:p>
        </w:tc>
      </w:tr>
      <w:tr w:rsidR="004E2C14" w14:paraId="5D6F1DE4" w14:textId="77777777" w:rsidTr="00CC19AE">
        <w:tc>
          <w:tcPr>
            <w:tcW w:w="2263" w:type="dxa"/>
          </w:tcPr>
          <w:p w14:paraId="344CD905" w14:textId="77777777" w:rsidR="004E2C14" w:rsidRPr="00091E32" w:rsidRDefault="004E2C14" w:rsidP="002966FE">
            <w:pPr>
              <w:rPr>
                <w:i/>
                <w:iCs/>
              </w:rPr>
            </w:pPr>
            <w:r w:rsidRPr="00091E32">
              <w:rPr>
                <w:i/>
                <w:iCs/>
              </w:rPr>
              <w:t>1.0 Statement of nature and key elements of landscape</w:t>
            </w:r>
          </w:p>
        </w:tc>
        <w:tc>
          <w:tcPr>
            <w:tcW w:w="1843" w:type="dxa"/>
          </w:tcPr>
          <w:p w14:paraId="032E697D" w14:textId="77777777" w:rsidR="004E2C14" w:rsidRDefault="004E2C14" w:rsidP="002966FE">
            <w:r>
              <w:t xml:space="preserve">Reduced body of text.   </w:t>
            </w:r>
          </w:p>
        </w:tc>
        <w:tc>
          <w:tcPr>
            <w:tcW w:w="4910" w:type="dxa"/>
          </w:tcPr>
          <w:p w14:paraId="26919DA1" w14:textId="77777777" w:rsidR="004E2C14" w:rsidRDefault="004E2C14" w:rsidP="002966FE">
            <w:r>
              <w:t xml:space="preserve">Now 3 paragraphs. </w:t>
            </w:r>
          </w:p>
        </w:tc>
        <w:tc>
          <w:tcPr>
            <w:tcW w:w="6010" w:type="dxa"/>
          </w:tcPr>
          <w:p w14:paraId="3B58EC54" w14:textId="3B1E0395" w:rsidR="004E2C14" w:rsidRDefault="004E2C14" w:rsidP="002966FE">
            <w:r>
              <w:t xml:space="preserve">The Statement of nature and key elements of the landscape has been made more </w:t>
            </w:r>
            <w:r w:rsidR="00ED1D27">
              <w:t>concise</w:t>
            </w:r>
            <w:r>
              <w:t xml:space="preserve"> in response to council feedback which indicated the statements are too long and do not support decision making. While the remaining paragraphs are less locally specific, they focus on what is value</w:t>
            </w:r>
            <w:r w:rsidR="786B5AF0">
              <w:t>d</w:t>
            </w:r>
            <w:r>
              <w:t xml:space="preserve"> and significant about the Yarra River landscape. Deleted text </w:t>
            </w:r>
            <w:r>
              <w:lastRenderedPageBreak/>
              <w:t xml:space="preserve">was found to be primarily descriptive of visitor destinations and geological features, as opposed to the landscape characteristics that the SLO seeks to protect and enhance. </w:t>
            </w:r>
          </w:p>
        </w:tc>
      </w:tr>
      <w:tr w:rsidR="004E2C14" w14:paraId="058060ED" w14:textId="77777777" w:rsidTr="00CC19AE">
        <w:tc>
          <w:tcPr>
            <w:tcW w:w="2263" w:type="dxa"/>
          </w:tcPr>
          <w:p w14:paraId="0ADAA9B2" w14:textId="77777777" w:rsidR="004E2C14" w:rsidRPr="00091E32" w:rsidRDefault="004E2C14" w:rsidP="002966FE">
            <w:pPr>
              <w:rPr>
                <w:i/>
                <w:iCs/>
              </w:rPr>
            </w:pPr>
            <w:r w:rsidRPr="00091E32">
              <w:rPr>
                <w:i/>
                <w:iCs/>
              </w:rPr>
              <w:lastRenderedPageBreak/>
              <w:t>2.0 Landscape character objectives to be achieved</w:t>
            </w:r>
          </w:p>
        </w:tc>
        <w:tc>
          <w:tcPr>
            <w:tcW w:w="1843" w:type="dxa"/>
          </w:tcPr>
          <w:p w14:paraId="01ACBA6E" w14:textId="77777777" w:rsidR="004E2C14" w:rsidRDefault="004E2C14" w:rsidP="002966FE">
            <w:r>
              <w:t xml:space="preserve">Reduced number of objectives.   </w:t>
            </w:r>
          </w:p>
        </w:tc>
        <w:tc>
          <w:tcPr>
            <w:tcW w:w="4910" w:type="dxa"/>
          </w:tcPr>
          <w:p w14:paraId="5A78BA3E" w14:textId="77777777" w:rsidR="004E2C14" w:rsidRDefault="004E2C14" w:rsidP="002966FE">
            <w:r>
              <w:t>16 objectives reduced to 5.</w:t>
            </w:r>
          </w:p>
          <w:p w14:paraId="648DC3C6" w14:textId="77777777" w:rsidR="004E2C14" w:rsidRDefault="004E2C14" w:rsidP="002966FE"/>
          <w:p w14:paraId="2D9C7F50" w14:textId="77777777" w:rsidR="004E2C14" w:rsidRDefault="004E2C14" w:rsidP="002966FE">
            <w:r>
              <w:t xml:space="preserve">Subheadings deleted.   </w:t>
            </w:r>
          </w:p>
        </w:tc>
        <w:tc>
          <w:tcPr>
            <w:tcW w:w="6010" w:type="dxa"/>
          </w:tcPr>
          <w:p w14:paraId="3ADE8425" w14:textId="061DC630" w:rsidR="004E2C14" w:rsidRPr="005E1B06" w:rsidRDefault="004E2C14" w:rsidP="001B22BA">
            <w:r w:rsidRPr="6304BF4B">
              <w:rPr>
                <w:i/>
              </w:rPr>
              <w:t>Ministerial Direction – Form and Content of Planning Schemes</w:t>
            </w:r>
            <w:r>
              <w:t xml:space="preserve"> allows for a maximum of 5 objectives in a schedule to the SLO. </w:t>
            </w:r>
            <w:r w:rsidR="00585DCA">
              <w:t>The</w:t>
            </w:r>
            <w:r>
              <w:t xml:space="preserve"> 16 objectives </w:t>
            </w:r>
            <w:r w:rsidR="00585DCA">
              <w:t>in the s</w:t>
            </w:r>
            <w:r w:rsidR="00AA7ADE">
              <w:t xml:space="preserve">chedule to the SLO have been reduced to </w:t>
            </w:r>
            <w:r>
              <w:t>5</w:t>
            </w:r>
            <w:r w:rsidR="00086BF5">
              <w:t xml:space="preserve">. The </w:t>
            </w:r>
            <w:r w:rsidR="00D13C7A">
              <w:t xml:space="preserve">revised objectives more directly relate to the </w:t>
            </w:r>
            <w:r>
              <w:t>permit requirements in the schedule</w:t>
            </w:r>
            <w:r w:rsidR="001A0076">
              <w:t xml:space="preserve"> and </w:t>
            </w:r>
            <w:r w:rsidR="00406D3A">
              <w:t>avoid</w:t>
            </w:r>
            <w:r w:rsidR="001A0076">
              <w:t xml:space="preserve"> </w:t>
            </w:r>
            <w:r w:rsidR="009D2E00">
              <w:t xml:space="preserve">duplication of </w:t>
            </w:r>
            <w:r>
              <w:t xml:space="preserve">regional policy </w:t>
            </w:r>
            <w:r w:rsidRPr="3544B758">
              <w:rPr>
                <w:rFonts w:eastAsia="Arial"/>
              </w:rPr>
              <w:t>12.03-1R (Yarra River Protection).</w:t>
            </w:r>
            <w:r>
              <w:t xml:space="preserve"> One objective “</w:t>
            </w:r>
            <w:r w:rsidRPr="3544B758">
              <w:rPr>
                <w:i/>
                <w:iCs/>
              </w:rPr>
              <w:t>to protect and conserve areas of known indigenous and non-indigenous cultural or archaeological significance”</w:t>
            </w:r>
            <w:r>
              <w:t xml:space="preserve"> </w:t>
            </w:r>
            <w:r w:rsidR="5EC8CEBD">
              <w:t>is</w:t>
            </w:r>
            <w:r>
              <w:t xml:space="preserve"> rehomed as a strategy at Clause 12.03-1R, elevating this to the regional policy level as it is consistent with existing state and regional policy and relevant to the entire Yarra River corridor. </w:t>
            </w:r>
          </w:p>
        </w:tc>
      </w:tr>
      <w:tr w:rsidR="004E2C14" w14:paraId="4F8315F5" w14:textId="77777777" w:rsidTr="00CC19AE">
        <w:tc>
          <w:tcPr>
            <w:tcW w:w="2263" w:type="dxa"/>
          </w:tcPr>
          <w:p w14:paraId="291323A3" w14:textId="77777777" w:rsidR="004E2C14" w:rsidRPr="00091E32" w:rsidRDefault="004E2C14" w:rsidP="002966FE">
            <w:pPr>
              <w:rPr>
                <w:i/>
                <w:iCs/>
              </w:rPr>
            </w:pPr>
            <w:r w:rsidRPr="00091E32">
              <w:rPr>
                <w:i/>
                <w:iCs/>
              </w:rPr>
              <w:t>3.0 Permit requirement</w:t>
            </w:r>
          </w:p>
        </w:tc>
        <w:tc>
          <w:tcPr>
            <w:tcW w:w="1843" w:type="dxa"/>
          </w:tcPr>
          <w:p w14:paraId="5E4AFF40" w14:textId="77777777" w:rsidR="004E2C14" w:rsidRDefault="004E2C14" w:rsidP="002966FE">
            <w:r>
              <w:t>Minor updates.</w:t>
            </w:r>
          </w:p>
        </w:tc>
        <w:tc>
          <w:tcPr>
            <w:tcW w:w="4910" w:type="dxa"/>
          </w:tcPr>
          <w:p w14:paraId="7E2F2EAF" w14:textId="77777777" w:rsidR="004E2C14" w:rsidRDefault="004E2C14" w:rsidP="002966FE">
            <w:r>
              <w:t>Minor drafting changes.</w:t>
            </w:r>
          </w:p>
          <w:p w14:paraId="731EFA1D" w14:textId="77777777" w:rsidR="004E2C14" w:rsidRDefault="004E2C14" w:rsidP="002966FE"/>
          <w:p w14:paraId="066E2532" w14:textId="77777777" w:rsidR="004E2C14" w:rsidRDefault="004E2C14" w:rsidP="002966FE">
            <w:r>
              <w:t xml:space="preserve">Reordering of requirements. </w:t>
            </w:r>
          </w:p>
          <w:p w14:paraId="4A95AFFA" w14:textId="77777777" w:rsidR="004E2C14" w:rsidRDefault="004E2C14" w:rsidP="002966FE"/>
          <w:p w14:paraId="6B8CE83A" w14:textId="77777777" w:rsidR="004E2C14" w:rsidRDefault="004E2C14" w:rsidP="002966FE">
            <w:r>
              <w:t xml:space="preserve">Height for measuring tree circumference changed from 1.3m to 1.4m. </w:t>
            </w:r>
          </w:p>
          <w:p w14:paraId="17B5F42E" w14:textId="77777777" w:rsidR="004E2C14" w:rsidRDefault="004E2C14" w:rsidP="002966FE"/>
          <w:p w14:paraId="5B46B224" w14:textId="11DA6FC3" w:rsidR="004E2C14" w:rsidRDefault="004E2C14" w:rsidP="001B22BA">
            <w:r>
              <w:t>More detailed scope introduced around tree pruning permit exemption.</w:t>
            </w:r>
          </w:p>
        </w:tc>
        <w:tc>
          <w:tcPr>
            <w:tcW w:w="6010" w:type="dxa"/>
          </w:tcPr>
          <w:p w14:paraId="422CE612" w14:textId="5DE8C75F" w:rsidR="004E2C14" w:rsidRDefault="004E2C14" w:rsidP="002966FE">
            <w:r>
              <w:t xml:space="preserve">Updates </w:t>
            </w:r>
            <w:r w:rsidR="7530F331">
              <w:t>make</w:t>
            </w:r>
            <w:r>
              <w:t xml:space="preserve"> the requirements easier to interpret, clarify triggers and exemptions for vegetation removal and fencing and achieve consistency with </w:t>
            </w:r>
            <w:r w:rsidRPr="00427ABD">
              <w:rPr>
                <w:i/>
                <w:iCs/>
              </w:rPr>
              <w:t>AS 4970-2009 Protection of trees on development sites</w:t>
            </w:r>
            <w:r w:rsidRPr="001C1566">
              <w:t>.</w:t>
            </w:r>
          </w:p>
        </w:tc>
      </w:tr>
      <w:tr w:rsidR="004E2C14" w14:paraId="1E44C303" w14:textId="77777777" w:rsidTr="00CC19AE">
        <w:tc>
          <w:tcPr>
            <w:tcW w:w="2263" w:type="dxa"/>
          </w:tcPr>
          <w:p w14:paraId="72EE348A" w14:textId="77777777" w:rsidR="004E2C14" w:rsidRPr="00091E32" w:rsidRDefault="004E2C14" w:rsidP="002966FE">
            <w:pPr>
              <w:rPr>
                <w:i/>
                <w:iCs/>
              </w:rPr>
            </w:pPr>
            <w:r w:rsidRPr="00091E32">
              <w:rPr>
                <w:i/>
                <w:iCs/>
              </w:rPr>
              <w:t>4.0 Application Requirements</w:t>
            </w:r>
          </w:p>
        </w:tc>
        <w:tc>
          <w:tcPr>
            <w:tcW w:w="1843" w:type="dxa"/>
          </w:tcPr>
          <w:p w14:paraId="3762787C" w14:textId="77777777" w:rsidR="004E2C14" w:rsidRDefault="004E2C14" w:rsidP="002966FE">
            <w:r>
              <w:t>Minor updates.</w:t>
            </w:r>
          </w:p>
        </w:tc>
        <w:tc>
          <w:tcPr>
            <w:tcW w:w="4910" w:type="dxa"/>
          </w:tcPr>
          <w:p w14:paraId="57B50BAE" w14:textId="77777777" w:rsidR="004E2C14" w:rsidRDefault="004E2C14" w:rsidP="002966FE">
            <w:r>
              <w:t>Minor drafting changes to most requirements.</w:t>
            </w:r>
          </w:p>
        </w:tc>
        <w:tc>
          <w:tcPr>
            <w:tcW w:w="6010" w:type="dxa"/>
          </w:tcPr>
          <w:p w14:paraId="7D04051A" w14:textId="57BF4FDB" w:rsidR="004E2C14" w:rsidRDefault="004E2C14" w:rsidP="001B22BA">
            <w:r>
              <w:t xml:space="preserve">Updates improve the consistency and clarity of the application requirements. </w:t>
            </w:r>
          </w:p>
        </w:tc>
      </w:tr>
      <w:tr w:rsidR="004E2C14" w14:paraId="5BEEE517" w14:textId="77777777" w:rsidTr="00CC19AE">
        <w:tc>
          <w:tcPr>
            <w:tcW w:w="2263" w:type="dxa"/>
          </w:tcPr>
          <w:p w14:paraId="4EFA1AA3" w14:textId="77777777" w:rsidR="004E2C14" w:rsidRPr="00091E32" w:rsidRDefault="004E2C14" w:rsidP="002966FE">
            <w:pPr>
              <w:rPr>
                <w:i/>
                <w:iCs/>
              </w:rPr>
            </w:pPr>
            <w:r w:rsidRPr="00091E32">
              <w:rPr>
                <w:i/>
                <w:iCs/>
              </w:rPr>
              <w:t>5.0 Decision Guidelines</w:t>
            </w:r>
          </w:p>
        </w:tc>
        <w:tc>
          <w:tcPr>
            <w:tcW w:w="1843" w:type="dxa"/>
          </w:tcPr>
          <w:p w14:paraId="6BDCC32B" w14:textId="77777777" w:rsidR="004E2C14" w:rsidRDefault="004E2C14" w:rsidP="002966FE">
            <w:r>
              <w:t xml:space="preserve">Minor updates. </w:t>
            </w:r>
          </w:p>
        </w:tc>
        <w:tc>
          <w:tcPr>
            <w:tcW w:w="4910" w:type="dxa"/>
          </w:tcPr>
          <w:p w14:paraId="0F382E4D" w14:textId="77777777" w:rsidR="004E2C14" w:rsidRDefault="004E2C14" w:rsidP="002966FE">
            <w:r>
              <w:t xml:space="preserve">Changes to sub-headings. </w:t>
            </w:r>
          </w:p>
          <w:p w14:paraId="7955062D" w14:textId="77777777" w:rsidR="004E2C14" w:rsidRDefault="004E2C14" w:rsidP="002966FE"/>
          <w:p w14:paraId="4DDAF41E" w14:textId="77777777" w:rsidR="004E2C14" w:rsidRDefault="004E2C14" w:rsidP="002966FE">
            <w:r>
              <w:t xml:space="preserve">Term critical root zone replaced with tree protection zone. </w:t>
            </w:r>
          </w:p>
          <w:p w14:paraId="63D401D5" w14:textId="77777777" w:rsidR="004E2C14" w:rsidRDefault="004E2C14" w:rsidP="002966FE"/>
          <w:p w14:paraId="4594A6D5" w14:textId="278D499B" w:rsidR="004E2C14" w:rsidRDefault="004E2C14" w:rsidP="001B22BA">
            <w:r w:rsidRPr="00FA0DDE">
              <w:lastRenderedPageBreak/>
              <w:t xml:space="preserve">New decision guideline referring to the </w:t>
            </w:r>
            <w:r w:rsidRPr="00FA0DDE">
              <w:rPr>
                <w:i/>
                <w:color w:val="231F20"/>
              </w:rPr>
              <w:t xml:space="preserve">Shared Pathway Guidelines 2009, Melbourne Water, </w:t>
            </w:r>
            <w:r w:rsidRPr="00FA0DDE">
              <w:rPr>
                <w:iCs/>
                <w:color w:val="231F20"/>
              </w:rPr>
              <w:t xml:space="preserve">previously included at the Sub-Clause 6.0 Reference Documents. </w:t>
            </w:r>
          </w:p>
        </w:tc>
        <w:tc>
          <w:tcPr>
            <w:tcW w:w="6010" w:type="dxa"/>
          </w:tcPr>
          <w:p w14:paraId="72D12114" w14:textId="77777777" w:rsidR="004E2C14" w:rsidRDefault="004E2C14" w:rsidP="002966FE">
            <w:r>
              <w:lastRenderedPageBreak/>
              <w:t xml:space="preserve">Updates bring the schedule into compliance with Ministerial Direction – Form and Content of Planning Schemes and achieve consistency with </w:t>
            </w:r>
            <w:r w:rsidRPr="0009465A">
              <w:rPr>
                <w:i/>
                <w:iCs/>
              </w:rPr>
              <w:t>AS 4970-2009 Protection of trees on development sites</w:t>
            </w:r>
            <w:r w:rsidRPr="001C1566">
              <w:t>.</w:t>
            </w:r>
          </w:p>
        </w:tc>
      </w:tr>
      <w:tr w:rsidR="004E2C14" w14:paraId="023C6DEB" w14:textId="77777777" w:rsidTr="00CC19AE">
        <w:tc>
          <w:tcPr>
            <w:tcW w:w="2263" w:type="dxa"/>
          </w:tcPr>
          <w:p w14:paraId="76D781B0" w14:textId="77777777" w:rsidR="004E2C14" w:rsidRPr="00091E32" w:rsidRDefault="004E2C14" w:rsidP="002966FE">
            <w:pPr>
              <w:rPr>
                <w:i/>
                <w:iCs/>
              </w:rPr>
            </w:pPr>
            <w:r w:rsidRPr="00091E32">
              <w:rPr>
                <w:i/>
                <w:iCs/>
              </w:rPr>
              <w:t>6.0 Reference documents</w:t>
            </w:r>
          </w:p>
        </w:tc>
        <w:tc>
          <w:tcPr>
            <w:tcW w:w="1843" w:type="dxa"/>
          </w:tcPr>
          <w:p w14:paraId="44973114" w14:textId="77777777" w:rsidR="004E2C14" w:rsidRDefault="004E2C14" w:rsidP="002966FE">
            <w:r>
              <w:t>Deleted.</w:t>
            </w:r>
          </w:p>
        </w:tc>
        <w:tc>
          <w:tcPr>
            <w:tcW w:w="4910" w:type="dxa"/>
          </w:tcPr>
          <w:p w14:paraId="5050497C" w14:textId="1D8AF298" w:rsidR="004E2C14" w:rsidRDefault="004E2C14" w:rsidP="001B22BA">
            <w:r>
              <w:t xml:space="preserve">Sub-Clause 6.0 (Reference Documents) is deleted from the SLO. Most documents previously included here </w:t>
            </w:r>
            <w:r w:rsidR="3BC3B80C">
              <w:t>are</w:t>
            </w:r>
            <w:r>
              <w:t xml:space="preserve"> rehomed under the schedule to Clause 72.08 (Background Documents). Selected documents </w:t>
            </w:r>
            <w:r w:rsidR="00670167">
              <w:t xml:space="preserve">are </w:t>
            </w:r>
            <w:r>
              <w:t xml:space="preserve">instead </w:t>
            </w:r>
            <w:r w:rsidR="001A453C">
              <w:t>integrated with</w:t>
            </w:r>
            <w:r>
              <w:t xml:space="preserve"> decision guidelines. </w:t>
            </w:r>
          </w:p>
        </w:tc>
        <w:tc>
          <w:tcPr>
            <w:tcW w:w="6010" w:type="dxa"/>
          </w:tcPr>
          <w:p w14:paraId="6B5DA2D3" w14:textId="0561F048" w:rsidR="004E2C14" w:rsidRDefault="004E2C14" w:rsidP="001B22BA">
            <w:r w:rsidRPr="006B4967">
              <w:t xml:space="preserve">Under </w:t>
            </w:r>
            <w:r w:rsidRPr="7BAD84F8">
              <w:rPr>
                <w:i/>
              </w:rPr>
              <w:t>Ministerial Direction – Form and Content of Planning Schemes</w:t>
            </w:r>
            <w:r w:rsidRPr="007A0F11">
              <w:t xml:space="preserve"> the inclusion of Reference Documents in a schedule to the SLO is non-compliant. The appropriate place to include documents which are of use to the Responsib</w:t>
            </w:r>
            <w:r w:rsidRPr="00F811EA">
              <w:t>le Authority in exercising their discretion is Clause</w:t>
            </w:r>
            <w:r w:rsidRPr="006B4967">
              <w:t xml:space="preserve"> 72.08 (Background Documents).</w:t>
            </w:r>
          </w:p>
        </w:tc>
      </w:tr>
      <w:tr w:rsidR="004E2C14" w14:paraId="1DE568E0" w14:textId="77777777" w:rsidTr="00CC19AE">
        <w:tc>
          <w:tcPr>
            <w:tcW w:w="2263" w:type="dxa"/>
          </w:tcPr>
          <w:p w14:paraId="63518E2F" w14:textId="77777777" w:rsidR="004E2C14" w:rsidRPr="00091E32" w:rsidRDefault="004E2C14" w:rsidP="002966FE">
            <w:pPr>
              <w:rPr>
                <w:i/>
                <w:iCs/>
              </w:rPr>
            </w:pPr>
            <w:r w:rsidRPr="00091E32">
              <w:rPr>
                <w:i/>
                <w:iCs/>
              </w:rPr>
              <w:t>7.0 Transitional arrangements</w:t>
            </w:r>
          </w:p>
        </w:tc>
        <w:tc>
          <w:tcPr>
            <w:tcW w:w="1843" w:type="dxa"/>
          </w:tcPr>
          <w:p w14:paraId="4AC89BA9" w14:textId="77777777" w:rsidR="004E2C14" w:rsidRDefault="004E2C14" w:rsidP="002966FE">
            <w:r>
              <w:t>Deleted.</w:t>
            </w:r>
          </w:p>
        </w:tc>
        <w:tc>
          <w:tcPr>
            <w:tcW w:w="4910" w:type="dxa"/>
          </w:tcPr>
          <w:p w14:paraId="0D08732C" w14:textId="77777777" w:rsidR="004E2C14" w:rsidRDefault="004E2C14" w:rsidP="002966FE">
            <w:r>
              <w:t xml:space="preserve">No transitional requirements in the updated controls.  </w:t>
            </w:r>
          </w:p>
        </w:tc>
        <w:tc>
          <w:tcPr>
            <w:tcW w:w="6010" w:type="dxa"/>
          </w:tcPr>
          <w:p w14:paraId="18370B1F" w14:textId="2C22BC3A" w:rsidR="004E2C14" w:rsidRDefault="004E2C14" w:rsidP="002966FE">
            <w:r>
              <w:t xml:space="preserve">Amendment GC48 included transitional arrangements to prevent anyone who had already obtained a planning permit or building permit from needing to comply with the new controls. The planning controls implemented by Amendment GC48 </w:t>
            </w:r>
            <w:r w:rsidR="3E540A8D">
              <w:t>were</w:t>
            </w:r>
            <w:r>
              <w:t xml:space="preserve"> in effect for four years. Building permits and planning permits generally expire within two years, and the extension of a planning permit requires the Responsible Authority to consider the current planning policy framework in deciding on whether to extend a permit. </w:t>
            </w:r>
          </w:p>
          <w:p w14:paraId="51B81408" w14:textId="395FD20D" w:rsidR="004E2C14" w:rsidRDefault="004E2C14" w:rsidP="001B22BA">
            <w:r>
              <w:t xml:space="preserve">In this context, there </w:t>
            </w:r>
            <w:r w:rsidR="290A2B9C">
              <w:t>wa</w:t>
            </w:r>
            <w:r>
              <w:t>s no ongoing need for transitional requirements to be included in permanent controls.</w:t>
            </w:r>
          </w:p>
        </w:tc>
      </w:tr>
      <w:tr w:rsidR="004E2C14" w14:paraId="6027CCA2" w14:textId="77777777" w:rsidTr="00CC19AE">
        <w:tc>
          <w:tcPr>
            <w:tcW w:w="2263" w:type="dxa"/>
          </w:tcPr>
          <w:p w14:paraId="04F5176B" w14:textId="77777777" w:rsidR="004E2C14" w:rsidRPr="00091E32" w:rsidRDefault="004E2C14" w:rsidP="002966FE">
            <w:pPr>
              <w:rPr>
                <w:i/>
                <w:iCs/>
              </w:rPr>
            </w:pPr>
            <w:r w:rsidRPr="00091E32">
              <w:rPr>
                <w:i/>
                <w:iCs/>
              </w:rPr>
              <w:t>8.0 Expiry</w:t>
            </w:r>
          </w:p>
        </w:tc>
        <w:tc>
          <w:tcPr>
            <w:tcW w:w="1843" w:type="dxa"/>
          </w:tcPr>
          <w:p w14:paraId="499026A2" w14:textId="77777777" w:rsidR="004E2C14" w:rsidRDefault="004E2C14" w:rsidP="002966FE">
            <w:r>
              <w:t xml:space="preserve">Deleted. </w:t>
            </w:r>
          </w:p>
        </w:tc>
        <w:tc>
          <w:tcPr>
            <w:tcW w:w="4910" w:type="dxa"/>
          </w:tcPr>
          <w:p w14:paraId="3A26E89F" w14:textId="77777777" w:rsidR="004E2C14" w:rsidRDefault="004E2C14" w:rsidP="002966FE">
            <w:r>
              <w:t xml:space="preserve">No expiration date in the updated controls.  </w:t>
            </w:r>
          </w:p>
        </w:tc>
        <w:tc>
          <w:tcPr>
            <w:tcW w:w="6010" w:type="dxa"/>
          </w:tcPr>
          <w:p w14:paraId="636621B3" w14:textId="4595D83C" w:rsidR="004E2C14" w:rsidRDefault="004E2C14" w:rsidP="001B22BA">
            <w:r>
              <w:t xml:space="preserve">Amendment GC48 implemented the existing controls on an interim basis, with an expiry of 31 January 2021. Amendment GC177 extended the interim controls by three months to allow adequate time to progress updates to the interim controls. Amendment VC197 implements permanent planning protections for the Yarra River between Richmond and Warrandyte, dispelling any </w:t>
            </w:r>
            <w:r w:rsidR="0048599C">
              <w:t>need</w:t>
            </w:r>
            <w:r>
              <w:t xml:space="preserve"> </w:t>
            </w:r>
            <w:r w:rsidR="006C5C0C">
              <w:t>for an</w:t>
            </w:r>
            <w:r>
              <w:t xml:space="preserve"> expiry </w:t>
            </w:r>
            <w:r w:rsidR="006C5C0C">
              <w:t xml:space="preserve">to be included </w:t>
            </w:r>
            <w:r>
              <w:t xml:space="preserve">with the controls.   </w:t>
            </w:r>
          </w:p>
        </w:tc>
      </w:tr>
    </w:tbl>
    <w:p w14:paraId="71E25650" w14:textId="77777777" w:rsidR="004E2C14" w:rsidRDefault="004E2C14" w:rsidP="004E2C14"/>
    <w:p w14:paraId="49D7D0F6" w14:textId="07509638" w:rsidR="006C1FC5" w:rsidRPr="007F60CC" w:rsidRDefault="006C1FC5" w:rsidP="006C1FC5">
      <w:pPr>
        <w:pStyle w:val="Heading2"/>
      </w:pPr>
      <w:r>
        <w:t xml:space="preserve">4. </w:t>
      </w:r>
      <w:r w:rsidR="001D21F3">
        <w:t>U</w:t>
      </w:r>
      <w:r w:rsidRPr="007F60CC">
        <w:t>pdates to schedules to the Design and Development Overlay – Yarra (Birrarung) River Corridor Protection</w:t>
      </w:r>
    </w:p>
    <w:tbl>
      <w:tblPr>
        <w:tblStyle w:val="TableGrid"/>
        <w:tblW w:w="0" w:type="auto"/>
        <w:tblLook w:val="04A0" w:firstRow="1" w:lastRow="0" w:firstColumn="1" w:lastColumn="0" w:noHBand="0" w:noVBand="1"/>
      </w:tblPr>
      <w:tblGrid>
        <w:gridCol w:w="2263"/>
        <w:gridCol w:w="1843"/>
        <w:gridCol w:w="4910"/>
        <w:gridCol w:w="6010"/>
      </w:tblGrid>
      <w:tr w:rsidR="006C1FC5" w14:paraId="089F262D" w14:textId="77777777" w:rsidTr="00CC19AE">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263" w:type="dxa"/>
            <w:vAlign w:val="top"/>
          </w:tcPr>
          <w:p w14:paraId="7778543E" w14:textId="67BF4EB7" w:rsidR="006C1FC5" w:rsidRPr="006C1FC5" w:rsidRDefault="006C1FC5" w:rsidP="002966FE">
            <w:pPr>
              <w:rPr>
                <w:b/>
                <w:bCs/>
                <w:color w:val="FFFFFF" w:themeColor="background1"/>
              </w:rPr>
            </w:pPr>
            <w:r w:rsidRPr="5B6D029D">
              <w:rPr>
                <w:b/>
                <w:bCs/>
                <w:color w:val="FFFFFF" w:themeColor="background1"/>
              </w:rPr>
              <w:t>Sub</w:t>
            </w:r>
            <w:r w:rsidRPr="006C1FC5">
              <w:rPr>
                <w:b/>
                <w:bCs/>
                <w:color w:val="FFFFFF" w:themeColor="background1"/>
              </w:rPr>
              <w:t xml:space="preserve">-Clause </w:t>
            </w:r>
          </w:p>
        </w:tc>
        <w:tc>
          <w:tcPr>
            <w:tcW w:w="1843" w:type="dxa"/>
          </w:tcPr>
          <w:p w14:paraId="5E44B76C" w14:textId="77777777" w:rsidR="006C1FC5" w:rsidRPr="006C1FC5" w:rsidRDefault="006C1FC5" w:rsidP="002966FE">
            <w:pPr>
              <w:cnfStyle w:val="100000000000" w:firstRow="1" w:lastRow="0" w:firstColumn="0" w:lastColumn="0" w:oddVBand="0" w:evenVBand="0" w:oddHBand="0" w:evenHBand="0" w:firstRowFirstColumn="0" w:firstRowLastColumn="0" w:lastRowFirstColumn="0" w:lastRowLastColumn="0"/>
              <w:rPr>
                <w:b/>
                <w:bCs/>
                <w:color w:val="FFFFFF" w:themeColor="background1"/>
              </w:rPr>
            </w:pPr>
            <w:r w:rsidRPr="006C1FC5">
              <w:rPr>
                <w:b/>
                <w:bCs/>
                <w:color w:val="FFFFFF" w:themeColor="background1"/>
              </w:rPr>
              <w:t>Action</w:t>
            </w:r>
          </w:p>
        </w:tc>
        <w:tc>
          <w:tcPr>
            <w:tcW w:w="4910" w:type="dxa"/>
          </w:tcPr>
          <w:p w14:paraId="0D3D8F77" w14:textId="6AD6A000" w:rsidR="006C1FC5" w:rsidRPr="006C1FC5" w:rsidRDefault="0009465A" w:rsidP="002966FE">
            <w:pPr>
              <w:cnfStyle w:val="100000000000" w:firstRow="1"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 xml:space="preserve">Details of </w:t>
            </w:r>
            <w:r w:rsidR="005D37AF">
              <w:rPr>
                <w:b/>
                <w:bCs/>
                <w:color w:val="FFFFFF" w:themeColor="background1"/>
              </w:rPr>
              <w:t xml:space="preserve">change </w:t>
            </w:r>
            <w:r w:rsidR="006C1FC5" w:rsidRPr="006C1FC5">
              <w:rPr>
                <w:b/>
                <w:bCs/>
                <w:color w:val="FFFFFF" w:themeColor="background1"/>
              </w:rPr>
              <w:t xml:space="preserve">  </w:t>
            </w:r>
          </w:p>
        </w:tc>
        <w:tc>
          <w:tcPr>
            <w:tcW w:w="6010" w:type="dxa"/>
          </w:tcPr>
          <w:p w14:paraId="0DB58AEC" w14:textId="77777777" w:rsidR="006C1FC5" w:rsidRPr="006C1FC5" w:rsidRDefault="006C1FC5" w:rsidP="002966FE">
            <w:pPr>
              <w:cnfStyle w:val="100000000000" w:firstRow="1" w:lastRow="0" w:firstColumn="0" w:lastColumn="0" w:oddVBand="0" w:evenVBand="0" w:oddHBand="0" w:evenHBand="0" w:firstRowFirstColumn="0" w:firstRowLastColumn="0" w:lastRowFirstColumn="0" w:lastRowLastColumn="0"/>
              <w:rPr>
                <w:b/>
                <w:bCs/>
                <w:color w:val="FFFFFF" w:themeColor="background1"/>
              </w:rPr>
            </w:pPr>
            <w:r w:rsidRPr="006C1FC5">
              <w:rPr>
                <w:b/>
                <w:bCs/>
                <w:color w:val="FFFFFF" w:themeColor="background1"/>
              </w:rPr>
              <w:t xml:space="preserve">Strategic justification </w:t>
            </w:r>
          </w:p>
        </w:tc>
      </w:tr>
      <w:tr w:rsidR="006C1FC5" w14:paraId="0343074E" w14:textId="77777777" w:rsidTr="00CC19AE">
        <w:tc>
          <w:tcPr>
            <w:tcW w:w="2263" w:type="dxa"/>
          </w:tcPr>
          <w:p w14:paraId="5C8846CA" w14:textId="77777777" w:rsidR="006C1FC5" w:rsidRPr="00D8182C" w:rsidRDefault="006C1FC5" w:rsidP="002966FE">
            <w:pPr>
              <w:rPr>
                <w:i/>
                <w:iCs/>
              </w:rPr>
            </w:pPr>
            <w:r w:rsidRPr="00D8182C">
              <w:rPr>
                <w:i/>
                <w:iCs/>
              </w:rPr>
              <w:t>1.0 Design objectives</w:t>
            </w:r>
          </w:p>
        </w:tc>
        <w:tc>
          <w:tcPr>
            <w:tcW w:w="1843" w:type="dxa"/>
          </w:tcPr>
          <w:p w14:paraId="7310A74B" w14:textId="77777777" w:rsidR="006C1FC5" w:rsidRDefault="006C1FC5" w:rsidP="002966FE">
            <w:r>
              <w:t xml:space="preserve">Reduced number of objectives.   </w:t>
            </w:r>
          </w:p>
        </w:tc>
        <w:tc>
          <w:tcPr>
            <w:tcW w:w="4910" w:type="dxa"/>
          </w:tcPr>
          <w:p w14:paraId="60EEE85F" w14:textId="77777777" w:rsidR="006C1FC5" w:rsidRDefault="006C1FC5" w:rsidP="002966FE">
            <w:r>
              <w:t xml:space="preserve">12 objectives reduced to 5. </w:t>
            </w:r>
          </w:p>
          <w:p w14:paraId="485575BA" w14:textId="77777777" w:rsidR="006C1FC5" w:rsidRDefault="006C1FC5" w:rsidP="002966FE"/>
          <w:p w14:paraId="11924C05" w14:textId="77777777" w:rsidR="006C1FC5" w:rsidRDefault="006C1FC5" w:rsidP="002966FE">
            <w:r>
              <w:t xml:space="preserve">Subheadings deleted.   </w:t>
            </w:r>
          </w:p>
        </w:tc>
        <w:tc>
          <w:tcPr>
            <w:tcW w:w="6010" w:type="dxa"/>
          </w:tcPr>
          <w:p w14:paraId="72BE229E" w14:textId="70DC0DBA" w:rsidR="006C1FC5" w:rsidRDefault="006C1FC5" w:rsidP="001B22BA">
            <w:r w:rsidRPr="0C0770C2">
              <w:rPr>
                <w:i/>
              </w:rPr>
              <w:lastRenderedPageBreak/>
              <w:t>Ministerial Direction – Form and Content of Planning Schemes</w:t>
            </w:r>
            <w:r w:rsidRPr="00E20487">
              <w:t xml:space="preserve"> allows for a maximum of 5 objectives in a schedule to the DDO. The retained </w:t>
            </w:r>
            <w:r w:rsidRPr="00E20487">
              <w:lastRenderedPageBreak/>
              <w:t xml:space="preserve">objectives directly relate to the building and works requirements in the schedule and avoid duplication of the regional policy </w:t>
            </w:r>
            <w:r w:rsidRPr="00E20487">
              <w:rPr>
                <w:rFonts w:eastAsia="Arial"/>
              </w:rPr>
              <w:t>12.03-1R (Yarra River Protection).</w:t>
            </w:r>
          </w:p>
        </w:tc>
      </w:tr>
      <w:tr w:rsidR="006C1FC5" w14:paraId="3E661157" w14:textId="77777777" w:rsidTr="00CC19AE">
        <w:tc>
          <w:tcPr>
            <w:tcW w:w="2263" w:type="dxa"/>
          </w:tcPr>
          <w:p w14:paraId="3D7BF136" w14:textId="77777777" w:rsidR="006C1FC5" w:rsidRPr="00D8182C" w:rsidRDefault="006C1FC5" w:rsidP="002966FE">
            <w:pPr>
              <w:rPr>
                <w:i/>
                <w:iCs/>
              </w:rPr>
            </w:pPr>
            <w:r w:rsidRPr="00D8182C">
              <w:rPr>
                <w:i/>
                <w:iCs/>
              </w:rPr>
              <w:lastRenderedPageBreak/>
              <w:t>2.0 Buildings and works</w:t>
            </w:r>
          </w:p>
        </w:tc>
        <w:tc>
          <w:tcPr>
            <w:tcW w:w="1843" w:type="dxa"/>
          </w:tcPr>
          <w:p w14:paraId="56E16F19" w14:textId="77777777" w:rsidR="006C1FC5" w:rsidRDefault="006C1FC5" w:rsidP="002966FE">
            <w:r>
              <w:t xml:space="preserve">Policy neutral updates. </w:t>
            </w:r>
          </w:p>
        </w:tc>
        <w:tc>
          <w:tcPr>
            <w:tcW w:w="4910" w:type="dxa"/>
          </w:tcPr>
          <w:p w14:paraId="216FF1B1" w14:textId="77777777" w:rsidR="006C1FC5" w:rsidRDefault="006C1FC5" w:rsidP="002966FE">
            <w:r>
              <w:t xml:space="preserve">Definitions have been removed and instead built into the requirements they relate to. </w:t>
            </w:r>
          </w:p>
          <w:p w14:paraId="5E97E472" w14:textId="77777777" w:rsidR="006C1FC5" w:rsidRDefault="006C1FC5" w:rsidP="002966FE"/>
          <w:p w14:paraId="0423DEC1" w14:textId="77777777" w:rsidR="006C1FC5" w:rsidRDefault="006C1FC5" w:rsidP="002966FE">
            <w:r>
              <w:t>Changes to table formatting.</w:t>
            </w:r>
          </w:p>
          <w:p w14:paraId="6F2556D2" w14:textId="77777777" w:rsidR="006C1FC5" w:rsidRDefault="006C1FC5" w:rsidP="002966FE"/>
          <w:p w14:paraId="0680A5C9" w14:textId="77777777" w:rsidR="006C1FC5" w:rsidRDefault="006C1FC5" w:rsidP="002966FE">
            <w:r>
              <w:t xml:space="preserve">Height for measuring tree circumference changed from 1.3m to 1.4m. </w:t>
            </w:r>
          </w:p>
          <w:p w14:paraId="1064CE4A" w14:textId="77777777" w:rsidR="006C1FC5" w:rsidRDefault="006C1FC5" w:rsidP="002966FE"/>
          <w:p w14:paraId="064A9E31" w14:textId="77777777" w:rsidR="006C1FC5" w:rsidRDefault="006C1FC5" w:rsidP="002966FE">
            <w:r>
              <w:t xml:space="preserve">Redrafting of requirements. </w:t>
            </w:r>
          </w:p>
          <w:p w14:paraId="77A35ED7" w14:textId="77777777" w:rsidR="006C1FC5" w:rsidRDefault="006C1FC5" w:rsidP="002966FE"/>
        </w:tc>
        <w:tc>
          <w:tcPr>
            <w:tcW w:w="6010" w:type="dxa"/>
          </w:tcPr>
          <w:p w14:paraId="5F192784" w14:textId="7CAA80BB" w:rsidR="006C1FC5" w:rsidRDefault="006C1FC5" w:rsidP="001B22BA">
            <w:r>
              <w:t xml:space="preserve">Updates improve the clarity and legibility of building and works requirements in accordance with best practice drafting principals. </w:t>
            </w:r>
          </w:p>
          <w:p w14:paraId="630DD81B" w14:textId="33A8C48C" w:rsidR="006C1FC5" w:rsidRDefault="006C1FC5" w:rsidP="002966FE">
            <w:r>
              <w:t>Specifically, the updates clarify:</w:t>
            </w:r>
          </w:p>
          <w:p w14:paraId="252865E4" w14:textId="77777777" w:rsidR="006C1FC5" w:rsidRPr="00734398" w:rsidRDefault="006C1FC5" w:rsidP="00525B46">
            <w:pPr>
              <w:pStyle w:val="ListParagraph"/>
              <w:numPr>
                <w:ilvl w:val="0"/>
                <w:numId w:val="15"/>
              </w:numPr>
              <w:spacing w:before="0" w:after="0" w:line="240" w:lineRule="auto"/>
              <w:rPr>
                <w:b/>
                <w:bCs/>
                <w:color w:val="auto"/>
              </w:rPr>
            </w:pPr>
            <w:r w:rsidRPr="00734398">
              <w:rPr>
                <w:color w:val="auto"/>
              </w:rPr>
              <w:t>requirements that are mandatory and cannot be varied and requirements that can be varied by a planning permit</w:t>
            </w:r>
          </w:p>
          <w:p w14:paraId="19D9ACC1" w14:textId="77777777" w:rsidR="006C1FC5" w:rsidRPr="00734398" w:rsidRDefault="006C1FC5" w:rsidP="00525B46">
            <w:pPr>
              <w:pStyle w:val="ListParagraph"/>
              <w:numPr>
                <w:ilvl w:val="0"/>
                <w:numId w:val="15"/>
              </w:numPr>
              <w:spacing w:before="0" w:after="0" w:line="240" w:lineRule="auto"/>
              <w:rPr>
                <w:b/>
                <w:bCs/>
                <w:color w:val="auto"/>
              </w:rPr>
            </w:pPr>
            <w:r w:rsidRPr="00734398">
              <w:rPr>
                <w:color w:val="auto"/>
              </w:rPr>
              <w:t>the scope of permit exemptions for fencing</w:t>
            </w:r>
          </w:p>
          <w:p w14:paraId="7BBD3625" w14:textId="2DE920C1" w:rsidR="006C1FC5" w:rsidRPr="001B22BA" w:rsidRDefault="006C1FC5" w:rsidP="001B22BA">
            <w:pPr>
              <w:pStyle w:val="ListParagraph"/>
              <w:numPr>
                <w:ilvl w:val="0"/>
                <w:numId w:val="15"/>
              </w:numPr>
              <w:spacing w:before="0" w:after="0" w:line="240" w:lineRule="auto"/>
              <w:rPr>
                <w:b/>
                <w:bCs/>
                <w:color w:val="auto"/>
              </w:rPr>
            </w:pPr>
            <w:r w:rsidRPr="00734398">
              <w:rPr>
                <w:color w:val="auto"/>
              </w:rPr>
              <w:t>that basements and balconies are included within setback requirements</w:t>
            </w:r>
          </w:p>
          <w:p w14:paraId="51454F78" w14:textId="42FB4C20" w:rsidR="006C1FC5" w:rsidRDefault="006C1FC5" w:rsidP="001B22BA">
            <w:r>
              <w:t xml:space="preserve">Updates also achieve consistency with </w:t>
            </w:r>
            <w:r w:rsidRPr="003D6F40">
              <w:rPr>
                <w:i/>
                <w:iCs/>
              </w:rPr>
              <w:t>AS 4970-2009 Protection of trees on development sites</w:t>
            </w:r>
            <w:r>
              <w:t>.</w:t>
            </w:r>
          </w:p>
          <w:p w14:paraId="7328CD74" w14:textId="387EA6F3" w:rsidR="006C1FC5" w:rsidRDefault="006C1FC5" w:rsidP="001B22BA">
            <w:r>
              <w:t>Explicit definitions have been deleted from the schedule and instead drafted into the specific requirements to which they relate, achieving a more user-friendly outcome consistent with Ministerial Direction – Form and Content of Planning Schemes.</w:t>
            </w:r>
          </w:p>
          <w:p w14:paraId="72263256" w14:textId="02EDC1D3" w:rsidR="006C1FC5" w:rsidRPr="00CA18D8" w:rsidRDefault="00F34012" w:rsidP="00CA18D8">
            <w:pPr>
              <w:rPr>
                <w:highlight w:val="yellow"/>
              </w:rPr>
            </w:pPr>
            <w:r w:rsidRPr="00CA18D8">
              <w:t>The</w:t>
            </w:r>
            <w:r w:rsidR="006C1FC5" w:rsidRPr="00CA18D8">
              <w:t xml:space="preserve"> mandatory height and setback </w:t>
            </w:r>
            <w:r w:rsidR="00CA18D8">
              <w:t>controls</w:t>
            </w:r>
            <w:r w:rsidR="00831386" w:rsidRPr="00CA18D8">
              <w:t xml:space="preserve"> </w:t>
            </w:r>
            <w:r w:rsidR="006E4749" w:rsidRPr="00CA18D8">
              <w:t xml:space="preserve">have not been </w:t>
            </w:r>
            <w:r w:rsidR="00CA18D8" w:rsidRPr="00CA18D8">
              <w:t>varied</w:t>
            </w:r>
            <w:r w:rsidR="006E4749" w:rsidRPr="00CA18D8">
              <w:t xml:space="preserve">. </w:t>
            </w:r>
          </w:p>
        </w:tc>
      </w:tr>
      <w:tr w:rsidR="006C1FC5" w14:paraId="5226E3B9" w14:textId="77777777" w:rsidTr="00CC19AE">
        <w:tc>
          <w:tcPr>
            <w:tcW w:w="2263" w:type="dxa"/>
          </w:tcPr>
          <w:p w14:paraId="6CB4196F" w14:textId="77777777" w:rsidR="006C1FC5" w:rsidRPr="00D8182C" w:rsidRDefault="006C1FC5" w:rsidP="002966FE">
            <w:pPr>
              <w:rPr>
                <w:i/>
                <w:iCs/>
              </w:rPr>
            </w:pPr>
            <w:r w:rsidRPr="00D8182C">
              <w:rPr>
                <w:i/>
                <w:iCs/>
              </w:rPr>
              <w:t>3.0 Application requirements</w:t>
            </w:r>
          </w:p>
        </w:tc>
        <w:tc>
          <w:tcPr>
            <w:tcW w:w="1843" w:type="dxa"/>
          </w:tcPr>
          <w:p w14:paraId="5440A791" w14:textId="77777777" w:rsidR="006C1FC5" w:rsidRDefault="006C1FC5" w:rsidP="002966FE">
            <w:r>
              <w:t>Minor updates.</w:t>
            </w:r>
          </w:p>
        </w:tc>
        <w:tc>
          <w:tcPr>
            <w:tcW w:w="4910" w:type="dxa"/>
          </w:tcPr>
          <w:p w14:paraId="4F694369" w14:textId="77777777" w:rsidR="006C1FC5" w:rsidRDefault="006C1FC5" w:rsidP="002966FE">
            <w:r>
              <w:t>Minor drafting changes to some requirements.</w:t>
            </w:r>
          </w:p>
        </w:tc>
        <w:tc>
          <w:tcPr>
            <w:tcW w:w="6010" w:type="dxa"/>
          </w:tcPr>
          <w:p w14:paraId="412561D4" w14:textId="19501B78" w:rsidR="006C1FC5" w:rsidRDefault="006C1FC5" w:rsidP="001B22BA">
            <w:r>
              <w:t xml:space="preserve">Updates improve the consistency and clarity of the application requirements. </w:t>
            </w:r>
          </w:p>
        </w:tc>
      </w:tr>
      <w:tr w:rsidR="006C1FC5" w14:paraId="427F7BF8" w14:textId="77777777" w:rsidTr="00CC19AE">
        <w:tc>
          <w:tcPr>
            <w:tcW w:w="2263" w:type="dxa"/>
          </w:tcPr>
          <w:p w14:paraId="38FB04A7" w14:textId="77777777" w:rsidR="006C1FC5" w:rsidRPr="00D8182C" w:rsidRDefault="006C1FC5" w:rsidP="002966FE">
            <w:pPr>
              <w:rPr>
                <w:i/>
                <w:iCs/>
              </w:rPr>
            </w:pPr>
            <w:r w:rsidRPr="00D8182C">
              <w:rPr>
                <w:i/>
                <w:iCs/>
              </w:rPr>
              <w:t>4.0 Referral of applications</w:t>
            </w:r>
          </w:p>
        </w:tc>
        <w:tc>
          <w:tcPr>
            <w:tcW w:w="1843" w:type="dxa"/>
          </w:tcPr>
          <w:p w14:paraId="10EE4959" w14:textId="77777777" w:rsidR="006C1FC5" w:rsidRDefault="006C1FC5" w:rsidP="002966FE">
            <w:r>
              <w:t xml:space="preserve">Deleted. </w:t>
            </w:r>
          </w:p>
        </w:tc>
        <w:tc>
          <w:tcPr>
            <w:tcW w:w="4910" w:type="dxa"/>
          </w:tcPr>
          <w:p w14:paraId="2080842C" w14:textId="6F3C3A20" w:rsidR="006C1FC5" w:rsidRDefault="006C1FC5" w:rsidP="002966FE">
            <w:r>
              <w:t xml:space="preserve">Referral requirement no longer included as a Sub-Clause in the schedule to the DDO. It </w:t>
            </w:r>
            <w:r w:rsidR="3E4363B8">
              <w:t>is</w:t>
            </w:r>
            <w:r>
              <w:t xml:space="preserve"> rehomed at </w:t>
            </w:r>
            <w:r w:rsidRPr="00D8182C">
              <w:t>Clause</w:t>
            </w:r>
            <w:r w:rsidRPr="00D8182C">
              <w:rPr>
                <w:rFonts w:eastAsia="Arial"/>
              </w:rPr>
              <w:t xml:space="preserve"> 66.04 (Referral of Permit Applications Under Local Provisions)</w:t>
            </w:r>
            <w:r>
              <w:rPr>
                <w:rFonts w:eastAsia="Arial"/>
              </w:rPr>
              <w:t xml:space="preserve"> and referred to in the decision guidelines in the schedule to the DDO. </w:t>
            </w:r>
            <w:r>
              <w:t xml:space="preserve">  </w:t>
            </w:r>
          </w:p>
        </w:tc>
        <w:tc>
          <w:tcPr>
            <w:tcW w:w="6010" w:type="dxa"/>
          </w:tcPr>
          <w:p w14:paraId="3095C3EE" w14:textId="4A3E8613" w:rsidR="006C1FC5" w:rsidRDefault="006C1FC5" w:rsidP="001B22BA">
            <w:pPr>
              <w:rPr>
                <w:color w:val="231F20"/>
              </w:rPr>
            </w:pPr>
            <w:r>
              <w:t xml:space="preserve">Under </w:t>
            </w:r>
            <w:r w:rsidRPr="60D84276">
              <w:rPr>
                <w:i/>
              </w:rPr>
              <w:t>Ministerial Direction – Form and Content of Planning Schemes</w:t>
            </w:r>
            <w:r w:rsidRPr="00D8182C">
              <w:t xml:space="preserve"> the inclusion of a Sub-Clause for Referral Requirements in a schedule to the DDO is non-compliant. </w:t>
            </w:r>
            <w:r>
              <w:t>The amendment</w:t>
            </w:r>
            <w:r w:rsidRPr="00D8182C">
              <w:t xml:space="preserve"> </w:t>
            </w:r>
            <w:r>
              <w:t xml:space="preserve">relocates the existing Melbourne Water referral function to </w:t>
            </w:r>
            <w:r w:rsidRPr="00D8182C">
              <w:t>Clause</w:t>
            </w:r>
            <w:r w:rsidRPr="00D8182C">
              <w:rPr>
                <w:rFonts w:eastAsia="Arial"/>
              </w:rPr>
              <w:t xml:space="preserve"> 66.04 (Referral of Permit Applications Under Local Provisions) consistent with the existing requirement to “</w:t>
            </w:r>
            <w:r w:rsidRPr="00D8182C">
              <w:rPr>
                <w:rFonts w:eastAsia="Arial"/>
                <w:i/>
                <w:iCs/>
              </w:rPr>
              <w:t xml:space="preserve">refer all applications </w:t>
            </w:r>
            <w:r w:rsidRPr="00D8182C">
              <w:rPr>
                <w:i/>
                <w:iCs/>
                <w:color w:val="231F20"/>
              </w:rPr>
              <w:t>within 100 metres of the Yarra River to Melbourne Water, unless in the opinion of the responsible authority the proposal satisfies requirements or conditions previously agreed to in writing between the responsible authority and Melbourne Water</w:t>
            </w:r>
            <w:r w:rsidRPr="00D8182C">
              <w:rPr>
                <w:color w:val="231F20"/>
              </w:rPr>
              <w:t xml:space="preserve">.” </w:t>
            </w:r>
          </w:p>
          <w:p w14:paraId="5EE9982A" w14:textId="75A8D70E" w:rsidR="006C1FC5" w:rsidRDefault="006C1FC5" w:rsidP="001B22BA">
            <w:pPr>
              <w:rPr>
                <w:color w:val="231F20"/>
                <w:sz w:val="20"/>
              </w:rPr>
            </w:pPr>
            <w:r w:rsidRPr="00FA330E">
              <w:rPr>
                <w:color w:val="231F20"/>
              </w:rPr>
              <w:t xml:space="preserve">A new decision guideline requires a responsible authority to consider the views of Melbourne Water as a recommending referral authority in </w:t>
            </w:r>
            <w:r w:rsidRPr="00FA330E">
              <w:rPr>
                <w:color w:val="231F20"/>
              </w:rPr>
              <w:lastRenderedPageBreak/>
              <w:t xml:space="preserve">accordance with section 55 of the Act, ensuring that proponents and planning practitioners do not overlook the referral requirement established elsewhere in the planning scheme. </w:t>
            </w:r>
            <w:r w:rsidRPr="05FD3EF6">
              <w:rPr>
                <w:color w:val="231F20"/>
                <w:sz w:val="20"/>
              </w:rPr>
              <w:t xml:space="preserve"> </w:t>
            </w:r>
          </w:p>
        </w:tc>
      </w:tr>
      <w:tr w:rsidR="006C1FC5" w14:paraId="0549AF54" w14:textId="77777777" w:rsidTr="00CC19AE">
        <w:tc>
          <w:tcPr>
            <w:tcW w:w="2263" w:type="dxa"/>
          </w:tcPr>
          <w:p w14:paraId="2FC3A479" w14:textId="77777777" w:rsidR="006C1FC5" w:rsidRPr="00D8182C" w:rsidRDefault="006C1FC5" w:rsidP="002966FE">
            <w:pPr>
              <w:rPr>
                <w:i/>
                <w:iCs/>
              </w:rPr>
            </w:pPr>
            <w:r w:rsidRPr="00D8182C">
              <w:rPr>
                <w:i/>
                <w:iCs/>
              </w:rPr>
              <w:lastRenderedPageBreak/>
              <w:t>5.0 Decision Guidelines</w:t>
            </w:r>
          </w:p>
        </w:tc>
        <w:tc>
          <w:tcPr>
            <w:tcW w:w="1843" w:type="dxa"/>
          </w:tcPr>
          <w:p w14:paraId="7F898574" w14:textId="77777777" w:rsidR="006C1FC5" w:rsidRDefault="006C1FC5" w:rsidP="002966FE">
            <w:r>
              <w:t>Minor updates.</w:t>
            </w:r>
          </w:p>
        </w:tc>
        <w:tc>
          <w:tcPr>
            <w:tcW w:w="4910" w:type="dxa"/>
          </w:tcPr>
          <w:p w14:paraId="59D1A8A0" w14:textId="77777777" w:rsidR="006C1FC5" w:rsidRDefault="006C1FC5" w:rsidP="002966FE">
            <w:r>
              <w:t>Now references Melbourne Water referral requirement.</w:t>
            </w:r>
          </w:p>
        </w:tc>
        <w:tc>
          <w:tcPr>
            <w:tcW w:w="6010" w:type="dxa"/>
          </w:tcPr>
          <w:p w14:paraId="1A352E9B" w14:textId="4DB46D18" w:rsidR="006C1FC5" w:rsidRDefault="006C1FC5" w:rsidP="001B22BA">
            <w:r w:rsidRPr="00FA22C9">
              <w:t>Updates ensure that</w:t>
            </w:r>
            <w:r w:rsidRPr="00FA22C9">
              <w:rPr>
                <w:color w:val="231F20"/>
              </w:rPr>
              <w:t xml:space="preserve"> proponents and planning practitioners are aware of requirement to refer applications to Melbourne Water through the updated Clause 66.04 and consider the views of Melbourne Water a recommending referral authority in exercising discretion. </w:t>
            </w:r>
          </w:p>
        </w:tc>
      </w:tr>
      <w:tr w:rsidR="006C1FC5" w14:paraId="4614816C" w14:textId="77777777" w:rsidTr="00CC19AE">
        <w:tc>
          <w:tcPr>
            <w:tcW w:w="2263" w:type="dxa"/>
          </w:tcPr>
          <w:p w14:paraId="76D7D3C6" w14:textId="77777777" w:rsidR="006C1FC5" w:rsidRPr="00D8182C" w:rsidRDefault="006C1FC5" w:rsidP="002966FE">
            <w:pPr>
              <w:rPr>
                <w:i/>
                <w:iCs/>
              </w:rPr>
            </w:pPr>
            <w:r w:rsidRPr="00D8182C">
              <w:rPr>
                <w:i/>
                <w:iCs/>
              </w:rPr>
              <w:t>6.0 Reference documents</w:t>
            </w:r>
          </w:p>
        </w:tc>
        <w:tc>
          <w:tcPr>
            <w:tcW w:w="1843" w:type="dxa"/>
          </w:tcPr>
          <w:p w14:paraId="50E43DDA" w14:textId="77777777" w:rsidR="006C1FC5" w:rsidRDefault="006C1FC5" w:rsidP="002966FE">
            <w:r>
              <w:t xml:space="preserve">Deleted. </w:t>
            </w:r>
          </w:p>
        </w:tc>
        <w:tc>
          <w:tcPr>
            <w:tcW w:w="4910" w:type="dxa"/>
          </w:tcPr>
          <w:p w14:paraId="44BD537E" w14:textId="5E6AAC4B" w:rsidR="006C1FC5" w:rsidRDefault="006C1FC5" w:rsidP="001B22BA">
            <w:r>
              <w:t xml:space="preserve">Sub-Clause 6.0 (Reference Documents) deleted. Documents previously located here are mostly rehomed under the schedule to Clause 72.08 (Background Documents). Selected documents are integrated with the decision guidelines. </w:t>
            </w:r>
          </w:p>
        </w:tc>
        <w:tc>
          <w:tcPr>
            <w:tcW w:w="6010" w:type="dxa"/>
          </w:tcPr>
          <w:p w14:paraId="564C3EDD" w14:textId="5185C1C1" w:rsidR="006C1FC5" w:rsidRDefault="006C1FC5" w:rsidP="001B22BA">
            <w:r w:rsidRPr="00F1257B">
              <w:t xml:space="preserve">Under </w:t>
            </w:r>
            <w:r w:rsidRPr="304EDD53">
              <w:rPr>
                <w:i/>
              </w:rPr>
              <w:t>Ministerial Direction – Form and Content of Planning Schemes</w:t>
            </w:r>
            <w:r w:rsidRPr="00F1257B">
              <w:t xml:space="preserve"> the inclusion of Reference Documents in a schedule to the DDO is non-compliant. The appropriate place to include documents which are of use to the Responsible Authority in exercising their discretion is at </w:t>
            </w:r>
            <w:r>
              <w:t>Clause 72.08 (Background Documents).</w:t>
            </w:r>
          </w:p>
        </w:tc>
      </w:tr>
      <w:tr w:rsidR="006C1FC5" w14:paraId="347095A8" w14:textId="77777777" w:rsidTr="00CC19AE">
        <w:tc>
          <w:tcPr>
            <w:tcW w:w="2263" w:type="dxa"/>
          </w:tcPr>
          <w:p w14:paraId="1BB5DD9C" w14:textId="77777777" w:rsidR="006C1FC5" w:rsidRPr="00D8182C" w:rsidRDefault="006C1FC5" w:rsidP="002966FE">
            <w:pPr>
              <w:rPr>
                <w:i/>
                <w:iCs/>
              </w:rPr>
            </w:pPr>
            <w:r w:rsidRPr="00D8182C">
              <w:rPr>
                <w:i/>
                <w:iCs/>
              </w:rPr>
              <w:t>7.0 Transitional arrangements</w:t>
            </w:r>
          </w:p>
        </w:tc>
        <w:tc>
          <w:tcPr>
            <w:tcW w:w="1843" w:type="dxa"/>
          </w:tcPr>
          <w:p w14:paraId="2B036731" w14:textId="77777777" w:rsidR="006C1FC5" w:rsidRDefault="006C1FC5" w:rsidP="002966FE">
            <w:r>
              <w:t xml:space="preserve">Deleted. </w:t>
            </w:r>
          </w:p>
        </w:tc>
        <w:tc>
          <w:tcPr>
            <w:tcW w:w="4910" w:type="dxa"/>
          </w:tcPr>
          <w:p w14:paraId="3C9A7B26" w14:textId="77777777" w:rsidR="006C1FC5" w:rsidRDefault="006C1FC5" w:rsidP="002966FE">
            <w:r>
              <w:t xml:space="preserve">No transitional requirements in the updated controls.  </w:t>
            </w:r>
          </w:p>
        </w:tc>
        <w:tc>
          <w:tcPr>
            <w:tcW w:w="6010" w:type="dxa"/>
          </w:tcPr>
          <w:p w14:paraId="1647B884" w14:textId="70134734" w:rsidR="006C1FC5" w:rsidRDefault="006C1FC5" w:rsidP="001B22BA">
            <w:r>
              <w:t>Amendment GC48 included transitional arrangements to prevent anyone who had already obtained a planning permit or building permit from needing to comply with the new controls. The planning controls implemented by Amendment GC48 have been in effect for four years. Building permits and planning permits generally expire within two years, and the extension of a planning permit requires the Responsible Authority to consider the current planning policy framework in deciding on whether to extend a permit.</w:t>
            </w:r>
          </w:p>
          <w:p w14:paraId="033C1EA7" w14:textId="17979E71" w:rsidR="006C1FC5" w:rsidRDefault="006C1FC5" w:rsidP="001B22BA">
            <w:r>
              <w:t xml:space="preserve">In this context, there </w:t>
            </w:r>
            <w:r w:rsidR="2C794C40">
              <w:t>wa</w:t>
            </w:r>
            <w:r w:rsidR="36BC1A16">
              <w:t>s</w:t>
            </w:r>
            <w:r>
              <w:t xml:space="preserve"> no ongoing need for transitional requirements to be included in permanent controls.</w:t>
            </w:r>
          </w:p>
        </w:tc>
      </w:tr>
      <w:tr w:rsidR="006C1FC5" w14:paraId="39F8FA9B" w14:textId="77777777" w:rsidTr="00CC19AE">
        <w:trPr>
          <w:trHeight w:val="70"/>
        </w:trPr>
        <w:tc>
          <w:tcPr>
            <w:tcW w:w="2263" w:type="dxa"/>
          </w:tcPr>
          <w:p w14:paraId="5E2A0F38" w14:textId="77777777" w:rsidR="006C1FC5" w:rsidRPr="00D8182C" w:rsidRDefault="006C1FC5" w:rsidP="002966FE">
            <w:pPr>
              <w:rPr>
                <w:i/>
                <w:iCs/>
              </w:rPr>
            </w:pPr>
            <w:r w:rsidRPr="00D8182C">
              <w:rPr>
                <w:i/>
                <w:iCs/>
              </w:rPr>
              <w:t>8.0 Expiry</w:t>
            </w:r>
          </w:p>
        </w:tc>
        <w:tc>
          <w:tcPr>
            <w:tcW w:w="1843" w:type="dxa"/>
          </w:tcPr>
          <w:p w14:paraId="0E96C93D" w14:textId="77777777" w:rsidR="006C1FC5" w:rsidRDefault="006C1FC5" w:rsidP="002966FE">
            <w:r>
              <w:t xml:space="preserve">Deleted. </w:t>
            </w:r>
          </w:p>
        </w:tc>
        <w:tc>
          <w:tcPr>
            <w:tcW w:w="4910" w:type="dxa"/>
          </w:tcPr>
          <w:p w14:paraId="49B2E03B" w14:textId="77777777" w:rsidR="006C1FC5" w:rsidRDefault="006C1FC5" w:rsidP="002966FE">
            <w:r>
              <w:t xml:space="preserve">No expiration date in the updated controls.  </w:t>
            </w:r>
          </w:p>
        </w:tc>
        <w:tc>
          <w:tcPr>
            <w:tcW w:w="6010" w:type="dxa"/>
          </w:tcPr>
          <w:p w14:paraId="6E5124AD" w14:textId="77777777" w:rsidR="006C1FC5" w:rsidRDefault="006C1FC5" w:rsidP="002966FE">
            <w:r>
              <w:t xml:space="preserve">Amendment GC48 implemented the existing controls on an interim basis, with an expiry of 31 January 2021. Amendment GC177 extended the interim controls by three months to allow adequate time to progress updates to the interim controls. Amendment VC197 implements permanent planning protections for the Yarra River between Richmond and Warrandyte, dispelling any requirement to include an expiry with the controls.   </w:t>
            </w:r>
          </w:p>
        </w:tc>
      </w:tr>
    </w:tbl>
    <w:p w14:paraId="1FB2EC98" w14:textId="77777777" w:rsidR="006C1FC5" w:rsidRDefault="006C1FC5" w:rsidP="006C1FC5"/>
    <w:p w14:paraId="2E2B465B" w14:textId="082E2F5F" w:rsidR="006C1FC5" w:rsidRPr="007F60CC" w:rsidRDefault="006C1FC5" w:rsidP="006C1FC5">
      <w:pPr>
        <w:pStyle w:val="Heading2"/>
      </w:pPr>
      <w:r>
        <w:lastRenderedPageBreak/>
        <w:t xml:space="preserve">5. </w:t>
      </w:r>
      <w:r w:rsidR="00F34012">
        <w:t>U</w:t>
      </w:r>
      <w:r w:rsidRPr="007F60CC">
        <w:t>pdates to schedules to the Clause 12.03-1R (Yarra River Protection)</w:t>
      </w:r>
    </w:p>
    <w:tbl>
      <w:tblPr>
        <w:tblStyle w:val="TableGrid"/>
        <w:tblW w:w="0" w:type="auto"/>
        <w:tblLook w:val="04A0" w:firstRow="1" w:lastRow="0" w:firstColumn="1" w:lastColumn="0" w:noHBand="0" w:noVBand="1"/>
      </w:tblPr>
      <w:tblGrid>
        <w:gridCol w:w="2263"/>
        <w:gridCol w:w="1843"/>
        <w:gridCol w:w="4910"/>
        <w:gridCol w:w="6010"/>
      </w:tblGrid>
      <w:tr w:rsidR="006C1FC5" w14:paraId="5200EF3D" w14:textId="77777777" w:rsidTr="00CC19AE">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263" w:type="dxa"/>
            <w:vAlign w:val="top"/>
          </w:tcPr>
          <w:p w14:paraId="4D36E14E" w14:textId="52295E88" w:rsidR="006C1FC5" w:rsidRPr="006C1FC5" w:rsidRDefault="00CC19AE" w:rsidP="002966FE">
            <w:pPr>
              <w:rPr>
                <w:b/>
                <w:bCs/>
                <w:color w:val="FFFFFF" w:themeColor="background1"/>
              </w:rPr>
            </w:pPr>
            <w:r>
              <w:rPr>
                <w:b/>
                <w:bCs/>
                <w:color w:val="FFFFFF" w:themeColor="background1"/>
              </w:rPr>
              <w:t xml:space="preserve">Heading </w:t>
            </w:r>
          </w:p>
        </w:tc>
        <w:tc>
          <w:tcPr>
            <w:tcW w:w="1843" w:type="dxa"/>
          </w:tcPr>
          <w:p w14:paraId="4D6E5BC8" w14:textId="77777777" w:rsidR="006C1FC5" w:rsidRPr="006C1FC5" w:rsidRDefault="006C1FC5" w:rsidP="002966FE">
            <w:pPr>
              <w:cnfStyle w:val="100000000000" w:firstRow="1" w:lastRow="0" w:firstColumn="0" w:lastColumn="0" w:oddVBand="0" w:evenVBand="0" w:oddHBand="0" w:evenHBand="0" w:firstRowFirstColumn="0" w:firstRowLastColumn="0" w:lastRowFirstColumn="0" w:lastRowLastColumn="0"/>
              <w:rPr>
                <w:b/>
                <w:bCs/>
                <w:color w:val="FFFFFF" w:themeColor="background1"/>
              </w:rPr>
            </w:pPr>
            <w:r w:rsidRPr="006C1FC5">
              <w:rPr>
                <w:b/>
                <w:bCs/>
                <w:color w:val="FFFFFF" w:themeColor="background1"/>
              </w:rPr>
              <w:t>Action</w:t>
            </w:r>
          </w:p>
        </w:tc>
        <w:tc>
          <w:tcPr>
            <w:tcW w:w="4910" w:type="dxa"/>
          </w:tcPr>
          <w:p w14:paraId="1DC3D775" w14:textId="2878A881" w:rsidR="006C1FC5" w:rsidRPr="006C1FC5" w:rsidRDefault="006C1FC5" w:rsidP="002966FE">
            <w:pPr>
              <w:cnfStyle w:val="100000000000" w:firstRow="1" w:lastRow="0" w:firstColumn="0" w:lastColumn="0" w:oddVBand="0" w:evenVBand="0" w:oddHBand="0" w:evenHBand="0" w:firstRowFirstColumn="0" w:firstRowLastColumn="0" w:lastRowFirstColumn="0" w:lastRowLastColumn="0"/>
              <w:rPr>
                <w:b/>
                <w:bCs/>
                <w:color w:val="FFFFFF" w:themeColor="background1"/>
              </w:rPr>
            </w:pPr>
            <w:r w:rsidRPr="006C1FC5">
              <w:rPr>
                <w:b/>
                <w:bCs/>
                <w:color w:val="FFFFFF" w:themeColor="background1"/>
              </w:rPr>
              <w:t>Detail</w:t>
            </w:r>
            <w:r w:rsidR="001D21F3">
              <w:rPr>
                <w:b/>
                <w:bCs/>
                <w:color w:val="FFFFFF" w:themeColor="background1"/>
              </w:rPr>
              <w:t xml:space="preserve">s of change </w:t>
            </w:r>
            <w:r w:rsidRPr="006C1FC5">
              <w:rPr>
                <w:b/>
                <w:bCs/>
                <w:color w:val="FFFFFF" w:themeColor="background1"/>
              </w:rPr>
              <w:t xml:space="preserve">  </w:t>
            </w:r>
          </w:p>
        </w:tc>
        <w:tc>
          <w:tcPr>
            <w:tcW w:w="6010" w:type="dxa"/>
          </w:tcPr>
          <w:p w14:paraId="7D2D6823" w14:textId="77777777" w:rsidR="006C1FC5" w:rsidRPr="006C1FC5" w:rsidRDefault="006C1FC5" w:rsidP="002966FE">
            <w:pPr>
              <w:cnfStyle w:val="100000000000" w:firstRow="1" w:lastRow="0" w:firstColumn="0" w:lastColumn="0" w:oddVBand="0" w:evenVBand="0" w:oddHBand="0" w:evenHBand="0" w:firstRowFirstColumn="0" w:firstRowLastColumn="0" w:lastRowFirstColumn="0" w:lastRowLastColumn="0"/>
              <w:rPr>
                <w:b/>
                <w:bCs/>
                <w:color w:val="FFFFFF" w:themeColor="background1"/>
              </w:rPr>
            </w:pPr>
            <w:r w:rsidRPr="006C1FC5">
              <w:rPr>
                <w:b/>
                <w:bCs/>
                <w:color w:val="FFFFFF" w:themeColor="background1"/>
              </w:rPr>
              <w:t xml:space="preserve">Strategic justification </w:t>
            </w:r>
          </w:p>
        </w:tc>
      </w:tr>
      <w:tr w:rsidR="006C1FC5" w14:paraId="10843180" w14:textId="77777777" w:rsidTr="00CC19AE">
        <w:tc>
          <w:tcPr>
            <w:tcW w:w="2263" w:type="dxa"/>
          </w:tcPr>
          <w:p w14:paraId="08E6DFFD" w14:textId="77777777" w:rsidR="006C1FC5" w:rsidRPr="00830A6C" w:rsidRDefault="006C1FC5" w:rsidP="002966FE">
            <w:pPr>
              <w:rPr>
                <w:i/>
                <w:iCs/>
              </w:rPr>
            </w:pPr>
            <w:r w:rsidRPr="00830A6C">
              <w:rPr>
                <w:i/>
                <w:iCs/>
              </w:rPr>
              <w:t>Objective</w:t>
            </w:r>
          </w:p>
        </w:tc>
        <w:tc>
          <w:tcPr>
            <w:tcW w:w="1843" w:type="dxa"/>
          </w:tcPr>
          <w:p w14:paraId="1C2BA4CF" w14:textId="77777777" w:rsidR="006C1FC5" w:rsidRDefault="006C1FC5" w:rsidP="002966FE">
            <w:r>
              <w:t>No change.</w:t>
            </w:r>
          </w:p>
        </w:tc>
        <w:tc>
          <w:tcPr>
            <w:tcW w:w="4910" w:type="dxa"/>
          </w:tcPr>
          <w:p w14:paraId="515E6001" w14:textId="77777777" w:rsidR="006C1FC5" w:rsidRDefault="006C1FC5" w:rsidP="002966FE">
            <w:r>
              <w:t>NA</w:t>
            </w:r>
          </w:p>
        </w:tc>
        <w:tc>
          <w:tcPr>
            <w:tcW w:w="6010" w:type="dxa"/>
          </w:tcPr>
          <w:p w14:paraId="2C95F928" w14:textId="77777777" w:rsidR="006C1FC5" w:rsidRDefault="006C1FC5" w:rsidP="002966FE">
            <w:r>
              <w:t>NA</w:t>
            </w:r>
          </w:p>
        </w:tc>
      </w:tr>
      <w:tr w:rsidR="006C1FC5" w14:paraId="64236278" w14:textId="77777777" w:rsidTr="00CC19AE">
        <w:tc>
          <w:tcPr>
            <w:tcW w:w="2263" w:type="dxa"/>
          </w:tcPr>
          <w:p w14:paraId="3A6BB74B" w14:textId="77777777" w:rsidR="006C1FC5" w:rsidRPr="00830A6C" w:rsidRDefault="006C1FC5" w:rsidP="002966FE">
            <w:pPr>
              <w:rPr>
                <w:i/>
                <w:iCs/>
              </w:rPr>
            </w:pPr>
            <w:r w:rsidRPr="00830A6C">
              <w:rPr>
                <w:i/>
                <w:iCs/>
              </w:rPr>
              <w:t>Strategies</w:t>
            </w:r>
          </w:p>
        </w:tc>
        <w:tc>
          <w:tcPr>
            <w:tcW w:w="1843" w:type="dxa"/>
          </w:tcPr>
          <w:p w14:paraId="51639023" w14:textId="77777777" w:rsidR="006C1FC5" w:rsidRDefault="006C1FC5" w:rsidP="002966FE">
            <w:r>
              <w:t xml:space="preserve">New strategy.  </w:t>
            </w:r>
          </w:p>
        </w:tc>
        <w:tc>
          <w:tcPr>
            <w:tcW w:w="4910" w:type="dxa"/>
          </w:tcPr>
          <w:p w14:paraId="739D6B06" w14:textId="77777777" w:rsidR="006C1FC5" w:rsidRDefault="006C1FC5" w:rsidP="002966FE">
            <w:r>
              <w:t>1 new strategy “</w:t>
            </w:r>
            <w:r w:rsidRPr="00112ACB">
              <w:rPr>
                <w:i/>
                <w:iCs/>
              </w:rPr>
              <w:t>to protect and conserve areas of known indigenous and non-indigenous cultural or archaeological significance”</w:t>
            </w:r>
            <w:r w:rsidRPr="00010B14">
              <w:t xml:space="preserve"> is in</w:t>
            </w:r>
            <w:r>
              <w:t xml:space="preserve">troduced.  </w:t>
            </w:r>
          </w:p>
        </w:tc>
        <w:tc>
          <w:tcPr>
            <w:tcW w:w="6010" w:type="dxa"/>
          </w:tcPr>
          <w:p w14:paraId="51A220D5" w14:textId="2E92FD45" w:rsidR="006C1FC5" w:rsidRDefault="006C1FC5" w:rsidP="002966FE">
            <w:r>
              <w:t xml:space="preserve">To achieve consistency with </w:t>
            </w:r>
            <w:r w:rsidRPr="3DEAA4AF">
              <w:rPr>
                <w:i/>
              </w:rPr>
              <w:t>Ministerial Direction – Form and Content of Planning Schemes</w:t>
            </w:r>
            <w:r>
              <w:t xml:space="preserve">, the number of objectives in the schedule to the SLO has been reduced from 16 to 5. </w:t>
            </w:r>
          </w:p>
          <w:p w14:paraId="4AACD991" w14:textId="1C0E6AAB" w:rsidR="006C1FC5" w:rsidRDefault="006C1FC5" w:rsidP="00FE44ED">
            <w:r>
              <w:t xml:space="preserve">The strategy </w:t>
            </w:r>
            <w:r w:rsidRPr="005E1B06">
              <w:t>“</w:t>
            </w:r>
            <w:r w:rsidRPr="005E1B06">
              <w:rPr>
                <w:i/>
                <w:iCs/>
              </w:rPr>
              <w:t>to protect and conserve areas of known indigenous and non-indigenous cultural or archaeological significance”</w:t>
            </w:r>
            <w:r w:rsidRPr="005E1B06">
              <w:t xml:space="preserve"> </w:t>
            </w:r>
            <w:r w:rsidR="00704046">
              <w:t xml:space="preserve">previously was included in the schedule to the SLO. It </w:t>
            </w:r>
            <w:r w:rsidR="00FE20EC">
              <w:t>is</w:t>
            </w:r>
            <w:r w:rsidR="001471FA">
              <w:t xml:space="preserve"> </w:t>
            </w:r>
            <w:r w:rsidR="00704046">
              <w:t>now</w:t>
            </w:r>
            <w:r w:rsidRPr="0037789F">
              <w:t xml:space="preserve"> </w:t>
            </w:r>
            <w:r w:rsidRPr="00E20487">
              <w:t xml:space="preserve">rehomed </w:t>
            </w:r>
            <w:r w:rsidR="00704046">
              <w:t>at</w:t>
            </w:r>
            <w:r w:rsidRPr="00E20487">
              <w:t xml:space="preserve"> </w:t>
            </w:r>
            <w:r w:rsidRPr="00FD355A">
              <w:t>Clause 12.03-1R</w:t>
            </w:r>
            <w:r w:rsidR="00D42566">
              <w:t xml:space="preserve">. </w:t>
            </w:r>
            <w:r w:rsidR="00FE44ED">
              <w:t>T</w:t>
            </w:r>
            <w:r w:rsidR="00D42566">
              <w:t xml:space="preserve">he strategy is </w:t>
            </w:r>
            <w:r w:rsidRPr="00FD355A">
              <w:t xml:space="preserve">consistent with existing state and regional policy and </w:t>
            </w:r>
            <w:r w:rsidR="00BD3668">
              <w:t xml:space="preserve">is </w:t>
            </w:r>
            <w:r w:rsidRPr="00FD355A">
              <w:t xml:space="preserve">relevant </w:t>
            </w:r>
            <w:r w:rsidR="006D2084">
              <w:t>for</w:t>
            </w:r>
            <w:r w:rsidRPr="00FD355A">
              <w:t xml:space="preserve"> the entire Yarra River corridor. </w:t>
            </w:r>
          </w:p>
        </w:tc>
      </w:tr>
      <w:tr w:rsidR="006C1FC5" w14:paraId="39CD0301" w14:textId="77777777" w:rsidTr="00CC19AE">
        <w:tc>
          <w:tcPr>
            <w:tcW w:w="2263" w:type="dxa"/>
          </w:tcPr>
          <w:p w14:paraId="3C858AC8" w14:textId="77777777" w:rsidR="006C1FC5" w:rsidRPr="00830A6C" w:rsidRDefault="006C1FC5" w:rsidP="002966FE">
            <w:pPr>
              <w:rPr>
                <w:i/>
                <w:iCs/>
              </w:rPr>
            </w:pPr>
            <w:r w:rsidRPr="00830A6C">
              <w:rPr>
                <w:i/>
                <w:iCs/>
              </w:rPr>
              <w:t>Policy documents</w:t>
            </w:r>
          </w:p>
        </w:tc>
        <w:tc>
          <w:tcPr>
            <w:tcW w:w="1843" w:type="dxa"/>
          </w:tcPr>
          <w:p w14:paraId="6A29F7CA" w14:textId="77777777" w:rsidR="006C1FC5" w:rsidRDefault="006C1FC5" w:rsidP="002966FE">
            <w:r>
              <w:t xml:space="preserve">No change. </w:t>
            </w:r>
          </w:p>
        </w:tc>
        <w:tc>
          <w:tcPr>
            <w:tcW w:w="4910" w:type="dxa"/>
          </w:tcPr>
          <w:p w14:paraId="6713F81E" w14:textId="77777777" w:rsidR="006C1FC5" w:rsidRDefault="006C1FC5" w:rsidP="002966FE">
            <w:r>
              <w:t>NA</w:t>
            </w:r>
          </w:p>
        </w:tc>
        <w:tc>
          <w:tcPr>
            <w:tcW w:w="6010" w:type="dxa"/>
          </w:tcPr>
          <w:p w14:paraId="04227AC8" w14:textId="77777777" w:rsidR="006C1FC5" w:rsidRDefault="006C1FC5" w:rsidP="002966FE">
            <w:r>
              <w:t>NA</w:t>
            </w:r>
          </w:p>
        </w:tc>
      </w:tr>
    </w:tbl>
    <w:p w14:paraId="08F9079F" w14:textId="77777777" w:rsidR="006C1FC5" w:rsidRDefault="006C1FC5" w:rsidP="006C1FC5">
      <w:pPr>
        <w:rPr>
          <w:rFonts w:eastAsia="Arial"/>
        </w:rPr>
      </w:pPr>
    </w:p>
    <w:p w14:paraId="54A61276" w14:textId="2D0A355C" w:rsidR="006C1FC5" w:rsidRPr="006C1FC5" w:rsidRDefault="006C1FC5" w:rsidP="006C1FC5">
      <w:pPr>
        <w:pStyle w:val="Heading2"/>
      </w:pPr>
      <w:r>
        <w:t xml:space="preserve">6. </w:t>
      </w:r>
      <w:r w:rsidR="00EF2CFE">
        <w:t>U</w:t>
      </w:r>
      <w:r w:rsidRPr="007F60CC">
        <w:t xml:space="preserve">pdates to schedules to the Clause 66.04 </w:t>
      </w:r>
      <w:r w:rsidRPr="006C1FC5">
        <w:t>(</w:t>
      </w:r>
      <w:r w:rsidRPr="007F60CC">
        <w:t>Referral of Permit Applications Under Local Provisions</w:t>
      </w:r>
      <w:r w:rsidRPr="006C1FC5">
        <w:t>)</w:t>
      </w:r>
    </w:p>
    <w:tbl>
      <w:tblPr>
        <w:tblStyle w:val="TableGrid"/>
        <w:tblW w:w="0" w:type="auto"/>
        <w:tblLook w:val="04A0" w:firstRow="1" w:lastRow="0" w:firstColumn="1" w:lastColumn="0" w:noHBand="0" w:noVBand="1"/>
      </w:tblPr>
      <w:tblGrid>
        <w:gridCol w:w="2263"/>
        <w:gridCol w:w="1843"/>
        <w:gridCol w:w="4910"/>
        <w:gridCol w:w="6010"/>
      </w:tblGrid>
      <w:tr w:rsidR="006C1FC5" w14:paraId="6F9AE47E" w14:textId="77777777" w:rsidTr="00CC19AE">
        <w:trPr>
          <w:cnfStyle w:val="100000000000" w:firstRow="1" w:lastRow="0" w:firstColumn="0" w:lastColumn="0" w:oddVBand="0" w:evenVBand="0" w:oddHBand="0" w:evenHBand="0" w:firstRowFirstColumn="0" w:firstRowLastColumn="0" w:lastRowFirstColumn="0" w:lastRowLastColumn="0"/>
          <w:trHeight w:val="262"/>
        </w:trPr>
        <w:tc>
          <w:tcPr>
            <w:cnfStyle w:val="000000000100" w:firstRow="0" w:lastRow="0" w:firstColumn="0" w:lastColumn="0" w:oddVBand="0" w:evenVBand="0" w:oddHBand="0" w:evenHBand="0" w:firstRowFirstColumn="1" w:firstRowLastColumn="0" w:lastRowFirstColumn="0" w:lastRowLastColumn="0"/>
            <w:tcW w:w="2263" w:type="dxa"/>
            <w:vAlign w:val="top"/>
          </w:tcPr>
          <w:p w14:paraId="021F1F73" w14:textId="1367028A" w:rsidR="006C1FC5" w:rsidRPr="00CC19AE" w:rsidRDefault="00CC19AE" w:rsidP="006C1FC5">
            <w:pPr>
              <w:pStyle w:val="Heading2"/>
              <w:numPr>
                <w:ilvl w:val="0"/>
                <w:numId w:val="0"/>
              </w:numPr>
              <w:spacing w:before="0"/>
              <w:outlineLvl w:val="1"/>
              <w:rPr>
                <w:rFonts w:cs="Arial"/>
                <w:color w:val="FFFFFF" w:themeColor="background1"/>
                <w:sz w:val="18"/>
                <w:szCs w:val="18"/>
              </w:rPr>
            </w:pPr>
            <w:r>
              <w:rPr>
                <w:color w:val="FFFFFF" w:themeColor="background1"/>
                <w:sz w:val="18"/>
                <w:szCs w:val="18"/>
              </w:rPr>
              <w:t xml:space="preserve">Heading </w:t>
            </w:r>
          </w:p>
        </w:tc>
        <w:tc>
          <w:tcPr>
            <w:tcW w:w="1843" w:type="dxa"/>
          </w:tcPr>
          <w:p w14:paraId="7F062570" w14:textId="77777777" w:rsidR="006C1FC5" w:rsidRPr="006C1FC5" w:rsidRDefault="006C1FC5" w:rsidP="006C1FC5">
            <w:pPr>
              <w:pStyle w:val="Heading2"/>
              <w:numPr>
                <w:ilvl w:val="0"/>
                <w:numId w:val="0"/>
              </w:numPr>
              <w:spacing w:before="0"/>
              <w:outlineLvl w:val="1"/>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rPr>
            </w:pPr>
            <w:r w:rsidRPr="006C1FC5">
              <w:rPr>
                <w:rFonts w:cs="Arial"/>
                <w:color w:val="FFFFFF" w:themeColor="background1"/>
                <w:sz w:val="18"/>
                <w:szCs w:val="18"/>
              </w:rPr>
              <w:t>Action</w:t>
            </w:r>
          </w:p>
        </w:tc>
        <w:tc>
          <w:tcPr>
            <w:tcW w:w="4910" w:type="dxa"/>
          </w:tcPr>
          <w:p w14:paraId="29D72F67" w14:textId="74C2C05C" w:rsidR="006C1FC5" w:rsidRPr="006C1FC5" w:rsidRDefault="001D21F3" w:rsidP="006C1FC5">
            <w:pPr>
              <w:pStyle w:val="Heading2"/>
              <w:numPr>
                <w:ilvl w:val="0"/>
                <w:numId w:val="0"/>
              </w:numPr>
              <w:spacing w:before="0"/>
              <w:outlineLvl w:val="1"/>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rPr>
            </w:pPr>
            <w:r>
              <w:rPr>
                <w:rFonts w:cs="Arial"/>
                <w:color w:val="FFFFFF" w:themeColor="background1"/>
                <w:sz w:val="18"/>
                <w:szCs w:val="18"/>
              </w:rPr>
              <w:t xml:space="preserve">Details of change </w:t>
            </w:r>
            <w:r w:rsidR="006C1FC5" w:rsidRPr="006C1FC5">
              <w:rPr>
                <w:rFonts w:cs="Arial"/>
                <w:color w:val="FFFFFF" w:themeColor="background1"/>
                <w:sz w:val="18"/>
                <w:szCs w:val="18"/>
              </w:rPr>
              <w:t xml:space="preserve">  </w:t>
            </w:r>
          </w:p>
        </w:tc>
        <w:tc>
          <w:tcPr>
            <w:tcW w:w="6010" w:type="dxa"/>
          </w:tcPr>
          <w:p w14:paraId="3F425A9C" w14:textId="77777777" w:rsidR="006C1FC5" w:rsidRPr="006C1FC5" w:rsidRDefault="006C1FC5" w:rsidP="006C1FC5">
            <w:pPr>
              <w:pStyle w:val="Heading2"/>
              <w:numPr>
                <w:ilvl w:val="0"/>
                <w:numId w:val="0"/>
              </w:numPr>
              <w:spacing w:before="0"/>
              <w:outlineLvl w:val="1"/>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rPr>
            </w:pPr>
            <w:r w:rsidRPr="006C1FC5">
              <w:rPr>
                <w:rFonts w:cs="Arial"/>
                <w:color w:val="FFFFFF" w:themeColor="background1"/>
                <w:sz w:val="18"/>
                <w:szCs w:val="18"/>
              </w:rPr>
              <w:t xml:space="preserve">Strategic justification </w:t>
            </w:r>
          </w:p>
        </w:tc>
      </w:tr>
      <w:tr w:rsidR="006C1FC5" w14:paraId="4B2217E1" w14:textId="77777777" w:rsidTr="00CC19AE">
        <w:tc>
          <w:tcPr>
            <w:tcW w:w="2263" w:type="dxa"/>
          </w:tcPr>
          <w:p w14:paraId="243C9D1A" w14:textId="77777777" w:rsidR="006C1FC5" w:rsidRPr="00830A6C" w:rsidRDefault="006C1FC5" w:rsidP="002966FE">
            <w:pPr>
              <w:rPr>
                <w:i/>
                <w:iCs/>
              </w:rPr>
            </w:pPr>
            <w:r>
              <w:rPr>
                <w:i/>
                <w:iCs/>
              </w:rPr>
              <w:t xml:space="preserve">Referral of permit applications under local provisions </w:t>
            </w:r>
          </w:p>
        </w:tc>
        <w:tc>
          <w:tcPr>
            <w:tcW w:w="1843" w:type="dxa"/>
          </w:tcPr>
          <w:p w14:paraId="4463B481" w14:textId="77777777" w:rsidR="006C1FC5" w:rsidRDefault="006C1FC5" w:rsidP="002966FE">
            <w:r>
              <w:t xml:space="preserve">Revised requirement. </w:t>
            </w:r>
          </w:p>
        </w:tc>
        <w:tc>
          <w:tcPr>
            <w:tcW w:w="4910" w:type="dxa"/>
          </w:tcPr>
          <w:p w14:paraId="55E4800E" w14:textId="070FDE26" w:rsidR="006C1FC5" w:rsidRDefault="006C1FC5" w:rsidP="00A05F94">
            <w:r w:rsidRPr="00F85CF3">
              <w:t>The existing referral requirement is updated to define the scope of referrals as being “</w:t>
            </w:r>
            <w:r w:rsidRPr="008312A8">
              <w:rPr>
                <w:i/>
                <w:iCs/>
                <w:color w:val="231F20"/>
              </w:rPr>
              <w:t xml:space="preserve">applications within 100 metres of the Yarra River, as measured from the Setback Reference Line, being the </w:t>
            </w:r>
            <w:r w:rsidRPr="008312A8">
              <w:rPr>
                <w:i/>
                <w:iCs/>
                <w:color w:val="231F20"/>
                <w:spacing w:val="-2"/>
              </w:rPr>
              <w:t>closes</w:t>
            </w:r>
            <w:r w:rsidRPr="008312A8">
              <w:rPr>
                <w:i/>
                <w:iCs/>
                <w:color w:val="231F20"/>
              </w:rPr>
              <w:t>t</w:t>
            </w:r>
            <w:r w:rsidRPr="008312A8">
              <w:rPr>
                <w:i/>
                <w:iCs/>
                <w:color w:val="231F20"/>
                <w:spacing w:val="-23"/>
              </w:rPr>
              <w:t xml:space="preserve"> </w:t>
            </w:r>
            <w:r w:rsidRPr="008312A8">
              <w:rPr>
                <w:i/>
                <w:iCs/>
                <w:color w:val="231F20"/>
                <w:spacing w:val="-2"/>
              </w:rPr>
              <w:t>parallel propert</w:t>
            </w:r>
            <w:r w:rsidRPr="008312A8">
              <w:rPr>
                <w:i/>
                <w:iCs/>
                <w:color w:val="231F20"/>
              </w:rPr>
              <w:t>y</w:t>
            </w:r>
            <w:r w:rsidRPr="008312A8">
              <w:rPr>
                <w:i/>
                <w:iCs/>
                <w:color w:val="231F20"/>
                <w:spacing w:val="-21"/>
              </w:rPr>
              <w:t xml:space="preserve"> </w:t>
            </w:r>
            <w:r w:rsidRPr="008312A8">
              <w:rPr>
                <w:i/>
                <w:iCs/>
                <w:color w:val="231F20"/>
                <w:spacing w:val="-2"/>
              </w:rPr>
              <w:t>boundar</w:t>
            </w:r>
            <w:r w:rsidRPr="008312A8">
              <w:rPr>
                <w:i/>
                <w:iCs/>
                <w:color w:val="231F20"/>
              </w:rPr>
              <w:t>y aligned to</w:t>
            </w:r>
            <w:r w:rsidRPr="008312A8">
              <w:rPr>
                <w:i/>
                <w:iCs/>
                <w:color w:val="231F20"/>
                <w:spacing w:val="-2"/>
              </w:rPr>
              <w:t xml:space="preserve"> the banks of the waterway,</w:t>
            </w:r>
            <w:r w:rsidRPr="008312A8">
              <w:rPr>
                <w:i/>
                <w:iCs/>
                <w:color w:val="231F20"/>
              </w:rPr>
              <w:t xml:space="preserve"> unless in the opinion of the responsible authority the proposal satisfies requirements or conditions previously agreed to in writing between the responsible authority and Melbourne Water.”</w:t>
            </w:r>
          </w:p>
        </w:tc>
        <w:tc>
          <w:tcPr>
            <w:tcW w:w="6010" w:type="dxa"/>
          </w:tcPr>
          <w:p w14:paraId="3A11777F" w14:textId="52721510" w:rsidR="006C1FC5" w:rsidRPr="00F85CF3" w:rsidRDefault="006C1FC5" w:rsidP="002966FE">
            <w:r w:rsidRPr="00F85CF3">
              <w:t>The updated referral requirement is consistent with the existing referral requirement in the schedule to the SLO. Including a referral requirement in</w:t>
            </w:r>
            <w:r w:rsidR="00FE44ED">
              <w:t xml:space="preserve"> the</w:t>
            </w:r>
            <w:r w:rsidRPr="00F85CF3">
              <w:t xml:space="preserve"> schedule to the SLO </w:t>
            </w:r>
            <w:r w:rsidR="00234633">
              <w:t>does not comply</w:t>
            </w:r>
            <w:r w:rsidRPr="00F85CF3">
              <w:t xml:space="preserve"> with </w:t>
            </w:r>
            <w:r w:rsidRPr="5E6FEB28">
              <w:rPr>
                <w:i/>
              </w:rPr>
              <w:t>Ministerial Direction – Form and Content of Planning Schemes</w:t>
            </w:r>
            <w:r w:rsidRPr="00F85CF3">
              <w:t>. Clause 66.04 is the correct location to define referral requirements under local provisions.</w:t>
            </w:r>
            <w:r w:rsidRPr="00F85CF3">
              <w:rPr>
                <w:b/>
                <w:bCs/>
              </w:rPr>
              <w:t xml:space="preserve"> </w:t>
            </w:r>
          </w:p>
        </w:tc>
      </w:tr>
    </w:tbl>
    <w:p w14:paraId="75FAFD49" w14:textId="77777777" w:rsidR="006C1FC5" w:rsidRPr="00792337" w:rsidRDefault="006C1FC5" w:rsidP="006C1FC5"/>
    <w:p w14:paraId="38D3BE99" w14:textId="09178CE4" w:rsidR="006C1FC5" w:rsidRPr="007F60CC" w:rsidRDefault="006C1FC5" w:rsidP="006C1FC5">
      <w:pPr>
        <w:pStyle w:val="Heading2"/>
      </w:pPr>
      <w:r>
        <w:lastRenderedPageBreak/>
        <w:t xml:space="preserve">7. </w:t>
      </w:r>
      <w:r w:rsidR="00EF2CFE">
        <w:t>U</w:t>
      </w:r>
      <w:r w:rsidRPr="007F60CC">
        <w:t xml:space="preserve">pdates to schedules to the </w:t>
      </w:r>
      <w:r w:rsidRPr="006C1FC5">
        <w:t>Clause 72.08 (Background Documents)</w:t>
      </w:r>
    </w:p>
    <w:tbl>
      <w:tblPr>
        <w:tblStyle w:val="TableGrid"/>
        <w:tblW w:w="15026" w:type="dxa"/>
        <w:tblLook w:val="04A0" w:firstRow="1" w:lastRow="0" w:firstColumn="1" w:lastColumn="0" w:noHBand="0" w:noVBand="1"/>
      </w:tblPr>
      <w:tblGrid>
        <w:gridCol w:w="2263"/>
        <w:gridCol w:w="1843"/>
        <w:gridCol w:w="4910"/>
        <w:gridCol w:w="6010"/>
      </w:tblGrid>
      <w:tr w:rsidR="006C1FC5" w14:paraId="28277C62" w14:textId="77777777" w:rsidTr="00CC19AE">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263" w:type="dxa"/>
            <w:vAlign w:val="top"/>
          </w:tcPr>
          <w:p w14:paraId="2E43CEC5" w14:textId="77777777" w:rsidR="006C1FC5" w:rsidRPr="006C1FC5" w:rsidRDefault="006C1FC5" w:rsidP="002966FE">
            <w:pPr>
              <w:rPr>
                <w:b/>
                <w:bCs/>
                <w:color w:val="FFFFFF" w:themeColor="background1"/>
              </w:rPr>
            </w:pPr>
            <w:r w:rsidRPr="006C1FC5">
              <w:rPr>
                <w:b/>
                <w:bCs/>
                <w:color w:val="FFFFFF" w:themeColor="background1"/>
              </w:rPr>
              <w:t xml:space="preserve">Heading </w:t>
            </w:r>
          </w:p>
        </w:tc>
        <w:tc>
          <w:tcPr>
            <w:tcW w:w="1843" w:type="dxa"/>
          </w:tcPr>
          <w:p w14:paraId="7A603793" w14:textId="77777777" w:rsidR="006C1FC5" w:rsidRPr="006C1FC5" w:rsidRDefault="006C1FC5" w:rsidP="002966FE">
            <w:pPr>
              <w:cnfStyle w:val="100000000000" w:firstRow="1" w:lastRow="0" w:firstColumn="0" w:lastColumn="0" w:oddVBand="0" w:evenVBand="0" w:oddHBand="0" w:evenHBand="0" w:firstRowFirstColumn="0" w:firstRowLastColumn="0" w:lastRowFirstColumn="0" w:lastRowLastColumn="0"/>
              <w:rPr>
                <w:b/>
                <w:bCs/>
                <w:color w:val="FFFFFF" w:themeColor="background1"/>
              </w:rPr>
            </w:pPr>
            <w:r w:rsidRPr="006C1FC5">
              <w:rPr>
                <w:b/>
                <w:bCs/>
                <w:color w:val="FFFFFF" w:themeColor="background1"/>
              </w:rPr>
              <w:t>Action</w:t>
            </w:r>
          </w:p>
        </w:tc>
        <w:tc>
          <w:tcPr>
            <w:tcW w:w="4910" w:type="dxa"/>
          </w:tcPr>
          <w:p w14:paraId="584104B4" w14:textId="02ACDD09" w:rsidR="006C1FC5" w:rsidRPr="006C1FC5" w:rsidRDefault="001D21F3" w:rsidP="002966FE">
            <w:pPr>
              <w:cnfStyle w:val="100000000000" w:firstRow="1"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 xml:space="preserve">Details of change </w:t>
            </w:r>
            <w:r w:rsidR="006C1FC5" w:rsidRPr="006C1FC5">
              <w:rPr>
                <w:b/>
                <w:bCs/>
                <w:color w:val="FFFFFF" w:themeColor="background1"/>
              </w:rPr>
              <w:t xml:space="preserve">  </w:t>
            </w:r>
          </w:p>
        </w:tc>
        <w:tc>
          <w:tcPr>
            <w:tcW w:w="6010" w:type="dxa"/>
          </w:tcPr>
          <w:p w14:paraId="515E426F" w14:textId="77777777" w:rsidR="006C1FC5" w:rsidRPr="006C1FC5" w:rsidRDefault="006C1FC5" w:rsidP="002966FE">
            <w:pPr>
              <w:cnfStyle w:val="100000000000" w:firstRow="1" w:lastRow="0" w:firstColumn="0" w:lastColumn="0" w:oddVBand="0" w:evenVBand="0" w:oddHBand="0" w:evenHBand="0" w:firstRowFirstColumn="0" w:firstRowLastColumn="0" w:lastRowFirstColumn="0" w:lastRowLastColumn="0"/>
              <w:rPr>
                <w:b/>
                <w:bCs/>
                <w:color w:val="FFFFFF" w:themeColor="background1"/>
              </w:rPr>
            </w:pPr>
            <w:r w:rsidRPr="006C1FC5">
              <w:rPr>
                <w:b/>
                <w:bCs/>
                <w:color w:val="FFFFFF" w:themeColor="background1"/>
              </w:rPr>
              <w:t xml:space="preserve">Strategic justification </w:t>
            </w:r>
          </w:p>
        </w:tc>
      </w:tr>
      <w:tr w:rsidR="006C1FC5" w14:paraId="6B3BFF2A" w14:textId="77777777" w:rsidTr="00CC19AE">
        <w:tc>
          <w:tcPr>
            <w:tcW w:w="2263" w:type="dxa"/>
          </w:tcPr>
          <w:p w14:paraId="0DDB9033" w14:textId="77777777" w:rsidR="006C1FC5" w:rsidRPr="00830A6C" w:rsidRDefault="006C1FC5" w:rsidP="002966FE">
            <w:pPr>
              <w:rPr>
                <w:i/>
                <w:iCs/>
              </w:rPr>
            </w:pPr>
            <w:r>
              <w:rPr>
                <w:i/>
                <w:iCs/>
              </w:rPr>
              <w:t xml:space="preserve">Background documents </w:t>
            </w:r>
          </w:p>
        </w:tc>
        <w:tc>
          <w:tcPr>
            <w:tcW w:w="1843" w:type="dxa"/>
          </w:tcPr>
          <w:p w14:paraId="3B37AAC7" w14:textId="77777777" w:rsidR="006C1FC5" w:rsidRDefault="006C1FC5" w:rsidP="002966FE">
            <w:r>
              <w:t xml:space="preserve">New background documents. </w:t>
            </w:r>
          </w:p>
        </w:tc>
        <w:tc>
          <w:tcPr>
            <w:tcW w:w="4910" w:type="dxa"/>
          </w:tcPr>
          <w:p w14:paraId="619F5B40" w14:textId="133FC594" w:rsidR="006C1FC5" w:rsidRDefault="006C1FC5" w:rsidP="002966FE">
            <w:r>
              <w:t>4 new background documents, linked to the schedule to the SLO</w:t>
            </w:r>
            <w:r w:rsidR="00C50210">
              <w:t xml:space="preserve">, </w:t>
            </w:r>
            <w:r>
              <w:t xml:space="preserve">are introduced. </w:t>
            </w:r>
          </w:p>
        </w:tc>
        <w:tc>
          <w:tcPr>
            <w:tcW w:w="6010" w:type="dxa"/>
          </w:tcPr>
          <w:p w14:paraId="785EE31E" w14:textId="2F5336F1" w:rsidR="006C1FC5" w:rsidRPr="00AC44DA" w:rsidRDefault="006C1FC5" w:rsidP="00094129">
            <w:r w:rsidRPr="3F58E016">
              <w:rPr>
                <w:i/>
              </w:rPr>
              <w:t>Ministerial Direction – Form and Content of Planning Schemes</w:t>
            </w:r>
            <w:r w:rsidR="00C50210">
              <w:t xml:space="preserve"> does not provide for the inclusion of Reference Documents in a schedule to the SLO</w:t>
            </w:r>
            <w:r w:rsidRPr="00AC44DA">
              <w:t xml:space="preserve">. </w:t>
            </w:r>
            <w:r w:rsidR="00FF32E3">
              <w:t>Clause 72.08 is the correct location for documents informing the drafting of planning provisions and the application of discretion by a responsible authority.</w:t>
            </w:r>
            <w:r w:rsidR="0088708F">
              <w:t xml:space="preserve"> </w:t>
            </w:r>
          </w:p>
        </w:tc>
      </w:tr>
    </w:tbl>
    <w:p w14:paraId="77B8E577" w14:textId="77777777" w:rsidR="006C1FC5" w:rsidRDefault="006C1FC5" w:rsidP="006C1FC5"/>
    <w:p w14:paraId="2BDFC32C" w14:textId="77777777" w:rsidR="004E2C14" w:rsidRDefault="004E2C14" w:rsidP="00C46A59">
      <w:pPr>
        <w:pStyle w:val="Heading2"/>
      </w:pPr>
    </w:p>
    <w:p w14:paraId="164EF94D" w14:textId="77777777" w:rsidR="004E2C14" w:rsidRDefault="004E2C14" w:rsidP="00C46A59">
      <w:pPr>
        <w:pStyle w:val="Heading2"/>
      </w:pPr>
    </w:p>
    <w:p w14:paraId="5FC18043" w14:textId="61B851DE" w:rsidR="00C46A59" w:rsidRPr="00C46A59" w:rsidRDefault="00C46A59" w:rsidP="00F57678">
      <w:pPr>
        <w:pStyle w:val="BodyText"/>
      </w:pPr>
    </w:p>
    <w:sectPr w:rsidR="00C46A59" w:rsidRPr="00C46A59" w:rsidSect="00066528">
      <w:headerReference w:type="even" r:id="rId20"/>
      <w:headerReference w:type="default" r:id="rId21"/>
      <w:footerReference w:type="even" r:id="rId22"/>
      <w:footerReference w:type="default" r:id="rId23"/>
      <w:headerReference w:type="first" r:id="rId24"/>
      <w:footerReference w:type="first" r:id="rId25"/>
      <w:type w:val="continuous"/>
      <w:pgSz w:w="16840" w:h="11907" w:orient="landscape"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9499D" w14:textId="77777777" w:rsidR="00F6378D" w:rsidRDefault="00F6378D">
      <w:r>
        <w:separator/>
      </w:r>
    </w:p>
    <w:p w14:paraId="0A59CEA6" w14:textId="77777777" w:rsidR="00F6378D" w:rsidRDefault="00F6378D"/>
    <w:p w14:paraId="32597C24" w14:textId="77777777" w:rsidR="00F6378D" w:rsidRDefault="00F6378D"/>
  </w:endnote>
  <w:endnote w:type="continuationSeparator" w:id="0">
    <w:p w14:paraId="3EBC9A1E" w14:textId="77777777" w:rsidR="00F6378D" w:rsidRDefault="00F6378D">
      <w:r>
        <w:continuationSeparator/>
      </w:r>
    </w:p>
    <w:p w14:paraId="64714E2F" w14:textId="77777777" w:rsidR="00F6378D" w:rsidRDefault="00F6378D"/>
    <w:p w14:paraId="69D14061" w14:textId="77777777" w:rsidR="00F6378D" w:rsidRDefault="00F6378D"/>
  </w:endnote>
  <w:endnote w:type="continuationNotice" w:id="1">
    <w:p w14:paraId="5C44C29E" w14:textId="77777777" w:rsidR="00F6378D" w:rsidRDefault="00F6378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C46A59" w14:paraId="65883A34" w14:textId="77777777" w:rsidTr="002966FE">
      <w:trPr>
        <w:trHeight w:val="397"/>
      </w:trPr>
      <w:tc>
        <w:tcPr>
          <w:tcW w:w="340" w:type="dxa"/>
        </w:tcPr>
        <w:p w14:paraId="05048146" w14:textId="2B3EFD14" w:rsidR="00C46A59" w:rsidRPr="00D55628" w:rsidRDefault="00525B46" w:rsidP="00DE028D">
          <w:pPr>
            <w:pStyle w:val="FooterEvenPageNumber"/>
            <w:framePr w:wrap="auto" w:vAnchor="margin" w:hAnchor="text" w:yAlign="inline"/>
          </w:pPr>
          <w:r>
            <w:rPr>
              <w:noProof/>
            </w:rPr>
            <mc:AlternateContent>
              <mc:Choice Requires="wps">
                <w:drawing>
                  <wp:anchor distT="0" distB="0" distL="114300" distR="114300" simplePos="1" relativeHeight="251658277" behindDoc="0" locked="0" layoutInCell="0" allowOverlap="1" wp14:anchorId="2A7FB811" wp14:editId="1B82E26E">
                    <wp:simplePos x="0" y="7096998"/>
                    <wp:positionH relativeFrom="page">
                      <wp:posOffset>0</wp:posOffset>
                    </wp:positionH>
                    <wp:positionV relativeFrom="page">
                      <wp:posOffset>7096760</wp:posOffset>
                    </wp:positionV>
                    <wp:extent cx="10693400" cy="273050"/>
                    <wp:effectExtent l="0" t="0" r="0" b="12700"/>
                    <wp:wrapNone/>
                    <wp:docPr id="4" name="MSIPCM2eb7408db8124044a31f5441" descr="{&quot;HashCode&quot;:-1264680268,&quot;Height&quot;:595.0,&quot;Width&quot;:842.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10693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983E5A" w14:textId="3FF05787" w:rsidR="00525B46" w:rsidRPr="00525B46" w:rsidRDefault="00525B46" w:rsidP="00525B46">
                                <w:pPr>
                                  <w:jc w:val="center"/>
                                  <w:rPr>
                                    <w:rFonts w:ascii="Calibri" w:hAnsi="Calibri" w:cs="Calibri"/>
                                    <w:color w:val="000000"/>
                                    <w:sz w:val="24"/>
                                  </w:rPr>
                                </w:pPr>
                                <w:r w:rsidRPr="00525B4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2A7FB811" id="_x0000_t202" coordsize="21600,21600" o:spt="202" path="m,l,21600r21600,l21600,xe">
                    <v:stroke joinstyle="miter"/>
                    <v:path gradientshapeok="t" o:connecttype="rect"/>
                  </v:shapetype>
                  <v:shape id="MSIPCM2eb7408db8124044a31f5441" o:spid="_x0000_s1026" type="#_x0000_t202" alt="{&quot;HashCode&quot;:-1264680268,&quot;Height&quot;:595.0,&quot;Width&quot;:842.0,&quot;Placement&quot;:&quot;Footer&quot;,&quot;Index&quot;:&quot;OddAndEven&quot;,&quot;Section&quot;:1,&quot;Top&quot;:0.0,&quot;Left&quot;:0.0}" style="position:absolute;margin-left:0;margin-top:558.8pt;width:842pt;height:21.5pt;z-index:2517084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" o:allowincell="f" filled="f" stroked="f" strokeweight=".5pt">
                    <v:fill o:detectmouseclick="t"/>
                    <v:textbox inset=",0,,0">
                      <w:txbxContent>
                        <w:p w14:paraId="15983E5A" w14:textId="3FF05787" w:rsidR="00525B46" w:rsidRPr="00525B46" w:rsidRDefault="00525B46" w:rsidP="00525B46">
                          <w:pPr>
                            <w:jc w:val="center"/>
                            <w:rPr>
                              <w:rFonts w:ascii="Calibri" w:hAnsi="Calibri" w:cs="Calibri"/>
                              <w:color w:val="000000"/>
                              <w:sz w:val="24"/>
                            </w:rPr>
                          </w:pPr>
                          <w:r w:rsidRPr="00525B46">
                            <w:rPr>
                              <w:rFonts w:ascii="Calibri" w:hAnsi="Calibri" w:cs="Calibri"/>
                              <w:color w:val="000000"/>
                              <w:sz w:val="24"/>
                            </w:rPr>
                            <w:t>OFFICIAL</w:t>
                          </w:r>
                        </w:p>
                      </w:txbxContent>
                    </v:textbox>
                    <w10:wrap anchorx="page" anchory="page"/>
                  </v:shape>
                </w:pict>
              </mc:Fallback>
            </mc:AlternateContent>
          </w:r>
          <w:r w:rsidR="00C46A59" w:rsidRPr="00D55628">
            <w:fldChar w:fldCharType="begin"/>
          </w:r>
          <w:r w:rsidR="00C46A59" w:rsidRPr="00D55628">
            <w:instrText xml:space="preserve"> PAGE   \* MERGEFORMAT </w:instrText>
          </w:r>
          <w:r w:rsidR="00C46A59" w:rsidRPr="00D55628">
            <w:fldChar w:fldCharType="separate"/>
          </w:r>
          <w:r w:rsidR="00C46A59">
            <w:rPr>
              <w:noProof/>
            </w:rPr>
            <w:t>2</w:t>
          </w:r>
          <w:r w:rsidR="00C46A59" w:rsidRPr="00D55628">
            <w:fldChar w:fldCharType="end"/>
          </w:r>
        </w:p>
      </w:tc>
      <w:tc>
        <w:tcPr>
          <w:tcW w:w="9071" w:type="dxa"/>
        </w:tcPr>
        <w:p w14:paraId="18E00764" w14:textId="77777777" w:rsidR="00C46A59" w:rsidRPr="00D55628" w:rsidRDefault="00C46A59" w:rsidP="00DE028D">
          <w:pPr>
            <w:pStyle w:val="FooterEven"/>
          </w:pPr>
        </w:p>
      </w:tc>
    </w:tr>
  </w:tbl>
  <w:p w14:paraId="362DC38B" w14:textId="77777777" w:rsidR="00C46A59" w:rsidRDefault="00C46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46A59" w14:paraId="6A7B9676" w14:textId="77777777" w:rsidTr="002966FE">
      <w:trPr>
        <w:trHeight w:val="397"/>
      </w:trPr>
      <w:tc>
        <w:tcPr>
          <w:tcW w:w="9071" w:type="dxa"/>
        </w:tcPr>
        <w:p w14:paraId="452ED000" w14:textId="35396AA9" w:rsidR="00C46A59" w:rsidRPr="00CB1FB7" w:rsidRDefault="00525B46" w:rsidP="00DE028D">
          <w:pPr>
            <w:pStyle w:val="FooterOdd"/>
            <w:rPr>
              <w:b/>
            </w:rPr>
          </w:pPr>
          <w:r>
            <w:rPr>
              <w:b/>
              <w:noProof/>
            </w:rPr>
            <mc:AlternateContent>
              <mc:Choice Requires="wps">
                <w:drawing>
                  <wp:anchor distT="0" distB="0" distL="114300" distR="114300" simplePos="1" relativeHeight="251658275" behindDoc="0" locked="0" layoutInCell="0" allowOverlap="1" wp14:anchorId="76BD96A7" wp14:editId="447B9B9C">
                    <wp:simplePos x="0" y="7096998"/>
                    <wp:positionH relativeFrom="page">
                      <wp:posOffset>0</wp:posOffset>
                    </wp:positionH>
                    <wp:positionV relativeFrom="page">
                      <wp:posOffset>7096760</wp:posOffset>
                    </wp:positionV>
                    <wp:extent cx="10693400" cy="273050"/>
                    <wp:effectExtent l="0" t="0" r="0" b="12700"/>
                    <wp:wrapNone/>
                    <wp:docPr id="2" name="MSIPCMce574f4887fa90344a1cc5cf" descr="{&quot;HashCode&quot;:-1264680268,&quot;Height&quot;:595.0,&quot;Width&quot;:84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3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4A085D" w14:textId="14C03AEB" w:rsidR="00525B46" w:rsidRPr="00525B46" w:rsidRDefault="00525B46" w:rsidP="00525B46">
                                <w:pPr>
                                  <w:jc w:val="center"/>
                                  <w:rPr>
                                    <w:rFonts w:ascii="Calibri" w:hAnsi="Calibri" w:cs="Calibri"/>
                                    <w:color w:val="000000"/>
                                    <w:sz w:val="24"/>
                                  </w:rPr>
                                </w:pPr>
                                <w:r w:rsidRPr="00525B4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76BD96A7" id="_x0000_t202" coordsize="21600,21600" o:spt="202" path="m,l,21600r21600,l21600,xe">
                    <v:stroke joinstyle="miter"/>
                    <v:path gradientshapeok="t" o:connecttype="rect"/>
                  </v:shapetype>
                  <v:shape id="MSIPCMce574f4887fa90344a1cc5cf" o:spid="_x0000_s1027" type="#_x0000_t202" alt="{&quot;HashCode&quot;:-1264680268,&quot;Height&quot;:595.0,&quot;Width&quot;:842.0,&quot;Placement&quot;:&quot;Footer&quot;,&quot;Index&quot;:&quot;Primary&quot;,&quot;Section&quot;:1,&quot;Top&quot;:0.0,&quot;Left&quot;:0.0}" style="position:absolute;left:0;text-align:left;margin-left:0;margin-top:558.8pt;width:842pt;height:21.5pt;z-index:2517063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" o:allowincell="f" filled="f" stroked="f" strokeweight=".5pt">
                    <v:fill o:detectmouseclick="t"/>
                    <v:textbox inset=",0,,0">
                      <w:txbxContent>
                        <w:p w14:paraId="3F4A085D" w14:textId="14C03AEB" w:rsidR="00525B46" w:rsidRPr="00525B46" w:rsidRDefault="00525B46" w:rsidP="00525B46">
                          <w:pPr>
                            <w:jc w:val="center"/>
                            <w:rPr>
                              <w:rFonts w:ascii="Calibri" w:hAnsi="Calibri" w:cs="Calibri"/>
                              <w:color w:val="000000"/>
                              <w:sz w:val="24"/>
                            </w:rPr>
                          </w:pPr>
                          <w:r w:rsidRPr="00525B46">
                            <w:rPr>
                              <w:rFonts w:ascii="Calibri" w:hAnsi="Calibri" w:cs="Calibri"/>
                              <w:color w:val="000000"/>
                              <w:sz w:val="24"/>
                            </w:rPr>
                            <w:t>OFFICIAL</w:t>
                          </w:r>
                        </w:p>
                      </w:txbxContent>
                    </v:textbox>
                    <w10:wrap anchorx="page" anchory="page"/>
                  </v:shape>
                </w:pict>
              </mc:Fallback>
            </mc:AlternateContent>
          </w:r>
        </w:p>
      </w:tc>
      <w:tc>
        <w:tcPr>
          <w:tcW w:w="340" w:type="dxa"/>
        </w:tcPr>
        <w:p w14:paraId="2FEE77ED" w14:textId="77777777" w:rsidR="00C46A59" w:rsidRPr="00D55628" w:rsidRDefault="00C46A59"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22482521" w14:textId="77777777" w:rsidR="00C46A59" w:rsidRDefault="00C46A59" w:rsidP="00DE028D">
    <w:pPr>
      <w:pStyle w:val="Footer"/>
    </w:pPr>
  </w:p>
  <w:p w14:paraId="44C52AEB" w14:textId="77777777" w:rsidR="00C46A59" w:rsidRPr="00DE028D" w:rsidRDefault="00C46A59"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B3296" w14:textId="702BF34B" w:rsidR="00C46A59" w:rsidRDefault="00525B46" w:rsidP="00BF3066">
    <w:pPr>
      <w:pStyle w:val="Footer"/>
      <w:spacing w:before="1600"/>
    </w:pPr>
    <w:r>
      <w:rPr>
        <w:noProof/>
      </w:rPr>
      <mc:AlternateContent>
        <mc:Choice Requires="wps">
          <w:drawing>
            <wp:anchor distT="0" distB="0" distL="114300" distR="114300" simplePos="0" relativeHeight="251658276" behindDoc="0" locked="0" layoutInCell="0" allowOverlap="1" wp14:anchorId="61216C78" wp14:editId="31EE9120">
              <wp:simplePos x="0" y="0"/>
              <wp:positionH relativeFrom="page">
                <wp:posOffset>0</wp:posOffset>
              </wp:positionH>
              <wp:positionV relativeFrom="page">
                <wp:posOffset>7096760</wp:posOffset>
              </wp:positionV>
              <wp:extent cx="10693400" cy="273050"/>
              <wp:effectExtent l="0" t="0" r="0" b="12700"/>
              <wp:wrapNone/>
              <wp:docPr id="3" name="MSIPCM04ff48bba9e28a103e87905c" descr="{&quot;HashCode&quot;:-1264680268,&quot;Height&quot;:595.0,&quot;Width&quot;:84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3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8C2099" w14:textId="7F50CF7C" w:rsidR="00525B46" w:rsidRPr="00525B46" w:rsidRDefault="00525B46" w:rsidP="00525B46">
                          <w:pPr>
                            <w:jc w:val="center"/>
                            <w:rPr>
                              <w:rFonts w:ascii="Calibri" w:hAnsi="Calibri" w:cs="Calibri"/>
                              <w:color w:val="000000"/>
                              <w:sz w:val="24"/>
                            </w:rPr>
                          </w:pPr>
                          <w:r w:rsidRPr="00525B4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61216C78" id="_x0000_t202" coordsize="21600,21600" o:spt="202" path="m,l,21600r21600,l21600,xe">
              <v:stroke joinstyle="miter"/>
              <v:path gradientshapeok="t" o:connecttype="rect"/>
            </v:shapetype>
            <v:shape id="MSIPCM04ff48bba9e28a103e87905c" o:spid="_x0000_s1028" type="#_x0000_t202" alt="{&quot;HashCode&quot;:-1264680268,&quot;Height&quot;:595.0,&quot;Width&quot;:842.0,&quot;Placement&quot;:&quot;Footer&quot;,&quot;Index&quot;:&quot;FirstPage&quot;,&quot;Section&quot;:1,&quot;Top&quot;:0.0,&quot;Left&quot;:0.0}" style="position:absolute;margin-left:0;margin-top:558.8pt;width:842pt;height:21.5pt;z-index:2517073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" o:allowincell="f" filled="f" stroked="f" strokeweight=".5pt">
              <v:fill o:detectmouseclick="t"/>
              <v:textbox inset=",0,,0">
                <w:txbxContent>
                  <w:p w14:paraId="758C2099" w14:textId="7F50CF7C" w:rsidR="00525B46" w:rsidRPr="00525B46" w:rsidRDefault="00525B46" w:rsidP="00525B46">
                    <w:pPr>
                      <w:jc w:val="center"/>
                      <w:rPr>
                        <w:rFonts w:ascii="Calibri" w:hAnsi="Calibri" w:cs="Calibri"/>
                        <w:color w:val="000000"/>
                        <w:sz w:val="24"/>
                      </w:rPr>
                    </w:pPr>
                    <w:r w:rsidRPr="00525B46">
                      <w:rPr>
                        <w:rFonts w:ascii="Calibri" w:hAnsi="Calibri" w:cs="Calibri"/>
                        <w:color w:val="000000"/>
                        <w:sz w:val="24"/>
                      </w:rPr>
                      <w:t>OFFICIAL</w:t>
                    </w:r>
                  </w:p>
                </w:txbxContent>
              </v:textbox>
              <w10:wrap anchorx="page" anchory="page"/>
            </v:shape>
          </w:pict>
        </mc:Fallback>
      </mc:AlternateContent>
    </w:r>
    <w:r w:rsidR="00C46A59">
      <w:rPr>
        <w:noProof/>
      </w:rPr>
      <w:drawing>
        <wp:anchor distT="0" distB="0" distL="114300" distR="114300" simplePos="0" relativeHeight="251658260" behindDoc="1" locked="1" layoutInCell="1" allowOverlap="1" wp14:anchorId="06BF095B" wp14:editId="69D6ABDE">
          <wp:simplePos x="0" y="0"/>
          <wp:positionH relativeFrom="page">
            <wp:align>right</wp:align>
          </wp:positionH>
          <wp:positionV relativeFrom="page">
            <wp:align>bottom</wp:align>
          </wp:positionV>
          <wp:extent cx="2403762" cy="1083600"/>
          <wp:effectExtent l="0" t="0" r="0" b="0"/>
          <wp:wrapNone/>
          <wp:docPr id="31"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LogoMono" hidden="1"/>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6A59">
      <w:rPr>
        <w:noProof/>
        <w:sz w:val="18"/>
      </w:rPr>
      <mc:AlternateContent>
        <mc:Choice Requires="wps">
          <w:drawing>
            <wp:anchor distT="0" distB="0" distL="114300" distR="114300" simplePos="0" relativeHeight="251658259" behindDoc="0" locked="1" layoutInCell="1" allowOverlap="1" wp14:anchorId="6B8C4C3F" wp14:editId="0055FC9C">
              <wp:simplePos x="0" y="0"/>
              <wp:positionH relativeFrom="page">
                <wp:align>left</wp:align>
              </wp:positionH>
              <wp:positionV relativeFrom="page">
                <wp:align>bottom</wp:align>
              </wp:positionV>
              <wp:extent cx="3848400" cy="720000"/>
              <wp:effectExtent l="0" t="0" r="0" b="0"/>
              <wp:wrapNone/>
              <wp:docPr id="28"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2B3DAD" w14:textId="77777777" w:rsidR="00C46A59" w:rsidRPr="009F69FA" w:rsidRDefault="00C46A59"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B8C4C3F" id="WebAddress" o:spid="_x0000_s1029" type="#_x0000_t202" style="position:absolute;margin-left:0;margin-top:0;width:303pt;height:56.7pt;z-index:251688960;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" filled="f" stroked="f" strokeweight=".5pt">
              <v:textbox inset="15mm">
                <w:txbxContent>
                  <w:p w14:paraId="622B3DAD" w14:textId="77777777" w:rsidR="00C46A59" w:rsidRPr="009F69FA" w:rsidRDefault="00C46A59" w:rsidP="00213C82">
                    <w:pPr>
                      <w:pStyle w:val="xWeb"/>
                    </w:pPr>
                    <w:r w:rsidRPr="009F69FA">
                      <w:t>de</w:t>
                    </w:r>
                    <w:r>
                      <w:t>lwp</w:t>
                    </w:r>
                    <w:r w:rsidRPr="009F69FA">
                      <w:t>.vic.gov.au</w:t>
                    </w:r>
                  </w:p>
                </w:txbxContent>
              </v:textbox>
              <w10:wrap anchorx="page" anchory="page"/>
              <w10:anchorlock/>
            </v:shape>
          </w:pict>
        </mc:Fallback>
      </mc:AlternateContent>
    </w:r>
    <w:r w:rsidR="00C46A59">
      <w:rPr>
        <w:noProof/>
        <w:sz w:val="18"/>
      </w:rPr>
      <w:drawing>
        <wp:anchor distT="0" distB="0" distL="114300" distR="114300" simplePos="0" relativeHeight="251658258" behindDoc="1" locked="1" layoutInCell="1" allowOverlap="1" wp14:anchorId="7DC8998D" wp14:editId="13B7AEDD">
          <wp:simplePos x="0" y="0"/>
          <wp:positionH relativeFrom="page">
            <wp:align>right</wp:align>
          </wp:positionH>
          <wp:positionV relativeFrom="page">
            <wp:align>bottom</wp:align>
          </wp:positionV>
          <wp:extent cx="2422800" cy="1083600"/>
          <wp:effectExtent l="0" t="0" r="0" b="0"/>
          <wp:wrapNone/>
          <wp:docPr id="32"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ogoColour"/>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DE028D" w14:paraId="42B154DB" w14:textId="77777777" w:rsidTr="002966FE">
      <w:trPr>
        <w:trHeight w:val="397"/>
      </w:trPr>
      <w:tc>
        <w:tcPr>
          <w:tcW w:w="340" w:type="dxa"/>
        </w:tcPr>
        <w:p w14:paraId="706C6138" w14:textId="79843C64" w:rsidR="00DE028D" w:rsidRPr="00D55628" w:rsidRDefault="00525B46" w:rsidP="00DE028D">
          <w:pPr>
            <w:pStyle w:val="FooterEvenPageNumber"/>
            <w:framePr w:wrap="auto" w:vAnchor="margin" w:hAnchor="text" w:yAlign="inline"/>
          </w:pPr>
          <w:r>
            <w:rPr>
              <w:noProof/>
            </w:rPr>
            <mc:AlternateContent>
              <mc:Choice Requires="wps">
                <w:drawing>
                  <wp:anchor distT="0" distB="0" distL="114300" distR="114300" simplePos="0" relativeHeight="251658280" behindDoc="0" locked="0" layoutInCell="0" allowOverlap="1" wp14:anchorId="610DCD2D" wp14:editId="52170E2C">
                    <wp:simplePos x="0" y="0"/>
                    <wp:positionH relativeFrom="page">
                      <wp:posOffset>0</wp:posOffset>
                    </wp:positionH>
                    <wp:positionV relativeFrom="page">
                      <wp:posOffset>7096760</wp:posOffset>
                    </wp:positionV>
                    <wp:extent cx="10693400" cy="273050"/>
                    <wp:effectExtent l="0" t="0" r="0" b="12700"/>
                    <wp:wrapNone/>
                    <wp:docPr id="10" name="MSIPCM417049bdb89565f1901938c0" descr="{&quot;HashCode&quot;:-1264680268,&quot;Height&quot;:595.0,&quot;Width&quot;:842.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10693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601BBA" w14:textId="212D9306" w:rsidR="00525B46" w:rsidRPr="00525B46" w:rsidRDefault="00525B46" w:rsidP="00525B46">
                                <w:pPr>
                                  <w:jc w:val="center"/>
                                  <w:rPr>
                                    <w:rFonts w:ascii="Calibri" w:hAnsi="Calibri" w:cs="Calibri"/>
                                    <w:color w:val="000000"/>
                                    <w:sz w:val="24"/>
                                  </w:rPr>
                                </w:pPr>
                                <w:r w:rsidRPr="00525B4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610DCD2D" id="_x0000_t202" coordsize="21600,21600" o:spt="202" path="m,l,21600r21600,l21600,xe">
                    <v:stroke joinstyle="miter"/>
                    <v:path gradientshapeok="t" o:connecttype="rect"/>
                  </v:shapetype>
                  <v:shape id="MSIPCM417049bdb89565f1901938c0" o:spid="_x0000_s1030" type="#_x0000_t202" alt="{&quot;HashCode&quot;:-1264680268,&quot;Height&quot;:595.0,&quot;Width&quot;:842.0,&quot;Placement&quot;:&quot;Footer&quot;,&quot;Index&quot;:&quot;OddAndEven&quot;,&quot;Section&quot;:2,&quot;Top&quot;:0.0,&quot;Left&quot;:0.0}" style="position:absolute;margin-left:0;margin-top:558.8pt;width:842pt;height:21.5pt;z-index:2517114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" o:allowincell="f" filled="f" stroked="f" strokeweight=".5pt">
                    <v:fill o:detectmouseclick="t"/>
                    <v:textbox inset=",0,,0">
                      <w:txbxContent>
                        <w:p w14:paraId="10601BBA" w14:textId="212D9306" w:rsidR="00525B46" w:rsidRPr="00525B46" w:rsidRDefault="00525B46" w:rsidP="00525B46">
                          <w:pPr>
                            <w:jc w:val="center"/>
                            <w:rPr>
                              <w:rFonts w:ascii="Calibri" w:hAnsi="Calibri" w:cs="Calibri"/>
                              <w:color w:val="000000"/>
                              <w:sz w:val="24"/>
                            </w:rPr>
                          </w:pPr>
                          <w:r w:rsidRPr="00525B46">
                            <w:rPr>
                              <w:rFonts w:ascii="Calibri" w:hAnsi="Calibri" w:cs="Calibri"/>
                              <w:color w:val="000000"/>
                              <w:sz w:val="24"/>
                            </w:rPr>
                            <w:t>OFFICIAL</w:t>
                          </w:r>
                        </w:p>
                      </w:txbxContent>
                    </v:textbox>
                    <w10:wrap anchorx="page" anchory="page"/>
                  </v:shape>
                </w:pict>
              </mc:Fallback>
            </mc:AlternateContent>
          </w:r>
          <w:r w:rsidR="00DE028D" w:rsidRPr="00D55628">
            <w:fldChar w:fldCharType="begin"/>
          </w:r>
          <w:r w:rsidR="00DE028D" w:rsidRPr="00D55628">
            <w:instrText xml:space="preserve"> PAGE   \* MERGEFORMAT </w:instrText>
          </w:r>
          <w:r w:rsidR="00DE028D" w:rsidRPr="00D55628">
            <w:fldChar w:fldCharType="separate"/>
          </w:r>
          <w:r w:rsidR="009C5CCF">
            <w:rPr>
              <w:noProof/>
            </w:rPr>
            <w:t>2</w:t>
          </w:r>
          <w:r w:rsidR="00DE028D" w:rsidRPr="00D55628">
            <w:fldChar w:fldCharType="end"/>
          </w:r>
        </w:p>
      </w:tc>
      <w:tc>
        <w:tcPr>
          <w:tcW w:w="9071" w:type="dxa"/>
        </w:tcPr>
        <w:p w14:paraId="08DA8873" w14:textId="77777777" w:rsidR="00DE028D" w:rsidRPr="00D55628" w:rsidRDefault="00DE028D" w:rsidP="00DE028D">
          <w:pPr>
            <w:pStyle w:val="FooterEven"/>
          </w:pPr>
        </w:p>
      </w:tc>
    </w:tr>
  </w:tbl>
  <w:p w14:paraId="28112E6D" w14:textId="77777777" w:rsidR="00DE028D" w:rsidRDefault="00DE028D">
    <w:pPr>
      <w:pStyle w:val="Footer"/>
    </w:pPr>
  </w:p>
  <w:p w14:paraId="362ECF69" w14:textId="77777777" w:rsidR="000674B2" w:rsidRDefault="000674B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DE028D" w14:paraId="043658A8" w14:textId="77777777" w:rsidTr="002966FE">
      <w:trPr>
        <w:trHeight w:val="397"/>
      </w:trPr>
      <w:tc>
        <w:tcPr>
          <w:tcW w:w="9071" w:type="dxa"/>
        </w:tcPr>
        <w:p w14:paraId="39BCC5F5" w14:textId="1DFE2E32" w:rsidR="00DE028D" w:rsidRPr="00CB1FB7" w:rsidRDefault="00525B46" w:rsidP="00DE028D">
          <w:pPr>
            <w:pStyle w:val="FooterOdd"/>
            <w:rPr>
              <w:b/>
            </w:rPr>
          </w:pPr>
          <w:r>
            <w:rPr>
              <w:b/>
              <w:noProof/>
            </w:rPr>
            <mc:AlternateContent>
              <mc:Choice Requires="wps">
                <w:drawing>
                  <wp:anchor distT="0" distB="0" distL="114300" distR="114300" simplePos="0" relativeHeight="251658278" behindDoc="0" locked="0" layoutInCell="0" allowOverlap="1" wp14:anchorId="3B3EFC2C" wp14:editId="06A13E6D">
                    <wp:simplePos x="0" y="0"/>
                    <wp:positionH relativeFrom="page">
                      <wp:posOffset>0</wp:posOffset>
                    </wp:positionH>
                    <wp:positionV relativeFrom="page">
                      <wp:posOffset>7096760</wp:posOffset>
                    </wp:positionV>
                    <wp:extent cx="10693400" cy="273050"/>
                    <wp:effectExtent l="0" t="0" r="0" b="12700"/>
                    <wp:wrapNone/>
                    <wp:docPr id="8" name="MSIPCMd8b9481585185227225de605" descr="{&quot;HashCode&quot;:-1264680268,&quot;Height&quot;:595.0,&quot;Width&quot;:842.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3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428710" w14:textId="7393B778" w:rsidR="00525B46" w:rsidRPr="00525B46" w:rsidRDefault="00525B46" w:rsidP="00525B46">
                                <w:pPr>
                                  <w:jc w:val="center"/>
                                  <w:rPr>
                                    <w:rFonts w:ascii="Calibri" w:hAnsi="Calibri" w:cs="Calibri"/>
                                    <w:color w:val="000000"/>
                                    <w:sz w:val="24"/>
                                  </w:rPr>
                                </w:pPr>
                                <w:r w:rsidRPr="00525B4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3B3EFC2C" id="_x0000_t202" coordsize="21600,21600" o:spt="202" path="m,l,21600r21600,l21600,xe">
                    <v:stroke joinstyle="miter"/>
                    <v:path gradientshapeok="t" o:connecttype="rect"/>
                  </v:shapetype>
                  <v:shape id="MSIPCMd8b9481585185227225de605" o:spid="_x0000_s1031" type="#_x0000_t202" alt="{&quot;HashCode&quot;:-1264680268,&quot;Height&quot;:595.0,&quot;Width&quot;:842.0,&quot;Placement&quot;:&quot;Footer&quot;,&quot;Index&quot;:&quot;Primary&quot;,&quot;Section&quot;:2,&quot;Top&quot;:0.0,&quot;Left&quot;:0.0}" style="position:absolute;left:0;text-align:left;margin-left:0;margin-top:558.8pt;width:842pt;height:21.5pt;z-index:2517094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" o:allowincell="f" filled="f" stroked="f" strokeweight=".5pt">
                    <v:fill o:detectmouseclick="t"/>
                    <v:textbox inset=",0,,0">
                      <w:txbxContent>
                        <w:p w14:paraId="7F428710" w14:textId="7393B778" w:rsidR="00525B46" w:rsidRPr="00525B46" w:rsidRDefault="00525B46" w:rsidP="00525B46">
                          <w:pPr>
                            <w:jc w:val="center"/>
                            <w:rPr>
                              <w:rFonts w:ascii="Calibri" w:hAnsi="Calibri" w:cs="Calibri"/>
                              <w:color w:val="000000"/>
                              <w:sz w:val="24"/>
                            </w:rPr>
                          </w:pPr>
                          <w:r w:rsidRPr="00525B46">
                            <w:rPr>
                              <w:rFonts w:ascii="Calibri" w:hAnsi="Calibri" w:cs="Calibri"/>
                              <w:color w:val="000000"/>
                              <w:sz w:val="24"/>
                            </w:rPr>
                            <w:t>OFFICIAL</w:t>
                          </w:r>
                        </w:p>
                      </w:txbxContent>
                    </v:textbox>
                    <w10:wrap anchorx="page" anchory="page"/>
                  </v:shape>
                </w:pict>
              </mc:Fallback>
            </mc:AlternateContent>
          </w:r>
        </w:p>
      </w:tc>
      <w:tc>
        <w:tcPr>
          <w:tcW w:w="340" w:type="dxa"/>
        </w:tcPr>
        <w:p w14:paraId="1A031B2D" w14:textId="77777777" w:rsidR="00DE028D" w:rsidRPr="00D55628" w:rsidRDefault="00DE028D" w:rsidP="00DE028D">
          <w:pPr>
            <w:pStyle w:val="FooterOddPageNumber"/>
          </w:pPr>
          <w:r w:rsidRPr="00D55628">
            <w:fldChar w:fldCharType="begin"/>
          </w:r>
          <w:r w:rsidRPr="00D55628">
            <w:instrText xml:space="preserve"> PAGE   \* MERGEFORMAT </w:instrText>
          </w:r>
          <w:r w:rsidRPr="00D55628">
            <w:fldChar w:fldCharType="separate"/>
          </w:r>
          <w:r w:rsidR="009D7820">
            <w:rPr>
              <w:noProof/>
            </w:rPr>
            <w:t>3</w:t>
          </w:r>
          <w:r w:rsidRPr="00D55628">
            <w:fldChar w:fldCharType="end"/>
          </w:r>
        </w:p>
      </w:tc>
    </w:tr>
  </w:tbl>
  <w:p w14:paraId="33F3C733" w14:textId="77777777" w:rsidR="00DE028D" w:rsidRDefault="00DE028D" w:rsidP="00DE028D">
    <w:pPr>
      <w:pStyle w:val="Footer"/>
    </w:pPr>
  </w:p>
  <w:p w14:paraId="2A2DC2C6" w14:textId="77777777" w:rsidR="00DE028D" w:rsidRPr="00DE028D" w:rsidRDefault="00DE028D" w:rsidP="00DE028D">
    <w:pPr>
      <w:pStyle w:val="Footer"/>
    </w:pPr>
  </w:p>
  <w:p w14:paraId="3895F834" w14:textId="77777777" w:rsidR="000674B2" w:rsidRDefault="000674B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D6942" w14:textId="102DD4E7" w:rsidR="00E962AA" w:rsidRDefault="00525B46" w:rsidP="00BF3066">
    <w:pPr>
      <w:pStyle w:val="Footer"/>
      <w:spacing w:before="1600"/>
    </w:pPr>
    <w:r>
      <w:rPr>
        <w:noProof/>
      </w:rPr>
      <mc:AlternateContent>
        <mc:Choice Requires="wps">
          <w:drawing>
            <wp:anchor distT="0" distB="0" distL="114300" distR="114300" simplePos="1" relativeHeight="251658279" behindDoc="0" locked="0" layoutInCell="0" allowOverlap="1" wp14:anchorId="494D6B46" wp14:editId="0910BFCE">
              <wp:simplePos x="0" y="7096998"/>
              <wp:positionH relativeFrom="page">
                <wp:posOffset>0</wp:posOffset>
              </wp:positionH>
              <wp:positionV relativeFrom="page">
                <wp:posOffset>7096760</wp:posOffset>
              </wp:positionV>
              <wp:extent cx="10693400" cy="273050"/>
              <wp:effectExtent l="0" t="0" r="0" b="12700"/>
              <wp:wrapNone/>
              <wp:docPr id="9" name="MSIPCM3aeb472b8e21f0a80a4cf0d0" descr="{&quot;HashCode&quot;:-1264680268,&quot;Height&quot;:595.0,&quot;Width&quot;:842.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3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27F40D" w14:textId="5D36B872" w:rsidR="00525B46" w:rsidRPr="00525B46" w:rsidRDefault="00525B46" w:rsidP="00525B46">
                          <w:pPr>
                            <w:jc w:val="center"/>
                            <w:rPr>
                              <w:rFonts w:ascii="Calibri" w:hAnsi="Calibri" w:cs="Calibri"/>
                              <w:color w:val="000000"/>
                              <w:sz w:val="24"/>
                            </w:rPr>
                          </w:pPr>
                          <w:r w:rsidRPr="00525B4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494D6B46" id="_x0000_t202" coordsize="21600,21600" o:spt="202" path="m,l,21600r21600,l21600,xe">
              <v:stroke joinstyle="miter"/>
              <v:path gradientshapeok="t" o:connecttype="rect"/>
            </v:shapetype>
            <v:shape id="MSIPCM3aeb472b8e21f0a80a4cf0d0" o:spid="_x0000_s1032" type="#_x0000_t202" alt="{&quot;HashCode&quot;:-1264680268,&quot;Height&quot;:595.0,&quot;Width&quot;:842.0,&quot;Placement&quot;:&quot;Footer&quot;,&quot;Index&quot;:&quot;FirstPage&quot;,&quot;Section&quot;:2,&quot;Top&quot;:0.0,&quot;Left&quot;:0.0}" style="position:absolute;margin-left:0;margin-top:558.8pt;width:842pt;height:21.5pt;z-index:2517104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" o:allowincell="f" filled="f" stroked="f" strokeweight=".5pt">
              <v:fill o:detectmouseclick="t"/>
              <v:textbox inset=",0,,0">
                <w:txbxContent>
                  <w:p w14:paraId="4B27F40D" w14:textId="5D36B872" w:rsidR="00525B46" w:rsidRPr="00525B46" w:rsidRDefault="00525B46" w:rsidP="00525B46">
                    <w:pPr>
                      <w:jc w:val="center"/>
                      <w:rPr>
                        <w:rFonts w:ascii="Calibri" w:hAnsi="Calibri" w:cs="Calibri"/>
                        <w:color w:val="000000"/>
                        <w:sz w:val="24"/>
                      </w:rPr>
                    </w:pPr>
                    <w:r w:rsidRPr="00525B46">
                      <w:rPr>
                        <w:rFonts w:ascii="Calibri" w:hAnsi="Calibri" w:cs="Calibri"/>
                        <w:color w:val="000000"/>
                        <w:sz w:val="24"/>
                      </w:rPr>
                      <w:t>OFFICIAL</w:t>
                    </w:r>
                  </w:p>
                </w:txbxContent>
              </v:textbox>
              <w10:wrap anchorx="page" anchory="page"/>
            </v:shape>
          </w:pict>
        </mc:Fallback>
      </mc:AlternateContent>
    </w:r>
    <w:r w:rsidR="001044F8">
      <w:rPr>
        <w:noProof/>
      </w:rPr>
      <w:drawing>
        <wp:anchor distT="0" distB="0" distL="114300" distR="114300" simplePos="0" relativeHeight="251658252" behindDoc="1" locked="1" layoutInCell="1" allowOverlap="1" wp14:anchorId="15966D2A" wp14:editId="46E69FAD">
          <wp:simplePos x="0" y="0"/>
          <wp:positionH relativeFrom="page">
            <wp:posOffset>-36195</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E962AA">
      <w:rPr>
        <w:noProof/>
      </w:rPr>
      <w:drawing>
        <wp:anchor distT="0" distB="0" distL="114300" distR="114300" simplePos="0" relativeHeight="251658247" behindDoc="1" locked="1" layoutInCell="1" allowOverlap="1" wp14:anchorId="18888B43" wp14:editId="495353E5">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62AA">
      <w:rPr>
        <w:noProof/>
        <w:sz w:val="18"/>
      </w:rPr>
      <mc:AlternateContent>
        <mc:Choice Requires="wps">
          <w:drawing>
            <wp:anchor distT="0" distB="0" distL="114300" distR="114300" simplePos="0" relativeHeight="251658246" behindDoc="0" locked="1" layoutInCell="1" allowOverlap="1" wp14:anchorId="1CC647C5" wp14:editId="7DBC004B">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E4B5DE" w14:textId="77777777"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CC647C5" id="_x0000_s1033" type="#_x0000_t202" style="position:absolute;margin-left:0;margin-top:0;width:303pt;height:56.7pt;z-index:251666432;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" filled="f" stroked="f" strokeweight=".5pt">
              <v:textbox inset="15mm">
                <w:txbxContent>
                  <w:p w14:paraId="3DE4B5DE" w14:textId="77777777"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sidR="00E962AA">
      <w:rPr>
        <w:noProof/>
        <w:sz w:val="18"/>
      </w:rPr>
      <w:drawing>
        <wp:anchor distT="0" distB="0" distL="114300" distR="114300" simplePos="0" relativeHeight="251658245" behindDoc="1" locked="1" layoutInCell="1" allowOverlap="1" wp14:anchorId="30643223" wp14:editId="0EE429FB">
          <wp:simplePos x="0" y="0"/>
          <wp:positionH relativeFrom="page">
            <wp:align>right</wp:align>
          </wp:positionH>
          <wp:positionV relativeFrom="page">
            <wp:align>bottom</wp:align>
          </wp:positionV>
          <wp:extent cx="2422799"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7C80E" w14:textId="77777777" w:rsidR="00F6378D" w:rsidRPr="008F5280" w:rsidRDefault="00F6378D" w:rsidP="008F5280">
      <w:pPr>
        <w:pStyle w:val="FootnoteSeparator"/>
      </w:pPr>
    </w:p>
    <w:p w14:paraId="3252AD22" w14:textId="77777777" w:rsidR="00F6378D" w:rsidRDefault="00F6378D"/>
  </w:footnote>
  <w:footnote w:type="continuationSeparator" w:id="0">
    <w:p w14:paraId="39BAAD63" w14:textId="77777777" w:rsidR="00F6378D" w:rsidRDefault="00F6378D" w:rsidP="008F5280">
      <w:pPr>
        <w:pStyle w:val="FootnoteSeparator"/>
      </w:pPr>
    </w:p>
    <w:p w14:paraId="499A8B80" w14:textId="77777777" w:rsidR="00F6378D" w:rsidRDefault="00F6378D"/>
    <w:p w14:paraId="48E693DA" w14:textId="77777777" w:rsidR="00F6378D" w:rsidRDefault="00F6378D"/>
  </w:footnote>
  <w:footnote w:type="continuationNotice" w:id="1">
    <w:p w14:paraId="61981EEC" w14:textId="77777777" w:rsidR="00F6378D" w:rsidRDefault="00F6378D" w:rsidP="00D55628"/>
    <w:p w14:paraId="23E72A2A" w14:textId="77777777" w:rsidR="00F6378D" w:rsidRDefault="00F6378D"/>
    <w:p w14:paraId="76494C58" w14:textId="77777777" w:rsidR="00F6378D" w:rsidRDefault="00F637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46A59" w:rsidRPr="00F579ED" w14:paraId="3A53ABF7" w14:textId="77777777" w:rsidTr="002966FE">
      <w:trPr>
        <w:trHeight w:hRule="exact" w:val="1418"/>
      </w:trPr>
      <w:tc>
        <w:tcPr>
          <w:tcW w:w="7761" w:type="dxa"/>
          <w:vAlign w:val="center"/>
        </w:tcPr>
        <w:p w14:paraId="13BC4FF2" w14:textId="169250DE" w:rsidR="00C46A59" w:rsidRPr="00F579ED" w:rsidRDefault="00C46A59" w:rsidP="00DE028D">
          <w:pPr>
            <w:pStyle w:val="Header"/>
          </w:pPr>
          <w:r>
            <w:rPr>
              <w:noProof/>
              <w:lang w:val="en-US"/>
            </w:rPr>
            <w:fldChar w:fldCharType="begin"/>
          </w:r>
          <w:r>
            <w:rPr>
              <w:noProof/>
              <w:lang w:val="en-US"/>
            </w:rPr>
            <w:instrText xml:space="preserve"> STYLEREF  Title  \* MERGEFORMAT </w:instrText>
          </w:r>
          <w:r>
            <w:rPr>
              <w:noProof/>
              <w:lang w:val="en-US"/>
            </w:rPr>
            <w:fldChar w:fldCharType="separate"/>
          </w:r>
          <w:r w:rsidR="006C1FC5">
            <w:rPr>
              <w:noProof/>
              <w:lang w:val="en-US"/>
            </w:rPr>
            <w:t>Amendment</w:t>
          </w:r>
          <w:r w:rsidR="006C1FC5" w:rsidRPr="006C1FC5">
            <w:rPr>
              <w:noProof/>
            </w:rPr>
            <w:t xml:space="preserve"> VC197 – Summary of changes to the Yarra River Planning Controls</w:t>
          </w:r>
          <w:r>
            <w:rPr>
              <w:noProof/>
            </w:rPr>
            <w:fldChar w:fldCharType="end"/>
          </w:r>
        </w:p>
      </w:tc>
    </w:tr>
  </w:tbl>
  <w:p w14:paraId="36F8ED49" w14:textId="77777777" w:rsidR="00C46A59" w:rsidRDefault="00C46A59" w:rsidP="00DE028D">
    <w:pPr>
      <w:pStyle w:val="Header"/>
    </w:pPr>
    <w:r>
      <w:rPr>
        <w:noProof/>
      </w:rPr>
      <mc:AlternateContent>
        <mc:Choice Requires="wps">
          <w:drawing>
            <wp:anchor distT="0" distB="0" distL="114300" distR="114300" simplePos="0" relativeHeight="251658269" behindDoc="0" locked="1" layoutInCell="1" allowOverlap="1" wp14:anchorId="1A7CBA56" wp14:editId="3E052DBD">
              <wp:simplePos x="0" y="0"/>
              <wp:positionH relativeFrom="page">
                <wp:align>right</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DFFAD43" id="Rectangle 18" o:spid="_x0000_s1026" style="position:absolute;margin-left:-29.95pt;margin-top:0;width:21.25pt;height:96.4pt;z-index:25169920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cdjA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fWZXHYwCAACG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58264" behindDoc="1" locked="0" layoutInCell="1" allowOverlap="1" wp14:anchorId="67B883D9" wp14:editId="2CA71405">
              <wp:simplePos x="0" y="0"/>
              <wp:positionH relativeFrom="page">
                <wp:posOffset>720090</wp:posOffset>
              </wp:positionH>
              <wp:positionV relativeFrom="page">
                <wp:posOffset>288290</wp:posOffset>
              </wp:positionV>
              <wp:extent cx="864000" cy="900000"/>
              <wp:effectExtent l="0" t="0" r="0" b="0"/>
              <wp:wrapNone/>
              <wp:docPr id="14"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6DA1A13" id="TriangleRight" o:spid="_x0000_s1026" style="position:absolute;margin-left:56.7pt;margin-top:22.7pt;width:68.05pt;height:70.8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63" behindDoc="1" locked="0" layoutInCell="1" allowOverlap="1" wp14:anchorId="20B7C4C8" wp14:editId="4504F2A4">
              <wp:simplePos x="0" y="0"/>
              <wp:positionH relativeFrom="page">
                <wp:posOffset>288290</wp:posOffset>
              </wp:positionH>
              <wp:positionV relativeFrom="page">
                <wp:posOffset>288290</wp:posOffset>
              </wp:positionV>
              <wp:extent cx="864000" cy="900000"/>
              <wp:effectExtent l="0" t="0" r="0" b="0"/>
              <wp:wrapNone/>
              <wp:docPr id="15"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A1190CA" id="TriangleLeft" o:spid="_x0000_s1026" style="position:absolute;margin-left:22.7pt;margin-top:22.7pt;width:68.05pt;height:70.8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&#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CB/x9zAIAAMcGAAAOAAAAAAAAAAAAAAAAAC4CAABkcnMvZTJvRG9jLnht&#10;bFBLAQItABQABgAIAAAAIQDcEL5X3wAAAAkBAAAPAAAAAAAAAAAAAAAAACYFAABkcnMvZG93bnJl&#10;di54bWxQSwUGAAAAAAQABADzAAAAMgYAAAAA&#10;" path="m,l665,1419,1334,,,xe" fillcolor="#642667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62" behindDoc="1" locked="0" layoutInCell="1" allowOverlap="1" wp14:anchorId="69DD4A14" wp14:editId="696FCC90">
              <wp:simplePos x="0" y="0"/>
              <wp:positionH relativeFrom="page">
                <wp:posOffset>288290</wp:posOffset>
              </wp:positionH>
              <wp:positionV relativeFrom="page">
                <wp:posOffset>288290</wp:posOffset>
              </wp:positionV>
              <wp:extent cx="14580000" cy="900000"/>
              <wp:effectExtent l="0" t="0" r="0" b="0"/>
              <wp:wrapNone/>
              <wp:docPr id="16"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92B22EE" id="Rectangle" o:spid="_x0000_s1026" style="position:absolute;margin-left:22.7pt;margin-top:22.7pt;width:1148.05pt;height:70.8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I0y85f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06B3D919" w14:textId="77777777" w:rsidR="00C46A59" w:rsidRPr="00DE028D" w:rsidRDefault="00C46A59"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46A59" w:rsidRPr="00975ED3" w14:paraId="724DA09E" w14:textId="77777777" w:rsidTr="002966FE">
      <w:trPr>
        <w:trHeight w:hRule="exact" w:val="1418"/>
      </w:trPr>
      <w:tc>
        <w:tcPr>
          <w:tcW w:w="7761" w:type="dxa"/>
          <w:vAlign w:val="center"/>
        </w:tcPr>
        <w:p w14:paraId="51E25116" w14:textId="77777777" w:rsidR="00C46A59" w:rsidRPr="00975ED3" w:rsidRDefault="00C46A59" w:rsidP="00DE028D">
          <w:pPr>
            <w:pStyle w:val="Header"/>
          </w:pPr>
          <w:r>
            <w:rPr>
              <w:noProof/>
            </w:rPr>
            <w:fldChar w:fldCharType="begin"/>
          </w:r>
          <w:r>
            <w:rPr>
              <w:noProof/>
            </w:rPr>
            <w:instrText xml:space="preserve"> STYLEREF  Title  \* MERGEFORMAT </w:instrText>
          </w:r>
          <w:r>
            <w:rPr>
              <w:noProof/>
            </w:rPr>
            <w:fldChar w:fldCharType="separate"/>
          </w:r>
          <w:r w:rsidR="004E2C14">
            <w:rPr>
              <w:noProof/>
            </w:rPr>
            <w:t>Main heading here over two lines (use shift+enter for a forced line break)</w:t>
          </w:r>
          <w:r>
            <w:rPr>
              <w:noProof/>
            </w:rPr>
            <w:fldChar w:fldCharType="end"/>
          </w:r>
        </w:p>
      </w:tc>
    </w:tr>
  </w:tbl>
  <w:p w14:paraId="2717AF42" w14:textId="77777777" w:rsidR="00C46A59" w:rsidRDefault="00C46A59" w:rsidP="00DE028D">
    <w:pPr>
      <w:pStyle w:val="Header"/>
    </w:pPr>
    <w:r>
      <w:rPr>
        <w:noProof/>
      </w:rPr>
      <mc:AlternateContent>
        <mc:Choice Requires="wps">
          <w:drawing>
            <wp:anchor distT="0" distB="0" distL="114300" distR="114300" simplePos="0" relativeHeight="251658270" behindDoc="0" locked="1" layoutInCell="1" allowOverlap="1" wp14:anchorId="01078E5A" wp14:editId="19ECC49A">
              <wp:simplePos x="0" y="0"/>
              <wp:positionH relativeFrom="page">
                <wp:align>right</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40F8B0D" id="Rectangle 17" o:spid="_x0000_s1026" style="position:absolute;margin-left:-29.95pt;margin-top:0;width:21.25pt;height:96.4pt;z-index:25170022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58267" behindDoc="1" locked="0" layoutInCell="1" allowOverlap="1" wp14:anchorId="2B3EFA60" wp14:editId="2A17FD38">
              <wp:simplePos x="0" y="0"/>
              <wp:positionH relativeFrom="page">
                <wp:posOffset>720090</wp:posOffset>
              </wp:positionH>
              <wp:positionV relativeFrom="page">
                <wp:posOffset>288290</wp:posOffset>
              </wp:positionV>
              <wp:extent cx="864000" cy="900000"/>
              <wp:effectExtent l="0" t="0" r="0" b="0"/>
              <wp:wrapNone/>
              <wp:docPr id="19"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8086DDA" id="TriangleRight" o:spid="_x0000_s1026" style="position:absolute;margin-left:56.7pt;margin-top:22.7pt;width:68.05pt;height:70.8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MfmT+s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66" behindDoc="1" locked="0" layoutInCell="1" allowOverlap="1" wp14:anchorId="755A2259" wp14:editId="1DE4A017">
              <wp:simplePos x="0" y="0"/>
              <wp:positionH relativeFrom="page">
                <wp:posOffset>288290</wp:posOffset>
              </wp:positionH>
              <wp:positionV relativeFrom="page">
                <wp:posOffset>288290</wp:posOffset>
              </wp:positionV>
              <wp:extent cx="864000" cy="900000"/>
              <wp:effectExtent l="0" t="0" r="0" b="0"/>
              <wp:wrapNone/>
              <wp:docPr id="20"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D9BBF87" id="TriangleLeft" o:spid="_x0000_s1026" style="position:absolute;margin-left:22.7pt;margin-top:22.7pt;width:68.05pt;height:70.8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C+PlHDzAIAAMcGAAAOAAAAAAAAAAAAAAAAAC4CAABkcnMvZTJvRG9jLnht&#10;bFBLAQItABQABgAIAAAAIQDcEL5X3wAAAAkBAAAPAAAAAAAAAAAAAAAAACYFAABkcnMvZG93bnJl&#10;di54bWxQSwUGAAAAAAQABADzAAAAMgYAAAAA&#10;" path="m,l665,1419,1334,,,xe" fillcolor="#642667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65" behindDoc="1" locked="0" layoutInCell="1" allowOverlap="1" wp14:anchorId="66DE55DD" wp14:editId="7A90F25F">
              <wp:simplePos x="0" y="0"/>
              <wp:positionH relativeFrom="page">
                <wp:posOffset>288290</wp:posOffset>
              </wp:positionH>
              <wp:positionV relativeFrom="page">
                <wp:posOffset>288290</wp:posOffset>
              </wp:positionV>
              <wp:extent cx="14580000" cy="900000"/>
              <wp:effectExtent l="0" t="0" r="0" b="0"/>
              <wp:wrapNone/>
              <wp:docPr id="21"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7829643" id="Rectangle" o:spid="_x0000_s1026" style="position:absolute;margin-left:22.7pt;margin-top:22.7pt;width:1148.05pt;height:70.8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OZXxfT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52AB3325" w14:textId="77777777" w:rsidR="00C46A59" w:rsidRPr="00DE028D" w:rsidRDefault="00C46A59"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8F776" w14:textId="77777777" w:rsidR="00C46A59" w:rsidRPr="00E97294" w:rsidRDefault="00C46A59" w:rsidP="00E97294">
    <w:pPr>
      <w:pStyle w:val="Header"/>
    </w:pPr>
    <w:r>
      <w:rPr>
        <w:noProof/>
      </w:rPr>
      <mc:AlternateContent>
        <mc:Choice Requires="wps">
          <w:drawing>
            <wp:anchor distT="0" distB="0" distL="114300" distR="114300" simplePos="0" relativeHeight="251658268" behindDoc="0" locked="1" layoutInCell="1" allowOverlap="1" wp14:anchorId="25AF26B7" wp14:editId="4B6D0C3A">
              <wp:simplePos x="0" y="0"/>
              <wp:positionH relativeFrom="page">
                <wp:align>right</wp:align>
              </wp:positionH>
              <wp:positionV relativeFrom="page">
                <wp:align>top</wp:align>
              </wp:positionV>
              <wp:extent cx="270000" cy="1224000"/>
              <wp:effectExtent l="0" t="0" r="0" b="0"/>
              <wp:wrapNone/>
              <wp:docPr id="22" name="Rectangle 22"/>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92FAA27" id="Rectangle 22" o:spid="_x0000_s1026" style="position:absolute;margin-left:-29.95pt;margin-top:0;width:21.25pt;height:96.4pt;z-index:25169817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PTgY86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Pr>
        <w:noProof/>
      </w:rPr>
      <w:drawing>
        <wp:anchor distT="0" distB="0" distL="114300" distR="114300" simplePos="0" relativeHeight="251658261" behindDoc="1" locked="0" layoutInCell="1" allowOverlap="1" wp14:anchorId="317AED6E" wp14:editId="53F35F10">
          <wp:simplePos x="0" y="0"/>
          <wp:positionH relativeFrom="page">
            <wp:posOffset>720090</wp:posOffset>
          </wp:positionH>
          <wp:positionV relativeFrom="page">
            <wp:posOffset>1188085</wp:posOffset>
          </wp:positionV>
          <wp:extent cx="860400" cy="896400"/>
          <wp:effectExtent l="0" t="0" r="0" b="0"/>
          <wp:wrapNone/>
          <wp:docPr id="29"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riangleBottomACIMono" hidden="1"/>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4" behindDoc="1" locked="0" layoutInCell="1" allowOverlap="1" wp14:anchorId="3A92DB4E" wp14:editId="2EF407CB">
          <wp:simplePos x="0" y="0"/>
          <wp:positionH relativeFrom="page">
            <wp:posOffset>720090</wp:posOffset>
          </wp:positionH>
          <wp:positionV relativeFrom="page">
            <wp:posOffset>1188085</wp:posOffset>
          </wp:positionV>
          <wp:extent cx="864000" cy="896400"/>
          <wp:effectExtent l="0" t="0" r="0" b="0"/>
          <wp:wrapNone/>
          <wp:docPr id="30"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TriangleBottomACI"/>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57" behindDoc="1" locked="0" layoutInCell="1" allowOverlap="1" wp14:anchorId="62DBC305" wp14:editId="23D59393">
              <wp:simplePos x="0" y="0"/>
              <wp:positionH relativeFrom="page">
                <wp:posOffset>720090</wp:posOffset>
              </wp:positionH>
              <wp:positionV relativeFrom="page">
                <wp:posOffset>288290</wp:posOffset>
              </wp:positionV>
              <wp:extent cx="864000" cy="900000"/>
              <wp:effectExtent l="0" t="0" r="0" b="0"/>
              <wp:wrapNone/>
              <wp:docPr id="23"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5F19078" id="TriangleRight" o:spid="_x0000_s1026" style="position:absolute;margin-left:56.7pt;margin-top:22.7pt;width:68.05pt;height:70.8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r+0Q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3" behindDoc="1" locked="0" layoutInCell="1" allowOverlap="1" wp14:anchorId="538B3270" wp14:editId="1E1AC9D5">
              <wp:simplePos x="0" y="0"/>
              <wp:positionH relativeFrom="page">
                <wp:posOffset>720090</wp:posOffset>
              </wp:positionH>
              <wp:positionV relativeFrom="page">
                <wp:posOffset>1188085</wp:posOffset>
              </wp:positionV>
              <wp:extent cx="864000" cy="900000"/>
              <wp:effectExtent l="0" t="0" r="0" b="0"/>
              <wp:wrapNone/>
              <wp:docPr id="24"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143F616" id="TriangleBottom" o:spid="_x0000_s1026" style="position:absolute;margin-left:56.7pt;margin-top:93.55pt;width:68.05pt;height:70.85pt;z-index:-2516336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" path="m,l669,1415,1339,,,xe" fillcolor="#c1a8c2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6" behindDoc="1" locked="0" layoutInCell="1" allowOverlap="1" wp14:anchorId="04BDAD60" wp14:editId="7BB0E9CD">
              <wp:simplePos x="0" y="0"/>
              <wp:positionH relativeFrom="page">
                <wp:posOffset>288290</wp:posOffset>
              </wp:positionH>
              <wp:positionV relativeFrom="page">
                <wp:posOffset>288290</wp:posOffset>
              </wp:positionV>
              <wp:extent cx="864000" cy="900000"/>
              <wp:effectExtent l="0" t="0" r="0" b="0"/>
              <wp:wrapNone/>
              <wp:docPr id="26"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109B576" id="TriangleLeft" o:spid="_x0000_s1026" style="position:absolute;margin-left:22.7pt;margin-top:22.7pt;width:68.05pt;height:70.8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" path="m,l665,1419,1334,,,xe" fillcolor="#642667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5" behindDoc="1" locked="0" layoutInCell="1" allowOverlap="1" wp14:anchorId="4D066AF0" wp14:editId="0A4150A2">
              <wp:simplePos x="0" y="0"/>
              <wp:positionH relativeFrom="page">
                <wp:posOffset>288290</wp:posOffset>
              </wp:positionH>
              <wp:positionV relativeFrom="page">
                <wp:posOffset>288290</wp:posOffset>
              </wp:positionV>
              <wp:extent cx="14580000" cy="900000"/>
              <wp:effectExtent l="0" t="0" r="0" b="0"/>
              <wp:wrapNone/>
              <wp:docPr id="27"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DA0CEEC" id="Rectangle" o:spid="_x0000_s1026" style="position:absolute;margin-left:22.7pt;margin-top:22.7pt;width:1148.05pt;height:70.8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MreCZ3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12614"/>
    </w:tblGrid>
    <w:tr w:rsidR="00066528" w14:paraId="26412654" w14:textId="77777777" w:rsidTr="00066528">
      <w:trPr>
        <w:trHeight w:val="1418"/>
      </w:trPr>
      <w:tc>
        <w:tcPr>
          <w:tcW w:w="12614" w:type="dxa"/>
          <w:vAlign w:val="center"/>
          <w:hideMark/>
        </w:tcPr>
        <w:p w14:paraId="4646D409" w14:textId="206AFF32" w:rsidR="00066528" w:rsidRDefault="00066528" w:rsidP="00066528">
          <w:pPr>
            <w:pStyle w:val="Header"/>
          </w:pPr>
          <w:r>
            <w:rPr>
              <w:noProof/>
            </w:rPr>
            <w:fldChar w:fldCharType="begin"/>
          </w:r>
          <w:r>
            <w:rPr>
              <w:noProof/>
            </w:rPr>
            <w:instrText xml:space="preserve"> STYLEREF  Title  \* MERGEFORMAT </w:instrText>
          </w:r>
          <w:r>
            <w:rPr>
              <w:noProof/>
            </w:rPr>
            <w:fldChar w:fldCharType="separate"/>
          </w:r>
          <w:r w:rsidR="00E52E85">
            <w:rPr>
              <w:noProof/>
            </w:rPr>
            <w:t>Amendment VC197 – Summary of changes to the Yarra River Planning Controls</w:t>
          </w:r>
          <w:r>
            <w:rPr>
              <w:noProof/>
            </w:rPr>
            <w:fldChar w:fldCharType="end"/>
          </w:r>
        </w:p>
      </w:tc>
    </w:tr>
  </w:tbl>
  <w:p w14:paraId="2C681BD0" w14:textId="77777777" w:rsidR="00066528" w:rsidRDefault="00066528" w:rsidP="00066528">
    <w:pPr>
      <w:pStyle w:val="Header"/>
    </w:pPr>
    <w:r>
      <w:rPr>
        <w:noProof/>
      </w:rPr>
      <mc:AlternateContent>
        <mc:Choice Requires="wps">
          <w:drawing>
            <wp:anchor distT="0" distB="0" distL="114300" distR="114300" simplePos="0" relativeHeight="251658274" behindDoc="0" locked="1" layoutInCell="1" allowOverlap="1" wp14:anchorId="08BC00B9" wp14:editId="2F7461AB">
              <wp:simplePos x="0" y="0"/>
              <wp:positionH relativeFrom="page">
                <wp:align>inside</wp:align>
              </wp:positionH>
              <wp:positionV relativeFrom="page">
                <wp:align>top</wp:align>
              </wp:positionV>
              <wp:extent cx="269875" cy="1224280"/>
              <wp:effectExtent l="0" t="0" r="0" b="0"/>
              <wp:wrapNone/>
              <wp:docPr id="42" name="Rectangle 42"/>
              <wp:cNvGraphicFramePr/>
              <a:graphic xmlns:a="http://schemas.openxmlformats.org/drawingml/2006/main">
                <a:graphicData uri="http://schemas.microsoft.com/office/word/2010/wordprocessingShape">
                  <wps:wsp>
                    <wps:cNvSpPr/>
                    <wps:spPr>
                      <a:xfrm>
                        <a:off x="0" y="0"/>
                        <a:ext cx="269875" cy="12236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E7F92B3" id="Rectangle 42" o:spid="_x0000_s1026" style="position:absolute;margin-left:0;margin-top:0;width:21.25pt;height:96.4pt;z-index:251705344;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" fillcolor="white [3212]" stroked="f" strokeweight="2pt">
              <w10:wrap anchorx="page" anchory="page"/>
              <w10:anchorlock/>
            </v:rect>
          </w:pict>
        </mc:Fallback>
      </mc:AlternateContent>
    </w:r>
    <w:r>
      <w:rPr>
        <w:noProof/>
      </w:rPr>
      <mc:AlternateContent>
        <mc:Choice Requires="wps">
          <w:drawing>
            <wp:anchor distT="0" distB="0" distL="114300" distR="114300" simplePos="0" relativeHeight="251658273" behindDoc="1" locked="0" layoutInCell="1" allowOverlap="1" wp14:anchorId="1ED3BA42" wp14:editId="3B9D4759">
              <wp:simplePos x="0" y="0"/>
              <wp:positionH relativeFrom="page">
                <wp:posOffset>720090</wp:posOffset>
              </wp:positionH>
              <wp:positionV relativeFrom="page">
                <wp:posOffset>288290</wp:posOffset>
              </wp:positionV>
              <wp:extent cx="864235" cy="899795"/>
              <wp:effectExtent l="0" t="0" r="0" b="0"/>
              <wp:wrapNone/>
              <wp:docPr id="41"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8B72C97" id="TriangleRight" o:spid="_x0000_s1026" style="position:absolute;margin-left:56.7pt;margin-top:22.7pt;width:68.05pt;height:70.85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" path="m1339,1419l669,,,1419r1339,xe" fillcolor="#201547 [3206]" stroked="f">
              <v:path arrowok="t" o:connecttype="custom" o:connectlocs="863600,899795;431478,0;0,899795;863600,899795" o:connectangles="0,0,0,0"/>
              <w10:wrap anchorx="page" anchory="page"/>
            </v:shape>
          </w:pict>
        </mc:Fallback>
      </mc:AlternateContent>
    </w:r>
    <w:r>
      <w:rPr>
        <w:noProof/>
      </w:rPr>
      <mc:AlternateContent>
        <mc:Choice Requires="wps">
          <w:drawing>
            <wp:anchor distT="0" distB="0" distL="114300" distR="114300" simplePos="0" relativeHeight="251658272" behindDoc="1" locked="0" layoutInCell="1" allowOverlap="1" wp14:anchorId="1BC70537" wp14:editId="3D1FC754">
              <wp:simplePos x="0" y="0"/>
              <wp:positionH relativeFrom="page">
                <wp:posOffset>288290</wp:posOffset>
              </wp:positionH>
              <wp:positionV relativeFrom="page">
                <wp:posOffset>288290</wp:posOffset>
              </wp:positionV>
              <wp:extent cx="864235" cy="899795"/>
              <wp:effectExtent l="0" t="0" r="0" b="0"/>
              <wp:wrapNone/>
              <wp:docPr id="40"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F4AEC6D" id="TriangleLeft" o:spid="_x0000_s1026" style="position:absolute;margin-left:22.7pt;margin-top:22.7pt;width:68.05pt;height:70.85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" path="m,l665,1419,1334,,,xe" fillcolor="#642667 [3202]" stroked="f">
              <v:path arrowok="t" o:connecttype="custom" o:connectlocs="0,0;430505,899795;863600,0;0,0" o:connectangles="0,0,0,0"/>
              <w10:wrap anchorx="page" anchory="page"/>
            </v:shape>
          </w:pict>
        </mc:Fallback>
      </mc:AlternateContent>
    </w:r>
    <w:r>
      <w:rPr>
        <w:noProof/>
      </w:rPr>
      <mc:AlternateContent>
        <mc:Choice Requires="wps">
          <w:drawing>
            <wp:anchor distT="0" distB="0" distL="114300" distR="114300" simplePos="0" relativeHeight="251658271" behindDoc="1" locked="0" layoutInCell="1" allowOverlap="1" wp14:anchorId="072EABC6" wp14:editId="24807EA2">
              <wp:simplePos x="0" y="0"/>
              <wp:positionH relativeFrom="page">
                <wp:posOffset>288290</wp:posOffset>
              </wp:positionH>
              <wp:positionV relativeFrom="page">
                <wp:posOffset>288290</wp:posOffset>
              </wp:positionV>
              <wp:extent cx="14580235" cy="899795"/>
              <wp:effectExtent l="0" t="0" r="0" b="0"/>
              <wp:wrapNone/>
              <wp:docPr id="37"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9600" cy="899795"/>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668BC1C" id="Rectangle" o:spid="_x0000_s1026" style="position:absolute;margin-left:22.7pt;margin-top:22.7pt;width:1148.05pt;height:70.8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" fillcolor="#00b2a9 [3204]" stroked="f">
              <w10:wrap anchorx="page" anchory="page"/>
            </v:rect>
          </w:pict>
        </mc:Fallback>
      </mc:AlternateContent>
    </w:r>
  </w:p>
  <w:p w14:paraId="30FFD65A" w14:textId="77777777" w:rsidR="00066528" w:rsidRDefault="00066528" w:rsidP="00066528">
    <w:pPr>
      <w:pStyle w:val="Header"/>
    </w:pPr>
  </w:p>
  <w:p w14:paraId="61CF01BA" w14:textId="77777777" w:rsidR="000674B2" w:rsidRPr="00066528" w:rsidRDefault="000674B2" w:rsidP="0006652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12333"/>
    </w:tblGrid>
    <w:tr w:rsidR="00DE028D" w:rsidRPr="00975ED3" w14:paraId="245C0762" w14:textId="77777777" w:rsidTr="00CC19AE">
      <w:trPr>
        <w:trHeight w:hRule="exact" w:val="1418"/>
      </w:trPr>
      <w:tc>
        <w:tcPr>
          <w:tcW w:w="12333" w:type="dxa"/>
          <w:vAlign w:val="center"/>
        </w:tcPr>
        <w:p w14:paraId="63C1FEE2" w14:textId="4213641D" w:rsidR="00DE028D" w:rsidRPr="00975ED3" w:rsidRDefault="0022247C" w:rsidP="00DE028D">
          <w:pPr>
            <w:pStyle w:val="Header"/>
          </w:pPr>
          <w:r>
            <w:rPr>
              <w:noProof/>
            </w:rPr>
            <w:fldChar w:fldCharType="begin"/>
          </w:r>
          <w:r>
            <w:rPr>
              <w:noProof/>
            </w:rPr>
            <w:instrText xml:space="preserve"> STYLEREF  Title  \* MERGEFORMAT </w:instrText>
          </w:r>
          <w:r>
            <w:rPr>
              <w:noProof/>
            </w:rPr>
            <w:fldChar w:fldCharType="separate"/>
          </w:r>
          <w:r w:rsidR="00E52E85">
            <w:rPr>
              <w:noProof/>
            </w:rPr>
            <w:t>Amendment VC197 – Summary of changes to the Yarra River Planning Controls</w:t>
          </w:r>
          <w:r>
            <w:rPr>
              <w:noProof/>
            </w:rPr>
            <w:fldChar w:fldCharType="end"/>
          </w:r>
        </w:p>
      </w:tc>
    </w:tr>
  </w:tbl>
  <w:p w14:paraId="799407ED" w14:textId="6FA157C2" w:rsidR="00DE028D" w:rsidRDefault="00CC19AE" w:rsidP="00DE028D">
    <w:pPr>
      <w:pStyle w:val="Header"/>
    </w:pPr>
    <w:r w:rsidRPr="00806AB6">
      <w:rPr>
        <w:noProof/>
      </w:rPr>
      <mc:AlternateContent>
        <mc:Choice Requires="wps">
          <w:drawing>
            <wp:anchor distT="0" distB="0" distL="114300" distR="114300" simplePos="0" relativeHeight="251658249" behindDoc="1" locked="0" layoutInCell="1" allowOverlap="1" wp14:anchorId="310B03E1" wp14:editId="42C28D90">
              <wp:simplePos x="0" y="0"/>
              <wp:positionH relativeFrom="page">
                <wp:posOffset>285750</wp:posOffset>
              </wp:positionH>
              <wp:positionV relativeFrom="page">
                <wp:posOffset>285750</wp:posOffset>
              </wp:positionV>
              <wp:extent cx="9963150" cy="899795"/>
              <wp:effectExtent l="0" t="0" r="0"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3150" cy="899795"/>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93930F9" id="Rectangle" o:spid="_x0000_s1026" style="position:absolute;margin-left:22.5pt;margin-top:22.5pt;width:784.5pt;height:70.8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" fillcolor="#00b2a9 [3204]" stroked="f">
              <w10:wrap anchorx="page" anchory="page"/>
            </v:rect>
          </w:pict>
        </mc:Fallback>
      </mc:AlternateContent>
    </w:r>
    <w:r w:rsidR="00DE028D" w:rsidRPr="00806AB6">
      <w:rPr>
        <w:noProof/>
      </w:rPr>
      <mc:AlternateContent>
        <mc:Choice Requires="wps">
          <w:drawing>
            <wp:anchor distT="0" distB="0" distL="114300" distR="114300" simplePos="0" relativeHeight="251658251" behindDoc="1" locked="0" layoutInCell="1" allowOverlap="1" wp14:anchorId="7086CD10" wp14:editId="7E75D233">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68B9586"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00DE028D" w:rsidRPr="00806AB6">
      <w:rPr>
        <w:noProof/>
      </w:rPr>
      <mc:AlternateContent>
        <mc:Choice Requires="wps">
          <w:drawing>
            <wp:anchor distT="0" distB="0" distL="114300" distR="114300" simplePos="0" relativeHeight="251658250" behindDoc="1" locked="0" layoutInCell="1" allowOverlap="1" wp14:anchorId="090DE43E" wp14:editId="39762441">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B968B1A" id="TriangleLeft" o:spid="_x0000_s1026" style="position:absolute;margin-left:22.7pt;margin-top:22.7pt;width:68.05pt;height:70.8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642667 [3202]" stroked="f">
              <v:path arrowok="t" o:connecttype="custom" o:connectlocs="0,0;430705,900000;864000,0;0,0" o:connectangles="0,0,0,0"/>
              <w10:wrap anchorx="page" anchory="page"/>
            </v:shape>
          </w:pict>
        </mc:Fallback>
      </mc:AlternateContent>
    </w:r>
  </w:p>
  <w:p w14:paraId="3F00FA52" w14:textId="77777777" w:rsidR="00DE028D" w:rsidRPr="00DE028D" w:rsidRDefault="00DE028D" w:rsidP="00DE028D">
    <w:pPr>
      <w:pStyle w:val="Header"/>
    </w:pPr>
  </w:p>
  <w:p w14:paraId="238FF2EF" w14:textId="77777777" w:rsidR="000674B2" w:rsidRDefault="000674B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20898" w14:textId="77777777" w:rsidR="00E962AA" w:rsidRPr="00E97294" w:rsidRDefault="00F90121" w:rsidP="00E97294">
    <w:pPr>
      <w:pStyle w:val="Header"/>
    </w:pPr>
    <w:r>
      <w:rPr>
        <w:noProof/>
      </w:rPr>
      <w:drawing>
        <wp:anchor distT="0" distB="0" distL="114300" distR="114300" simplePos="0" relativeHeight="251658248" behindDoc="1" locked="0" layoutInCell="1" allowOverlap="1" wp14:anchorId="3FFDBAA7" wp14:editId="03EE6061">
          <wp:simplePos x="0" y="0"/>
          <wp:positionH relativeFrom="page">
            <wp:posOffset>720090</wp:posOffset>
          </wp:positionH>
          <wp:positionV relativeFrom="page">
            <wp:posOffset>1188085</wp:posOffset>
          </wp:positionV>
          <wp:extent cx="860400" cy="896400"/>
          <wp:effectExtent l="0" t="0" r="0" b="0"/>
          <wp:wrapNone/>
          <wp:docPr id="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EC6F90">
      <w:rPr>
        <w:noProof/>
      </w:rPr>
      <w:drawing>
        <wp:anchor distT="0" distB="0" distL="114300" distR="114300" simplePos="0" relativeHeight="251658241" behindDoc="1" locked="0" layoutInCell="1" allowOverlap="1" wp14:anchorId="6AF41631" wp14:editId="31045568">
          <wp:simplePos x="0" y="0"/>
          <wp:positionH relativeFrom="page">
            <wp:posOffset>720090</wp:posOffset>
          </wp:positionH>
          <wp:positionV relativeFrom="page">
            <wp:posOffset>1188085</wp:posOffset>
          </wp:positionV>
          <wp:extent cx="864000" cy="896400"/>
          <wp:effectExtent l="0" t="0" r="0" b="0"/>
          <wp:wrapNone/>
          <wp:docPr id="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E962AA" w:rsidRPr="00806AB6">
      <w:rPr>
        <w:noProof/>
      </w:rPr>
      <mc:AlternateContent>
        <mc:Choice Requires="wps">
          <w:drawing>
            <wp:anchor distT="0" distB="0" distL="114300" distR="114300" simplePos="0" relativeHeight="251658244" behindDoc="1" locked="0" layoutInCell="1" allowOverlap="1" wp14:anchorId="0E4D3726" wp14:editId="43496168">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98E73C6"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0" behindDoc="1" locked="0" layoutInCell="1" allowOverlap="1" wp14:anchorId="712A99E3" wp14:editId="0A5E81C5">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4E63D33" id="TriangleBottom" o:spid="_x0000_s1026" style="position:absolute;margin-left:56.7pt;margin-top:93.55pt;width:68.05pt;height:70.85pt;z-index:-2516746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c1a8c2 [3208]" stroked="f">
              <v:path arrowok="t" o:connecttype="custom" o:connectlocs="0,0;431677,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3" behindDoc="1" locked="0" layoutInCell="1" allowOverlap="1" wp14:anchorId="66A5100C" wp14:editId="65658003">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25739C5"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642667 [3202]" stroked="f">
              <v:path arrowok="t" o:connecttype="custom" o:connectlocs="0,0;430705,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2" behindDoc="1" locked="0" layoutInCell="1" allowOverlap="1" wp14:anchorId="01ECE343" wp14:editId="77D73197">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9877BB0"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B37FE"/>
    <w:multiLevelType w:val="multilevel"/>
    <w:tmpl w:val="D85030E0"/>
    <w:name w:val="DEPIListBullets"/>
    <w:lvl w:ilvl="0">
      <w:start w:val="1"/>
      <w:numFmt w:val="bullet"/>
      <w:pStyle w:val="ListBullet"/>
      <w:lvlText w:val="•"/>
      <w:lvlJc w:val="left"/>
      <w:pPr>
        <w:tabs>
          <w:tab w:val="num" w:pos="340"/>
        </w:tabs>
        <w:ind w:left="340" w:hanging="170"/>
      </w:pPr>
      <w:rPr>
        <w:rFonts w:ascii="Calibri" w:hAnsi="Calib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642667"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D545EC4"/>
    <w:multiLevelType w:val="multilevel"/>
    <w:tmpl w:val="E0FA75A2"/>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1" w15:restartNumberingAfterBreak="0">
    <w:nsid w:val="4FD013BD"/>
    <w:multiLevelType w:val="hybridMultilevel"/>
    <w:tmpl w:val="6A06C686"/>
    <w:lvl w:ilvl="0" w:tplc="268C2016">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6"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64266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8"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8"/>
  </w:num>
  <w:num w:numId="2">
    <w:abstractNumId w:val="16"/>
  </w:num>
  <w:num w:numId="3">
    <w:abstractNumId w:val="14"/>
  </w:num>
  <w:num w:numId="4">
    <w:abstractNumId w:val="18"/>
  </w:num>
  <w:num w:numId="5">
    <w:abstractNumId w:val="5"/>
  </w:num>
  <w:num w:numId="6">
    <w:abstractNumId w:val="2"/>
  </w:num>
  <w:num w:numId="7">
    <w:abstractNumId w:val="1"/>
  </w:num>
  <w:num w:numId="8">
    <w:abstractNumId w:val="0"/>
  </w:num>
  <w:num w:numId="9">
    <w:abstractNumId w:val="17"/>
  </w:num>
  <w:num w:numId="10">
    <w:abstractNumId w:val="3"/>
  </w:num>
  <w:num w:numId="11">
    <w:abstractNumId w:val="6"/>
  </w:num>
  <w:num w:numId="12">
    <w:abstractNumId w:val="4"/>
  </w:num>
  <w:num w:numId="13">
    <w:abstractNumId w:val="9"/>
  </w:num>
  <w:num w:numId="14">
    <w:abstractNumId w:val="10"/>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Planning"/>
    <w:docVar w:name="TOC" w:val="True"/>
    <w:docVar w:name="TOCNew" w:val="True"/>
    <w:docVar w:name="Version" w:val="3"/>
    <w:docVar w:name="WebAddress" w:val="False"/>
  </w:docVars>
  <w:rsids>
    <w:rsidRoot w:val="004E2C14"/>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2DC1"/>
    <w:rsid w:val="00033137"/>
    <w:rsid w:val="00033178"/>
    <w:rsid w:val="00033331"/>
    <w:rsid w:val="00033A8A"/>
    <w:rsid w:val="0003451C"/>
    <w:rsid w:val="00034E46"/>
    <w:rsid w:val="0003510A"/>
    <w:rsid w:val="00035139"/>
    <w:rsid w:val="00035163"/>
    <w:rsid w:val="000351EF"/>
    <w:rsid w:val="00035A23"/>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528"/>
    <w:rsid w:val="00066ABF"/>
    <w:rsid w:val="00066F02"/>
    <w:rsid w:val="00067098"/>
    <w:rsid w:val="0006742D"/>
    <w:rsid w:val="000674B2"/>
    <w:rsid w:val="000676F8"/>
    <w:rsid w:val="00067769"/>
    <w:rsid w:val="000704F3"/>
    <w:rsid w:val="00070C97"/>
    <w:rsid w:val="0007112E"/>
    <w:rsid w:val="00071295"/>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0A"/>
    <w:rsid w:val="0008061A"/>
    <w:rsid w:val="0008129B"/>
    <w:rsid w:val="000816AD"/>
    <w:rsid w:val="0008221A"/>
    <w:rsid w:val="00082224"/>
    <w:rsid w:val="0008252E"/>
    <w:rsid w:val="00082889"/>
    <w:rsid w:val="00082914"/>
    <w:rsid w:val="0008309F"/>
    <w:rsid w:val="00083151"/>
    <w:rsid w:val="000838A2"/>
    <w:rsid w:val="00083917"/>
    <w:rsid w:val="00083CD6"/>
    <w:rsid w:val="00084187"/>
    <w:rsid w:val="00084CB1"/>
    <w:rsid w:val="000854DB"/>
    <w:rsid w:val="00085689"/>
    <w:rsid w:val="0008568F"/>
    <w:rsid w:val="00086BF5"/>
    <w:rsid w:val="0008745F"/>
    <w:rsid w:val="000908D6"/>
    <w:rsid w:val="0009125C"/>
    <w:rsid w:val="000913AD"/>
    <w:rsid w:val="00091F49"/>
    <w:rsid w:val="0009214D"/>
    <w:rsid w:val="00093051"/>
    <w:rsid w:val="000935F8"/>
    <w:rsid w:val="000938C5"/>
    <w:rsid w:val="00093F02"/>
    <w:rsid w:val="00094129"/>
    <w:rsid w:val="0009465A"/>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CBD"/>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2C7A"/>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002"/>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9C1"/>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4F8"/>
    <w:rsid w:val="00104F66"/>
    <w:rsid w:val="001054A3"/>
    <w:rsid w:val="0010559C"/>
    <w:rsid w:val="00105C32"/>
    <w:rsid w:val="0010606F"/>
    <w:rsid w:val="0010632A"/>
    <w:rsid w:val="0010632E"/>
    <w:rsid w:val="00106A7E"/>
    <w:rsid w:val="00106A81"/>
    <w:rsid w:val="00106B89"/>
    <w:rsid w:val="00106CA2"/>
    <w:rsid w:val="00107DAB"/>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BFA"/>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1FA"/>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67CC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376"/>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076"/>
    <w:rsid w:val="001A0827"/>
    <w:rsid w:val="001A0EF8"/>
    <w:rsid w:val="001A13E9"/>
    <w:rsid w:val="001A150E"/>
    <w:rsid w:val="001A18D2"/>
    <w:rsid w:val="001A1C9A"/>
    <w:rsid w:val="001A245B"/>
    <w:rsid w:val="001A25AC"/>
    <w:rsid w:val="001A2881"/>
    <w:rsid w:val="001A37A6"/>
    <w:rsid w:val="001A4197"/>
    <w:rsid w:val="001A453C"/>
    <w:rsid w:val="001A45A0"/>
    <w:rsid w:val="001A4BB8"/>
    <w:rsid w:val="001A50A5"/>
    <w:rsid w:val="001A548E"/>
    <w:rsid w:val="001A55E2"/>
    <w:rsid w:val="001A5625"/>
    <w:rsid w:val="001A677B"/>
    <w:rsid w:val="001A7027"/>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2BA"/>
    <w:rsid w:val="001B2A40"/>
    <w:rsid w:val="001B2BCC"/>
    <w:rsid w:val="001B36B4"/>
    <w:rsid w:val="001B38B7"/>
    <w:rsid w:val="001B39AE"/>
    <w:rsid w:val="001B39F0"/>
    <w:rsid w:val="001B3F7F"/>
    <w:rsid w:val="001B411F"/>
    <w:rsid w:val="001B4653"/>
    <w:rsid w:val="001B4A22"/>
    <w:rsid w:val="001B4A40"/>
    <w:rsid w:val="001B58BC"/>
    <w:rsid w:val="001B5E7A"/>
    <w:rsid w:val="001B6912"/>
    <w:rsid w:val="001B6F73"/>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664"/>
    <w:rsid w:val="001C58FF"/>
    <w:rsid w:val="001C591F"/>
    <w:rsid w:val="001C5DFE"/>
    <w:rsid w:val="001C63D2"/>
    <w:rsid w:val="001C6526"/>
    <w:rsid w:val="001C6952"/>
    <w:rsid w:val="001C6A87"/>
    <w:rsid w:val="001C6E3A"/>
    <w:rsid w:val="001C7078"/>
    <w:rsid w:val="001C709B"/>
    <w:rsid w:val="001C7813"/>
    <w:rsid w:val="001D1792"/>
    <w:rsid w:val="001D21F3"/>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B29"/>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205"/>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68D9"/>
    <w:rsid w:val="00227A0A"/>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633"/>
    <w:rsid w:val="002347C3"/>
    <w:rsid w:val="00234809"/>
    <w:rsid w:val="00234856"/>
    <w:rsid w:val="00234D15"/>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5F9D"/>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32"/>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66FE"/>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9E3"/>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3CB"/>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EB7"/>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518"/>
    <w:rsid w:val="002F0A6E"/>
    <w:rsid w:val="002F0BF5"/>
    <w:rsid w:val="002F12FB"/>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3EB"/>
    <w:rsid w:val="00305AF5"/>
    <w:rsid w:val="00306030"/>
    <w:rsid w:val="00306780"/>
    <w:rsid w:val="00306796"/>
    <w:rsid w:val="00306B0C"/>
    <w:rsid w:val="00307282"/>
    <w:rsid w:val="00307581"/>
    <w:rsid w:val="00307C36"/>
    <w:rsid w:val="00307DE3"/>
    <w:rsid w:val="00307EE7"/>
    <w:rsid w:val="0031061F"/>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2CD6"/>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BD2"/>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360"/>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766"/>
    <w:rsid w:val="003728DE"/>
    <w:rsid w:val="0037328E"/>
    <w:rsid w:val="00373317"/>
    <w:rsid w:val="0037344B"/>
    <w:rsid w:val="0037377A"/>
    <w:rsid w:val="00373994"/>
    <w:rsid w:val="00373A4D"/>
    <w:rsid w:val="00373D12"/>
    <w:rsid w:val="00374055"/>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125"/>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CD9"/>
    <w:rsid w:val="00387F59"/>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53"/>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7E"/>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716"/>
    <w:rsid w:val="003B6B44"/>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0FB"/>
    <w:rsid w:val="003D25C4"/>
    <w:rsid w:val="003D2C4D"/>
    <w:rsid w:val="003D2C54"/>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39"/>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D3A"/>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27ABD"/>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5CF"/>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476"/>
    <w:rsid w:val="0046468C"/>
    <w:rsid w:val="004646BF"/>
    <w:rsid w:val="004649D9"/>
    <w:rsid w:val="00464D36"/>
    <w:rsid w:val="00464F86"/>
    <w:rsid w:val="0046503A"/>
    <w:rsid w:val="004652D7"/>
    <w:rsid w:val="0046565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4CA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2F62"/>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99C"/>
    <w:rsid w:val="00485BCA"/>
    <w:rsid w:val="00485D2C"/>
    <w:rsid w:val="00485DBF"/>
    <w:rsid w:val="0048627A"/>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4196"/>
    <w:rsid w:val="004D514B"/>
    <w:rsid w:val="004D528E"/>
    <w:rsid w:val="004D55FF"/>
    <w:rsid w:val="004D5A45"/>
    <w:rsid w:val="004D5B4D"/>
    <w:rsid w:val="004D5BFF"/>
    <w:rsid w:val="004D6506"/>
    <w:rsid w:val="004D66D1"/>
    <w:rsid w:val="004D68F5"/>
    <w:rsid w:val="004D6C28"/>
    <w:rsid w:val="004D6C4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2C14"/>
    <w:rsid w:val="004E313A"/>
    <w:rsid w:val="004E3C09"/>
    <w:rsid w:val="004E3CC5"/>
    <w:rsid w:val="004E3F91"/>
    <w:rsid w:val="004E4B5E"/>
    <w:rsid w:val="004E52B6"/>
    <w:rsid w:val="004E53E9"/>
    <w:rsid w:val="004E565A"/>
    <w:rsid w:val="004E57A2"/>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A81"/>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676"/>
    <w:rsid w:val="00525B0A"/>
    <w:rsid w:val="00525B46"/>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304"/>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5A"/>
    <w:rsid w:val="005478BB"/>
    <w:rsid w:val="00547BC4"/>
    <w:rsid w:val="00550BE8"/>
    <w:rsid w:val="00550C69"/>
    <w:rsid w:val="00551607"/>
    <w:rsid w:val="00552423"/>
    <w:rsid w:val="005534BB"/>
    <w:rsid w:val="00553651"/>
    <w:rsid w:val="0055365C"/>
    <w:rsid w:val="00553668"/>
    <w:rsid w:val="00553ADF"/>
    <w:rsid w:val="00553ED6"/>
    <w:rsid w:val="005541D4"/>
    <w:rsid w:val="00554A10"/>
    <w:rsid w:val="005550AC"/>
    <w:rsid w:val="005565AB"/>
    <w:rsid w:val="00556A19"/>
    <w:rsid w:val="00556A21"/>
    <w:rsid w:val="00556E29"/>
    <w:rsid w:val="00556EE7"/>
    <w:rsid w:val="00557A63"/>
    <w:rsid w:val="00557EE9"/>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9BD"/>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5DCA"/>
    <w:rsid w:val="00585FAD"/>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1EAA"/>
    <w:rsid w:val="005922AA"/>
    <w:rsid w:val="0059272F"/>
    <w:rsid w:val="00592C5A"/>
    <w:rsid w:val="00592D66"/>
    <w:rsid w:val="00592E64"/>
    <w:rsid w:val="00593021"/>
    <w:rsid w:val="005930BC"/>
    <w:rsid w:val="005935E7"/>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B72"/>
    <w:rsid w:val="005A1C96"/>
    <w:rsid w:val="005A21FA"/>
    <w:rsid w:val="005A24B9"/>
    <w:rsid w:val="005A274F"/>
    <w:rsid w:val="005A27F5"/>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0DC6"/>
    <w:rsid w:val="005D1075"/>
    <w:rsid w:val="005D1248"/>
    <w:rsid w:val="005D1255"/>
    <w:rsid w:val="005D12C4"/>
    <w:rsid w:val="005D141F"/>
    <w:rsid w:val="005D1494"/>
    <w:rsid w:val="005D2102"/>
    <w:rsid w:val="005D2885"/>
    <w:rsid w:val="005D354E"/>
    <w:rsid w:val="005D37AF"/>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521"/>
    <w:rsid w:val="005E7D9F"/>
    <w:rsid w:val="005E7E2C"/>
    <w:rsid w:val="005E7ECE"/>
    <w:rsid w:val="005E7FAB"/>
    <w:rsid w:val="005F0BB2"/>
    <w:rsid w:val="005F0C5A"/>
    <w:rsid w:val="005F0D01"/>
    <w:rsid w:val="005F106A"/>
    <w:rsid w:val="005F1B40"/>
    <w:rsid w:val="005F1C0E"/>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5F7CDC"/>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2FAD"/>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55A"/>
    <w:rsid w:val="006679B3"/>
    <w:rsid w:val="0067011C"/>
    <w:rsid w:val="00670167"/>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90F"/>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16B"/>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1FC5"/>
    <w:rsid w:val="006C2524"/>
    <w:rsid w:val="006C2583"/>
    <w:rsid w:val="006C26A7"/>
    <w:rsid w:val="006C2AA5"/>
    <w:rsid w:val="006C2CEA"/>
    <w:rsid w:val="006C30E6"/>
    <w:rsid w:val="006C3273"/>
    <w:rsid w:val="006C3B7C"/>
    <w:rsid w:val="006C3D2F"/>
    <w:rsid w:val="006C457A"/>
    <w:rsid w:val="006C45E9"/>
    <w:rsid w:val="006C4C76"/>
    <w:rsid w:val="006C5294"/>
    <w:rsid w:val="006C52DE"/>
    <w:rsid w:val="006C55AB"/>
    <w:rsid w:val="006C577B"/>
    <w:rsid w:val="006C5C0C"/>
    <w:rsid w:val="006C5DF4"/>
    <w:rsid w:val="006C660C"/>
    <w:rsid w:val="006C66D5"/>
    <w:rsid w:val="006C68CD"/>
    <w:rsid w:val="006C71AB"/>
    <w:rsid w:val="006D0A00"/>
    <w:rsid w:val="006D0A6F"/>
    <w:rsid w:val="006D0E5A"/>
    <w:rsid w:val="006D0EC4"/>
    <w:rsid w:val="006D10E8"/>
    <w:rsid w:val="006D119C"/>
    <w:rsid w:val="006D2084"/>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1E18"/>
    <w:rsid w:val="006E2242"/>
    <w:rsid w:val="006E227F"/>
    <w:rsid w:val="006E262F"/>
    <w:rsid w:val="006E29C7"/>
    <w:rsid w:val="006E2A46"/>
    <w:rsid w:val="006E2A62"/>
    <w:rsid w:val="006E3158"/>
    <w:rsid w:val="006E3ACC"/>
    <w:rsid w:val="006E3DCD"/>
    <w:rsid w:val="006E3F7A"/>
    <w:rsid w:val="006E4056"/>
    <w:rsid w:val="006E4181"/>
    <w:rsid w:val="006E443A"/>
    <w:rsid w:val="006E4474"/>
    <w:rsid w:val="006E4749"/>
    <w:rsid w:val="006E4856"/>
    <w:rsid w:val="006E4D73"/>
    <w:rsid w:val="006E50C6"/>
    <w:rsid w:val="006E50FE"/>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081"/>
    <w:rsid w:val="006F747F"/>
    <w:rsid w:val="0070005F"/>
    <w:rsid w:val="00700C18"/>
    <w:rsid w:val="007010C5"/>
    <w:rsid w:val="007011AB"/>
    <w:rsid w:val="00701595"/>
    <w:rsid w:val="00701B20"/>
    <w:rsid w:val="00701BC0"/>
    <w:rsid w:val="00701F5E"/>
    <w:rsid w:val="007023F5"/>
    <w:rsid w:val="00702B73"/>
    <w:rsid w:val="00702D28"/>
    <w:rsid w:val="00703986"/>
    <w:rsid w:val="00703AF1"/>
    <w:rsid w:val="00703BC5"/>
    <w:rsid w:val="00704046"/>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2E6"/>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6B1D"/>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56"/>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C8F"/>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939"/>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DB"/>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1B"/>
    <w:rsid w:val="007A38DD"/>
    <w:rsid w:val="007A3903"/>
    <w:rsid w:val="007A3B3F"/>
    <w:rsid w:val="007A402E"/>
    <w:rsid w:val="007A47C6"/>
    <w:rsid w:val="007A4B65"/>
    <w:rsid w:val="007A4BA3"/>
    <w:rsid w:val="007A4C6F"/>
    <w:rsid w:val="007A4DE7"/>
    <w:rsid w:val="007A4E1C"/>
    <w:rsid w:val="007A63BF"/>
    <w:rsid w:val="007A6488"/>
    <w:rsid w:val="007A68BD"/>
    <w:rsid w:val="007A6ADE"/>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9FC"/>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5C8E"/>
    <w:rsid w:val="007C6706"/>
    <w:rsid w:val="007C6777"/>
    <w:rsid w:val="007C6AA2"/>
    <w:rsid w:val="007C6EB3"/>
    <w:rsid w:val="007C6ECA"/>
    <w:rsid w:val="007C7BDE"/>
    <w:rsid w:val="007C7E1E"/>
    <w:rsid w:val="007D00DF"/>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38CD"/>
    <w:rsid w:val="007D45FF"/>
    <w:rsid w:val="007D4984"/>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A52"/>
    <w:rsid w:val="007E6F77"/>
    <w:rsid w:val="007E7B22"/>
    <w:rsid w:val="007E7E4B"/>
    <w:rsid w:val="007E7F34"/>
    <w:rsid w:val="007F1A6B"/>
    <w:rsid w:val="007F1D7C"/>
    <w:rsid w:val="007F2545"/>
    <w:rsid w:val="007F26D5"/>
    <w:rsid w:val="007F297D"/>
    <w:rsid w:val="007F2BA6"/>
    <w:rsid w:val="007F3088"/>
    <w:rsid w:val="007F32C9"/>
    <w:rsid w:val="007F35A0"/>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80C"/>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4BD1"/>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2A8"/>
    <w:rsid w:val="00831386"/>
    <w:rsid w:val="008313B0"/>
    <w:rsid w:val="00831538"/>
    <w:rsid w:val="008319D3"/>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BC7"/>
    <w:rsid w:val="00876EAC"/>
    <w:rsid w:val="00877975"/>
    <w:rsid w:val="00880672"/>
    <w:rsid w:val="00880758"/>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DAD"/>
    <w:rsid w:val="00886E96"/>
    <w:rsid w:val="0088708F"/>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8CD"/>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21A"/>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5C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DE7"/>
    <w:rsid w:val="008F7FF9"/>
    <w:rsid w:val="009001F7"/>
    <w:rsid w:val="00900374"/>
    <w:rsid w:val="0090044F"/>
    <w:rsid w:val="00900D1F"/>
    <w:rsid w:val="00901031"/>
    <w:rsid w:val="00901348"/>
    <w:rsid w:val="0090177D"/>
    <w:rsid w:val="00901A42"/>
    <w:rsid w:val="00901CD1"/>
    <w:rsid w:val="00901D90"/>
    <w:rsid w:val="009026C9"/>
    <w:rsid w:val="00902774"/>
    <w:rsid w:val="00902DB3"/>
    <w:rsid w:val="009031E8"/>
    <w:rsid w:val="00903B1A"/>
    <w:rsid w:val="009040AA"/>
    <w:rsid w:val="00904F14"/>
    <w:rsid w:val="00905031"/>
    <w:rsid w:val="009052C0"/>
    <w:rsid w:val="0090567B"/>
    <w:rsid w:val="00905730"/>
    <w:rsid w:val="00905BEE"/>
    <w:rsid w:val="0090692F"/>
    <w:rsid w:val="00906C13"/>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2EDF"/>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0DF"/>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16"/>
    <w:rsid w:val="009616C2"/>
    <w:rsid w:val="00961A1A"/>
    <w:rsid w:val="00961A4C"/>
    <w:rsid w:val="00961F8C"/>
    <w:rsid w:val="009621A5"/>
    <w:rsid w:val="009623CA"/>
    <w:rsid w:val="0096287B"/>
    <w:rsid w:val="009628F7"/>
    <w:rsid w:val="00962F73"/>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69F"/>
    <w:rsid w:val="00984DFF"/>
    <w:rsid w:val="0098555E"/>
    <w:rsid w:val="009856E1"/>
    <w:rsid w:val="009857FB"/>
    <w:rsid w:val="00985FB2"/>
    <w:rsid w:val="00986423"/>
    <w:rsid w:val="009866B2"/>
    <w:rsid w:val="00986C21"/>
    <w:rsid w:val="00986D0E"/>
    <w:rsid w:val="00986E15"/>
    <w:rsid w:val="009871C5"/>
    <w:rsid w:val="0098742C"/>
    <w:rsid w:val="0098765F"/>
    <w:rsid w:val="00987688"/>
    <w:rsid w:val="00987804"/>
    <w:rsid w:val="00987A47"/>
    <w:rsid w:val="00987B44"/>
    <w:rsid w:val="00987DFA"/>
    <w:rsid w:val="009900E6"/>
    <w:rsid w:val="00990B07"/>
    <w:rsid w:val="00990B6D"/>
    <w:rsid w:val="00990DDE"/>
    <w:rsid w:val="00991123"/>
    <w:rsid w:val="0099117B"/>
    <w:rsid w:val="0099147E"/>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2E00"/>
    <w:rsid w:val="009D3554"/>
    <w:rsid w:val="009D4157"/>
    <w:rsid w:val="009D434D"/>
    <w:rsid w:val="009D4394"/>
    <w:rsid w:val="009D45AE"/>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110"/>
    <w:rsid w:val="00A025B3"/>
    <w:rsid w:val="00A0276E"/>
    <w:rsid w:val="00A028C3"/>
    <w:rsid w:val="00A0310E"/>
    <w:rsid w:val="00A0424C"/>
    <w:rsid w:val="00A049CA"/>
    <w:rsid w:val="00A04A55"/>
    <w:rsid w:val="00A05269"/>
    <w:rsid w:val="00A053CC"/>
    <w:rsid w:val="00A0540D"/>
    <w:rsid w:val="00A05DC0"/>
    <w:rsid w:val="00A05F57"/>
    <w:rsid w:val="00A05F94"/>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3BD5"/>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382"/>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0F7"/>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1D44"/>
    <w:rsid w:val="00A822B2"/>
    <w:rsid w:val="00A8262B"/>
    <w:rsid w:val="00A82E32"/>
    <w:rsid w:val="00A82E84"/>
    <w:rsid w:val="00A83517"/>
    <w:rsid w:val="00A8379A"/>
    <w:rsid w:val="00A84041"/>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202"/>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885"/>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6ED"/>
    <w:rsid w:val="00AA58B9"/>
    <w:rsid w:val="00AA63C9"/>
    <w:rsid w:val="00AA68B3"/>
    <w:rsid w:val="00AA6991"/>
    <w:rsid w:val="00AA6C49"/>
    <w:rsid w:val="00AA6C65"/>
    <w:rsid w:val="00AA7384"/>
    <w:rsid w:val="00AA741E"/>
    <w:rsid w:val="00AA7AD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062"/>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DE4"/>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27"/>
    <w:rsid w:val="00B16745"/>
    <w:rsid w:val="00B16C8A"/>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146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1BE"/>
    <w:rsid w:val="00B61B16"/>
    <w:rsid w:val="00B62003"/>
    <w:rsid w:val="00B62110"/>
    <w:rsid w:val="00B62425"/>
    <w:rsid w:val="00B62BAF"/>
    <w:rsid w:val="00B63B96"/>
    <w:rsid w:val="00B63F44"/>
    <w:rsid w:val="00B6404F"/>
    <w:rsid w:val="00B64CD9"/>
    <w:rsid w:val="00B65160"/>
    <w:rsid w:val="00B65161"/>
    <w:rsid w:val="00B653FA"/>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9F1"/>
    <w:rsid w:val="00B76A62"/>
    <w:rsid w:val="00B76FAE"/>
    <w:rsid w:val="00B77603"/>
    <w:rsid w:val="00B77C75"/>
    <w:rsid w:val="00B77F09"/>
    <w:rsid w:val="00B8027E"/>
    <w:rsid w:val="00B80545"/>
    <w:rsid w:val="00B806A2"/>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7C0"/>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082"/>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767"/>
    <w:rsid w:val="00BB2992"/>
    <w:rsid w:val="00BB2A70"/>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197"/>
    <w:rsid w:val="00BB6DCE"/>
    <w:rsid w:val="00BB766C"/>
    <w:rsid w:val="00BB7EEF"/>
    <w:rsid w:val="00BC0244"/>
    <w:rsid w:val="00BC0602"/>
    <w:rsid w:val="00BC0DC9"/>
    <w:rsid w:val="00BC0FB0"/>
    <w:rsid w:val="00BC15FC"/>
    <w:rsid w:val="00BC1BF9"/>
    <w:rsid w:val="00BC1F14"/>
    <w:rsid w:val="00BC2134"/>
    <w:rsid w:val="00BC224E"/>
    <w:rsid w:val="00BC24C5"/>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68"/>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A"/>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078"/>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5A4"/>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767"/>
    <w:rsid w:val="00C43C5C"/>
    <w:rsid w:val="00C43E12"/>
    <w:rsid w:val="00C443F2"/>
    <w:rsid w:val="00C448BB"/>
    <w:rsid w:val="00C44E9F"/>
    <w:rsid w:val="00C450A2"/>
    <w:rsid w:val="00C4516D"/>
    <w:rsid w:val="00C455E7"/>
    <w:rsid w:val="00C4577D"/>
    <w:rsid w:val="00C45EDF"/>
    <w:rsid w:val="00C46590"/>
    <w:rsid w:val="00C46A59"/>
    <w:rsid w:val="00C46DE1"/>
    <w:rsid w:val="00C46F79"/>
    <w:rsid w:val="00C46FC9"/>
    <w:rsid w:val="00C4716F"/>
    <w:rsid w:val="00C474A3"/>
    <w:rsid w:val="00C50210"/>
    <w:rsid w:val="00C509E0"/>
    <w:rsid w:val="00C51011"/>
    <w:rsid w:val="00C51174"/>
    <w:rsid w:val="00C515D3"/>
    <w:rsid w:val="00C51B84"/>
    <w:rsid w:val="00C52067"/>
    <w:rsid w:val="00C52634"/>
    <w:rsid w:val="00C52B31"/>
    <w:rsid w:val="00C5304D"/>
    <w:rsid w:val="00C532A1"/>
    <w:rsid w:val="00C537ED"/>
    <w:rsid w:val="00C53AA8"/>
    <w:rsid w:val="00C5431F"/>
    <w:rsid w:val="00C5445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77EA8"/>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8D8"/>
    <w:rsid w:val="00CA1A2F"/>
    <w:rsid w:val="00CA1C75"/>
    <w:rsid w:val="00CA1D01"/>
    <w:rsid w:val="00CA1DB7"/>
    <w:rsid w:val="00CA1F0E"/>
    <w:rsid w:val="00CA2A66"/>
    <w:rsid w:val="00CA2AD6"/>
    <w:rsid w:val="00CA2FBC"/>
    <w:rsid w:val="00CA3229"/>
    <w:rsid w:val="00CA34F9"/>
    <w:rsid w:val="00CA43AF"/>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7A"/>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658D"/>
    <w:rsid w:val="00CB6AFC"/>
    <w:rsid w:val="00CB6E88"/>
    <w:rsid w:val="00CB77DC"/>
    <w:rsid w:val="00CB79CB"/>
    <w:rsid w:val="00CB7E6A"/>
    <w:rsid w:val="00CB7ECA"/>
    <w:rsid w:val="00CB7F5E"/>
    <w:rsid w:val="00CC0119"/>
    <w:rsid w:val="00CC091C"/>
    <w:rsid w:val="00CC0B00"/>
    <w:rsid w:val="00CC10BA"/>
    <w:rsid w:val="00CC11E1"/>
    <w:rsid w:val="00CC1266"/>
    <w:rsid w:val="00CC18C6"/>
    <w:rsid w:val="00CC19AE"/>
    <w:rsid w:val="00CC1A97"/>
    <w:rsid w:val="00CC1AFD"/>
    <w:rsid w:val="00CC29B3"/>
    <w:rsid w:val="00CC2BDE"/>
    <w:rsid w:val="00CC2F9B"/>
    <w:rsid w:val="00CC31E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78B"/>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5F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3C7A"/>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4166"/>
    <w:rsid w:val="00D24420"/>
    <w:rsid w:val="00D24D9F"/>
    <w:rsid w:val="00D25604"/>
    <w:rsid w:val="00D25B8C"/>
    <w:rsid w:val="00D26FC2"/>
    <w:rsid w:val="00D270B3"/>
    <w:rsid w:val="00D27135"/>
    <w:rsid w:val="00D2725B"/>
    <w:rsid w:val="00D30DFC"/>
    <w:rsid w:val="00D311DC"/>
    <w:rsid w:val="00D31D2C"/>
    <w:rsid w:val="00D3264A"/>
    <w:rsid w:val="00D32A6E"/>
    <w:rsid w:val="00D32E8E"/>
    <w:rsid w:val="00D33354"/>
    <w:rsid w:val="00D33742"/>
    <w:rsid w:val="00D33F14"/>
    <w:rsid w:val="00D33FED"/>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566"/>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4AF6"/>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B0F93"/>
    <w:rsid w:val="00DB17F5"/>
    <w:rsid w:val="00DB19B1"/>
    <w:rsid w:val="00DB230F"/>
    <w:rsid w:val="00DB278D"/>
    <w:rsid w:val="00DB2A8D"/>
    <w:rsid w:val="00DB2AD1"/>
    <w:rsid w:val="00DB2F5C"/>
    <w:rsid w:val="00DB38A0"/>
    <w:rsid w:val="00DB3C59"/>
    <w:rsid w:val="00DB3CBC"/>
    <w:rsid w:val="00DB40A6"/>
    <w:rsid w:val="00DB4162"/>
    <w:rsid w:val="00DB49DE"/>
    <w:rsid w:val="00DB4BD2"/>
    <w:rsid w:val="00DB4EA5"/>
    <w:rsid w:val="00DB571D"/>
    <w:rsid w:val="00DB59FD"/>
    <w:rsid w:val="00DB5A9B"/>
    <w:rsid w:val="00DB5C61"/>
    <w:rsid w:val="00DB60EF"/>
    <w:rsid w:val="00DB62AD"/>
    <w:rsid w:val="00DB62C1"/>
    <w:rsid w:val="00DB6631"/>
    <w:rsid w:val="00DB67A2"/>
    <w:rsid w:val="00DB690A"/>
    <w:rsid w:val="00DB6C3B"/>
    <w:rsid w:val="00DB6E34"/>
    <w:rsid w:val="00DB768E"/>
    <w:rsid w:val="00DB79E5"/>
    <w:rsid w:val="00DB7B81"/>
    <w:rsid w:val="00DB7BC4"/>
    <w:rsid w:val="00DB7FF5"/>
    <w:rsid w:val="00DC02B2"/>
    <w:rsid w:val="00DC04E1"/>
    <w:rsid w:val="00DC1A8B"/>
    <w:rsid w:val="00DC1D59"/>
    <w:rsid w:val="00DC206C"/>
    <w:rsid w:val="00DC228D"/>
    <w:rsid w:val="00DC27DE"/>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413"/>
    <w:rsid w:val="00DC6901"/>
    <w:rsid w:val="00DC6BD0"/>
    <w:rsid w:val="00DC6C10"/>
    <w:rsid w:val="00DC71F7"/>
    <w:rsid w:val="00DC7231"/>
    <w:rsid w:val="00DC787B"/>
    <w:rsid w:val="00DC78B2"/>
    <w:rsid w:val="00DD09DC"/>
    <w:rsid w:val="00DD12E2"/>
    <w:rsid w:val="00DD16E7"/>
    <w:rsid w:val="00DD177B"/>
    <w:rsid w:val="00DD1CBF"/>
    <w:rsid w:val="00DD1F1D"/>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D7E3A"/>
    <w:rsid w:val="00DE028D"/>
    <w:rsid w:val="00DE03C3"/>
    <w:rsid w:val="00DE07DE"/>
    <w:rsid w:val="00DE0987"/>
    <w:rsid w:val="00DE09EA"/>
    <w:rsid w:val="00DE0CB8"/>
    <w:rsid w:val="00DE0E1F"/>
    <w:rsid w:val="00DE1126"/>
    <w:rsid w:val="00DE14DB"/>
    <w:rsid w:val="00DE19C1"/>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63"/>
    <w:rsid w:val="00DF68B6"/>
    <w:rsid w:val="00DF7419"/>
    <w:rsid w:val="00DF7628"/>
    <w:rsid w:val="00DF7FED"/>
    <w:rsid w:val="00E00725"/>
    <w:rsid w:val="00E008B2"/>
    <w:rsid w:val="00E00B08"/>
    <w:rsid w:val="00E00D33"/>
    <w:rsid w:val="00E011D4"/>
    <w:rsid w:val="00E02965"/>
    <w:rsid w:val="00E02AB8"/>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2E2"/>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6EF7"/>
    <w:rsid w:val="00E2761E"/>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1C67"/>
    <w:rsid w:val="00E52159"/>
    <w:rsid w:val="00E52360"/>
    <w:rsid w:val="00E52857"/>
    <w:rsid w:val="00E52E85"/>
    <w:rsid w:val="00E5396F"/>
    <w:rsid w:val="00E53C6F"/>
    <w:rsid w:val="00E542B6"/>
    <w:rsid w:val="00E54971"/>
    <w:rsid w:val="00E549B0"/>
    <w:rsid w:val="00E54A1D"/>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168"/>
    <w:rsid w:val="00E672F0"/>
    <w:rsid w:val="00E67381"/>
    <w:rsid w:val="00E67BA4"/>
    <w:rsid w:val="00E70A71"/>
    <w:rsid w:val="00E70EFC"/>
    <w:rsid w:val="00E70F61"/>
    <w:rsid w:val="00E712F5"/>
    <w:rsid w:val="00E71D0B"/>
    <w:rsid w:val="00E72054"/>
    <w:rsid w:val="00E7246B"/>
    <w:rsid w:val="00E72FBA"/>
    <w:rsid w:val="00E73199"/>
    <w:rsid w:val="00E73266"/>
    <w:rsid w:val="00E7362F"/>
    <w:rsid w:val="00E739B0"/>
    <w:rsid w:val="00E739D5"/>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C4A"/>
    <w:rsid w:val="00E92DEA"/>
    <w:rsid w:val="00E93029"/>
    <w:rsid w:val="00E9381A"/>
    <w:rsid w:val="00E93D98"/>
    <w:rsid w:val="00E9404C"/>
    <w:rsid w:val="00E9424D"/>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674"/>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D94"/>
    <w:rsid w:val="00EB1E86"/>
    <w:rsid w:val="00EB2307"/>
    <w:rsid w:val="00EB2DE6"/>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49"/>
    <w:rsid w:val="00EC6270"/>
    <w:rsid w:val="00EC6615"/>
    <w:rsid w:val="00EC686D"/>
    <w:rsid w:val="00EC6AA7"/>
    <w:rsid w:val="00EC6B9F"/>
    <w:rsid w:val="00EC6F90"/>
    <w:rsid w:val="00EC729A"/>
    <w:rsid w:val="00EC77BC"/>
    <w:rsid w:val="00EC7833"/>
    <w:rsid w:val="00EC7A43"/>
    <w:rsid w:val="00EC7AAB"/>
    <w:rsid w:val="00EC7BF7"/>
    <w:rsid w:val="00ED00CE"/>
    <w:rsid w:val="00ED09D9"/>
    <w:rsid w:val="00ED0C6B"/>
    <w:rsid w:val="00ED0EAE"/>
    <w:rsid w:val="00ED0F86"/>
    <w:rsid w:val="00ED1197"/>
    <w:rsid w:val="00ED12C1"/>
    <w:rsid w:val="00ED1D27"/>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2BFE"/>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4F5"/>
    <w:rsid w:val="00EF2CFE"/>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8CA"/>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94B"/>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012"/>
    <w:rsid w:val="00F3465B"/>
    <w:rsid w:val="00F34A54"/>
    <w:rsid w:val="00F34EAC"/>
    <w:rsid w:val="00F3523F"/>
    <w:rsid w:val="00F35840"/>
    <w:rsid w:val="00F3585E"/>
    <w:rsid w:val="00F35D9B"/>
    <w:rsid w:val="00F35FDF"/>
    <w:rsid w:val="00F368D7"/>
    <w:rsid w:val="00F36C78"/>
    <w:rsid w:val="00F375AE"/>
    <w:rsid w:val="00F37A3C"/>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678"/>
    <w:rsid w:val="00F57931"/>
    <w:rsid w:val="00F60202"/>
    <w:rsid w:val="00F60818"/>
    <w:rsid w:val="00F6092F"/>
    <w:rsid w:val="00F60AB8"/>
    <w:rsid w:val="00F60BCE"/>
    <w:rsid w:val="00F6141B"/>
    <w:rsid w:val="00F6158A"/>
    <w:rsid w:val="00F619F6"/>
    <w:rsid w:val="00F61ADE"/>
    <w:rsid w:val="00F62154"/>
    <w:rsid w:val="00F62FAC"/>
    <w:rsid w:val="00F630AA"/>
    <w:rsid w:val="00F6378D"/>
    <w:rsid w:val="00F63E68"/>
    <w:rsid w:val="00F63EC8"/>
    <w:rsid w:val="00F6440A"/>
    <w:rsid w:val="00F64D45"/>
    <w:rsid w:val="00F64D52"/>
    <w:rsid w:val="00F64F51"/>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21"/>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57EC"/>
    <w:rsid w:val="00F97493"/>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9DB"/>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DB8"/>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0EC"/>
    <w:rsid w:val="00FE22B4"/>
    <w:rsid w:val="00FE22B8"/>
    <w:rsid w:val="00FE31A3"/>
    <w:rsid w:val="00FE31B9"/>
    <w:rsid w:val="00FE3716"/>
    <w:rsid w:val="00FE37FF"/>
    <w:rsid w:val="00FE389E"/>
    <w:rsid w:val="00FE38CC"/>
    <w:rsid w:val="00FE449C"/>
    <w:rsid w:val="00FE44ED"/>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2E3"/>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 w:val="018E1231"/>
    <w:rsid w:val="03B79ABF"/>
    <w:rsid w:val="05FD3EF6"/>
    <w:rsid w:val="063E446E"/>
    <w:rsid w:val="06A25807"/>
    <w:rsid w:val="07F9634F"/>
    <w:rsid w:val="0C0770C2"/>
    <w:rsid w:val="0CF8F7DF"/>
    <w:rsid w:val="0F456C80"/>
    <w:rsid w:val="111D936E"/>
    <w:rsid w:val="11DCEB52"/>
    <w:rsid w:val="134667FD"/>
    <w:rsid w:val="1522D193"/>
    <w:rsid w:val="154A3220"/>
    <w:rsid w:val="17D2B081"/>
    <w:rsid w:val="17F8261F"/>
    <w:rsid w:val="1889CDB7"/>
    <w:rsid w:val="18D89176"/>
    <w:rsid w:val="1BB94F1D"/>
    <w:rsid w:val="1FEA0FA7"/>
    <w:rsid w:val="201D4F44"/>
    <w:rsid w:val="22424C52"/>
    <w:rsid w:val="236D97C4"/>
    <w:rsid w:val="23F81D1A"/>
    <w:rsid w:val="25CD274A"/>
    <w:rsid w:val="286F8DBD"/>
    <w:rsid w:val="28D10518"/>
    <w:rsid w:val="290A2B9C"/>
    <w:rsid w:val="2B5B2191"/>
    <w:rsid w:val="2BBCF505"/>
    <w:rsid w:val="2C794C40"/>
    <w:rsid w:val="2D1D63AF"/>
    <w:rsid w:val="2E6D4CB5"/>
    <w:rsid w:val="2F32B065"/>
    <w:rsid w:val="2FDC843B"/>
    <w:rsid w:val="304EDD53"/>
    <w:rsid w:val="329AA8A8"/>
    <w:rsid w:val="359ACEAC"/>
    <w:rsid w:val="36703F3E"/>
    <w:rsid w:val="36BC1A16"/>
    <w:rsid w:val="3BC3B80C"/>
    <w:rsid w:val="3DEAA4AF"/>
    <w:rsid w:val="3E4363B8"/>
    <w:rsid w:val="3E540A8D"/>
    <w:rsid w:val="3F58E016"/>
    <w:rsid w:val="40DB8915"/>
    <w:rsid w:val="4101FAD2"/>
    <w:rsid w:val="41624ECA"/>
    <w:rsid w:val="44D16A4A"/>
    <w:rsid w:val="46D87086"/>
    <w:rsid w:val="47486CB9"/>
    <w:rsid w:val="4837A01C"/>
    <w:rsid w:val="4B7E4CAF"/>
    <w:rsid w:val="4CDB8010"/>
    <w:rsid w:val="544DC3A4"/>
    <w:rsid w:val="55A4D268"/>
    <w:rsid w:val="5704C850"/>
    <w:rsid w:val="5B6D029D"/>
    <w:rsid w:val="5C15DA54"/>
    <w:rsid w:val="5E6FEB28"/>
    <w:rsid w:val="5EC8CEBD"/>
    <w:rsid w:val="5ECA18FD"/>
    <w:rsid w:val="5ED13C3A"/>
    <w:rsid w:val="602B0B04"/>
    <w:rsid w:val="60D84276"/>
    <w:rsid w:val="60F6D021"/>
    <w:rsid w:val="6304BF4B"/>
    <w:rsid w:val="6583499E"/>
    <w:rsid w:val="669AF588"/>
    <w:rsid w:val="6712CCBE"/>
    <w:rsid w:val="6B2C9A76"/>
    <w:rsid w:val="6B535616"/>
    <w:rsid w:val="7530F331"/>
    <w:rsid w:val="7726F74F"/>
    <w:rsid w:val="7753902A"/>
    <w:rsid w:val="786B5AF0"/>
    <w:rsid w:val="78EE646C"/>
    <w:rsid w:val="7A8A34CD"/>
    <w:rsid w:val="7BAD84F8"/>
    <w:rsid w:val="7BD3F6B5"/>
    <w:rsid w:val="7E4C5AE5"/>
    <w:rsid w:val="7FB46F2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shapedefaults>
    <o:shapelayout v:ext="edit">
      <o:idmap v:ext="edit" data="1"/>
    </o:shapelayout>
  </w:shapeDefaults>
  <w:decimalSymbol w:val="."/>
  <w:listSeparator w:val=","/>
  <w14:docId w14:val="5C1DE646"/>
  <w15:docId w15:val="{76A400CB-5160-4AFE-ACA4-B635F6FC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642667"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642667"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642667"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642667"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642667"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uiPriority w:val="39"/>
    <w:rsid w:val="00BB1F66"/>
    <w:pPr>
      <w:spacing w:before="60" w:after="60" w:line="220" w:lineRule="atLeast"/>
      <w:ind w:left="113" w:right="113"/>
    </w:pPr>
    <w:rPr>
      <w:rFonts w:cs="Times New Roman"/>
      <w:sz w:val="18"/>
    </w:rPr>
    <w:tblPr>
      <w:tblStyleColBandSize w:val="1"/>
      <w:tblBorders>
        <w:top w:val="single" w:sz="8" w:space="0" w:color="642667" w:themeColor="text2"/>
        <w:bottom w:val="single" w:sz="8" w:space="0" w:color="642667" w:themeColor="text2"/>
        <w:insideH w:val="single" w:sz="8" w:space="0" w:color="642667"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642667" w:themeFill="text2"/>
      </w:tcPr>
    </w:tblStylePr>
    <w:tblStylePr w:type="lastRow">
      <w:rPr>
        <w:b w:val="0"/>
      </w:rPr>
    </w:tblStylePr>
    <w:tblStylePr w:type="lastCol">
      <w:pPr>
        <w:jc w:val="left"/>
      </w:pPr>
    </w:tblStylePr>
    <w:tblStylePr w:type="band1Vert">
      <w:tblPr/>
      <w:tcPr>
        <w:shd w:val="clear" w:color="auto" w:fill="EFE9F0"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qFormat/>
    <w:rsid w:val="003F7759"/>
    <w:pPr>
      <w:numPr>
        <w:ilvl w:val="1"/>
      </w:numPr>
      <w:spacing w:line="320" w:lineRule="exact"/>
      <w:jc w:val="right"/>
    </w:pPr>
    <w:rPr>
      <w:rFonts w:asciiTheme="majorHAnsi" w:eastAsiaTheme="majorEastAsia" w:hAnsiTheme="majorHAnsi" w:cstheme="majorBidi"/>
      <w:iCs/>
      <w:color w:val="642667"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642667"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qFormat/>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642667"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642667"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642667"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642667"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642667"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642667"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642667"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642667"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642667"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FE9F0"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FE9F0"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642667"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642667" w:themeColor="text2"/>
        <w:left w:val="single" w:sz="4" w:space="0" w:color="642667" w:themeColor="text2"/>
        <w:bottom w:val="single" w:sz="4" w:space="0" w:color="642667" w:themeColor="text2"/>
        <w:right w:val="single" w:sz="4" w:space="0" w:color="642667"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rsid w:val="00732B4D"/>
    <w:pPr>
      <w:spacing w:line="240" w:lineRule="auto"/>
    </w:pPr>
  </w:style>
  <w:style w:type="character" w:customStyle="1" w:styleId="CommentTextChar">
    <w:name w:val="Comment Text Char"/>
    <w:basedOn w:val="DefaultParagraphFont"/>
    <w:link w:val="CommentText"/>
    <w:uiPriority w:val="99"/>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642667"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642667"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E2C14"/>
    <w:pPr>
      <w:spacing w:line="240" w:lineRule="auto"/>
    </w:pPr>
    <w:rPr>
      <w:color w:val="FFFFFF"/>
      <w:sz w:val="24"/>
    </w:rPr>
    <w:tblPr>
      <w:tblCellMar>
        <w:top w:w="227" w:type="dxa"/>
        <w:left w:w="0" w:type="dxa"/>
        <w:bottom w:w="227" w:type="dxa"/>
        <w:right w:w="0" w:type="dxa"/>
      </w:tblCellMar>
    </w:tblPr>
    <w:tcPr>
      <w:shd w:val="clear" w:color="auto" w:fill="642667"/>
    </w:tcPr>
  </w:style>
  <w:style w:type="paragraph" w:customStyle="1" w:styleId="BodyText100ThemeColour">
    <w:name w:val="Body Text 100% Theme Colour"/>
    <w:basedOn w:val="BodyText"/>
    <w:qFormat/>
    <w:rsid w:val="00096B2D"/>
    <w:rPr>
      <w:color w:val="642667"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642667" w:themeColor="text2"/>
      <w:kern w:val="32"/>
      <w:sz w:val="40"/>
      <w:szCs w:val="32"/>
    </w:rPr>
  </w:style>
  <w:style w:type="character" w:customStyle="1" w:styleId="Heading2Char">
    <w:name w:val="Heading 2 Char"/>
    <w:basedOn w:val="DefaultParagraphFont"/>
    <w:link w:val="Heading2"/>
    <w:rsid w:val="001306D2"/>
    <w:rPr>
      <w:b/>
      <w:bCs/>
      <w:iCs/>
      <w:color w:val="642667" w:themeColor="text2"/>
      <w:kern w:val="20"/>
      <w:sz w:val="22"/>
      <w:szCs w:val="28"/>
    </w:rPr>
  </w:style>
  <w:style w:type="character" w:customStyle="1" w:styleId="Heading3Char">
    <w:name w:val="Heading 3 Char"/>
    <w:basedOn w:val="DefaultParagraphFont"/>
    <w:link w:val="Heading3"/>
    <w:rsid w:val="001306D2"/>
    <w:rPr>
      <w:b/>
      <w:color w:val="4948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30786">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759912072">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14467972">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footer6.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Branded%20Templates\DELWP%20Blank%20A4%20Landscap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642667"/>
      </a:dk2>
      <a:lt2>
        <a:srgbClr val="EFE9F0"/>
      </a:lt2>
      <a:accent1>
        <a:srgbClr val="00B2A9"/>
      </a:accent1>
      <a:accent2>
        <a:srgbClr val="642667"/>
      </a:accent2>
      <a:accent3>
        <a:srgbClr val="201547"/>
      </a:accent3>
      <a:accent4>
        <a:srgbClr val="99E0DD"/>
      </a:accent4>
      <a:accent5>
        <a:srgbClr val="C1A8C2"/>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roject Report" ma:contentTypeID="0x0101002517F445A0F35E449C98AAD631F2B038451F00DDD721D888700A4F853F9FAED2A43D43" ma:contentTypeVersion="21" ma:contentTypeDescription="Includes progress reports, health check, benefit realisation reports and all other project related reports - DEPI" ma:contentTypeScope="" ma:versionID="05508a5f1ecc32cc6a984a88e311afa2">
  <xsd:schema xmlns:xsd="http://www.w3.org/2001/XMLSchema" xmlns:xs="http://www.w3.org/2001/XMLSchema" xmlns:p="http://schemas.microsoft.com/office/2006/metadata/properties" xmlns:ns1="http://schemas.microsoft.com/sharepoint/v3" xmlns:ns2="a5f32de4-e402-4188-b034-e71ca7d22e54" xmlns:ns3="9fd47c19-1c4a-4d7d-b342-c10cef269344" xmlns:ns4="5700d3a0-fd15-4eeb-8642-62a2ad3d8f36" targetNamespace="http://schemas.microsoft.com/office/2006/metadata/properties" ma:root="true" ma:fieldsID="de650b6743a3ebc8306743861f18a1a3" ns1:_="" ns2:_="" ns3:_="" ns4:_="">
    <xsd:import namespace="http://schemas.microsoft.com/sharepoint/v3"/>
    <xsd:import namespace="a5f32de4-e402-4188-b034-e71ca7d22e54"/>
    <xsd:import namespace="9fd47c19-1c4a-4d7d-b342-c10cef269344"/>
    <xsd:import namespace="5700d3a0-fd15-4eeb-8642-62a2ad3d8f36"/>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b5cb31dfd14540a5938d0d253a700439" minOccurs="0"/>
                <xsd:element ref="ns4:bdd0779e648448c7b7b697e9cefc6af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6;#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22;#Places and Precincts|aab87dee-4f66-44a6-81fe-4a0591bbab6f"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b26f8548-359d-463f-b2a6-d95e20afe0bf}" ma:internalName="TaxCatchAll" ma:showField="CatchAllData"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b26f8548-359d-463f-b2a6-d95e20afe0bf}" ma:internalName="TaxCatchAllLabel" ma:readOnly="true" ma:showField="CatchAllDataLabel"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5;#Planning|a27341dd-7be7-4882-a552-a667d667e276"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4;#Planning Implementation|06da14fd-37da-4d18-9fc8-be88426fa8db"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00d3a0-fd15-4eeb-8642-62a2ad3d8f36" elementFormDefault="qualified">
    <xsd:import namespace="http://schemas.microsoft.com/office/2006/documentManagement/types"/>
    <xsd:import namespace="http://schemas.microsoft.com/office/infopath/2007/PartnerControls"/>
    <xsd:element name="b5cb31dfd14540a5938d0d253a700439" ma:index="31" nillable="true" ma:taxonomy="true" ma:internalName="b5cb31dfd14540a5938d0d253a700439" ma:taxonomyFieldName="Precinct" ma:displayName="Precinct" ma:default="" ma:fieldId="{b5cb31df-d145-40a5-938d-0d253a700439}" ma:sspId="797aeec6-0273-40f2-ab3e-beee73212332" ma:termSetId="beba9100-2e09-4705-b567-2000a49ab2b4" ma:anchorId="792cb724-c42f-42f5-8785-462841058c60" ma:open="true" ma:isKeyword="false">
      <xsd:complexType>
        <xsd:sequence>
          <xsd:element ref="pc:Terms" minOccurs="0" maxOccurs="1"/>
        </xsd:sequence>
      </xsd:complexType>
    </xsd:element>
    <xsd:element name="bdd0779e648448c7b7b697e9cefc6af7" ma:index="34" nillable="true" ma:taxonomy="true" ma:internalName="bdd0779e648448c7b7b697e9cefc6af7" ma:taxonomyFieldName="Project_x0020_Functions" ma:displayName="Project Functions" ma:default="" ma:fieldId="{bdd0779e-6484-48c7-b7b6-97e9cefc6af7}" ma:sspId="797aeec6-0273-40f2-ab3e-beee73212332" ma:termSetId="ecf123e5-15b7-437b-a17b-649b67fec61d"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97aeec6-0273-40f2-ab3e-beee73212332" ContentTypeId="0x0101002517F445A0F35E449C98AAD631F2B038451F" PreviousValue="false"/>
</file>

<file path=customXml/item4.xml><?xml version="1.0" encoding="utf-8"?>
<?mso-contentType ?>
<customXsn xmlns="http://schemas.microsoft.com/office/2006/metadata/customXsn">
  <xsnLocation/>
  <cached>True</cached>
  <openByDefault>True</openByDefault>
  <xsnScope>/sites/contentTypeHub</xsnScope>
</customXsn>
</file>

<file path=customXml/item5.xml><?xml version="1.0" encoding="utf-8"?>
<p:properties xmlns:p="http://schemas.microsoft.com/office/2006/metadata/properties" xmlns:xsi="http://www.w3.org/2001/XMLSchema-instance" xmlns:pc="http://schemas.microsoft.com/office/infopath/2007/PartnerControls">
  <documentManagement>
    <a25c4e3633654d669cbaa09ae6b70789 xmlns="9fd47c19-1c4a-4d7d-b342-c10cef269344">
      <Terms xmlns="http://schemas.microsoft.com/office/infopath/2007/PartnerControls"/>
    </a25c4e3633654d669cbaa09ae6b70789>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b5cb31dfd14540a5938d0d253a700439 xmlns="5700d3a0-fd15-4eeb-8642-62a2ad3d8f36">
      <Terms xmlns="http://schemas.microsoft.com/office/infopath/2007/PartnerControls">
        <TermInfo xmlns="http://schemas.microsoft.com/office/infopath/2007/PartnerControls">
          <TermName xmlns="http://schemas.microsoft.com/office/infopath/2007/PartnerControls">Yarra GC48 Finalisation</TermName>
          <TermId xmlns="http://schemas.microsoft.com/office/infopath/2007/PartnerControls">c418462b-9128-4a22-b14e-c565d57f8c38</TermId>
        </TermInfo>
      </Terms>
    </b5cb31dfd14540a5938d0d253a700439>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_dlc_DocId xmlns="a5f32de4-e402-4188-b034-e71ca7d22e54">DOCID353-1988472063-8071</_dlc_DocId>
    <RoutingRuleDescription xmlns="http://schemas.microsoft.com/sharepoint/v3" xsi:nil="true"/>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bdd0779e648448c7b7b697e9cefc6af7 xmlns="5700d3a0-fd15-4eeb-8642-62a2ad3d8f36">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a3976582-98a8-4275-a450-97c10d303b60</TermId>
        </TermInfo>
      </Terms>
    </bdd0779e648448c7b7b697e9cefc6af7>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Planning Implementation</TermName>
          <TermId xmlns="http://schemas.microsoft.com/office/infopath/2007/PartnerControls">06da14fd-37da-4d18-9fc8-be88426fa8db</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Places and Precincts</TermName>
          <TermId xmlns="http://schemas.microsoft.com/office/infopath/2007/PartnerControls">aab87dee-4f66-44a6-81fe-4a0591bbab6f</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Url xmlns="a5f32de4-e402-4188-b034-e71ca7d22e54">
      <Url>https://delwpvicgovau.sharepoint.com/sites/ecm_353/_layouts/15/DocIdRedir.aspx?ID=DOCID353-1988472063-8071</Url>
      <Description>DOCID353-1988472063-8071</Description>
    </_dlc_DocIdUrl>
    <Language xmlns="http://schemas.microsoft.com/sharepoint/v3">English</Language>
    <TaxCatchAll xmlns="9fd47c19-1c4a-4d7d-b342-c10cef269344">
      <Value>5</Value>
      <Value>80</Value>
      <Value>127</Value>
      <Value>6</Value>
      <Value>22</Value>
      <Value>4</Value>
      <Value>3</Value>
      <Value>2</Value>
      <Value>1</Value>
    </TaxCatchAll>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a27341dd-7be7-4882-a552-a667d667e276</TermId>
        </TermInfo>
      </Terms>
    </ic50d0a05a8e4d9791dac67f8a1e716c>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33B3EE7-4D8A-4989-9299-9D62D53FDA72}">
  <ds:schemaRefs>
    <ds:schemaRef ds:uri="http://schemas.openxmlformats.org/officeDocument/2006/bibliography"/>
  </ds:schemaRefs>
</ds:datastoreItem>
</file>

<file path=customXml/itemProps2.xml><?xml version="1.0" encoding="utf-8"?>
<ds:datastoreItem xmlns:ds="http://schemas.openxmlformats.org/officeDocument/2006/customXml" ds:itemID="{D3BBE314-1739-4F1D-A192-849D75CC3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5700d3a0-fd15-4eeb-8642-62a2ad3d8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918D7D-38C1-475E-91EC-EEF3D6C94521}">
  <ds:schemaRefs>
    <ds:schemaRef ds:uri="Microsoft.SharePoint.Taxonomy.ContentTypeSync"/>
  </ds:schemaRefs>
</ds:datastoreItem>
</file>

<file path=customXml/itemProps4.xml><?xml version="1.0" encoding="utf-8"?>
<ds:datastoreItem xmlns:ds="http://schemas.openxmlformats.org/officeDocument/2006/customXml" ds:itemID="{065C189D-FB30-478F-BFD9-3FCC494DC247}">
  <ds:schemaRefs>
    <ds:schemaRef ds:uri="http://schemas.microsoft.com/office/2006/metadata/customXsn"/>
  </ds:schemaRefs>
</ds:datastoreItem>
</file>

<file path=customXml/itemProps5.xml><?xml version="1.0" encoding="utf-8"?>
<ds:datastoreItem xmlns:ds="http://schemas.openxmlformats.org/officeDocument/2006/customXml" ds:itemID="{F0527390-6F56-4C50-9B19-4382D1EBD9C3}">
  <ds:schemaRefs>
    <ds:schemaRef ds:uri="http://schemas.microsoft.com/office/2006/metadata/properties"/>
    <ds:schemaRef ds:uri="http://schemas.microsoft.com/office/infopath/2007/PartnerControls"/>
    <ds:schemaRef ds:uri="9fd47c19-1c4a-4d7d-b342-c10cef269344"/>
    <ds:schemaRef ds:uri="5700d3a0-fd15-4eeb-8642-62a2ad3d8f36"/>
    <ds:schemaRef ds:uri="a5f32de4-e402-4188-b034-e71ca7d22e54"/>
    <ds:schemaRef ds:uri="http://schemas.microsoft.com/sharepoint/v3"/>
  </ds:schemaRefs>
</ds:datastoreItem>
</file>

<file path=customXml/itemProps6.xml><?xml version="1.0" encoding="utf-8"?>
<ds:datastoreItem xmlns:ds="http://schemas.openxmlformats.org/officeDocument/2006/customXml" ds:itemID="{7437D280-5F55-4271-A57E-0818323FF965}">
  <ds:schemaRefs>
    <ds:schemaRef ds:uri="http://schemas.microsoft.com/sharepoint/v3/contenttype/forms"/>
  </ds:schemaRefs>
</ds:datastoreItem>
</file>

<file path=customXml/itemProps7.xml><?xml version="1.0" encoding="utf-8"?>
<ds:datastoreItem xmlns:ds="http://schemas.openxmlformats.org/officeDocument/2006/customXml" ds:itemID="{7F82DF65-77A6-4CFB-98C4-389B6B0C556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Internal.vic.gov.au\DSE\GroupData\Office Templates\DELWP Branded Templates\DELWP Blank A4 Landscape.dotm</Template>
  <TotalTime>1</TotalTime>
  <Pages>7</Pages>
  <Words>2047</Words>
  <Characters>11668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Georgia G Wellington (DELWP)</dc:creator>
  <cp:keywords/>
  <dc:description/>
  <cp:lastModifiedBy>Bridget R Cronin (DELWP)</cp:lastModifiedBy>
  <cp:revision>2</cp:revision>
  <cp:lastPrinted>2016-09-09T00:20:00Z</cp:lastPrinted>
  <dcterms:created xsi:type="dcterms:W3CDTF">2021-04-19T02:48:00Z</dcterms:created>
  <dcterms:modified xsi:type="dcterms:W3CDTF">2021-04-19T02:48:00Z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MSIP_Label_4257e2ab-f512-40e2-9c9a-c64247360765_Enabled">
    <vt:lpwstr>true</vt:lpwstr>
  </property>
  <property fmtid="{D5CDD505-2E9C-101B-9397-08002B2CF9AE}" pid="19" name="MSIP_Label_4257e2ab-f512-40e2-9c9a-c64247360765_SetDate">
    <vt:lpwstr>2021-04-19T01:19:57Z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d26c596b-a7ba-4409-98a9-6883a40a7dc4</vt:lpwstr>
  </property>
  <property fmtid="{D5CDD505-2E9C-101B-9397-08002B2CF9AE}" pid="24" name="MSIP_Label_4257e2ab-f512-40e2-9c9a-c64247360765_ContentBits">
    <vt:lpwstr>2</vt:lpwstr>
  </property>
  <property fmtid="{D5CDD505-2E9C-101B-9397-08002B2CF9AE}" pid="25" name="Section">
    <vt:lpwstr>6;#All|8270565e-a836-42c0-aa61-1ac7b0ff14aa</vt:lpwstr>
  </property>
  <property fmtid="{D5CDD505-2E9C-101B-9397-08002B2CF9AE}" pid="26" name="Agency">
    <vt:lpwstr>1;#Department of Environment, Land, Water and Planning|607a3f87-1228-4cd9-82a5-076aa8776274</vt:lpwstr>
  </property>
  <property fmtid="{D5CDD505-2E9C-101B-9397-08002B2CF9AE}" pid="27" name="Sub-Section">
    <vt:lpwstr/>
  </property>
  <property fmtid="{D5CDD505-2E9C-101B-9397-08002B2CF9AE}" pid="28" name="Branch">
    <vt:lpwstr>22;#Places and Precincts|aab87dee-4f66-44a6-81fe-4a0591bbab6f</vt:lpwstr>
  </property>
  <property fmtid="{D5CDD505-2E9C-101B-9397-08002B2CF9AE}" pid="29" name="ContentTypeId">
    <vt:lpwstr>0x0101002517F445A0F35E449C98AAD631F2B038451F00DDD721D888700A4F853F9FAED2A43D43</vt:lpwstr>
  </property>
  <property fmtid="{D5CDD505-2E9C-101B-9397-08002B2CF9AE}" pid="30" name="Reference_x0020_Type">
    <vt:lpwstr/>
  </property>
  <property fmtid="{D5CDD505-2E9C-101B-9397-08002B2CF9AE}" pid="31" name="Location_x0020_Type">
    <vt:lpwstr/>
  </property>
  <property fmtid="{D5CDD505-2E9C-101B-9397-08002B2CF9AE}" pid="32" name="Project Functions">
    <vt:lpwstr>80;#Communications|a3976582-98a8-4275-a450-97c10d303b60</vt:lpwstr>
  </property>
  <property fmtid="{D5CDD505-2E9C-101B-9397-08002B2CF9AE}" pid="33" name="_dlc_DocIdItemGuid">
    <vt:lpwstr>a085105c-b325-4a4a-828c-5a64bedd4b34</vt:lpwstr>
  </property>
  <property fmtid="{D5CDD505-2E9C-101B-9397-08002B2CF9AE}" pid="34" name="Division">
    <vt:lpwstr>4;#Planning Implementation|06da14fd-37da-4d18-9fc8-be88426fa8db</vt:lpwstr>
  </property>
  <property fmtid="{D5CDD505-2E9C-101B-9397-08002B2CF9AE}" pid="35" name="Location Type">
    <vt:lpwstr/>
  </property>
  <property fmtid="{D5CDD505-2E9C-101B-9397-08002B2CF9AE}" pid="36" name="Group1">
    <vt:lpwstr>5;#Planning|a27341dd-7be7-4882-a552-a667d667e276</vt:lpwstr>
  </property>
  <property fmtid="{D5CDD505-2E9C-101B-9397-08002B2CF9AE}" pid="37" name="Dissemination Limiting Marker">
    <vt:lpwstr>2;#FOUO|955eb6fc-b35a-4808-8aa5-31e514fa3f26</vt:lpwstr>
  </property>
  <property fmtid="{D5CDD505-2E9C-101B-9397-08002B2CF9AE}" pid="38" name="Security Classification">
    <vt:lpwstr>3;#Unclassified|7fa379f4-4aba-4692-ab80-7d39d3a23cf4</vt:lpwstr>
  </property>
  <property fmtid="{D5CDD505-2E9C-101B-9397-08002B2CF9AE}" pid="39" name="o2e611f6ba3e4c8f9a895dfb7980639e">
    <vt:lpwstr/>
  </property>
  <property fmtid="{D5CDD505-2E9C-101B-9397-08002B2CF9AE}" pid="40" name="ld508a88e6264ce89693af80a72862cb">
    <vt:lpwstr/>
  </property>
  <property fmtid="{D5CDD505-2E9C-101B-9397-08002B2CF9AE}" pid="41" name="Precinct">
    <vt:lpwstr>127;#Yarra GC48 Finalisation|c418462b-9128-4a22-b14e-c565d57f8c38</vt:lpwstr>
  </property>
  <property fmtid="{D5CDD505-2E9C-101B-9397-08002B2CF9AE}" pid="42" name="Reference Type">
    <vt:lpwstr/>
  </property>
  <property fmtid="{D5CDD505-2E9C-101B-9397-08002B2CF9AE}" pid="43" name="Dissemination_x0020_Limiting_x0020_Marker">
    <vt:lpwstr>2;#FOUO|955eb6fc-b35a-4808-8aa5-31e514fa3f26</vt:lpwstr>
  </property>
  <property fmtid="{D5CDD505-2E9C-101B-9397-08002B2CF9AE}" pid="44" name="Sub_x002d_Section">
    <vt:lpwstr/>
  </property>
  <property fmtid="{D5CDD505-2E9C-101B-9397-08002B2CF9AE}" pid="45" name="Project_x0020_Functions">
    <vt:lpwstr>80;#Communications|a3976582-98a8-4275-a450-97c10d303b60</vt:lpwstr>
  </property>
  <property fmtid="{D5CDD505-2E9C-101B-9397-08002B2CF9AE}" pid="46" name="Security_x0020_Classification">
    <vt:lpwstr>3;#Unclassified|7fa379f4-4aba-4692-ab80-7d39d3a23cf4</vt:lpwstr>
  </property>
</Properties>
</file>